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608BC" w14:textId="77777777" w:rsidR="006727CF" w:rsidRDefault="00477F34" w:rsidP="003A0829">
      <w:pPr>
        <w:pStyle w:val="Title"/>
      </w:pPr>
      <w:r>
        <w:t>NOTIFICATION</w:t>
      </w:r>
    </w:p>
    <w:p w14:paraId="33C9F40E" w14:textId="0ED01320" w:rsidR="006727CF" w:rsidRDefault="00477F34" w:rsidP="00A44D3D">
      <w:pPr>
        <w:rPr>
          <w:color w:val="000000"/>
          <w:szCs w:val="18"/>
        </w:rPr>
      </w:pPr>
      <w:r>
        <w:rPr>
          <w:color w:val="000000"/>
          <w:szCs w:val="18"/>
        </w:rPr>
        <w:t>The following submission, dated</w:t>
      </w:r>
      <w:r w:rsidRPr="006A64CC">
        <w:rPr>
          <w:color w:val="000000"/>
          <w:szCs w:val="18"/>
        </w:rPr>
        <w:t xml:space="preserve"> </w:t>
      </w:r>
      <w:r w:rsidRPr="006A64CC">
        <w:rPr>
          <w:rFonts w:eastAsia="Arial"/>
          <w:noProof/>
        </w:rPr>
        <w:t>9 March</w:t>
      </w:r>
      <w:r w:rsidRPr="006A64CC">
        <w:rPr>
          <w:rFonts w:eastAsia="Arial"/>
        </w:rPr>
        <w:t xml:space="preserve"> 2022</w:t>
      </w:r>
      <w:r>
        <w:rPr>
          <w:color w:val="000000"/>
          <w:szCs w:val="18"/>
        </w:rPr>
        <w:t xml:space="preserve">, is being circulated at the request of the delegation </w:t>
      </w:r>
      <w:r>
        <w:rPr>
          <w:rFonts w:eastAsia="Arial"/>
          <w:szCs w:val="18"/>
        </w:rPr>
        <w:t>of</w:t>
      </w:r>
      <w:r>
        <w:rPr>
          <w:color w:val="000000"/>
          <w:szCs w:val="18"/>
        </w:rPr>
        <w:t xml:space="preserve"> </w:t>
      </w:r>
      <w:r>
        <w:rPr>
          <w:rFonts w:eastAsia="Arial"/>
          <w:b/>
          <w:noProof/>
          <w:color w:val="000000"/>
        </w:rPr>
        <w:t>Australia</w:t>
      </w:r>
      <w:r>
        <w:rPr>
          <w:color w:val="000000"/>
          <w:szCs w:val="18"/>
        </w:rPr>
        <w:t>. The notification concerns actions taken within the framework of the Decision on Measures Concerning the Possible Negative Effects of the Reform Programme on Least</w:t>
      </w:r>
      <w:r>
        <w:rPr>
          <w:color w:val="000000"/>
          <w:szCs w:val="18"/>
        </w:rPr>
        <w:noBreakHyphen/>
        <w:t>Developed and Net Food-Importing Developing Countries (</w:t>
      </w:r>
      <w:r>
        <w:rPr>
          <w:b/>
          <w:bCs/>
          <w:color w:val="000000"/>
          <w:szCs w:val="18"/>
        </w:rPr>
        <w:t>Table NF:1</w:t>
      </w:r>
      <w:r>
        <w:rPr>
          <w:color w:val="000000"/>
          <w:szCs w:val="18"/>
        </w:rPr>
        <w:t>) during the</w:t>
      </w:r>
      <w:r w:rsidR="00A230B4">
        <w:rPr>
          <w:color w:val="000000"/>
          <w:szCs w:val="18"/>
        </w:rPr>
        <w:t xml:space="preserve"> </w:t>
      </w:r>
      <w:r w:rsidR="009B7913">
        <w:rPr>
          <w:rFonts w:eastAsia="Arial"/>
          <w:b/>
          <w:noProof/>
          <w:color w:val="000000"/>
        </w:rPr>
        <w:t>F</w:t>
      </w:r>
      <w:r w:rsidRPr="005234D6">
        <w:rPr>
          <w:rFonts w:eastAsia="Arial"/>
          <w:b/>
          <w:noProof/>
          <w:color w:val="000000"/>
        </w:rPr>
        <w:t>inancial</w:t>
      </w:r>
      <w:r w:rsidR="009B7913">
        <w:rPr>
          <w:rFonts w:eastAsia="Arial"/>
          <w:b/>
          <w:noProof/>
          <w:color w:val="000000"/>
        </w:rPr>
        <w:t> Y</w:t>
      </w:r>
      <w:r w:rsidRPr="005234D6">
        <w:rPr>
          <w:rFonts w:eastAsia="Arial"/>
          <w:b/>
          <w:noProof/>
          <w:color w:val="000000"/>
        </w:rPr>
        <w:t>ear</w:t>
      </w:r>
      <w:r w:rsidR="009B7913">
        <w:rPr>
          <w:rFonts w:eastAsia="Arial"/>
          <w:color w:val="000000"/>
        </w:rPr>
        <w:t> </w:t>
      </w:r>
      <w:r w:rsidRPr="004764D0">
        <w:rPr>
          <w:rFonts w:eastAsia="Arial"/>
          <w:b/>
          <w:noProof/>
          <w:color w:val="000000"/>
        </w:rPr>
        <w:t>2019/2020</w:t>
      </w:r>
      <w:r w:rsidRPr="00087786">
        <w:rPr>
          <w:rFonts w:eastAsia="Arial"/>
          <w:color w:val="000000"/>
        </w:rPr>
        <w:t>.</w:t>
      </w:r>
    </w:p>
    <w:p w14:paraId="65A49C2B" w14:textId="77777777" w:rsidR="006727CF" w:rsidRDefault="005007C8" w:rsidP="005F0641">
      <w:pPr>
        <w:jc w:val="left"/>
      </w:pPr>
    </w:p>
    <w:p w14:paraId="77080AB7" w14:textId="77777777" w:rsidR="006727CF" w:rsidRDefault="00477F34" w:rsidP="00756570">
      <w:pPr>
        <w:jc w:val="center"/>
        <w:rPr>
          <w:b/>
          <w:lang w:eastAsia="en-GB"/>
        </w:rPr>
      </w:pPr>
      <w:r>
        <w:rPr>
          <w:b/>
          <w:lang w:eastAsia="en-GB"/>
        </w:rPr>
        <w:t>_______________</w:t>
      </w:r>
    </w:p>
    <w:p w14:paraId="0A8FFA4E" w14:textId="77777777" w:rsidR="006727CF" w:rsidRPr="00F04EE0" w:rsidRDefault="005007C8" w:rsidP="0020462E"/>
    <w:p w14:paraId="5082447F" w14:textId="77777777" w:rsidR="001A6CB6" w:rsidRDefault="005007C8" w:rsidP="00BE3236"/>
    <w:p w14:paraId="308AA4E3" w14:textId="77777777" w:rsidR="00E1491F" w:rsidRDefault="005007C8" w:rsidP="00BE3236">
      <w:pPr>
        <w:rPr>
          <w:rFonts w:eastAsia="Arial"/>
          <w:color w:val="000000"/>
        </w:rPr>
      </w:pPr>
    </w:p>
    <w:p w14:paraId="51E46FC1" w14:textId="77777777" w:rsidR="00E1491F" w:rsidRDefault="005007C8" w:rsidP="00BE3236">
      <w:pPr>
        <w:rPr>
          <w:rFonts w:eastAsia="Arial"/>
          <w:color w:val="000000"/>
        </w:rPr>
      </w:pPr>
    </w:p>
    <w:p w14:paraId="43A03068" w14:textId="77777777" w:rsidR="00E1491F" w:rsidRDefault="005007C8" w:rsidP="00BE3236">
      <w:pPr>
        <w:rPr>
          <w:rFonts w:eastAsia="Arial"/>
          <w:color w:val="000000"/>
        </w:rPr>
      </w:pPr>
    </w:p>
    <w:p w14:paraId="736DD1D5" w14:textId="77777777" w:rsidR="00E1491F" w:rsidRPr="00E1491F" w:rsidRDefault="005007C8" w:rsidP="00BE3236">
      <w:pPr>
        <w:rPr>
          <w:rFonts w:eastAsia="Arial"/>
          <w:color w:val="000000"/>
        </w:rPr>
        <w:sectPr w:rsidR="00E1491F" w:rsidRPr="00E1491F" w:rsidSect="00A230B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pPr>
    </w:p>
    <w:p w14:paraId="5717C03A" w14:textId="77777777" w:rsidR="00CF6FA4" w:rsidRDefault="00477F34" w:rsidP="00F25582">
      <w:pPr>
        <w:pStyle w:val="Caption"/>
        <w:pageBreakBefore/>
      </w:pPr>
      <w:r>
        <w:lastRenderedPageBreak/>
        <w:t>Table NF:1</w:t>
      </w:r>
    </w:p>
    <w:p w14:paraId="453667FB" w14:textId="67E75E29" w:rsidR="00CF6FA4" w:rsidRPr="00575852" w:rsidRDefault="00477F34" w:rsidP="00CF6FA4">
      <w:pPr>
        <w:pStyle w:val="Title"/>
      </w:pPr>
      <w:r>
        <w:t>NOTIFICATION UNDER ARTICLE 16.2 OF THE AGREEMENT: MONITORING OF THE</w:t>
      </w:r>
      <w:r>
        <w:br/>
        <w:t>FOLLOW-UP TO THE DECISION ON MEASURES CONCERNING THE POSSIBLE</w:t>
      </w:r>
      <w:r>
        <w:br/>
        <w:t>NEGATIVE EFFECTS OF THE REFORM PROGRAMME ON LEAST-DEVELOPED</w:t>
      </w:r>
      <w:r>
        <w:br/>
        <w:t>AND NET FOOD-IMPORTING DEVELOPING COUNTRIES:</w:t>
      </w:r>
      <w:r w:rsidR="009B7913">
        <w:br/>
      </w:r>
      <w:r w:rsidRPr="00CF6FA4">
        <w:t>Australia</w:t>
      </w:r>
    </w:p>
    <w:p w14:paraId="533FEC23" w14:textId="77777777" w:rsidR="00DF3A39" w:rsidRDefault="00477F34" w:rsidP="00CF6FA4">
      <w:pPr>
        <w:pStyle w:val="Title2"/>
        <w:spacing w:after="240"/>
      </w:pPr>
      <w:r w:rsidRPr="008910D2">
        <w:t>REPORTING PERIOD:</w:t>
      </w:r>
      <w:r>
        <w:t xml:space="preserve"> </w:t>
      </w:r>
      <w:r w:rsidRPr="00CF6FA4">
        <w:t>FINANCIAL YEAR</w:t>
      </w:r>
      <w:r>
        <w:t xml:space="preserve"> </w:t>
      </w:r>
      <w:r w:rsidRPr="00CF6FA4">
        <w:t>FROM 01-07-2019 TO 30-06-2020</w:t>
      </w:r>
    </w:p>
    <w:p w14:paraId="5652E064" w14:textId="77777777" w:rsidR="003A6B51" w:rsidRDefault="00477F34" w:rsidP="003A6B51">
      <w:pPr>
        <w:rPr>
          <w:lang w:eastAsia="ja-JP"/>
        </w:rPr>
      </w:pPr>
      <w:r>
        <w:rPr>
          <w:lang w:eastAsia="ja-JP"/>
        </w:rPr>
        <w:t>______________________________________________________________________________</w:t>
      </w:r>
    </w:p>
    <w:p w14:paraId="447748D3" w14:textId="77777777" w:rsidR="00424E9F" w:rsidRDefault="005007C8" w:rsidP="003A6B51">
      <w:pPr>
        <w:rPr>
          <w:lang w:eastAsia="en-GB"/>
        </w:rPr>
      </w:pPr>
    </w:p>
    <w:p w14:paraId="2F31A118" w14:textId="77777777" w:rsidR="0061134A" w:rsidRDefault="00477F34" w:rsidP="009B7913">
      <w:pPr>
        <w:pStyle w:val="Heading1"/>
      </w:pPr>
      <w:r w:rsidRPr="008910D2">
        <w:t xml:space="preserve">Quantity of food </w:t>
      </w:r>
      <w:r w:rsidRPr="008910D2">
        <w:rPr>
          <w:rFonts w:hint="eastAsia"/>
          <w:lang w:eastAsia="ja-JP"/>
        </w:rPr>
        <w:t>assistance</w:t>
      </w:r>
      <w:r w:rsidRPr="008910D2">
        <w:t xml:space="preserve"> provided to least-developed and net food-importi</w:t>
      </w:r>
      <w:r>
        <w:t>ng developing countries</w:t>
      </w:r>
    </w:p>
    <w:p w14:paraId="28ED05D5" w14:textId="36D34544" w:rsidR="00424E9F" w:rsidRPr="00424E9F" w:rsidRDefault="00477F34" w:rsidP="009B7913">
      <w:pPr>
        <w:pStyle w:val="BodyText"/>
        <w:rPr>
          <w:lang w:val="en-US"/>
        </w:rPr>
      </w:pPr>
      <w:r>
        <w:rPr>
          <w:noProof/>
          <w:lang w:eastAsia="en-GB"/>
        </w:rPr>
        <w:t xml:space="preserve">Australia is committed to providing a minimum of </w:t>
      </w:r>
      <w:r w:rsidR="009B7913">
        <w:rPr>
          <w:noProof/>
          <w:lang w:eastAsia="en-GB"/>
        </w:rPr>
        <w:t>AUD</w:t>
      </w:r>
      <w:r w:rsidR="00EC2057">
        <w:rPr>
          <w:noProof/>
          <w:lang w:eastAsia="en-GB"/>
        </w:rPr>
        <w:t xml:space="preserve"> </w:t>
      </w:r>
      <w:r>
        <w:rPr>
          <w:noProof/>
          <w:lang w:eastAsia="en-GB"/>
        </w:rPr>
        <w:t>80</w:t>
      </w:r>
      <w:r w:rsidR="009B7913">
        <w:rPr>
          <w:noProof/>
          <w:lang w:eastAsia="en-GB"/>
        </w:rPr>
        <w:t> </w:t>
      </w:r>
      <w:r>
        <w:rPr>
          <w:noProof/>
          <w:lang w:eastAsia="en-GB"/>
        </w:rPr>
        <w:t xml:space="preserve">million of food assistance per calendar year under the Food Assistance Convention (FAC). In financial year 2019-20, Australia provided </w:t>
      </w:r>
      <w:r w:rsidR="009B7913">
        <w:rPr>
          <w:noProof/>
          <w:lang w:eastAsia="en-GB"/>
        </w:rPr>
        <w:t>AUD</w:t>
      </w:r>
      <w:r w:rsidR="00EC2057">
        <w:rPr>
          <w:noProof/>
          <w:lang w:eastAsia="en-GB"/>
        </w:rPr>
        <w:t xml:space="preserve"> </w:t>
      </w:r>
      <w:r>
        <w:rPr>
          <w:noProof/>
          <w:lang w:eastAsia="en-GB"/>
        </w:rPr>
        <w:t>91.92 million in food assistance for LDCs</w:t>
      </w:r>
      <w:r w:rsidR="009B7913">
        <w:rPr>
          <w:rStyle w:val="FootnoteReference"/>
          <w:rFonts w:eastAsia="Verdana" w:cs="Verdana"/>
          <w:noProof/>
          <w:szCs w:val="18"/>
          <w:lang w:eastAsia="en-GB"/>
        </w:rPr>
        <w:footnoteReference w:id="1"/>
      </w:r>
      <w:r>
        <w:rPr>
          <w:noProof/>
          <w:lang w:eastAsia="en-GB"/>
        </w:rPr>
        <w:t xml:space="preserve"> and NFIDCs</w:t>
      </w:r>
      <w:r w:rsidR="009B7913">
        <w:rPr>
          <w:rStyle w:val="FootnoteReference"/>
          <w:rFonts w:eastAsia="Verdana" w:cs="Verdana"/>
          <w:noProof/>
          <w:szCs w:val="18"/>
          <w:lang w:eastAsia="en-GB"/>
        </w:rPr>
        <w:footnoteReference w:id="2"/>
      </w:r>
      <w:r>
        <w:rPr>
          <w:noProof/>
          <w:lang w:eastAsia="en-GB"/>
        </w:rPr>
        <w:t xml:space="preserve"> as part of its FAC commitments (see</w:t>
      </w:r>
      <w:r w:rsidR="009B7913">
        <w:rPr>
          <w:noProof/>
          <w:lang w:eastAsia="en-GB"/>
        </w:rPr>
        <w:t> </w:t>
      </w:r>
      <w:r>
        <w:rPr>
          <w:noProof/>
          <w:lang w:eastAsia="en-GB"/>
        </w:rPr>
        <w:t>Annex A for a breakdown by recipient country). All funding was provided as cash</w:t>
      </w:r>
      <w:r>
        <w:rPr>
          <w:rFonts w:ascii="Cambria Math" w:eastAsia="Cambria Math" w:hAnsi="Cambria Math" w:cs="Cambria Math"/>
          <w:noProof/>
          <w:lang w:eastAsia="en-GB"/>
        </w:rPr>
        <w:t>‑</w:t>
      </w:r>
      <w:r>
        <w:rPr>
          <w:noProof/>
          <w:lang w:eastAsia="en-GB"/>
        </w:rPr>
        <w:t>based support to the UN World Food Programme.</w:t>
      </w:r>
    </w:p>
    <w:p w14:paraId="28058669" w14:textId="77777777" w:rsidR="0061134A" w:rsidRDefault="00477F34" w:rsidP="009B7913">
      <w:pPr>
        <w:pStyle w:val="Heading1"/>
      </w:pPr>
      <w:r>
        <w:t>Indication of the proportion in fully grant form or appropriate concessional terms</w:t>
      </w:r>
    </w:p>
    <w:p w14:paraId="38C8B74D" w14:textId="7DDC358B" w:rsidR="001513DA" w:rsidRPr="001513DA" w:rsidRDefault="00477F34" w:rsidP="009B7913">
      <w:pPr>
        <w:pStyle w:val="BodyText"/>
        <w:rPr>
          <w:lang w:val="en-US"/>
        </w:rPr>
      </w:pPr>
      <w:r>
        <w:rPr>
          <w:noProof/>
          <w:lang w:val="en-US"/>
        </w:rPr>
        <w:t>All Australian food assistance is provided in fully grant form.</w:t>
      </w:r>
    </w:p>
    <w:p w14:paraId="072CD560" w14:textId="77777777" w:rsidR="0061134A" w:rsidRDefault="00477F34" w:rsidP="009B7913">
      <w:pPr>
        <w:pStyle w:val="Heading1"/>
      </w:pPr>
      <w:r>
        <w:t>Technical and financial assistance under paragraph 3(iii) of the Decision</w:t>
      </w:r>
    </w:p>
    <w:p w14:paraId="1F16EFF7" w14:textId="7FB51D27" w:rsidR="00E934FF" w:rsidRDefault="00477F34" w:rsidP="009B7913">
      <w:pPr>
        <w:pStyle w:val="BodyText"/>
        <w:rPr>
          <w:noProof/>
        </w:rPr>
      </w:pPr>
      <w:r>
        <w:rPr>
          <w:noProof/>
          <w:lang w:val="en-US"/>
        </w:rPr>
        <w:t>The Australian Department of Foreign Affairs and Trade (DFAT) is primarily responsible for delivering Australia's aid programme. This aid programme includes work to improve agriculture and rural development in LDCs and NFIDCs. Detailed information on Australia’s aid programme is available at</w:t>
      </w:r>
      <w:r w:rsidR="009B7913">
        <w:rPr>
          <w:noProof/>
          <w:lang w:val="en-US"/>
        </w:rPr>
        <w:t xml:space="preserve"> </w:t>
      </w:r>
      <w:hyperlink r:id="rId14" w:history="1">
        <w:r w:rsidR="009B7913" w:rsidRPr="0032476A">
          <w:rPr>
            <w:rStyle w:val="Hyperlink"/>
            <w:noProof/>
            <w:lang w:val="en-US"/>
          </w:rPr>
          <w:t>https://dfat.gov.au/</w:t>
        </w:r>
      </w:hyperlink>
      <w:r>
        <w:rPr>
          <w:noProof/>
          <w:lang w:val="en-US"/>
        </w:rPr>
        <w:t>.</w:t>
      </w:r>
    </w:p>
    <w:p w14:paraId="4E009C1D" w14:textId="196FB3B2" w:rsidR="00E934FF" w:rsidRDefault="00477F34" w:rsidP="009B7913">
      <w:pPr>
        <w:pStyle w:val="BodyText"/>
        <w:rPr>
          <w:noProof/>
        </w:rPr>
      </w:pPr>
      <w:r>
        <w:rPr>
          <w:noProof/>
          <w:lang w:val="en-US"/>
        </w:rPr>
        <w:t xml:space="preserve">The Australian Centre for International Agricultural Research (ACIAR) also assists LDC and NFIDCs through its Global Programme, delivering agricultural research programmes in collaboration with Australian institutions and their counterparts in developing countries. Detailed information on ACIAR’s Global Programme is available at </w:t>
      </w:r>
      <w:hyperlink r:id="rId15" w:history="1">
        <w:r w:rsidRPr="00D2247E">
          <w:rPr>
            <w:rStyle w:val="Hyperlink"/>
          </w:rPr>
          <w:t>https://www.aciar.gov.au/</w:t>
        </w:r>
      </w:hyperlink>
      <w:r>
        <w:rPr>
          <w:noProof/>
          <w:lang w:val="en-US"/>
        </w:rPr>
        <w:t xml:space="preserve">. </w:t>
      </w:r>
    </w:p>
    <w:p w14:paraId="0871E605" w14:textId="1D1BCEC3" w:rsidR="00E934FF" w:rsidRDefault="00477F34" w:rsidP="009B7913">
      <w:pPr>
        <w:pStyle w:val="BodyText"/>
        <w:rPr>
          <w:noProof/>
        </w:rPr>
      </w:pPr>
      <w:r>
        <w:rPr>
          <w:noProof/>
          <w:lang w:val="en-US"/>
        </w:rPr>
        <w:t xml:space="preserve">In 2019-20, Australia provided </w:t>
      </w:r>
      <w:r w:rsidR="00EC2057">
        <w:rPr>
          <w:noProof/>
          <w:lang w:val="en-US"/>
        </w:rPr>
        <w:t xml:space="preserve">AUD </w:t>
      </w:r>
      <w:r>
        <w:rPr>
          <w:noProof/>
          <w:lang w:val="en-US"/>
        </w:rPr>
        <w:t xml:space="preserve">321.32 million for programmes within the ambit of the Decision (see Annex B, column 4), including </w:t>
      </w:r>
      <w:r w:rsidR="00EC2057">
        <w:rPr>
          <w:noProof/>
          <w:lang w:val="en-US"/>
        </w:rPr>
        <w:t xml:space="preserve">AUD </w:t>
      </w:r>
      <w:r>
        <w:rPr>
          <w:noProof/>
          <w:lang w:val="en-US"/>
        </w:rPr>
        <w:t>227.14 million directed to LDCs and NFIDCs (see Annex B, column 3). The expenditure was channeled through multilateral, regional and bilateral programmes; humanitarian/emergency assistance; non-government organisations (NGOs); ACIAR; and other government departments (OGDs).</w:t>
      </w:r>
    </w:p>
    <w:p w14:paraId="14920D5C" w14:textId="77777777" w:rsidR="00E934FF" w:rsidRDefault="00477F34" w:rsidP="001513DA">
      <w:pPr>
        <w:spacing w:after="240"/>
        <w:jc w:val="left"/>
        <w:rPr>
          <w:rFonts w:eastAsia="Verdana" w:cs="Verdana"/>
          <w:noProof/>
          <w:szCs w:val="18"/>
        </w:rPr>
      </w:pPr>
      <w:r>
        <w:rPr>
          <w:rFonts w:eastAsia="Verdana" w:cs="Verdana"/>
          <w:b/>
          <w:bCs/>
          <w:noProof/>
          <w:szCs w:val="18"/>
          <w:lang w:eastAsia="en-GB"/>
        </w:rPr>
        <w:t>DFAT Bilateral and Regional Programmes</w:t>
      </w:r>
      <w:r>
        <w:rPr>
          <w:rFonts w:eastAsia="Verdana" w:cs="Verdana"/>
          <w:noProof/>
          <w:szCs w:val="18"/>
          <w:lang w:eastAsia="en-GB"/>
        </w:rPr>
        <w:t> </w:t>
      </w:r>
    </w:p>
    <w:p w14:paraId="42173719" w14:textId="6D786CA1" w:rsidR="00E934FF" w:rsidRDefault="00477F34" w:rsidP="009B7913">
      <w:pPr>
        <w:pStyle w:val="BodyText"/>
        <w:rPr>
          <w:noProof/>
        </w:rPr>
      </w:pPr>
      <w:r>
        <w:rPr>
          <w:noProof/>
          <w:lang w:eastAsia="en-GB"/>
        </w:rPr>
        <w:t>The majority of Australia's aid is delivered through bilateral and regional programmes.</w:t>
      </w:r>
      <w:r w:rsidR="009B7913">
        <w:rPr>
          <w:noProof/>
          <w:lang w:eastAsia="en-GB"/>
        </w:rPr>
        <w:t xml:space="preserve"> </w:t>
      </w:r>
      <w:r>
        <w:rPr>
          <w:noProof/>
          <w:lang w:eastAsia="en-GB"/>
        </w:rPr>
        <w:t>Bilateral country strategies reflect recipient government priorities and Australia's capacity to assist.</w:t>
      </w:r>
      <w:r w:rsidR="009B7913">
        <w:rPr>
          <w:noProof/>
          <w:lang w:eastAsia="en-GB"/>
        </w:rPr>
        <w:t xml:space="preserve"> </w:t>
      </w:r>
      <w:r>
        <w:rPr>
          <w:noProof/>
          <w:lang w:eastAsia="en-GB"/>
        </w:rPr>
        <w:t>Specific activities are developed with partner countries in order to provide technical and financial assistance.</w:t>
      </w:r>
      <w:r w:rsidR="009B7913">
        <w:rPr>
          <w:noProof/>
          <w:lang w:eastAsia="en-GB"/>
        </w:rPr>
        <w:t xml:space="preserve"> </w:t>
      </w:r>
      <w:r>
        <w:rPr>
          <w:noProof/>
          <w:lang w:eastAsia="en-GB"/>
        </w:rPr>
        <w:t>Australia also supports several regional programmes which are often the most cost effective response to region-wide development challenges.</w:t>
      </w:r>
    </w:p>
    <w:p w14:paraId="0FA98829" w14:textId="658A38B6" w:rsidR="00E934FF" w:rsidRDefault="00477F34" w:rsidP="009B7913">
      <w:pPr>
        <w:pStyle w:val="BodyText"/>
        <w:rPr>
          <w:noProof/>
        </w:rPr>
      </w:pPr>
      <w:r>
        <w:rPr>
          <w:noProof/>
          <w:lang w:eastAsia="en-GB"/>
        </w:rPr>
        <w:t xml:space="preserve">In 2019-20, the bilateral and regional technical and financial assistance provided to LDCs and NFIDCs within the ambit of the Decision was approximately </w:t>
      </w:r>
      <w:r w:rsidR="00EC2057">
        <w:rPr>
          <w:noProof/>
          <w:lang w:eastAsia="en-GB"/>
        </w:rPr>
        <w:t xml:space="preserve">AUD </w:t>
      </w:r>
      <w:r>
        <w:rPr>
          <w:noProof/>
          <w:lang w:eastAsia="en-GB"/>
        </w:rPr>
        <w:t xml:space="preserve">104.93 million. This assistance focused on agricultural productivity and sustainability, crop storage, environmental management, developing markets, the provision of infrastructure related to food security and assisting countries to adjust to changes in trade patterns. </w:t>
      </w:r>
    </w:p>
    <w:p w14:paraId="75D94AB5" w14:textId="77777777" w:rsidR="00E934FF" w:rsidRDefault="00477F34" w:rsidP="001513DA">
      <w:pPr>
        <w:keepNext/>
        <w:spacing w:after="240"/>
        <w:jc w:val="left"/>
        <w:rPr>
          <w:rFonts w:eastAsia="Verdana" w:cs="Verdana"/>
          <w:noProof/>
          <w:szCs w:val="18"/>
        </w:rPr>
      </w:pPr>
      <w:r>
        <w:rPr>
          <w:rFonts w:eastAsia="Verdana" w:cs="Verdana"/>
          <w:b/>
          <w:bCs/>
          <w:i/>
          <w:iCs/>
          <w:noProof/>
          <w:szCs w:val="18"/>
          <w:lang w:eastAsia="en-GB"/>
        </w:rPr>
        <w:lastRenderedPageBreak/>
        <w:t>Other programmes</w:t>
      </w:r>
    </w:p>
    <w:p w14:paraId="2C13FC57" w14:textId="409583D1" w:rsidR="00E934FF" w:rsidRDefault="00477F34" w:rsidP="009B7913">
      <w:pPr>
        <w:pStyle w:val="BodyText"/>
        <w:rPr>
          <w:noProof/>
        </w:rPr>
      </w:pPr>
      <w:r>
        <w:rPr>
          <w:noProof/>
          <w:lang w:val="en-US"/>
        </w:rPr>
        <w:t xml:space="preserve">A proportion of Australia's core contributions to multilateral development banks and other </w:t>
      </w:r>
      <w:r>
        <w:rPr>
          <w:noProof/>
          <w:lang w:eastAsia="en-GB"/>
        </w:rPr>
        <w:t xml:space="preserve">relevant multilateral organisations are used for food security, agricultural productivity and infrastructure related development activities. </w:t>
      </w:r>
      <w:r>
        <w:rPr>
          <w:noProof/>
          <w:lang w:val="en-US"/>
        </w:rPr>
        <w:t>Australia supports scholarship students from LDCs and</w:t>
      </w:r>
      <w:r w:rsidR="009B7913">
        <w:rPr>
          <w:noProof/>
          <w:lang w:val="en-US"/>
        </w:rPr>
        <w:t> </w:t>
      </w:r>
      <w:r>
        <w:rPr>
          <w:noProof/>
          <w:lang w:val="en-US"/>
        </w:rPr>
        <w:t xml:space="preserve">NFIDCs on agriculture, forestry and </w:t>
      </w:r>
      <w:r>
        <w:rPr>
          <w:noProof/>
          <w:lang w:eastAsia="en-GB"/>
        </w:rPr>
        <w:t xml:space="preserve">fisheries. </w:t>
      </w:r>
    </w:p>
    <w:p w14:paraId="15C44F61" w14:textId="76061CB8" w:rsidR="00E934FF" w:rsidRDefault="00477F34" w:rsidP="009B7913">
      <w:pPr>
        <w:pStyle w:val="BodyText"/>
        <w:rPr>
          <w:rFonts w:eastAsia="Verdana" w:cs="Verdana"/>
          <w:noProof/>
          <w:szCs w:val="18"/>
        </w:rPr>
      </w:pPr>
      <w:r>
        <w:rPr>
          <w:rFonts w:eastAsia="Verdana" w:cs="Verdana"/>
          <w:noProof/>
          <w:szCs w:val="18"/>
          <w:lang w:val="en-US"/>
        </w:rPr>
        <w:t xml:space="preserve">A </w:t>
      </w:r>
      <w:r w:rsidRPr="009B7913">
        <w:rPr>
          <w:noProof/>
          <w:lang w:val="en-US"/>
        </w:rPr>
        <w:t>number</w:t>
      </w:r>
      <w:r>
        <w:rPr>
          <w:rFonts w:eastAsia="Verdana" w:cs="Verdana"/>
          <w:noProof/>
          <w:szCs w:val="18"/>
          <w:lang w:val="en-US"/>
        </w:rPr>
        <w:t xml:space="preserve"> of Australian NGOs receive aid programme funding that has a direct impact on improving </w:t>
      </w:r>
      <w:r>
        <w:rPr>
          <w:rFonts w:eastAsia="Verdana" w:cs="Verdana"/>
          <w:noProof/>
          <w:szCs w:val="18"/>
          <w:lang w:eastAsia="en-GB"/>
        </w:rPr>
        <w:t>food security, agricultural productivity and infrastructure in developing countries.</w:t>
      </w:r>
    </w:p>
    <w:p w14:paraId="2725F170" w14:textId="77777777" w:rsidR="00E934FF" w:rsidRDefault="00477F34" w:rsidP="001513DA">
      <w:pPr>
        <w:spacing w:after="240"/>
        <w:rPr>
          <w:rFonts w:eastAsia="Verdana" w:cs="Verdana"/>
          <w:noProof/>
          <w:szCs w:val="18"/>
        </w:rPr>
      </w:pPr>
      <w:r>
        <w:rPr>
          <w:rFonts w:eastAsia="Verdana" w:cs="Verdana"/>
          <w:b/>
          <w:bCs/>
          <w:noProof/>
          <w:szCs w:val="18"/>
          <w:lang w:eastAsia="en-GB"/>
        </w:rPr>
        <w:t>ACIAR</w:t>
      </w:r>
    </w:p>
    <w:p w14:paraId="75AC2E2D" w14:textId="07620106" w:rsidR="00E934FF" w:rsidRDefault="00477F34" w:rsidP="009B7913">
      <w:pPr>
        <w:pStyle w:val="BodyText"/>
        <w:rPr>
          <w:noProof/>
        </w:rPr>
      </w:pPr>
      <w:r>
        <w:rPr>
          <w:noProof/>
          <w:lang w:val="en-US"/>
        </w:rPr>
        <w:t>ACIAR</w:t>
      </w:r>
      <w:r w:rsidR="009B7913">
        <w:rPr>
          <w:noProof/>
          <w:lang w:val="en-US"/>
        </w:rPr>
        <w:t>'</w:t>
      </w:r>
      <w:r>
        <w:rPr>
          <w:noProof/>
          <w:lang w:val="en-US"/>
        </w:rPr>
        <w:t xml:space="preserve">s mission is to achieve more productive and sustainable agricultural systems for the benefit of developing countries and Australia, through international agricultural research partnerships. In 2019-20, ACIAR directed </w:t>
      </w:r>
      <w:r w:rsidR="00EC2057">
        <w:rPr>
          <w:noProof/>
          <w:lang w:val="en-US"/>
        </w:rPr>
        <w:t xml:space="preserve">AUD </w:t>
      </w:r>
      <w:r>
        <w:rPr>
          <w:noProof/>
          <w:lang w:val="en-US"/>
        </w:rPr>
        <w:t xml:space="preserve">104.18 million to programmes within the ambit of the decision, of which </w:t>
      </w:r>
      <w:r w:rsidR="00EC2057">
        <w:rPr>
          <w:noProof/>
          <w:lang w:val="en-US"/>
        </w:rPr>
        <w:t xml:space="preserve">AUD </w:t>
      </w:r>
      <w:r>
        <w:rPr>
          <w:noProof/>
          <w:lang w:val="en-US"/>
        </w:rPr>
        <w:t>68.04 million was directed to programmes in LDCs and NFIDCs. See Annex C for a breakdown of ACIAR’s administered expenditure for 2019-20.</w:t>
      </w:r>
    </w:p>
    <w:p w14:paraId="6C92FD96" w14:textId="77777777" w:rsidR="0061134A" w:rsidRDefault="00477F34" w:rsidP="000D692A">
      <w:pPr>
        <w:pStyle w:val="Heading1"/>
      </w:pPr>
      <w:r>
        <w:t>Other relevant information with respect to actions taken within the framework of the Decision</w:t>
      </w:r>
    </w:p>
    <w:p w14:paraId="3E3C64BF" w14:textId="4DBE2564" w:rsidR="00E934FF" w:rsidRDefault="00477F34" w:rsidP="009B7913">
      <w:pPr>
        <w:pStyle w:val="BodyText"/>
        <w:rPr>
          <w:rFonts w:eastAsia="Verdana" w:cs="Verdana"/>
          <w:noProof/>
          <w:szCs w:val="18"/>
        </w:rPr>
      </w:pPr>
      <w:r>
        <w:rPr>
          <w:rFonts w:eastAsia="Verdana" w:cs="Verdana"/>
          <w:noProof/>
          <w:szCs w:val="18"/>
          <w:lang w:eastAsia="en-GB"/>
        </w:rPr>
        <w:t xml:space="preserve">Outside of Australia’s food aid and financial assistance delivered by DFAT and ACIAR, a number of Federal and State Government agencies ("Other Government Departments") sponsored official exchanges with developing countries on agriculture and food security, totalling around </w:t>
      </w:r>
      <w:r w:rsidR="00E519C9">
        <w:rPr>
          <w:rFonts w:eastAsia="Verdana" w:cs="Verdana"/>
          <w:noProof/>
          <w:szCs w:val="18"/>
          <w:lang w:eastAsia="en-GB"/>
        </w:rPr>
        <w:t>AUD</w:t>
      </w:r>
      <w:r w:rsidR="000D692A">
        <w:rPr>
          <w:rFonts w:eastAsia="Verdana" w:cs="Verdana"/>
          <w:noProof/>
          <w:szCs w:val="18"/>
          <w:lang w:eastAsia="en-GB"/>
        </w:rPr>
        <w:t> </w:t>
      </w:r>
      <w:r>
        <w:rPr>
          <w:rFonts w:eastAsia="Verdana" w:cs="Verdana"/>
          <w:noProof/>
          <w:szCs w:val="18"/>
          <w:lang w:eastAsia="en-GB"/>
        </w:rPr>
        <w:t>19.64</w:t>
      </w:r>
      <w:r w:rsidR="000D692A">
        <w:rPr>
          <w:rFonts w:eastAsia="Verdana" w:cs="Verdana"/>
          <w:noProof/>
          <w:szCs w:val="18"/>
          <w:lang w:eastAsia="en-GB"/>
        </w:rPr>
        <w:t> </w:t>
      </w:r>
      <w:r>
        <w:rPr>
          <w:rFonts w:eastAsia="Verdana" w:cs="Verdana"/>
          <w:noProof/>
          <w:szCs w:val="18"/>
          <w:lang w:eastAsia="en-GB"/>
        </w:rPr>
        <w:t xml:space="preserve">million in 2019-20, of which </w:t>
      </w:r>
      <w:r w:rsidR="00EC2057">
        <w:rPr>
          <w:rFonts w:eastAsia="Verdana" w:cs="Verdana"/>
          <w:noProof/>
          <w:szCs w:val="18"/>
          <w:lang w:eastAsia="en-GB"/>
        </w:rPr>
        <w:t xml:space="preserve">AUD </w:t>
      </w:r>
      <w:r>
        <w:rPr>
          <w:rFonts w:eastAsia="Verdana" w:cs="Verdana"/>
          <w:noProof/>
          <w:szCs w:val="18"/>
          <w:lang w:eastAsia="en-GB"/>
        </w:rPr>
        <w:t>0.38 million was directed at LDCs and NFIDCs.</w:t>
      </w:r>
    </w:p>
    <w:p w14:paraId="5151EF01" w14:textId="77777777" w:rsidR="00B031C4" w:rsidRDefault="005007C8" w:rsidP="001513DA"/>
    <w:p w14:paraId="4F4ACF4E" w14:textId="77777777" w:rsidR="00AB371A" w:rsidRDefault="005007C8" w:rsidP="001513DA"/>
    <w:p w14:paraId="07004264" w14:textId="77777777" w:rsidR="00D4328D" w:rsidRDefault="005007C8" w:rsidP="001513DA"/>
    <w:p w14:paraId="5F88E071" w14:textId="77777777" w:rsidR="00BE7823" w:rsidRPr="00BE7823" w:rsidRDefault="00477F34" w:rsidP="00F25582">
      <w:pPr>
        <w:pStyle w:val="Title"/>
        <w:pageBreakBefore/>
        <w:rPr>
          <w:rFonts w:eastAsia="Verdana"/>
          <w:noProof/>
        </w:rPr>
      </w:pPr>
      <w:r w:rsidRPr="00BE7823">
        <w:rPr>
          <w:rFonts w:eastAsia="Verdana"/>
          <w:noProof/>
          <w:lang w:eastAsia="en-GB"/>
        </w:rPr>
        <w:lastRenderedPageBreak/>
        <w:t>Annex A</w:t>
      </w:r>
    </w:p>
    <w:p w14:paraId="21172C6A" w14:textId="34D768D5" w:rsidR="00BE7823" w:rsidRPr="00BE7823" w:rsidRDefault="00477F34" w:rsidP="00F25582">
      <w:pPr>
        <w:pStyle w:val="Title2"/>
        <w:rPr>
          <w:noProof/>
        </w:rPr>
      </w:pPr>
      <w:r w:rsidRPr="00BE7823">
        <w:rPr>
          <w:noProof/>
        </w:rPr>
        <w:t>Food assistance through contributions to the World Food Programme for Least</w:t>
      </w:r>
      <w:r w:rsidR="00F25582">
        <w:rPr>
          <w:noProof/>
        </w:rPr>
        <w:noBreakHyphen/>
      </w:r>
      <w:r w:rsidRPr="00BE7823">
        <w:rPr>
          <w:noProof/>
        </w:rPr>
        <w:t>Developed and Net Food-importing Developing Countries,</w:t>
      </w:r>
      <w:r w:rsidR="00F25582">
        <w:rPr>
          <w:noProof/>
        </w:rPr>
        <w:br/>
      </w:r>
      <w:r w:rsidRPr="00BE7823">
        <w:rPr>
          <w:noProof/>
        </w:rPr>
        <w:t>Financial Year 2019-20</w:t>
      </w:r>
    </w:p>
    <w:tbl>
      <w:tblPr>
        <w:tblStyle w:val="WTOTable1"/>
        <w:tblW w:w="2500" w:type="pct"/>
        <w:jc w:val="center"/>
        <w:tblLook w:val="04A0" w:firstRow="1" w:lastRow="0" w:firstColumn="1" w:lastColumn="0" w:noHBand="0" w:noVBand="1"/>
      </w:tblPr>
      <w:tblGrid>
        <w:gridCol w:w="2539"/>
        <w:gridCol w:w="1969"/>
      </w:tblGrid>
      <w:tr w:rsidR="00DF6DBA" w:rsidRPr="00F25582" w14:paraId="1281E196" w14:textId="77777777" w:rsidTr="00F25582">
        <w:trPr>
          <w:cnfStyle w:val="100000000000" w:firstRow="1" w:lastRow="0" w:firstColumn="0" w:lastColumn="0" w:oddVBand="0" w:evenVBand="0" w:oddHBand="0" w:evenHBand="0" w:firstRowFirstColumn="0" w:firstRowLastColumn="0" w:lastRowFirstColumn="0" w:lastRowLastColumn="0"/>
          <w:trHeight w:val="255"/>
          <w:jc w:val="center"/>
        </w:trPr>
        <w:tc>
          <w:tcPr>
            <w:tcW w:w="0" w:type="auto"/>
          </w:tcPr>
          <w:p w14:paraId="110F9E6D" w14:textId="77777777" w:rsidR="00BE7823" w:rsidRPr="00F25582" w:rsidRDefault="00477F34" w:rsidP="00BE7823">
            <w:pPr>
              <w:jc w:val="center"/>
              <w:rPr>
                <w:rFonts w:eastAsia="Verdana" w:cs="Verdana"/>
                <w:b w:val="0"/>
                <w:bCs/>
                <w:noProof/>
                <w:color w:val="000000"/>
                <w:sz w:val="16"/>
                <w:szCs w:val="16"/>
              </w:rPr>
            </w:pPr>
            <w:r w:rsidRPr="00F25582">
              <w:rPr>
                <w:rFonts w:eastAsia="Verdana" w:cs="Verdana"/>
                <w:bCs/>
                <w:noProof/>
                <w:sz w:val="16"/>
                <w:szCs w:val="16"/>
                <w:lang w:eastAsia="en-GB"/>
              </w:rPr>
              <w:t>Country</w:t>
            </w:r>
          </w:p>
        </w:tc>
        <w:tc>
          <w:tcPr>
            <w:tcW w:w="0" w:type="auto"/>
          </w:tcPr>
          <w:p w14:paraId="1F3D6CC1" w14:textId="77777777" w:rsidR="00BE7823" w:rsidRPr="00F25582" w:rsidRDefault="00477F34" w:rsidP="00F25582">
            <w:pPr>
              <w:jc w:val="center"/>
              <w:rPr>
                <w:rFonts w:eastAsia="Verdana" w:cs="Verdana"/>
                <w:b w:val="0"/>
                <w:bCs/>
                <w:noProof/>
                <w:color w:val="000000"/>
                <w:sz w:val="16"/>
                <w:szCs w:val="16"/>
              </w:rPr>
            </w:pPr>
            <w:r w:rsidRPr="00F25582">
              <w:rPr>
                <w:rFonts w:eastAsia="Verdana" w:cs="Verdana"/>
                <w:bCs/>
                <w:noProof/>
                <w:sz w:val="16"/>
                <w:szCs w:val="16"/>
                <w:lang w:eastAsia="en-GB"/>
              </w:rPr>
              <w:t>Total Value</w:t>
            </w:r>
            <w:r w:rsidRPr="00F25582">
              <w:rPr>
                <w:rFonts w:eastAsia="Verdana" w:cs="Verdana"/>
                <w:bCs/>
                <w:noProof/>
                <w:sz w:val="16"/>
                <w:szCs w:val="16"/>
                <w:lang w:eastAsia="en-GB"/>
              </w:rPr>
              <w:br/>
              <w:t>(AUD million)</w:t>
            </w:r>
          </w:p>
        </w:tc>
      </w:tr>
      <w:tr w:rsidR="00DF6DBA" w:rsidRPr="00F25582" w14:paraId="3F928DC5" w14:textId="77777777" w:rsidTr="00F25582">
        <w:trPr>
          <w:trHeight w:val="255"/>
          <w:jc w:val="center"/>
        </w:trPr>
        <w:tc>
          <w:tcPr>
            <w:tcW w:w="0" w:type="auto"/>
          </w:tcPr>
          <w:p w14:paraId="1BB7F72F" w14:textId="77777777" w:rsidR="00BE7823" w:rsidRPr="00F25582" w:rsidRDefault="00477F34" w:rsidP="00BE7823">
            <w:pPr>
              <w:rPr>
                <w:rFonts w:eastAsia="Verdana" w:cs="Verdana"/>
                <w:noProof/>
                <w:color w:val="000000"/>
                <w:sz w:val="16"/>
                <w:szCs w:val="16"/>
              </w:rPr>
            </w:pPr>
            <w:r w:rsidRPr="00F25582">
              <w:rPr>
                <w:rFonts w:eastAsia="Calibri Light" w:cs="Calibri Light"/>
                <w:noProof/>
                <w:color w:val="000000"/>
                <w:sz w:val="16"/>
                <w:szCs w:val="16"/>
                <w:lang w:eastAsia="en-GB"/>
              </w:rPr>
              <w:t>Core (unearmarked)</w:t>
            </w:r>
          </w:p>
        </w:tc>
        <w:tc>
          <w:tcPr>
            <w:tcW w:w="0" w:type="auto"/>
          </w:tcPr>
          <w:p w14:paraId="7B9288AF" w14:textId="77777777" w:rsidR="00BE7823" w:rsidRPr="00F25582" w:rsidRDefault="00477F34" w:rsidP="00F25582">
            <w:pPr>
              <w:jc w:val="right"/>
              <w:rPr>
                <w:rFonts w:eastAsia="Verdana" w:cs="Verdana"/>
                <w:noProof/>
                <w:color w:val="000000"/>
                <w:sz w:val="16"/>
                <w:szCs w:val="16"/>
              </w:rPr>
            </w:pPr>
            <w:r w:rsidRPr="00F25582">
              <w:rPr>
                <w:rFonts w:eastAsia="Calibri Light" w:cs="Calibri Light"/>
                <w:noProof/>
                <w:color w:val="000000"/>
                <w:sz w:val="16"/>
                <w:szCs w:val="16"/>
                <w:lang w:eastAsia="en-GB"/>
              </w:rPr>
              <w:t>40.00</w:t>
            </w:r>
          </w:p>
        </w:tc>
      </w:tr>
      <w:tr w:rsidR="00DF6DBA" w:rsidRPr="00F25582" w14:paraId="5CDB367F" w14:textId="77777777" w:rsidTr="00F25582">
        <w:trPr>
          <w:cnfStyle w:val="000000010000" w:firstRow="0" w:lastRow="0" w:firstColumn="0" w:lastColumn="0" w:oddVBand="0" w:evenVBand="0" w:oddHBand="0" w:evenHBand="1" w:firstRowFirstColumn="0" w:firstRowLastColumn="0" w:lastRowFirstColumn="0" w:lastRowLastColumn="0"/>
          <w:trHeight w:val="255"/>
          <w:jc w:val="center"/>
        </w:trPr>
        <w:tc>
          <w:tcPr>
            <w:tcW w:w="0" w:type="auto"/>
          </w:tcPr>
          <w:p w14:paraId="7455A37E" w14:textId="34A409D9" w:rsidR="00BE7823" w:rsidRPr="00F25582" w:rsidRDefault="00477F34" w:rsidP="00BE7823">
            <w:pPr>
              <w:rPr>
                <w:rFonts w:eastAsia="Verdana" w:cs="Verdana"/>
                <w:noProof/>
                <w:color w:val="000000"/>
                <w:sz w:val="16"/>
                <w:szCs w:val="16"/>
              </w:rPr>
            </w:pPr>
            <w:r w:rsidRPr="00F25582">
              <w:rPr>
                <w:rFonts w:eastAsia="Calibri Light" w:cs="Calibri Light"/>
                <w:noProof/>
                <w:color w:val="000000"/>
                <w:sz w:val="16"/>
                <w:szCs w:val="16"/>
                <w:lang w:eastAsia="en-GB"/>
              </w:rPr>
              <w:t>Bangladesh</w:t>
            </w:r>
          </w:p>
        </w:tc>
        <w:tc>
          <w:tcPr>
            <w:tcW w:w="0" w:type="auto"/>
          </w:tcPr>
          <w:p w14:paraId="146E0C51" w14:textId="77777777" w:rsidR="00BE7823" w:rsidRPr="00F25582" w:rsidRDefault="00477F34" w:rsidP="00F25582">
            <w:pPr>
              <w:jc w:val="right"/>
              <w:rPr>
                <w:rFonts w:eastAsia="Verdana" w:cs="Verdana"/>
                <w:noProof/>
                <w:color w:val="000000"/>
                <w:sz w:val="16"/>
                <w:szCs w:val="16"/>
              </w:rPr>
            </w:pPr>
            <w:r w:rsidRPr="00F25582">
              <w:rPr>
                <w:rFonts w:eastAsia="Calibri Light" w:cs="Calibri Light"/>
                <w:noProof/>
                <w:color w:val="000000"/>
                <w:sz w:val="16"/>
                <w:szCs w:val="16"/>
                <w:lang w:eastAsia="en-GB"/>
              </w:rPr>
              <w:t>19.00</w:t>
            </w:r>
          </w:p>
        </w:tc>
      </w:tr>
      <w:tr w:rsidR="00DF6DBA" w:rsidRPr="00F25582" w14:paraId="4CEDBBD8" w14:textId="77777777" w:rsidTr="00F25582">
        <w:trPr>
          <w:trHeight w:val="255"/>
          <w:jc w:val="center"/>
        </w:trPr>
        <w:tc>
          <w:tcPr>
            <w:tcW w:w="0" w:type="auto"/>
          </w:tcPr>
          <w:p w14:paraId="60C69361" w14:textId="77777777" w:rsidR="00BE7823" w:rsidRPr="00F25582" w:rsidRDefault="00477F34" w:rsidP="00BE7823">
            <w:pPr>
              <w:rPr>
                <w:rFonts w:eastAsia="Verdana" w:cs="Verdana"/>
                <w:noProof/>
                <w:color w:val="000000"/>
                <w:sz w:val="16"/>
                <w:szCs w:val="16"/>
              </w:rPr>
            </w:pPr>
            <w:r w:rsidRPr="00F25582">
              <w:rPr>
                <w:rFonts w:eastAsia="Calibri Light" w:cs="Calibri Light"/>
                <w:noProof/>
                <w:color w:val="000000"/>
                <w:sz w:val="16"/>
                <w:szCs w:val="16"/>
                <w:lang w:eastAsia="en-GB"/>
              </w:rPr>
              <w:t>Afghanistan</w:t>
            </w:r>
          </w:p>
        </w:tc>
        <w:tc>
          <w:tcPr>
            <w:tcW w:w="0" w:type="auto"/>
          </w:tcPr>
          <w:p w14:paraId="3D10E9FF" w14:textId="77777777" w:rsidR="00BE7823" w:rsidRPr="00F25582" w:rsidRDefault="00477F34" w:rsidP="00F25582">
            <w:pPr>
              <w:jc w:val="right"/>
              <w:rPr>
                <w:rFonts w:eastAsia="Verdana" w:cs="Verdana"/>
                <w:noProof/>
                <w:color w:val="000000"/>
                <w:sz w:val="16"/>
                <w:szCs w:val="16"/>
              </w:rPr>
            </w:pPr>
            <w:r w:rsidRPr="00F25582">
              <w:rPr>
                <w:rFonts w:eastAsia="Calibri Light" w:cs="Calibri Light"/>
                <w:noProof/>
                <w:color w:val="000000"/>
                <w:sz w:val="16"/>
                <w:szCs w:val="16"/>
                <w:lang w:eastAsia="en-GB"/>
              </w:rPr>
              <w:t>11.00</w:t>
            </w:r>
          </w:p>
        </w:tc>
      </w:tr>
      <w:tr w:rsidR="00DF6DBA" w:rsidRPr="00F25582" w14:paraId="707DB837" w14:textId="77777777" w:rsidTr="00F25582">
        <w:trPr>
          <w:cnfStyle w:val="000000010000" w:firstRow="0" w:lastRow="0" w:firstColumn="0" w:lastColumn="0" w:oddVBand="0" w:evenVBand="0" w:oddHBand="0" w:evenHBand="1" w:firstRowFirstColumn="0" w:firstRowLastColumn="0" w:lastRowFirstColumn="0" w:lastRowLastColumn="0"/>
          <w:trHeight w:val="255"/>
          <w:jc w:val="center"/>
        </w:trPr>
        <w:tc>
          <w:tcPr>
            <w:tcW w:w="0" w:type="auto"/>
          </w:tcPr>
          <w:p w14:paraId="574C3000" w14:textId="77777777" w:rsidR="00BE7823" w:rsidRPr="00F25582" w:rsidRDefault="00477F34" w:rsidP="00BE7823">
            <w:pPr>
              <w:rPr>
                <w:rFonts w:eastAsia="Verdana" w:cs="Verdana"/>
                <w:noProof/>
                <w:color w:val="000000"/>
                <w:sz w:val="16"/>
                <w:szCs w:val="16"/>
              </w:rPr>
            </w:pPr>
            <w:r w:rsidRPr="00F25582">
              <w:rPr>
                <w:rFonts w:eastAsia="Calibri Light" w:cs="Calibri Light"/>
                <w:noProof/>
                <w:color w:val="000000"/>
                <w:sz w:val="16"/>
                <w:szCs w:val="16"/>
                <w:lang w:eastAsia="en-GB"/>
              </w:rPr>
              <w:t>Jordan</w:t>
            </w:r>
          </w:p>
        </w:tc>
        <w:tc>
          <w:tcPr>
            <w:tcW w:w="0" w:type="auto"/>
          </w:tcPr>
          <w:p w14:paraId="20DA445F" w14:textId="77777777" w:rsidR="00BE7823" w:rsidRPr="00F25582" w:rsidRDefault="00477F34" w:rsidP="00F25582">
            <w:pPr>
              <w:jc w:val="right"/>
              <w:rPr>
                <w:rFonts w:eastAsia="Verdana" w:cs="Verdana"/>
                <w:noProof/>
                <w:color w:val="000000"/>
                <w:sz w:val="16"/>
                <w:szCs w:val="16"/>
              </w:rPr>
            </w:pPr>
            <w:r w:rsidRPr="00F25582">
              <w:rPr>
                <w:rFonts w:eastAsia="Calibri Light" w:cs="Calibri Light"/>
                <w:noProof/>
                <w:color w:val="000000"/>
                <w:sz w:val="16"/>
                <w:szCs w:val="16"/>
                <w:lang w:eastAsia="en-GB"/>
              </w:rPr>
              <w:t>5.30</w:t>
            </w:r>
          </w:p>
        </w:tc>
      </w:tr>
      <w:tr w:rsidR="00DF6DBA" w:rsidRPr="00F25582" w14:paraId="30C2AE4A" w14:textId="77777777" w:rsidTr="00F25582">
        <w:trPr>
          <w:trHeight w:val="255"/>
          <w:jc w:val="center"/>
        </w:trPr>
        <w:tc>
          <w:tcPr>
            <w:tcW w:w="0" w:type="auto"/>
          </w:tcPr>
          <w:p w14:paraId="22110FAB" w14:textId="77777777" w:rsidR="00BE7823" w:rsidRPr="00F25582" w:rsidRDefault="00477F34" w:rsidP="00BE7823">
            <w:pPr>
              <w:rPr>
                <w:rFonts w:eastAsia="Verdana" w:cs="Verdana"/>
                <w:noProof/>
                <w:color w:val="000000"/>
                <w:sz w:val="16"/>
                <w:szCs w:val="16"/>
              </w:rPr>
            </w:pPr>
            <w:r w:rsidRPr="00F25582">
              <w:rPr>
                <w:rFonts w:eastAsia="Calibri Light" w:cs="Calibri Light"/>
                <w:noProof/>
                <w:color w:val="000000"/>
                <w:sz w:val="16"/>
                <w:szCs w:val="16"/>
                <w:lang w:eastAsia="en-GB"/>
              </w:rPr>
              <w:t>Pacific Regional</w:t>
            </w:r>
          </w:p>
        </w:tc>
        <w:tc>
          <w:tcPr>
            <w:tcW w:w="0" w:type="auto"/>
          </w:tcPr>
          <w:p w14:paraId="0392C600" w14:textId="77777777" w:rsidR="00BE7823" w:rsidRPr="00F25582" w:rsidRDefault="00477F34" w:rsidP="00F25582">
            <w:pPr>
              <w:jc w:val="right"/>
              <w:rPr>
                <w:rFonts w:eastAsia="Verdana" w:cs="Verdana"/>
                <w:noProof/>
                <w:color w:val="000000"/>
                <w:sz w:val="16"/>
                <w:szCs w:val="16"/>
              </w:rPr>
            </w:pPr>
            <w:r w:rsidRPr="00F25582">
              <w:rPr>
                <w:rFonts w:eastAsia="Calibri Light" w:cs="Calibri Light"/>
                <w:noProof/>
                <w:color w:val="000000"/>
                <w:sz w:val="16"/>
                <w:szCs w:val="16"/>
                <w:lang w:eastAsia="en-GB"/>
              </w:rPr>
              <w:t>4.00</w:t>
            </w:r>
          </w:p>
        </w:tc>
      </w:tr>
      <w:tr w:rsidR="00DF6DBA" w:rsidRPr="00F25582" w14:paraId="5BA945A8" w14:textId="77777777" w:rsidTr="00F25582">
        <w:trPr>
          <w:cnfStyle w:val="000000010000" w:firstRow="0" w:lastRow="0" w:firstColumn="0" w:lastColumn="0" w:oddVBand="0" w:evenVBand="0" w:oddHBand="0" w:evenHBand="1" w:firstRowFirstColumn="0" w:firstRowLastColumn="0" w:lastRowFirstColumn="0" w:lastRowLastColumn="0"/>
          <w:trHeight w:val="255"/>
          <w:jc w:val="center"/>
        </w:trPr>
        <w:tc>
          <w:tcPr>
            <w:tcW w:w="0" w:type="auto"/>
          </w:tcPr>
          <w:p w14:paraId="37A520E1" w14:textId="77777777" w:rsidR="00BE7823" w:rsidRPr="00F25582" w:rsidRDefault="00477F34" w:rsidP="00BE7823">
            <w:pPr>
              <w:rPr>
                <w:rFonts w:eastAsia="Verdana" w:cs="Verdana"/>
                <w:noProof/>
                <w:color w:val="000000"/>
                <w:sz w:val="16"/>
                <w:szCs w:val="16"/>
              </w:rPr>
            </w:pPr>
            <w:r w:rsidRPr="00F25582">
              <w:rPr>
                <w:rFonts w:eastAsia="Calibri Light" w:cs="Calibri Light"/>
                <w:noProof/>
                <w:color w:val="000000"/>
                <w:sz w:val="16"/>
                <w:szCs w:val="16"/>
                <w:lang w:eastAsia="en-GB"/>
              </w:rPr>
              <w:t>Lebanon</w:t>
            </w:r>
          </w:p>
        </w:tc>
        <w:tc>
          <w:tcPr>
            <w:tcW w:w="0" w:type="auto"/>
          </w:tcPr>
          <w:p w14:paraId="54EB22F7" w14:textId="77777777" w:rsidR="00BE7823" w:rsidRPr="00F25582" w:rsidRDefault="00477F34" w:rsidP="00F25582">
            <w:pPr>
              <w:jc w:val="right"/>
              <w:rPr>
                <w:rFonts w:eastAsia="Verdana" w:cs="Verdana"/>
                <w:noProof/>
                <w:color w:val="000000"/>
                <w:sz w:val="16"/>
                <w:szCs w:val="16"/>
              </w:rPr>
            </w:pPr>
            <w:r w:rsidRPr="00F25582">
              <w:rPr>
                <w:rFonts w:eastAsia="Calibri Light" w:cs="Calibri Light"/>
                <w:noProof/>
                <w:color w:val="000000"/>
                <w:sz w:val="16"/>
                <w:szCs w:val="16"/>
                <w:lang w:eastAsia="en-GB"/>
              </w:rPr>
              <w:t>3.50</w:t>
            </w:r>
          </w:p>
        </w:tc>
      </w:tr>
      <w:tr w:rsidR="00DF6DBA" w:rsidRPr="00F25582" w14:paraId="65464792" w14:textId="77777777" w:rsidTr="00F25582">
        <w:trPr>
          <w:trHeight w:val="255"/>
          <w:jc w:val="center"/>
        </w:trPr>
        <w:tc>
          <w:tcPr>
            <w:tcW w:w="0" w:type="auto"/>
          </w:tcPr>
          <w:p w14:paraId="07E21567" w14:textId="77777777" w:rsidR="00BE7823" w:rsidRPr="00F25582" w:rsidRDefault="00477F34" w:rsidP="00BE7823">
            <w:pPr>
              <w:rPr>
                <w:rFonts w:eastAsia="Verdana" w:cs="Verdana"/>
                <w:noProof/>
                <w:color w:val="000000"/>
                <w:sz w:val="16"/>
                <w:szCs w:val="16"/>
              </w:rPr>
            </w:pPr>
            <w:r w:rsidRPr="00F25582">
              <w:rPr>
                <w:rFonts w:eastAsia="Calibri Light" w:cs="Calibri Light"/>
                <w:noProof/>
                <w:color w:val="000000"/>
                <w:sz w:val="16"/>
                <w:szCs w:val="16"/>
                <w:lang w:eastAsia="en-GB"/>
              </w:rPr>
              <w:t>South Sudan</w:t>
            </w:r>
          </w:p>
        </w:tc>
        <w:tc>
          <w:tcPr>
            <w:tcW w:w="0" w:type="auto"/>
          </w:tcPr>
          <w:p w14:paraId="075BBBF5" w14:textId="77777777" w:rsidR="00BE7823" w:rsidRPr="00F25582" w:rsidRDefault="00477F34" w:rsidP="00F25582">
            <w:pPr>
              <w:jc w:val="right"/>
              <w:rPr>
                <w:rFonts w:eastAsia="Verdana" w:cs="Verdana"/>
                <w:noProof/>
                <w:color w:val="000000"/>
                <w:sz w:val="16"/>
                <w:szCs w:val="16"/>
              </w:rPr>
            </w:pPr>
            <w:r w:rsidRPr="00F25582">
              <w:rPr>
                <w:rFonts w:eastAsia="Calibri Light" w:cs="Calibri Light"/>
                <w:noProof/>
                <w:color w:val="000000"/>
                <w:sz w:val="16"/>
                <w:szCs w:val="16"/>
                <w:lang w:eastAsia="en-GB"/>
              </w:rPr>
              <w:t>3.50</w:t>
            </w:r>
          </w:p>
        </w:tc>
      </w:tr>
      <w:tr w:rsidR="00DF6DBA" w:rsidRPr="00F25582" w14:paraId="3697328B" w14:textId="77777777" w:rsidTr="00F25582">
        <w:trPr>
          <w:cnfStyle w:val="000000010000" w:firstRow="0" w:lastRow="0" w:firstColumn="0" w:lastColumn="0" w:oddVBand="0" w:evenVBand="0" w:oddHBand="0" w:evenHBand="1" w:firstRowFirstColumn="0" w:firstRowLastColumn="0" w:lastRowFirstColumn="0" w:lastRowLastColumn="0"/>
          <w:trHeight w:val="255"/>
          <w:jc w:val="center"/>
        </w:trPr>
        <w:tc>
          <w:tcPr>
            <w:tcW w:w="0" w:type="auto"/>
          </w:tcPr>
          <w:p w14:paraId="54349443" w14:textId="77777777" w:rsidR="00BE7823" w:rsidRPr="00F25582" w:rsidRDefault="00477F34" w:rsidP="00BE7823">
            <w:pPr>
              <w:rPr>
                <w:rFonts w:eastAsia="Verdana" w:cs="Verdana"/>
                <w:noProof/>
                <w:color w:val="000000"/>
                <w:sz w:val="16"/>
                <w:szCs w:val="16"/>
              </w:rPr>
            </w:pPr>
            <w:r w:rsidRPr="00F25582">
              <w:rPr>
                <w:rFonts w:eastAsia="Calibri Light" w:cs="Calibri Light"/>
                <w:noProof/>
                <w:color w:val="000000"/>
                <w:sz w:val="16"/>
                <w:szCs w:val="16"/>
                <w:lang w:eastAsia="en-GB"/>
              </w:rPr>
              <w:t>Pakistan</w:t>
            </w:r>
          </w:p>
        </w:tc>
        <w:tc>
          <w:tcPr>
            <w:tcW w:w="0" w:type="auto"/>
          </w:tcPr>
          <w:p w14:paraId="0028C195" w14:textId="77777777" w:rsidR="00BE7823" w:rsidRPr="00F25582" w:rsidRDefault="00477F34" w:rsidP="00F25582">
            <w:pPr>
              <w:jc w:val="right"/>
              <w:rPr>
                <w:rFonts w:eastAsia="Verdana" w:cs="Verdana"/>
                <w:noProof/>
                <w:color w:val="000000"/>
                <w:sz w:val="16"/>
                <w:szCs w:val="16"/>
              </w:rPr>
            </w:pPr>
            <w:r w:rsidRPr="00F25582">
              <w:rPr>
                <w:rFonts w:eastAsia="Calibri Light" w:cs="Calibri Light"/>
                <w:noProof/>
                <w:color w:val="000000"/>
                <w:sz w:val="16"/>
                <w:szCs w:val="16"/>
                <w:lang w:eastAsia="en-GB"/>
              </w:rPr>
              <w:t>3.25</w:t>
            </w:r>
          </w:p>
        </w:tc>
      </w:tr>
      <w:tr w:rsidR="00DF6DBA" w:rsidRPr="00F25582" w14:paraId="53153783" w14:textId="77777777" w:rsidTr="00F25582">
        <w:trPr>
          <w:trHeight w:val="255"/>
          <w:jc w:val="center"/>
        </w:trPr>
        <w:tc>
          <w:tcPr>
            <w:tcW w:w="0" w:type="auto"/>
          </w:tcPr>
          <w:p w14:paraId="617AC7ED" w14:textId="77777777" w:rsidR="00BE7823" w:rsidRPr="00F25582" w:rsidRDefault="00477F34" w:rsidP="00BE7823">
            <w:pPr>
              <w:rPr>
                <w:rFonts w:eastAsia="Verdana" w:cs="Verdana"/>
                <w:noProof/>
                <w:color w:val="000000"/>
                <w:sz w:val="16"/>
                <w:szCs w:val="16"/>
              </w:rPr>
            </w:pPr>
            <w:r w:rsidRPr="00F25582">
              <w:rPr>
                <w:rFonts w:eastAsia="Calibri Light" w:cs="Calibri Light"/>
                <w:noProof/>
                <w:color w:val="000000"/>
                <w:sz w:val="16"/>
                <w:szCs w:val="16"/>
                <w:lang w:eastAsia="en-GB"/>
              </w:rPr>
              <w:t xml:space="preserve">Myanmar </w:t>
            </w:r>
          </w:p>
        </w:tc>
        <w:tc>
          <w:tcPr>
            <w:tcW w:w="0" w:type="auto"/>
          </w:tcPr>
          <w:p w14:paraId="3E54B7A0" w14:textId="77777777" w:rsidR="00BE7823" w:rsidRPr="00F25582" w:rsidRDefault="00477F34" w:rsidP="00F25582">
            <w:pPr>
              <w:jc w:val="right"/>
              <w:rPr>
                <w:rFonts w:eastAsia="Verdana" w:cs="Verdana"/>
                <w:noProof/>
                <w:color w:val="000000"/>
                <w:sz w:val="16"/>
                <w:szCs w:val="16"/>
              </w:rPr>
            </w:pPr>
            <w:r w:rsidRPr="00F25582">
              <w:rPr>
                <w:rFonts w:eastAsia="Calibri Light" w:cs="Calibri Light"/>
                <w:noProof/>
                <w:color w:val="000000"/>
                <w:sz w:val="16"/>
                <w:szCs w:val="16"/>
                <w:lang w:eastAsia="en-GB"/>
              </w:rPr>
              <w:t>1.50</w:t>
            </w:r>
          </w:p>
        </w:tc>
      </w:tr>
      <w:tr w:rsidR="00DF6DBA" w:rsidRPr="00F25582" w14:paraId="3C8FAEF6" w14:textId="77777777" w:rsidTr="00F25582">
        <w:trPr>
          <w:cnfStyle w:val="000000010000" w:firstRow="0" w:lastRow="0" w:firstColumn="0" w:lastColumn="0" w:oddVBand="0" w:evenVBand="0" w:oddHBand="0" w:evenHBand="1" w:firstRowFirstColumn="0" w:firstRowLastColumn="0" w:lastRowFirstColumn="0" w:lastRowLastColumn="0"/>
          <w:trHeight w:val="255"/>
          <w:jc w:val="center"/>
        </w:trPr>
        <w:tc>
          <w:tcPr>
            <w:tcW w:w="0" w:type="auto"/>
          </w:tcPr>
          <w:p w14:paraId="6FFF73E1" w14:textId="77777777" w:rsidR="00BE7823" w:rsidRPr="00F25582" w:rsidRDefault="00477F34" w:rsidP="00BE7823">
            <w:pPr>
              <w:rPr>
                <w:rFonts w:eastAsia="Verdana" w:cs="Verdana"/>
                <w:noProof/>
                <w:color w:val="000000"/>
                <w:sz w:val="16"/>
                <w:szCs w:val="16"/>
              </w:rPr>
            </w:pPr>
            <w:r w:rsidRPr="00F25582">
              <w:rPr>
                <w:rFonts w:eastAsia="Calibri Light" w:cs="Calibri Light"/>
                <w:noProof/>
                <w:color w:val="000000"/>
                <w:sz w:val="16"/>
                <w:szCs w:val="16"/>
                <w:lang w:eastAsia="en-GB"/>
              </w:rPr>
              <w:t>Nepal</w:t>
            </w:r>
          </w:p>
        </w:tc>
        <w:tc>
          <w:tcPr>
            <w:tcW w:w="0" w:type="auto"/>
          </w:tcPr>
          <w:p w14:paraId="360D7008" w14:textId="77777777" w:rsidR="00BE7823" w:rsidRPr="00F25582" w:rsidRDefault="00477F34" w:rsidP="00F25582">
            <w:pPr>
              <w:jc w:val="right"/>
              <w:rPr>
                <w:rFonts w:eastAsia="Verdana" w:cs="Verdana"/>
                <w:noProof/>
                <w:color w:val="000000"/>
                <w:sz w:val="16"/>
                <w:szCs w:val="16"/>
              </w:rPr>
            </w:pPr>
            <w:r w:rsidRPr="00F25582">
              <w:rPr>
                <w:rFonts w:eastAsia="Calibri Light" w:cs="Calibri Light"/>
                <w:noProof/>
                <w:color w:val="000000"/>
                <w:sz w:val="16"/>
                <w:szCs w:val="16"/>
                <w:lang w:eastAsia="en-GB"/>
              </w:rPr>
              <w:t>0.87</w:t>
            </w:r>
          </w:p>
        </w:tc>
      </w:tr>
      <w:tr w:rsidR="00DF6DBA" w:rsidRPr="00F25582" w14:paraId="77047E18" w14:textId="77777777" w:rsidTr="00F25582">
        <w:trPr>
          <w:trHeight w:val="255"/>
          <w:jc w:val="center"/>
        </w:trPr>
        <w:tc>
          <w:tcPr>
            <w:tcW w:w="0" w:type="auto"/>
          </w:tcPr>
          <w:p w14:paraId="6F37D4DA" w14:textId="77777777" w:rsidR="00BE7823" w:rsidRPr="00F25582" w:rsidRDefault="00477F34" w:rsidP="00BE7823">
            <w:pPr>
              <w:rPr>
                <w:rFonts w:eastAsia="Verdana" w:cs="Verdana"/>
                <w:noProof/>
                <w:color w:val="000000"/>
                <w:sz w:val="16"/>
                <w:szCs w:val="16"/>
              </w:rPr>
            </w:pPr>
            <w:r w:rsidRPr="00F25582">
              <w:rPr>
                <w:rFonts w:eastAsia="Verdana" w:cs="Verdana"/>
                <w:b/>
                <w:bCs/>
                <w:noProof/>
                <w:color w:val="000000"/>
                <w:sz w:val="16"/>
                <w:szCs w:val="16"/>
                <w:lang w:eastAsia="en-GB"/>
              </w:rPr>
              <w:t>Total</w:t>
            </w:r>
          </w:p>
        </w:tc>
        <w:tc>
          <w:tcPr>
            <w:tcW w:w="0" w:type="auto"/>
          </w:tcPr>
          <w:p w14:paraId="4BEDA5F5" w14:textId="77777777" w:rsidR="00BE7823" w:rsidRPr="00F25582" w:rsidRDefault="00477F34" w:rsidP="00F25582">
            <w:pPr>
              <w:jc w:val="right"/>
              <w:rPr>
                <w:rFonts w:eastAsia="Verdana" w:cs="Verdana"/>
                <w:noProof/>
                <w:color w:val="000000"/>
                <w:sz w:val="16"/>
                <w:szCs w:val="16"/>
              </w:rPr>
            </w:pPr>
            <w:r w:rsidRPr="00F25582">
              <w:rPr>
                <w:rFonts w:eastAsia="Verdana" w:cs="Verdana"/>
                <w:b/>
                <w:bCs/>
                <w:noProof/>
                <w:color w:val="000000"/>
                <w:sz w:val="16"/>
                <w:szCs w:val="16"/>
                <w:lang w:eastAsia="en-GB"/>
              </w:rPr>
              <w:t>91.92</w:t>
            </w:r>
          </w:p>
        </w:tc>
      </w:tr>
    </w:tbl>
    <w:p w14:paraId="0266539C" w14:textId="1A5B15AF" w:rsidR="00BE7823" w:rsidRPr="009D66DC" w:rsidRDefault="00477F34" w:rsidP="00914B52">
      <w:pPr>
        <w:pStyle w:val="NoteText"/>
        <w:spacing w:before="120"/>
        <w:ind w:left="2268" w:firstLine="0"/>
      </w:pPr>
      <w:r w:rsidRPr="009D66DC">
        <w:t>Source:</w:t>
      </w:r>
      <w:r w:rsidR="00E519C9" w:rsidRPr="009D66DC">
        <w:t xml:space="preserve"> </w:t>
      </w:r>
      <w:r w:rsidRPr="009D66DC">
        <w:t>DFAT.</w:t>
      </w:r>
    </w:p>
    <w:p w14:paraId="2AA248F0" w14:textId="701B33B4" w:rsidR="00BE7823" w:rsidRPr="00BE7823" w:rsidRDefault="00477F34" w:rsidP="00F25582">
      <w:pPr>
        <w:pStyle w:val="Title"/>
        <w:rPr>
          <w:rFonts w:eastAsia="Verdana"/>
          <w:noProof/>
        </w:rPr>
      </w:pPr>
      <w:r w:rsidRPr="00BE7823">
        <w:rPr>
          <w:rFonts w:eastAsia="Verdana"/>
          <w:noProof/>
        </w:rPr>
        <w:t>ANNEX B</w:t>
      </w:r>
    </w:p>
    <w:p w14:paraId="2ED4DAAF" w14:textId="77777777" w:rsidR="00BE7823" w:rsidRPr="00BE7823" w:rsidRDefault="00477F34" w:rsidP="00F25582">
      <w:pPr>
        <w:pStyle w:val="Title2"/>
        <w:rPr>
          <w:noProof/>
          <w:color w:val="000000"/>
        </w:rPr>
      </w:pPr>
      <w:r w:rsidRPr="00BE7823">
        <w:rPr>
          <w:noProof/>
        </w:rPr>
        <w:t>Direct aid flows for food security, by programme, 2019-20</w:t>
      </w:r>
      <w:r w:rsidRPr="00BE7823">
        <w:rPr>
          <w:noProof/>
        </w:rPr>
        <w:br/>
        <w:t>(AUD million)</w:t>
      </w:r>
    </w:p>
    <w:tbl>
      <w:tblPr>
        <w:tblStyle w:val="WTOTable1"/>
        <w:tblW w:w="5000" w:type="pct"/>
        <w:tblLook w:val="04A0" w:firstRow="1" w:lastRow="0" w:firstColumn="1" w:lastColumn="0" w:noHBand="0" w:noVBand="1"/>
      </w:tblPr>
      <w:tblGrid>
        <w:gridCol w:w="2866"/>
        <w:gridCol w:w="2823"/>
        <w:gridCol w:w="1587"/>
        <w:gridCol w:w="1740"/>
      </w:tblGrid>
      <w:tr w:rsidR="0046624B" w:rsidRPr="0046624B" w14:paraId="6C0DDDE1" w14:textId="77777777" w:rsidTr="009D66DC">
        <w:trPr>
          <w:cnfStyle w:val="100000000000" w:firstRow="1" w:lastRow="0" w:firstColumn="0" w:lastColumn="0" w:oddVBand="0" w:evenVBand="0" w:oddHBand="0" w:evenHBand="0" w:firstRowFirstColumn="0" w:firstRowLastColumn="0" w:lastRowFirstColumn="0" w:lastRowLastColumn="0"/>
          <w:trHeight w:val="20"/>
        </w:trPr>
        <w:tc>
          <w:tcPr>
            <w:tcW w:w="1589" w:type="pct"/>
          </w:tcPr>
          <w:p w14:paraId="15C66401" w14:textId="5BEF824E" w:rsidR="0046624B" w:rsidRPr="0046624B" w:rsidRDefault="0046624B" w:rsidP="0046624B">
            <w:pPr>
              <w:jc w:val="center"/>
              <w:rPr>
                <w:rFonts w:eastAsia="Verdana" w:cs="Verdana"/>
                <w:noProof/>
                <w:color w:val="FFFFFF" w:themeColor="background1"/>
                <w:sz w:val="16"/>
                <w:szCs w:val="16"/>
                <w:lang w:val="en-US"/>
              </w:rPr>
            </w:pPr>
            <w:r w:rsidRPr="0046624B">
              <w:rPr>
                <w:rFonts w:eastAsia="Verdana" w:cs="Verdana"/>
                <w:bCs/>
                <w:noProof/>
                <w:color w:val="FFFFFF" w:themeColor="background1"/>
                <w:sz w:val="16"/>
                <w:szCs w:val="16"/>
                <w:lang w:eastAsia="en-GB"/>
              </w:rPr>
              <w:t>Programme</w:t>
            </w:r>
          </w:p>
        </w:tc>
        <w:tc>
          <w:tcPr>
            <w:tcW w:w="1566" w:type="pct"/>
          </w:tcPr>
          <w:p w14:paraId="76F72B37" w14:textId="4D562597" w:rsidR="0046624B" w:rsidRPr="0046624B" w:rsidRDefault="0046624B" w:rsidP="0046624B">
            <w:pPr>
              <w:jc w:val="center"/>
              <w:rPr>
                <w:rFonts w:eastAsia="Verdana" w:cs="Verdana"/>
                <w:noProof/>
                <w:color w:val="FFFFFF" w:themeColor="background1"/>
                <w:sz w:val="16"/>
                <w:szCs w:val="16"/>
                <w:lang w:val="en-US"/>
              </w:rPr>
            </w:pPr>
            <w:r w:rsidRPr="0046624B">
              <w:rPr>
                <w:rFonts w:eastAsia="Verdana" w:cs="Verdana"/>
                <w:bCs/>
                <w:noProof/>
                <w:color w:val="FFFFFF" w:themeColor="background1"/>
                <w:sz w:val="16"/>
                <w:szCs w:val="16"/>
                <w:lang w:eastAsia="en-GB"/>
              </w:rPr>
              <w:t>Sub Programme</w:t>
            </w:r>
          </w:p>
        </w:tc>
        <w:tc>
          <w:tcPr>
            <w:tcW w:w="880" w:type="pct"/>
          </w:tcPr>
          <w:p w14:paraId="0341DE50" w14:textId="067B6F10" w:rsidR="0046624B" w:rsidRPr="0046624B" w:rsidRDefault="0046624B" w:rsidP="0046624B">
            <w:pPr>
              <w:jc w:val="center"/>
              <w:rPr>
                <w:rFonts w:eastAsia="Verdana" w:cs="Verdana"/>
                <w:noProof/>
                <w:color w:val="FFFFFF" w:themeColor="background1"/>
                <w:sz w:val="16"/>
                <w:szCs w:val="16"/>
                <w:lang w:eastAsia="en-GB"/>
              </w:rPr>
            </w:pPr>
            <w:r w:rsidRPr="0046624B">
              <w:rPr>
                <w:rFonts w:eastAsia="Verdana" w:cs="Verdana"/>
                <w:bCs/>
                <w:i/>
                <w:iCs/>
                <w:noProof/>
                <w:color w:val="FFFFFF" w:themeColor="background1"/>
                <w:sz w:val="16"/>
                <w:szCs w:val="16"/>
                <w:lang w:val="en-US"/>
              </w:rPr>
              <w:t>To</w:t>
            </w:r>
            <w:r>
              <w:rPr>
                <w:rFonts w:eastAsia="Verdana" w:cs="Verdana"/>
                <w:bCs/>
                <w:i/>
                <w:iCs/>
                <w:noProof/>
                <w:color w:val="FFFFFF" w:themeColor="background1"/>
                <w:sz w:val="16"/>
                <w:szCs w:val="16"/>
                <w:lang w:val="en-US"/>
              </w:rPr>
              <w:t> </w:t>
            </w:r>
            <w:r w:rsidRPr="0046624B">
              <w:rPr>
                <w:rFonts w:eastAsia="Verdana" w:cs="Verdana"/>
                <w:bCs/>
                <w:i/>
                <w:iCs/>
                <w:noProof/>
                <w:color w:val="FFFFFF" w:themeColor="background1"/>
                <w:sz w:val="16"/>
                <w:szCs w:val="16"/>
                <w:lang w:val="en-US"/>
              </w:rPr>
              <w:t>LDCs</w:t>
            </w:r>
            <w:r>
              <w:rPr>
                <w:rFonts w:eastAsia="Verdana" w:cs="Verdana"/>
                <w:bCs/>
                <w:i/>
                <w:iCs/>
                <w:noProof/>
                <w:color w:val="FFFFFF" w:themeColor="background1"/>
                <w:sz w:val="16"/>
                <w:szCs w:val="16"/>
                <w:lang w:val="en-US"/>
              </w:rPr>
              <w:t> </w:t>
            </w:r>
            <w:r w:rsidRPr="0046624B">
              <w:rPr>
                <w:rFonts w:eastAsia="Verdana" w:cs="Verdana"/>
                <w:bCs/>
                <w:i/>
                <w:iCs/>
                <w:noProof/>
                <w:color w:val="FFFFFF" w:themeColor="background1"/>
                <w:sz w:val="16"/>
                <w:szCs w:val="16"/>
                <w:lang w:val="en-US"/>
              </w:rPr>
              <w:t>and NFIDCs</w:t>
            </w:r>
          </w:p>
        </w:tc>
        <w:tc>
          <w:tcPr>
            <w:tcW w:w="966" w:type="pct"/>
          </w:tcPr>
          <w:p w14:paraId="10FA43F6" w14:textId="5C6C9424" w:rsidR="0046624B" w:rsidRPr="0046624B" w:rsidRDefault="0046624B" w:rsidP="0046624B">
            <w:pPr>
              <w:jc w:val="center"/>
              <w:rPr>
                <w:rFonts w:eastAsia="Verdana" w:cs="Verdana"/>
                <w:noProof/>
                <w:color w:val="FFFFFF" w:themeColor="background1"/>
                <w:sz w:val="16"/>
                <w:szCs w:val="16"/>
                <w:lang w:eastAsia="en-GB"/>
              </w:rPr>
            </w:pPr>
            <w:r w:rsidRPr="0046624B">
              <w:rPr>
                <w:rFonts w:eastAsia="Verdana" w:cs="Verdana"/>
                <w:bCs/>
                <w:noProof/>
                <w:color w:val="FFFFFF" w:themeColor="background1"/>
                <w:sz w:val="16"/>
                <w:szCs w:val="16"/>
                <w:lang w:val="en-US"/>
              </w:rPr>
              <w:t>Total all programmes</w:t>
            </w:r>
          </w:p>
        </w:tc>
      </w:tr>
      <w:tr w:rsidR="0046624B" w:rsidRPr="00F25582" w14:paraId="4A51EE12" w14:textId="77777777" w:rsidTr="009D66DC">
        <w:trPr>
          <w:trHeight w:val="20"/>
        </w:trPr>
        <w:tc>
          <w:tcPr>
            <w:tcW w:w="1589" w:type="pct"/>
          </w:tcPr>
          <w:p w14:paraId="4C18BDC1" w14:textId="480DCD10" w:rsidR="0046624B" w:rsidRPr="00F25582" w:rsidRDefault="0046624B" w:rsidP="0046624B">
            <w:pPr>
              <w:rPr>
                <w:rFonts w:eastAsia="Verdana" w:cs="Verdana"/>
                <w:noProof/>
                <w:szCs w:val="18"/>
              </w:rPr>
            </w:pPr>
            <w:r w:rsidRPr="00F25582">
              <w:rPr>
                <w:rFonts w:eastAsia="Verdana" w:cs="Verdana"/>
                <w:noProof/>
                <w:sz w:val="16"/>
                <w:szCs w:val="16"/>
                <w:lang w:val="en-US"/>
              </w:rPr>
              <w:t>Bilateral</w:t>
            </w:r>
            <w:r>
              <w:rPr>
                <w:rFonts w:eastAsia="Verdana" w:cs="Verdana"/>
                <w:noProof/>
                <w:sz w:val="16"/>
                <w:szCs w:val="16"/>
                <w:lang w:val="en-US"/>
              </w:rPr>
              <w:t> </w:t>
            </w:r>
            <w:r w:rsidRPr="00F25582">
              <w:rPr>
                <w:rFonts w:eastAsia="Verdana" w:cs="Verdana"/>
                <w:noProof/>
                <w:sz w:val="16"/>
                <w:szCs w:val="16"/>
                <w:lang w:val="en-US"/>
              </w:rPr>
              <w:t>&amp;</w:t>
            </w:r>
            <w:r>
              <w:rPr>
                <w:rFonts w:eastAsia="Verdana" w:cs="Verdana"/>
                <w:noProof/>
                <w:sz w:val="16"/>
                <w:szCs w:val="16"/>
                <w:lang w:val="en-US"/>
              </w:rPr>
              <w:t> </w:t>
            </w:r>
            <w:r w:rsidRPr="00F25582">
              <w:rPr>
                <w:rFonts w:eastAsia="Verdana" w:cs="Verdana"/>
                <w:noProof/>
                <w:sz w:val="16"/>
                <w:szCs w:val="16"/>
                <w:lang w:val="en-US"/>
              </w:rPr>
              <w:t>Regional</w:t>
            </w:r>
            <w:r>
              <w:rPr>
                <w:rFonts w:eastAsia="Verdana" w:cs="Verdana"/>
                <w:noProof/>
                <w:sz w:val="16"/>
                <w:szCs w:val="16"/>
                <w:lang w:val="en-US"/>
              </w:rPr>
              <w:t> </w:t>
            </w:r>
            <w:r w:rsidRPr="00F25582">
              <w:rPr>
                <w:rFonts w:eastAsia="Verdana" w:cs="Verdana"/>
                <w:noProof/>
                <w:sz w:val="16"/>
                <w:szCs w:val="16"/>
                <w:lang w:val="en-US"/>
              </w:rPr>
              <w:t>Programmes</w:t>
            </w:r>
          </w:p>
        </w:tc>
        <w:tc>
          <w:tcPr>
            <w:tcW w:w="1566" w:type="pct"/>
          </w:tcPr>
          <w:p w14:paraId="6C3471CC" w14:textId="77777777" w:rsidR="0046624B" w:rsidRPr="00F25582" w:rsidRDefault="0046624B" w:rsidP="0046624B">
            <w:pPr>
              <w:rPr>
                <w:rFonts w:eastAsia="Verdana" w:cs="Verdana"/>
                <w:noProof/>
                <w:szCs w:val="18"/>
              </w:rPr>
            </w:pPr>
            <w:r w:rsidRPr="00F25582">
              <w:rPr>
                <w:rFonts w:eastAsia="Verdana" w:cs="Verdana"/>
                <w:noProof/>
                <w:sz w:val="16"/>
                <w:szCs w:val="16"/>
                <w:lang w:val="en-US"/>
              </w:rPr>
              <w:t>Bilateral Programmes</w:t>
            </w:r>
          </w:p>
        </w:tc>
        <w:tc>
          <w:tcPr>
            <w:tcW w:w="880" w:type="pct"/>
          </w:tcPr>
          <w:p w14:paraId="32FE9366" w14:textId="77777777" w:rsidR="0046624B" w:rsidRPr="00F25582" w:rsidRDefault="0046624B" w:rsidP="0046624B">
            <w:pPr>
              <w:jc w:val="right"/>
              <w:rPr>
                <w:rFonts w:eastAsia="Verdana" w:cs="Verdana"/>
                <w:noProof/>
                <w:szCs w:val="18"/>
              </w:rPr>
            </w:pPr>
            <w:r w:rsidRPr="00F25582">
              <w:rPr>
                <w:rFonts w:eastAsia="Verdana" w:cs="Verdana"/>
                <w:noProof/>
                <w:sz w:val="16"/>
                <w:szCs w:val="16"/>
                <w:lang w:eastAsia="en-GB"/>
              </w:rPr>
              <w:t>104.93</w:t>
            </w:r>
          </w:p>
        </w:tc>
        <w:tc>
          <w:tcPr>
            <w:tcW w:w="966" w:type="pct"/>
          </w:tcPr>
          <w:p w14:paraId="6B69864B" w14:textId="77777777" w:rsidR="0046624B" w:rsidRPr="00F25582" w:rsidRDefault="0046624B" w:rsidP="0046624B">
            <w:pPr>
              <w:jc w:val="right"/>
              <w:rPr>
                <w:rFonts w:eastAsia="Verdana" w:cs="Verdana"/>
                <w:noProof/>
                <w:szCs w:val="18"/>
              </w:rPr>
            </w:pPr>
            <w:r w:rsidRPr="00F25582">
              <w:rPr>
                <w:rFonts w:eastAsia="Verdana" w:cs="Verdana"/>
                <w:noProof/>
                <w:sz w:val="16"/>
                <w:szCs w:val="16"/>
                <w:lang w:eastAsia="en-GB"/>
              </w:rPr>
              <w:t>104.98</w:t>
            </w:r>
          </w:p>
        </w:tc>
      </w:tr>
      <w:tr w:rsidR="0046624B" w:rsidRPr="00F25582" w14:paraId="028236F0" w14:textId="77777777" w:rsidTr="009D66DC">
        <w:trPr>
          <w:cnfStyle w:val="000000010000" w:firstRow="0" w:lastRow="0" w:firstColumn="0" w:lastColumn="0" w:oddVBand="0" w:evenVBand="0" w:oddHBand="0" w:evenHBand="1" w:firstRowFirstColumn="0" w:firstRowLastColumn="0" w:lastRowFirstColumn="0" w:lastRowLastColumn="0"/>
          <w:trHeight w:val="20"/>
        </w:trPr>
        <w:tc>
          <w:tcPr>
            <w:tcW w:w="1589" w:type="pct"/>
          </w:tcPr>
          <w:p w14:paraId="44270813" w14:textId="77777777" w:rsidR="0046624B" w:rsidRPr="00F25582" w:rsidRDefault="0046624B" w:rsidP="0046624B">
            <w:pPr>
              <w:rPr>
                <w:rFonts w:eastAsia="Verdana" w:cs="Verdana"/>
                <w:noProof/>
                <w:szCs w:val="18"/>
              </w:rPr>
            </w:pPr>
          </w:p>
        </w:tc>
        <w:tc>
          <w:tcPr>
            <w:tcW w:w="1566" w:type="pct"/>
          </w:tcPr>
          <w:p w14:paraId="286D8B15" w14:textId="77777777" w:rsidR="0046624B" w:rsidRPr="00F25582" w:rsidRDefault="0046624B" w:rsidP="0046624B">
            <w:pPr>
              <w:rPr>
                <w:rFonts w:eastAsia="Verdana" w:cs="Verdana"/>
                <w:noProof/>
                <w:szCs w:val="18"/>
              </w:rPr>
            </w:pPr>
            <w:r w:rsidRPr="00F25582">
              <w:rPr>
                <w:rFonts w:eastAsia="Verdana" w:cs="Verdana"/>
                <w:noProof/>
                <w:sz w:val="16"/>
                <w:szCs w:val="16"/>
                <w:lang w:val="en-US"/>
              </w:rPr>
              <w:t>Regional Programmes</w:t>
            </w:r>
          </w:p>
        </w:tc>
        <w:tc>
          <w:tcPr>
            <w:tcW w:w="880" w:type="pct"/>
          </w:tcPr>
          <w:p w14:paraId="0D7D77BA" w14:textId="77777777" w:rsidR="0046624B" w:rsidRPr="00F25582" w:rsidRDefault="0046624B" w:rsidP="0046624B">
            <w:pPr>
              <w:jc w:val="right"/>
              <w:rPr>
                <w:rFonts w:eastAsia="Verdana" w:cs="Verdana"/>
                <w:noProof/>
                <w:szCs w:val="18"/>
              </w:rPr>
            </w:pPr>
            <w:r w:rsidRPr="00F25582">
              <w:rPr>
                <w:rFonts w:eastAsia="Verdana" w:cs="Verdana"/>
                <w:noProof/>
                <w:sz w:val="16"/>
                <w:szCs w:val="16"/>
                <w:lang w:eastAsia="en-GB"/>
              </w:rPr>
              <w:t>7.76</w:t>
            </w:r>
          </w:p>
        </w:tc>
        <w:tc>
          <w:tcPr>
            <w:tcW w:w="966" w:type="pct"/>
          </w:tcPr>
          <w:p w14:paraId="2166DEE8" w14:textId="77777777" w:rsidR="0046624B" w:rsidRPr="00F25582" w:rsidRDefault="0046624B" w:rsidP="0046624B">
            <w:pPr>
              <w:jc w:val="right"/>
              <w:rPr>
                <w:rFonts w:eastAsia="Verdana" w:cs="Verdana"/>
                <w:noProof/>
                <w:szCs w:val="18"/>
              </w:rPr>
            </w:pPr>
            <w:r w:rsidRPr="00F25582">
              <w:rPr>
                <w:rFonts w:eastAsia="Verdana" w:cs="Verdana"/>
                <w:noProof/>
                <w:sz w:val="16"/>
                <w:szCs w:val="16"/>
                <w:lang w:eastAsia="en-GB"/>
              </w:rPr>
              <w:t>14.77</w:t>
            </w:r>
          </w:p>
        </w:tc>
      </w:tr>
      <w:tr w:rsidR="0046624B" w:rsidRPr="00F25582" w14:paraId="7E30C6C0" w14:textId="77777777" w:rsidTr="009D66DC">
        <w:trPr>
          <w:trHeight w:val="20"/>
        </w:trPr>
        <w:tc>
          <w:tcPr>
            <w:tcW w:w="1589" w:type="pct"/>
          </w:tcPr>
          <w:p w14:paraId="588241B2" w14:textId="77777777" w:rsidR="0046624B" w:rsidRPr="00F25582" w:rsidRDefault="0046624B" w:rsidP="0046624B">
            <w:pPr>
              <w:rPr>
                <w:rFonts w:eastAsia="Verdana" w:cs="Verdana"/>
                <w:noProof/>
                <w:szCs w:val="18"/>
              </w:rPr>
            </w:pPr>
            <w:r w:rsidRPr="00F25582">
              <w:rPr>
                <w:rFonts w:eastAsia="Verdana" w:cs="Verdana"/>
                <w:noProof/>
                <w:sz w:val="16"/>
                <w:szCs w:val="16"/>
                <w:lang w:val="en-US"/>
              </w:rPr>
              <w:t>Global Programmes</w:t>
            </w:r>
          </w:p>
        </w:tc>
        <w:tc>
          <w:tcPr>
            <w:tcW w:w="1566" w:type="pct"/>
          </w:tcPr>
          <w:p w14:paraId="181F1F76" w14:textId="77777777" w:rsidR="0046624B" w:rsidRPr="00F25582" w:rsidRDefault="0046624B" w:rsidP="0046624B">
            <w:pPr>
              <w:rPr>
                <w:rFonts w:eastAsia="Verdana" w:cs="Verdana"/>
                <w:noProof/>
                <w:szCs w:val="18"/>
              </w:rPr>
            </w:pPr>
            <w:r w:rsidRPr="00F25582">
              <w:rPr>
                <w:rFonts w:eastAsia="Verdana" w:cs="Verdana"/>
                <w:noProof/>
                <w:sz w:val="16"/>
                <w:szCs w:val="16"/>
                <w:lang w:val="en-US"/>
              </w:rPr>
              <w:t>Humanitarian</w:t>
            </w:r>
          </w:p>
        </w:tc>
        <w:tc>
          <w:tcPr>
            <w:tcW w:w="880" w:type="pct"/>
          </w:tcPr>
          <w:p w14:paraId="7D06BB85" w14:textId="77777777" w:rsidR="0046624B" w:rsidRPr="00F25582" w:rsidRDefault="0046624B" w:rsidP="0046624B">
            <w:pPr>
              <w:jc w:val="right"/>
              <w:rPr>
                <w:rFonts w:eastAsia="Verdana" w:cs="Verdana"/>
                <w:noProof/>
                <w:szCs w:val="18"/>
              </w:rPr>
            </w:pPr>
            <w:r w:rsidRPr="00F25582">
              <w:rPr>
                <w:rFonts w:eastAsia="Verdana" w:cs="Verdana"/>
                <w:noProof/>
                <w:sz w:val="16"/>
                <w:szCs w:val="16"/>
                <w:lang w:eastAsia="en-GB"/>
              </w:rPr>
              <w:t>37.43</w:t>
            </w:r>
          </w:p>
        </w:tc>
        <w:tc>
          <w:tcPr>
            <w:tcW w:w="966" w:type="pct"/>
          </w:tcPr>
          <w:p w14:paraId="0654CC5D" w14:textId="77777777" w:rsidR="0046624B" w:rsidRPr="00F25582" w:rsidRDefault="0046624B" w:rsidP="0046624B">
            <w:pPr>
              <w:jc w:val="right"/>
              <w:rPr>
                <w:rFonts w:eastAsia="Verdana" w:cs="Verdana"/>
                <w:noProof/>
                <w:szCs w:val="18"/>
              </w:rPr>
            </w:pPr>
            <w:r w:rsidRPr="00F25582">
              <w:rPr>
                <w:rFonts w:eastAsia="Verdana" w:cs="Verdana"/>
                <w:noProof/>
                <w:sz w:val="16"/>
                <w:szCs w:val="16"/>
                <w:lang w:eastAsia="en-GB"/>
              </w:rPr>
              <w:t>43.39</w:t>
            </w:r>
          </w:p>
        </w:tc>
      </w:tr>
      <w:tr w:rsidR="0046624B" w:rsidRPr="00F25582" w14:paraId="4E0CBCE6" w14:textId="77777777" w:rsidTr="009D66DC">
        <w:trPr>
          <w:cnfStyle w:val="000000010000" w:firstRow="0" w:lastRow="0" w:firstColumn="0" w:lastColumn="0" w:oddVBand="0" w:evenVBand="0" w:oddHBand="0" w:evenHBand="1" w:firstRowFirstColumn="0" w:firstRowLastColumn="0" w:lastRowFirstColumn="0" w:lastRowLastColumn="0"/>
          <w:trHeight w:val="20"/>
        </w:trPr>
        <w:tc>
          <w:tcPr>
            <w:tcW w:w="1589" w:type="pct"/>
          </w:tcPr>
          <w:p w14:paraId="3045B215" w14:textId="77777777" w:rsidR="0046624B" w:rsidRPr="00F25582" w:rsidRDefault="0046624B" w:rsidP="0046624B">
            <w:pPr>
              <w:rPr>
                <w:rFonts w:eastAsia="Verdana" w:cs="Verdana"/>
                <w:noProof/>
                <w:szCs w:val="18"/>
              </w:rPr>
            </w:pPr>
          </w:p>
        </w:tc>
        <w:tc>
          <w:tcPr>
            <w:tcW w:w="1566" w:type="pct"/>
          </w:tcPr>
          <w:p w14:paraId="7CCD8CB1" w14:textId="77777777" w:rsidR="0046624B" w:rsidRPr="00F25582" w:rsidRDefault="0046624B" w:rsidP="0046624B">
            <w:pPr>
              <w:rPr>
                <w:rFonts w:eastAsia="Verdana" w:cs="Verdana"/>
                <w:noProof/>
                <w:szCs w:val="18"/>
              </w:rPr>
            </w:pPr>
            <w:r w:rsidRPr="00F25582">
              <w:rPr>
                <w:rFonts w:eastAsia="Verdana" w:cs="Verdana"/>
                <w:noProof/>
                <w:sz w:val="16"/>
                <w:szCs w:val="16"/>
                <w:lang w:val="en-US"/>
              </w:rPr>
              <w:t>Other International</w:t>
            </w:r>
          </w:p>
        </w:tc>
        <w:tc>
          <w:tcPr>
            <w:tcW w:w="880" w:type="pct"/>
          </w:tcPr>
          <w:p w14:paraId="749B63ED" w14:textId="77777777" w:rsidR="0046624B" w:rsidRPr="00F25582" w:rsidRDefault="0046624B" w:rsidP="0046624B">
            <w:pPr>
              <w:jc w:val="right"/>
              <w:rPr>
                <w:rFonts w:eastAsia="Verdana" w:cs="Verdana"/>
                <w:noProof/>
                <w:szCs w:val="18"/>
              </w:rPr>
            </w:pPr>
            <w:r w:rsidRPr="00F25582">
              <w:rPr>
                <w:rFonts w:eastAsia="Verdana" w:cs="Verdana"/>
                <w:noProof/>
                <w:sz w:val="16"/>
                <w:szCs w:val="16"/>
                <w:lang w:eastAsia="en-GB"/>
              </w:rPr>
              <w:t>9.67</w:t>
            </w:r>
          </w:p>
        </w:tc>
        <w:tc>
          <w:tcPr>
            <w:tcW w:w="966" w:type="pct"/>
          </w:tcPr>
          <w:p w14:paraId="08555E3B" w14:textId="77777777" w:rsidR="0046624B" w:rsidRPr="00F25582" w:rsidRDefault="0046624B" w:rsidP="0046624B">
            <w:pPr>
              <w:jc w:val="right"/>
              <w:rPr>
                <w:rFonts w:eastAsia="Verdana" w:cs="Verdana"/>
                <w:noProof/>
                <w:szCs w:val="18"/>
              </w:rPr>
            </w:pPr>
            <w:r w:rsidRPr="00F25582">
              <w:rPr>
                <w:rFonts w:eastAsia="Verdana" w:cs="Verdana"/>
                <w:noProof/>
                <w:sz w:val="16"/>
                <w:szCs w:val="16"/>
                <w:lang w:eastAsia="en-GB"/>
              </w:rPr>
              <w:t>46.94</w:t>
            </w:r>
          </w:p>
        </w:tc>
      </w:tr>
      <w:tr w:rsidR="0046624B" w:rsidRPr="00F25582" w14:paraId="184EA9BF" w14:textId="77777777" w:rsidTr="009D66DC">
        <w:trPr>
          <w:trHeight w:val="20"/>
        </w:trPr>
        <w:tc>
          <w:tcPr>
            <w:tcW w:w="1589" w:type="pct"/>
          </w:tcPr>
          <w:p w14:paraId="59B7979F" w14:textId="77777777" w:rsidR="0046624B" w:rsidRPr="00F25582" w:rsidRDefault="0046624B" w:rsidP="0046624B">
            <w:pPr>
              <w:rPr>
                <w:rFonts w:eastAsia="Verdana" w:cs="Verdana"/>
                <w:noProof/>
                <w:szCs w:val="18"/>
              </w:rPr>
            </w:pPr>
            <w:r w:rsidRPr="00F25582">
              <w:rPr>
                <w:rFonts w:eastAsia="Verdana" w:cs="Verdana"/>
                <w:noProof/>
                <w:sz w:val="16"/>
                <w:szCs w:val="16"/>
                <w:lang w:val="en-US"/>
              </w:rPr>
              <w:t>Non-DFAT Programmes</w:t>
            </w:r>
          </w:p>
        </w:tc>
        <w:tc>
          <w:tcPr>
            <w:tcW w:w="1566" w:type="pct"/>
          </w:tcPr>
          <w:p w14:paraId="7340A752" w14:textId="77777777" w:rsidR="0046624B" w:rsidRPr="00F25582" w:rsidRDefault="0046624B" w:rsidP="0046624B">
            <w:pPr>
              <w:rPr>
                <w:rFonts w:eastAsia="Verdana" w:cs="Verdana"/>
                <w:noProof/>
                <w:szCs w:val="18"/>
              </w:rPr>
            </w:pPr>
            <w:r w:rsidRPr="00F25582">
              <w:rPr>
                <w:rFonts w:eastAsia="Verdana" w:cs="Verdana"/>
                <w:noProof/>
                <w:sz w:val="16"/>
                <w:szCs w:val="16"/>
                <w:lang w:val="en-US"/>
              </w:rPr>
              <w:t>ACIAR</w:t>
            </w:r>
          </w:p>
        </w:tc>
        <w:tc>
          <w:tcPr>
            <w:tcW w:w="880" w:type="pct"/>
          </w:tcPr>
          <w:p w14:paraId="125FD899" w14:textId="77777777" w:rsidR="0046624B" w:rsidRPr="00F25582" w:rsidRDefault="0046624B" w:rsidP="0046624B">
            <w:pPr>
              <w:jc w:val="right"/>
              <w:rPr>
                <w:rFonts w:eastAsia="Verdana" w:cs="Verdana"/>
                <w:noProof/>
                <w:szCs w:val="18"/>
              </w:rPr>
            </w:pPr>
            <w:r w:rsidRPr="00F25582">
              <w:rPr>
                <w:rFonts w:eastAsia="Verdana" w:cs="Verdana"/>
                <w:noProof/>
                <w:sz w:val="16"/>
                <w:szCs w:val="16"/>
                <w:lang w:eastAsia="en-GB"/>
              </w:rPr>
              <w:t>66.97</w:t>
            </w:r>
          </w:p>
        </w:tc>
        <w:tc>
          <w:tcPr>
            <w:tcW w:w="966" w:type="pct"/>
          </w:tcPr>
          <w:p w14:paraId="020516F7" w14:textId="77777777" w:rsidR="0046624B" w:rsidRPr="00F25582" w:rsidRDefault="0046624B" w:rsidP="0046624B">
            <w:pPr>
              <w:jc w:val="right"/>
              <w:rPr>
                <w:rFonts w:eastAsia="Verdana" w:cs="Verdana"/>
                <w:noProof/>
                <w:szCs w:val="18"/>
              </w:rPr>
            </w:pPr>
            <w:r w:rsidRPr="00F25582">
              <w:rPr>
                <w:rFonts w:eastAsia="Verdana" w:cs="Verdana"/>
                <w:noProof/>
                <w:sz w:val="16"/>
                <w:szCs w:val="16"/>
                <w:lang w:eastAsia="en-GB"/>
              </w:rPr>
              <w:t>91.6</w:t>
            </w:r>
          </w:p>
        </w:tc>
      </w:tr>
      <w:tr w:rsidR="0046624B" w:rsidRPr="00F25582" w14:paraId="79B8D4A2" w14:textId="77777777" w:rsidTr="009D66DC">
        <w:trPr>
          <w:cnfStyle w:val="000000010000" w:firstRow="0" w:lastRow="0" w:firstColumn="0" w:lastColumn="0" w:oddVBand="0" w:evenVBand="0" w:oddHBand="0" w:evenHBand="1" w:firstRowFirstColumn="0" w:firstRowLastColumn="0" w:lastRowFirstColumn="0" w:lastRowLastColumn="0"/>
          <w:trHeight w:val="20"/>
        </w:trPr>
        <w:tc>
          <w:tcPr>
            <w:tcW w:w="1589" w:type="pct"/>
          </w:tcPr>
          <w:p w14:paraId="1CD2B7B8" w14:textId="77777777" w:rsidR="0046624B" w:rsidRPr="00F25582" w:rsidRDefault="0046624B" w:rsidP="0046624B">
            <w:pPr>
              <w:rPr>
                <w:rFonts w:eastAsia="Verdana" w:cs="Verdana"/>
                <w:noProof/>
                <w:szCs w:val="18"/>
              </w:rPr>
            </w:pPr>
          </w:p>
        </w:tc>
        <w:tc>
          <w:tcPr>
            <w:tcW w:w="1566" w:type="pct"/>
          </w:tcPr>
          <w:p w14:paraId="5ADEC238" w14:textId="11CCDE4B" w:rsidR="0046624B" w:rsidRPr="00F25582" w:rsidRDefault="0046624B" w:rsidP="0046624B">
            <w:pPr>
              <w:rPr>
                <w:rFonts w:eastAsia="Verdana" w:cs="Verdana"/>
                <w:noProof/>
                <w:szCs w:val="18"/>
              </w:rPr>
            </w:pPr>
            <w:r w:rsidRPr="00F25582">
              <w:rPr>
                <w:rFonts w:eastAsia="Verdana" w:cs="Verdana"/>
                <w:noProof/>
                <w:sz w:val="16"/>
                <w:szCs w:val="16"/>
                <w:lang w:val="en-US"/>
              </w:rPr>
              <w:t>Other</w:t>
            </w:r>
            <w:r>
              <w:rPr>
                <w:rFonts w:eastAsia="Verdana" w:cs="Verdana"/>
                <w:noProof/>
                <w:sz w:val="16"/>
                <w:szCs w:val="16"/>
                <w:lang w:val="en-US"/>
              </w:rPr>
              <w:t> </w:t>
            </w:r>
            <w:r w:rsidRPr="00F25582">
              <w:rPr>
                <w:rFonts w:eastAsia="Verdana" w:cs="Verdana"/>
                <w:noProof/>
                <w:sz w:val="16"/>
                <w:szCs w:val="16"/>
                <w:lang w:val="en-US"/>
              </w:rPr>
              <w:t>Government</w:t>
            </w:r>
            <w:r>
              <w:rPr>
                <w:rFonts w:eastAsia="Verdana" w:cs="Verdana"/>
                <w:noProof/>
                <w:sz w:val="16"/>
                <w:szCs w:val="16"/>
                <w:lang w:val="en-US"/>
              </w:rPr>
              <w:t> </w:t>
            </w:r>
            <w:r w:rsidRPr="00F25582">
              <w:rPr>
                <w:rFonts w:eastAsia="Verdana" w:cs="Verdana"/>
                <w:noProof/>
                <w:sz w:val="16"/>
                <w:szCs w:val="16"/>
                <w:lang w:val="en-US"/>
              </w:rPr>
              <w:t>Departments</w:t>
            </w:r>
          </w:p>
        </w:tc>
        <w:tc>
          <w:tcPr>
            <w:tcW w:w="880" w:type="pct"/>
          </w:tcPr>
          <w:p w14:paraId="2ECDB6E9" w14:textId="77777777" w:rsidR="0046624B" w:rsidRPr="00F25582" w:rsidRDefault="0046624B" w:rsidP="0046624B">
            <w:pPr>
              <w:jc w:val="right"/>
              <w:rPr>
                <w:rFonts w:eastAsia="Verdana" w:cs="Verdana"/>
                <w:noProof/>
                <w:szCs w:val="18"/>
              </w:rPr>
            </w:pPr>
            <w:r w:rsidRPr="00F25582">
              <w:rPr>
                <w:rFonts w:eastAsia="Verdana" w:cs="Verdana"/>
                <w:noProof/>
                <w:sz w:val="16"/>
                <w:szCs w:val="16"/>
                <w:lang w:eastAsia="en-GB"/>
              </w:rPr>
              <w:t>0.38</w:t>
            </w:r>
          </w:p>
        </w:tc>
        <w:tc>
          <w:tcPr>
            <w:tcW w:w="966" w:type="pct"/>
          </w:tcPr>
          <w:p w14:paraId="24EED6F2" w14:textId="77777777" w:rsidR="0046624B" w:rsidRPr="00F25582" w:rsidRDefault="0046624B" w:rsidP="0046624B">
            <w:pPr>
              <w:jc w:val="right"/>
              <w:rPr>
                <w:rFonts w:eastAsia="Verdana" w:cs="Verdana"/>
                <w:noProof/>
                <w:szCs w:val="18"/>
              </w:rPr>
            </w:pPr>
            <w:r w:rsidRPr="00F25582">
              <w:rPr>
                <w:rFonts w:eastAsia="Verdana" w:cs="Verdana"/>
                <w:noProof/>
                <w:sz w:val="16"/>
                <w:szCs w:val="16"/>
                <w:lang w:eastAsia="en-GB"/>
              </w:rPr>
              <w:t>19.64</w:t>
            </w:r>
          </w:p>
        </w:tc>
      </w:tr>
      <w:tr w:rsidR="0046624B" w:rsidRPr="00F25582" w14:paraId="52689EC5" w14:textId="77777777" w:rsidTr="009D66DC">
        <w:trPr>
          <w:trHeight w:val="20"/>
        </w:trPr>
        <w:tc>
          <w:tcPr>
            <w:tcW w:w="1589" w:type="pct"/>
          </w:tcPr>
          <w:p w14:paraId="42C23912" w14:textId="77777777" w:rsidR="0046624B" w:rsidRPr="00F25582" w:rsidRDefault="0046624B" w:rsidP="0046624B">
            <w:pPr>
              <w:rPr>
                <w:rFonts w:eastAsia="Verdana" w:cs="Verdana"/>
                <w:noProof/>
                <w:szCs w:val="18"/>
              </w:rPr>
            </w:pPr>
            <w:r w:rsidRPr="00F25582">
              <w:rPr>
                <w:rFonts w:eastAsia="Verdana" w:cs="Verdana"/>
                <w:i/>
                <w:iCs/>
                <w:noProof/>
                <w:sz w:val="16"/>
                <w:szCs w:val="16"/>
                <w:lang w:val="en-US"/>
              </w:rPr>
              <w:t>Total LDCs and NFIDCs</w:t>
            </w:r>
          </w:p>
        </w:tc>
        <w:tc>
          <w:tcPr>
            <w:tcW w:w="1566" w:type="pct"/>
          </w:tcPr>
          <w:p w14:paraId="301448DF" w14:textId="77777777" w:rsidR="0046624B" w:rsidRPr="00F25582" w:rsidRDefault="0046624B" w:rsidP="0046624B">
            <w:pPr>
              <w:rPr>
                <w:rFonts w:eastAsia="Verdana" w:cs="Verdana"/>
                <w:noProof/>
                <w:szCs w:val="18"/>
              </w:rPr>
            </w:pPr>
          </w:p>
        </w:tc>
        <w:tc>
          <w:tcPr>
            <w:tcW w:w="880" w:type="pct"/>
          </w:tcPr>
          <w:p w14:paraId="153C6AFB" w14:textId="77777777" w:rsidR="0046624B" w:rsidRPr="00F25582" w:rsidRDefault="0046624B" w:rsidP="0046624B">
            <w:pPr>
              <w:jc w:val="right"/>
              <w:rPr>
                <w:rFonts w:eastAsia="Verdana" w:cs="Verdana"/>
                <w:noProof/>
                <w:szCs w:val="18"/>
              </w:rPr>
            </w:pPr>
            <w:r w:rsidRPr="00F25582">
              <w:rPr>
                <w:rFonts w:eastAsia="Verdana" w:cs="Verdana"/>
                <w:b/>
                <w:bCs/>
                <w:noProof/>
                <w:sz w:val="16"/>
                <w:szCs w:val="16"/>
                <w:lang w:eastAsia="en-GB"/>
              </w:rPr>
              <w:t>227.14</w:t>
            </w:r>
          </w:p>
        </w:tc>
        <w:tc>
          <w:tcPr>
            <w:tcW w:w="966" w:type="pct"/>
          </w:tcPr>
          <w:p w14:paraId="49E0DC1A" w14:textId="77777777" w:rsidR="0046624B" w:rsidRPr="00F25582" w:rsidRDefault="0046624B" w:rsidP="0046624B">
            <w:pPr>
              <w:jc w:val="right"/>
              <w:rPr>
                <w:rFonts w:eastAsia="Verdana" w:cs="Verdana"/>
                <w:noProof/>
                <w:szCs w:val="18"/>
              </w:rPr>
            </w:pPr>
          </w:p>
        </w:tc>
      </w:tr>
      <w:tr w:rsidR="0046624B" w:rsidRPr="00F25582" w14:paraId="3FF47E36" w14:textId="77777777" w:rsidTr="009D66DC">
        <w:trPr>
          <w:cnfStyle w:val="000000010000" w:firstRow="0" w:lastRow="0" w:firstColumn="0" w:lastColumn="0" w:oddVBand="0" w:evenVBand="0" w:oddHBand="0" w:evenHBand="1" w:firstRowFirstColumn="0" w:firstRowLastColumn="0" w:lastRowFirstColumn="0" w:lastRowLastColumn="0"/>
          <w:trHeight w:val="20"/>
        </w:trPr>
        <w:tc>
          <w:tcPr>
            <w:tcW w:w="1589" w:type="pct"/>
          </w:tcPr>
          <w:p w14:paraId="129FD6CB" w14:textId="77777777" w:rsidR="0046624B" w:rsidRPr="00F25582" w:rsidRDefault="0046624B" w:rsidP="0046624B">
            <w:pPr>
              <w:rPr>
                <w:rFonts w:eastAsia="Verdana" w:cs="Verdana"/>
                <w:noProof/>
                <w:szCs w:val="18"/>
              </w:rPr>
            </w:pPr>
            <w:r w:rsidRPr="00F25582">
              <w:rPr>
                <w:rFonts w:eastAsia="Verdana" w:cs="Verdana"/>
                <w:b/>
                <w:bCs/>
                <w:noProof/>
                <w:sz w:val="16"/>
                <w:szCs w:val="16"/>
                <w:lang w:val="en-US"/>
              </w:rPr>
              <w:t>TOTAL all programmes</w:t>
            </w:r>
          </w:p>
        </w:tc>
        <w:tc>
          <w:tcPr>
            <w:tcW w:w="1566" w:type="pct"/>
          </w:tcPr>
          <w:p w14:paraId="18FFDA74" w14:textId="77777777" w:rsidR="0046624B" w:rsidRPr="00F25582" w:rsidRDefault="0046624B" w:rsidP="0046624B">
            <w:pPr>
              <w:rPr>
                <w:rFonts w:eastAsia="Verdana" w:cs="Verdana"/>
                <w:noProof/>
                <w:szCs w:val="18"/>
              </w:rPr>
            </w:pPr>
          </w:p>
        </w:tc>
        <w:tc>
          <w:tcPr>
            <w:tcW w:w="880" w:type="pct"/>
          </w:tcPr>
          <w:p w14:paraId="2A6C4A2A" w14:textId="77777777" w:rsidR="0046624B" w:rsidRPr="00F25582" w:rsidRDefault="0046624B" w:rsidP="0046624B">
            <w:pPr>
              <w:jc w:val="right"/>
              <w:rPr>
                <w:rFonts w:eastAsia="Verdana" w:cs="Verdana"/>
                <w:noProof/>
                <w:szCs w:val="18"/>
              </w:rPr>
            </w:pPr>
          </w:p>
        </w:tc>
        <w:tc>
          <w:tcPr>
            <w:tcW w:w="966" w:type="pct"/>
          </w:tcPr>
          <w:p w14:paraId="176605AD" w14:textId="77777777" w:rsidR="0046624B" w:rsidRPr="00F25582" w:rsidRDefault="0046624B" w:rsidP="0046624B">
            <w:pPr>
              <w:jc w:val="right"/>
              <w:rPr>
                <w:rFonts w:eastAsia="Verdana" w:cs="Verdana"/>
                <w:noProof/>
                <w:szCs w:val="18"/>
              </w:rPr>
            </w:pPr>
            <w:r w:rsidRPr="00F25582">
              <w:rPr>
                <w:rFonts w:eastAsia="Verdana" w:cs="Verdana"/>
                <w:b/>
                <w:bCs/>
                <w:noProof/>
                <w:sz w:val="16"/>
                <w:szCs w:val="16"/>
                <w:lang w:eastAsia="en-GB"/>
              </w:rPr>
              <w:t>321.32</w:t>
            </w:r>
          </w:p>
        </w:tc>
      </w:tr>
    </w:tbl>
    <w:p w14:paraId="219AB895" w14:textId="5839C227" w:rsidR="00BE7823" w:rsidRPr="00F25582" w:rsidRDefault="00477F34" w:rsidP="00F25582">
      <w:pPr>
        <w:pStyle w:val="NoteText"/>
        <w:spacing w:before="120"/>
        <w:rPr>
          <w:lang w:val="fr-CH"/>
        </w:rPr>
      </w:pPr>
      <w:r w:rsidRPr="00F25582">
        <w:rPr>
          <w:lang w:val="fr-CH"/>
        </w:rPr>
        <w:t>Source:</w:t>
      </w:r>
      <w:r w:rsidR="00E519C9">
        <w:rPr>
          <w:lang w:val="fr-CH"/>
        </w:rPr>
        <w:t xml:space="preserve"> </w:t>
      </w:r>
      <w:r w:rsidRPr="00F25582">
        <w:rPr>
          <w:lang w:val="fr-CH"/>
        </w:rPr>
        <w:t>DFAT.</w:t>
      </w:r>
    </w:p>
    <w:p w14:paraId="112B2D1A" w14:textId="77777777" w:rsidR="00BE7823" w:rsidRPr="00F25582" w:rsidRDefault="00477F34" w:rsidP="00F25582">
      <w:pPr>
        <w:pStyle w:val="Title"/>
        <w:rPr>
          <w:rFonts w:eastAsia="Verdana"/>
          <w:noProof/>
        </w:rPr>
      </w:pPr>
      <w:r w:rsidRPr="00F25582">
        <w:rPr>
          <w:rFonts w:eastAsia="Verdana"/>
          <w:noProof/>
        </w:rPr>
        <w:t>ANNEX C</w:t>
      </w:r>
    </w:p>
    <w:p w14:paraId="406DEBED" w14:textId="77777777" w:rsidR="00BE7823" w:rsidRPr="00BE7823" w:rsidRDefault="00477F34" w:rsidP="00F25582">
      <w:pPr>
        <w:pStyle w:val="Title2"/>
        <w:rPr>
          <w:noProof/>
        </w:rPr>
      </w:pPr>
      <w:r w:rsidRPr="00BE7823">
        <w:rPr>
          <w:noProof/>
        </w:rPr>
        <w:t>ACIAR expenditure 2019-20</w:t>
      </w:r>
    </w:p>
    <w:tbl>
      <w:tblPr>
        <w:tblStyle w:val="WTOTable1"/>
        <w:tblW w:w="5000" w:type="pct"/>
        <w:tblLook w:val="04A0" w:firstRow="1" w:lastRow="0" w:firstColumn="1" w:lastColumn="0" w:noHBand="0" w:noVBand="1"/>
      </w:tblPr>
      <w:tblGrid>
        <w:gridCol w:w="7572"/>
        <w:gridCol w:w="1444"/>
      </w:tblGrid>
      <w:tr w:rsidR="00EB27ED" w:rsidRPr="00EB27ED" w14:paraId="29162192" w14:textId="77777777" w:rsidTr="009D66DC">
        <w:trPr>
          <w:cnfStyle w:val="100000000000" w:firstRow="1" w:lastRow="0" w:firstColumn="0" w:lastColumn="0" w:oddVBand="0" w:evenVBand="0" w:oddHBand="0" w:evenHBand="0" w:firstRowFirstColumn="0" w:firstRowLastColumn="0" w:lastRowFirstColumn="0" w:lastRowLastColumn="0"/>
          <w:trHeight w:val="78"/>
        </w:trPr>
        <w:tc>
          <w:tcPr>
            <w:tcW w:w="4199" w:type="pct"/>
          </w:tcPr>
          <w:p w14:paraId="7435F477" w14:textId="55CBE86B" w:rsidR="00EB27ED" w:rsidRPr="00EB27ED" w:rsidRDefault="00EB27ED" w:rsidP="00EB27ED">
            <w:pPr>
              <w:jc w:val="center"/>
              <w:rPr>
                <w:rFonts w:eastAsia="Verdana" w:cs="Verdana"/>
                <w:b w:val="0"/>
                <w:bCs/>
                <w:noProof/>
                <w:color w:val="FFFFFF" w:themeColor="background1"/>
                <w:sz w:val="16"/>
                <w:szCs w:val="16"/>
                <w:lang w:eastAsia="en-GB"/>
              </w:rPr>
            </w:pPr>
            <w:r w:rsidRPr="00EB27ED">
              <w:rPr>
                <w:rFonts w:eastAsia="Verdana" w:cs="Verdana"/>
                <w:bCs/>
                <w:noProof/>
                <w:color w:val="FFFFFF" w:themeColor="background1"/>
                <w:sz w:val="16"/>
                <w:szCs w:val="16"/>
                <w:lang w:eastAsia="en-GB"/>
              </w:rPr>
              <w:t>ACIAR Administered expenditure</w:t>
            </w:r>
          </w:p>
        </w:tc>
        <w:tc>
          <w:tcPr>
            <w:tcW w:w="801" w:type="pct"/>
          </w:tcPr>
          <w:p w14:paraId="02AB0DDE" w14:textId="3038333A" w:rsidR="00EB27ED" w:rsidRPr="00EB27ED" w:rsidRDefault="00EB27ED" w:rsidP="00EB27ED">
            <w:pPr>
              <w:jc w:val="center"/>
              <w:rPr>
                <w:rFonts w:eastAsia="Verdana" w:cs="Verdana"/>
                <w:bCs/>
                <w:noProof/>
                <w:color w:val="FFFFFF" w:themeColor="background1"/>
                <w:sz w:val="16"/>
                <w:szCs w:val="16"/>
                <w:lang w:eastAsia="en-GB"/>
              </w:rPr>
            </w:pPr>
            <w:r w:rsidRPr="00EB27ED">
              <w:rPr>
                <w:rFonts w:eastAsia="Verdana" w:cs="Verdana"/>
                <w:bCs/>
                <w:noProof/>
                <w:color w:val="FFFFFF" w:themeColor="background1"/>
                <w:sz w:val="16"/>
                <w:szCs w:val="16"/>
                <w:lang w:eastAsia="en-GB"/>
              </w:rPr>
              <w:t>Total</w:t>
            </w:r>
            <w:r>
              <w:rPr>
                <w:rFonts w:eastAsia="Verdana" w:cs="Verdana"/>
                <w:bCs/>
                <w:noProof/>
                <w:color w:val="FFFFFF" w:themeColor="background1"/>
                <w:sz w:val="16"/>
                <w:szCs w:val="16"/>
                <w:lang w:eastAsia="en-GB"/>
              </w:rPr>
              <w:t> </w:t>
            </w:r>
            <w:r w:rsidRPr="00EB27ED">
              <w:rPr>
                <w:rFonts w:eastAsia="Verdana" w:cs="Verdana"/>
                <w:bCs/>
                <w:noProof/>
                <w:color w:val="FFFFFF" w:themeColor="background1"/>
                <w:sz w:val="16"/>
                <w:szCs w:val="16"/>
                <w:lang w:eastAsia="en-GB"/>
              </w:rPr>
              <w:t>value</w:t>
            </w:r>
          </w:p>
          <w:p w14:paraId="54F07DC7" w14:textId="07CDB148" w:rsidR="00EB27ED" w:rsidRPr="00EB27ED" w:rsidRDefault="00EB27ED" w:rsidP="00EB27ED">
            <w:pPr>
              <w:jc w:val="center"/>
              <w:rPr>
                <w:rFonts w:eastAsia="Verdana" w:cs="Verdana"/>
                <w:b w:val="0"/>
                <w:bCs/>
                <w:noProof/>
                <w:color w:val="FFFFFF" w:themeColor="background1"/>
                <w:sz w:val="16"/>
                <w:szCs w:val="16"/>
                <w:lang w:eastAsia="en-GB"/>
              </w:rPr>
            </w:pPr>
            <w:r w:rsidRPr="00EB27ED">
              <w:rPr>
                <w:rFonts w:eastAsia="Verdana" w:cs="Verdana"/>
                <w:bCs/>
                <w:noProof/>
                <w:color w:val="FFFFFF" w:themeColor="background1"/>
                <w:sz w:val="16"/>
                <w:szCs w:val="16"/>
                <w:lang w:eastAsia="en-GB"/>
              </w:rPr>
              <w:t>(AUD</w:t>
            </w:r>
            <w:r>
              <w:rPr>
                <w:rFonts w:eastAsia="Verdana" w:cs="Verdana"/>
                <w:bCs/>
                <w:noProof/>
                <w:color w:val="FFFFFF" w:themeColor="background1"/>
                <w:sz w:val="16"/>
                <w:szCs w:val="16"/>
                <w:lang w:eastAsia="en-GB"/>
              </w:rPr>
              <w:t> </w:t>
            </w:r>
            <w:r w:rsidRPr="00EB27ED">
              <w:rPr>
                <w:rFonts w:eastAsia="Verdana" w:cs="Verdana"/>
                <w:bCs/>
                <w:noProof/>
                <w:color w:val="FFFFFF" w:themeColor="background1"/>
                <w:sz w:val="16"/>
                <w:szCs w:val="16"/>
                <w:lang w:eastAsia="en-GB"/>
              </w:rPr>
              <w:t>million)</w:t>
            </w:r>
          </w:p>
        </w:tc>
      </w:tr>
      <w:tr w:rsidR="00DF6DBA" w14:paraId="14423BCF" w14:textId="77777777" w:rsidTr="009D66DC">
        <w:trPr>
          <w:trHeight w:val="78"/>
        </w:trPr>
        <w:tc>
          <w:tcPr>
            <w:tcW w:w="4199" w:type="pct"/>
          </w:tcPr>
          <w:p w14:paraId="37A976DA" w14:textId="77777777" w:rsidR="00BE7823" w:rsidRPr="00BE7823" w:rsidRDefault="00477F34" w:rsidP="00EB27ED">
            <w:pPr>
              <w:jc w:val="left"/>
              <w:rPr>
                <w:rFonts w:eastAsia="Verdana" w:cs="Verdana"/>
                <w:noProof/>
                <w:color w:val="000000"/>
                <w:szCs w:val="18"/>
              </w:rPr>
            </w:pPr>
            <w:r w:rsidRPr="00BE7823">
              <w:rPr>
                <w:rFonts w:eastAsia="Verdana" w:cs="Verdana"/>
                <w:b/>
                <w:bCs/>
                <w:noProof/>
                <w:color w:val="000000"/>
                <w:sz w:val="16"/>
                <w:szCs w:val="16"/>
                <w:lang w:eastAsia="en-GB"/>
              </w:rPr>
              <w:t>Bilateral research projects &amp; co-investment programmes</w:t>
            </w:r>
          </w:p>
        </w:tc>
        <w:tc>
          <w:tcPr>
            <w:tcW w:w="801" w:type="pct"/>
          </w:tcPr>
          <w:p w14:paraId="7B41540C" w14:textId="7916D1AC" w:rsidR="00BE7823" w:rsidRPr="00BE7823" w:rsidRDefault="00477F34" w:rsidP="00EB27ED">
            <w:pPr>
              <w:jc w:val="right"/>
              <w:rPr>
                <w:rFonts w:eastAsia="Verdana" w:cs="Verdana"/>
                <w:noProof/>
                <w:color w:val="000000"/>
                <w:szCs w:val="18"/>
              </w:rPr>
            </w:pPr>
            <w:r w:rsidRPr="00BE7823">
              <w:rPr>
                <w:rFonts w:eastAsia="Verdana" w:cs="Verdana"/>
                <w:b/>
                <w:bCs/>
                <w:noProof/>
                <w:color w:val="000000"/>
                <w:sz w:val="16"/>
                <w:szCs w:val="16"/>
                <w:lang w:eastAsia="en-GB"/>
              </w:rPr>
              <w:t>68.04</w:t>
            </w:r>
          </w:p>
        </w:tc>
      </w:tr>
      <w:tr w:rsidR="00DF6DBA" w14:paraId="7C135A06" w14:textId="77777777" w:rsidTr="009D66DC">
        <w:trPr>
          <w:cnfStyle w:val="000000010000" w:firstRow="0" w:lastRow="0" w:firstColumn="0" w:lastColumn="0" w:oddVBand="0" w:evenVBand="0" w:oddHBand="0" w:evenHBand="1" w:firstRowFirstColumn="0" w:firstRowLastColumn="0" w:lastRowFirstColumn="0" w:lastRowLastColumn="0"/>
          <w:trHeight w:val="78"/>
        </w:trPr>
        <w:tc>
          <w:tcPr>
            <w:tcW w:w="4199" w:type="pct"/>
          </w:tcPr>
          <w:p w14:paraId="4BFD39F5" w14:textId="77777777" w:rsidR="00BE7823" w:rsidRPr="00BE7823" w:rsidRDefault="00477F34" w:rsidP="00EB27ED">
            <w:pPr>
              <w:jc w:val="left"/>
              <w:rPr>
                <w:rFonts w:eastAsia="Verdana" w:cs="Verdana"/>
                <w:noProof/>
                <w:color w:val="000000"/>
                <w:szCs w:val="18"/>
              </w:rPr>
            </w:pPr>
            <w:r w:rsidRPr="00BE7823">
              <w:rPr>
                <w:rFonts w:eastAsia="Verdana" w:cs="Verdana"/>
                <w:i/>
                <w:iCs/>
                <w:noProof/>
                <w:color w:val="000000"/>
                <w:sz w:val="16"/>
                <w:szCs w:val="16"/>
                <w:lang w:eastAsia="en-GB"/>
              </w:rPr>
              <w:t>East &amp; South-East Asia</w:t>
            </w:r>
          </w:p>
        </w:tc>
        <w:tc>
          <w:tcPr>
            <w:tcW w:w="801" w:type="pct"/>
          </w:tcPr>
          <w:p w14:paraId="4CA549F7" w14:textId="7B76AE5D" w:rsidR="00BE7823" w:rsidRPr="00BE7823" w:rsidRDefault="00477F34" w:rsidP="00EB27ED">
            <w:pPr>
              <w:jc w:val="right"/>
              <w:rPr>
                <w:rFonts w:eastAsia="Verdana" w:cs="Verdana"/>
                <w:noProof/>
                <w:color w:val="000000"/>
                <w:szCs w:val="18"/>
              </w:rPr>
            </w:pPr>
            <w:r w:rsidRPr="00BE7823">
              <w:rPr>
                <w:rFonts w:eastAsia="Verdana" w:cs="Verdana"/>
                <w:noProof/>
                <w:color w:val="000000"/>
                <w:sz w:val="16"/>
                <w:szCs w:val="16"/>
                <w:lang w:eastAsia="en-GB"/>
              </w:rPr>
              <w:t>27.88</w:t>
            </w:r>
          </w:p>
        </w:tc>
      </w:tr>
      <w:tr w:rsidR="00DF6DBA" w14:paraId="05EA8157" w14:textId="77777777" w:rsidTr="009D66DC">
        <w:trPr>
          <w:trHeight w:val="78"/>
        </w:trPr>
        <w:tc>
          <w:tcPr>
            <w:tcW w:w="4199" w:type="pct"/>
          </w:tcPr>
          <w:p w14:paraId="0D719B75" w14:textId="77777777" w:rsidR="00BE7823" w:rsidRPr="00BE7823" w:rsidRDefault="00477F34" w:rsidP="00EB27ED">
            <w:pPr>
              <w:jc w:val="left"/>
              <w:rPr>
                <w:rFonts w:eastAsia="Verdana" w:cs="Verdana"/>
                <w:noProof/>
                <w:color w:val="000000"/>
                <w:szCs w:val="18"/>
              </w:rPr>
            </w:pPr>
            <w:r w:rsidRPr="00BE7823">
              <w:rPr>
                <w:rFonts w:eastAsia="Verdana" w:cs="Verdana"/>
                <w:i/>
                <w:iCs/>
                <w:noProof/>
                <w:color w:val="000000"/>
                <w:sz w:val="16"/>
                <w:szCs w:val="16"/>
                <w:lang w:eastAsia="en-GB"/>
              </w:rPr>
              <w:t>Pacific</w:t>
            </w:r>
          </w:p>
        </w:tc>
        <w:tc>
          <w:tcPr>
            <w:tcW w:w="801" w:type="pct"/>
          </w:tcPr>
          <w:p w14:paraId="5A6593F8" w14:textId="130C21CB" w:rsidR="00BE7823" w:rsidRPr="00BE7823" w:rsidRDefault="00477F34" w:rsidP="00EB27ED">
            <w:pPr>
              <w:jc w:val="right"/>
              <w:rPr>
                <w:rFonts w:eastAsia="Verdana" w:cs="Verdana"/>
                <w:noProof/>
                <w:color w:val="000000"/>
                <w:szCs w:val="18"/>
              </w:rPr>
            </w:pPr>
            <w:r w:rsidRPr="00BE7823">
              <w:rPr>
                <w:rFonts w:eastAsia="Verdana" w:cs="Verdana"/>
                <w:noProof/>
                <w:color w:val="000000"/>
                <w:sz w:val="16"/>
                <w:szCs w:val="16"/>
                <w:lang w:eastAsia="en-GB"/>
              </w:rPr>
              <w:t>19.65</w:t>
            </w:r>
          </w:p>
        </w:tc>
      </w:tr>
      <w:tr w:rsidR="00DF6DBA" w14:paraId="486AB6E5" w14:textId="77777777" w:rsidTr="009D66DC">
        <w:trPr>
          <w:cnfStyle w:val="000000010000" w:firstRow="0" w:lastRow="0" w:firstColumn="0" w:lastColumn="0" w:oddVBand="0" w:evenVBand="0" w:oddHBand="0" w:evenHBand="1" w:firstRowFirstColumn="0" w:firstRowLastColumn="0" w:lastRowFirstColumn="0" w:lastRowLastColumn="0"/>
          <w:trHeight w:val="78"/>
        </w:trPr>
        <w:tc>
          <w:tcPr>
            <w:tcW w:w="4199" w:type="pct"/>
          </w:tcPr>
          <w:p w14:paraId="10709DD5" w14:textId="77777777" w:rsidR="00BE7823" w:rsidRPr="00BE7823" w:rsidRDefault="00477F34" w:rsidP="00EB27ED">
            <w:pPr>
              <w:jc w:val="left"/>
              <w:rPr>
                <w:rFonts w:eastAsia="Verdana" w:cs="Verdana"/>
                <w:noProof/>
                <w:color w:val="000000"/>
                <w:szCs w:val="18"/>
              </w:rPr>
            </w:pPr>
            <w:r w:rsidRPr="00BE7823">
              <w:rPr>
                <w:rFonts w:eastAsia="Verdana" w:cs="Verdana"/>
                <w:i/>
                <w:iCs/>
                <w:noProof/>
                <w:color w:val="000000"/>
                <w:sz w:val="16"/>
                <w:szCs w:val="16"/>
                <w:lang w:eastAsia="en-GB"/>
              </w:rPr>
              <w:t>South Asia</w:t>
            </w:r>
          </w:p>
        </w:tc>
        <w:tc>
          <w:tcPr>
            <w:tcW w:w="801" w:type="pct"/>
          </w:tcPr>
          <w:p w14:paraId="4B63A2D6" w14:textId="537933E6" w:rsidR="00BE7823" w:rsidRPr="00BE7823" w:rsidRDefault="00477F34" w:rsidP="00EB27ED">
            <w:pPr>
              <w:jc w:val="right"/>
              <w:rPr>
                <w:rFonts w:eastAsia="Verdana" w:cs="Verdana"/>
                <w:noProof/>
                <w:color w:val="000000"/>
                <w:szCs w:val="18"/>
              </w:rPr>
            </w:pPr>
            <w:r w:rsidRPr="00BE7823">
              <w:rPr>
                <w:rFonts w:eastAsia="Verdana" w:cs="Verdana"/>
                <w:noProof/>
                <w:color w:val="000000"/>
                <w:sz w:val="16"/>
                <w:szCs w:val="16"/>
                <w:lang w:eastAsia="en-GB"/>
              </w:rPr>
              <w:t>10.90</w:t>
            </w:r>
          </w:p>
        </w:tc>
      </w:tr>
      <w:tr w:rsidR="00DF6DBA" w14:paraId="7A0117C4" w14:textId="77777777" w:rsidTr="009D66DC">
        <w:trPr>
          <w:trHeight w:val="78"/>
        </w:trPr>
        <w:tc>
          <w:tcPr>
            <w:tcW w:w="4199" w:type="pct"/>
          </w:tcPr>
          <w:p w14:paraId="40F75026" w14:textId="77777777" w:rsidR="00BE7823" w:rsidRPr="00BE7823" w:rsidRDefault="00477F34" w:rsidP="00EB27ED">
            <w:pPr>
              <w:jc w:val="left"/>
              <w:rPr>
                <w:rFonts w:eastAsia="Verdana" w:cs="Verdana"/>
                <w:noProof/>
                <w:color w:val="000000"/>
                <w:szCs w:val="18"/>
              </w:rPr>
            </w:pPr>
            <w:r w:rsidRPr="00BE7823">
              <w:rPr>
                <w:rFonts w:eastAsia="Verdana" w:cs="Verdana"/>
                <w:i/>
                <w:iCs/>
                <w:noProof/>
                <w:color w:val="000000"/>
                <w:sz w:val="16"/>
                <w:szCs w:val="16"/>
                <w:lang w:eastAsia="en-GB"/>
              </w:rPr>
              <w:t>Eastern &amp; Southern Africa</w:t>
            </w:r>
          </w:p>
        </w:tc>
        <w:tc>
          <w:tcPr>
            <w:tcW w:w="801" w:type="pct"/>
          </w:tcPr>
          <w:p w14:paraId="6ACA9D4A" w14:textId="6BC8DF82" w:rsidR="00BE7823" w:rsidRPr="00BE7823" w:rsidRDefault="00477F34" w:rsidP="00EB27ED">
            <w:pPr>
              <w:jc w:val="right"/>
              <w:rPr>
                <w:rFonts w:eastAsia="Verdana" w:cs="Verdana"/>
                <w:noProof/>
                <w:color w:val="000000"/>
                <w:szCs w:val="18"/>
              </w:rPr>
            </w:pPr>
            <w:r w:rsidRPr="00BE7823">
              <w:rPr>
                <w:rFonts w:eastAsia="Verdana" w:cs="Verdana"/>
                <w:noProof/>
                <w:color w:val="000000"/>
                <w:sz w:val="16"/>
                <w:szCs w:val="16"/>
                <w:lang w:eastAsia="en-GB"/>
              </w:rPr>
              <w:t>9.61</w:t>
            </w:r>
          </w:p>
        </w:tc>
      </w:tr>
      <w:tr w:rsidR="00DF6DBA" w14:paraId="25522565" w14:textId="77777777" w:rsidTr="009D66DC">
        <w:trPr>
          <w:cnfStyle w:val="000000010000" w:firstRow="0" w:lastRow="0" w:firstColumn="0" w:lastColumn="0" w:oddVBand="0" w:evenVBand="0" w:oddHBand="0" w:evenHBand="1" w:firstRowFirstColumn="0" w:firstRowLastColumn="0" w:lastRowFirstColumn="0" w:lastRowLastColumn="0"/>
          <w:trHeight w:val="78"/>
        </w:trPr>
        <w:tc>
          <w:tcPr>
            <w:tcW w:w="4199" w:type="pct"/>
          </w:tcPr>
          <w:p w14:paraId="16F9AC06" w14:textId="77777777" w:rsidR="00BE7823" w:rsidRPr="00BE7823" w:rsidRDefault="00477F34" w:rsidP="00EB27ED">
            <w:pPr>
              <w:jc w:val="left"/>
              <w:rPr>
                <w:rFonts w:eastAsia="Verdana" w:cs="Verdana"/>
                <w:noProof/>
                <w:color w:val="000000"/>
                <w:szCs w:val="18"/>
              </w:rPr>
            </w:pPr>
            <w:r w:rsidRPr="00BE7823">
              <w:rPr>
                <w:rFonts w:eastAsia="Verdana" w:cs="Verdana"/>
                <w:b/>
                <w:bCs/>
                <w:noProof/>
                <w:color w:val="000000"/>
                <w:sz w:val="16"/>
                <w:szCs w:val="16"/>
                <w:lang w:eastAsia="en-GB"/>
              </w:rPr>
              <w:t xml:space="preserve">Multilateral partnerships (including funding for </w:t>
            </w:r>
            <w:r w:rsidRPr="00BE7823">
              <w:rPr>
                <w:rFonts w:eastAsia="Verdana" w:cs="Verdana"/>
                <w:b/>
                <w:bCs/>
                <w:noProof/>
                <w:color w:val="000000"/>
                <w:sz w:val="16"/>
                <w:szCs w:val="16"/>
                <w:lang w:val="en-US"/>
              </w:rPr>
              <w:t>international agricultural research centers including CGIAR)</w:t>
            </w:r>
          </w:p>
        </w:tc>
        <w:tc>
          <w:tcPr>
            <w:tcW w:w="801" w:type="pct"/>
          </w:tcPr>
          <w:p w14:paraId="0349125D" w14:textId="14338015" w:rsidR="00BE7823" w:rsidRPr="00BE7823" w:rsidRDefault="00477F34" w:rsidP="00EB27ED">
            <w:pPr>
              <w:jc w:val="right"/>
              <w:rPr>
                <w:rFonts w:eastAsia="Verdana" w:cs="Verdana"/>
                <w:noProof/>
                <w:color w:val="000000"/>
                <w:szCs w:val="18"/>
              </w:rPr>
            </w:pPr>
            <w:r w:rsidRPr="00BE7823">
              <w:rPr>
                <w:rFonts w:eastAsia="Verdana" w:cs="Verdana"/>
                <w:b/>
                <w:bCs/>
                <w:noProof/>
                <w:color w:val="000000"/>
                <w:sz w:val="16"/>
                <w:szCs w:val="16"/>
                <w:lang w:eastAsia="en-GB"/>
              </w:rPr>
              <w:t>19.97</w:t>
            </w:r>
          </w:p>
        </w:tc>
      </w:tr>
      <w:tr w:rsidR="00DF6DBA" w14:paraId="5F8308EA" w14:textId="77777777" w:rsidTr="009D66DC">
        <w:trPr>
          <w:trHeight w:val="78"/>
        </w:trPr>
        <w:tc>
          <w:tcPr>
            <w:tcW w:w="4199" w:type="pct"/>
          </w:tcPr>
          <w:p w14:paraId="5B716298" w14:textId="77777777" w:rsidR="00BE7823" w:rsidRPr="00BE7823" w:rsidRDefault="00477F34" w:rsidP="00EB27ED">
            <w:pPr>
              <w:jc w:val="left"/>
              <w:rPr>
                <w:rFonts w:eastAsia="Verdana" w:cs="Verdana"/>
                <w:noProof/>
                <w:color w:val="000000"/>
                <w:szCs w:val="18"/>
              </w:rPr>
            </w:pPr>
            <w:r w:rsidRPr="00BE7823">
              <w:rPr>
                <w:rFonts w:eastAsia="Verdana" w:cs="Verdana"/>
                <w:b/>
                <w:bCs/>
                <w:noProof/>
                <w:color w:val="000000"/>
                <w:sz w:val="16"/>
                <w:szCs w:val="16"/>
                <w:lang w:eastAsia="en-GB"/>
              </w:rPr>
              <w:t>Programme support</w:t>
            </w:r>
          </w:p>
        </w:tc>
        <w:tc>
          <w:tcPr>
            <w:tcW w:w="801" w:type="pct"/>
          </w:tcPr>
          <w:p w14:paraId="27E035F7" w14:textId="16C550DE" w:rsidR="00BE7823" w:rsidRPr="00BE7823" w:rsidRDefault="00477F34" w:rsidP="00EB27ED">
            <w:pPr>
              <w:jc w:val="right"/>
              <w:rPr>
                <w:rFonts w:eastAsia="Verdana" w:cs="Verdana"/>
                <w:noProof/>
                <w:color w:val="000000"/>
                <w:szCs w:val="18"/>
              </w:rPr>
            </w:pPr>
            <w:r w:rsidRPr="00BE7823">
              <w:rPr>
                <w:rFonts w:eastAsia="Verdana" w:cs="Verdana"/>
                <w:b/>
                <w:bCs/>
                <w:noProof/>
                <w:color w:val="000000"/>
                <w:sz w:val="16"/>
                <w:szCs w:val="16"/>
                <w:lang w:eastAsia="en-GB"/>
              </w:rPr>
              <w:t>8.88</w:t>
            </w:r>
          </w:p>
        </w:tc>
      </w:tr>
      <w:tr w:rsidR="00DF6DBA" w14:paraId="74CE59D9" w14:textId="77777777" w:rsidTr="009D66DC">
        <w:trPr>
          <w:cnfStyle w:val="000000010000" w:firstRow="0" w:lastRow="0" w:firstColumn="0" w:lastColumn="0" w:oddVBand="0" w:evenVBand="0" w:oddHBand="0" w:evenHBand="1" w:firstRowFirstColumn="0" w:firstRowLastColumn="0" w:lastRowFirstColumn="0" w:lastRowLastColumn="0"/>
          <w:trHeight w:val="78"/>
        </w:trPr>
        <w:tc>
          <w:tcPr>
            <w:tcW w:w="4199" w:type="pct"/>
          </w:tcPr>
          <w:p w14:paraId="40F9DE16" w14:textId="77777777" w:rsidR="00BE7823" w:rsidRPr="00BE7823" w:rsidRDefault="00477F34" w:rsidP="00EB27ED">
            <w:pPr>
              <w:jc w:val="left"/>
              <w:rPr>
                <w:rFonts w:eastAsia="Verdana" w:cs="Verdana"/>
                <w:noProof/>
                <w:color w:val="000000"/>
                <w:szCs w:val="18"/>
              </w:rPr>
            </w:pPr>
            <w:r w:rsidRPr="00BE7823">
              <w:rPr>
                <w:rFonts w:eastAsia="Verdana" w:cs="Verdana"/>
                <w:b/>
                <w:bCs/>
                <w:noProof/>
                <w:color w:val="000000"/>
                <w:sz w:val="16"/>
                <w:szCs w:val="16"/>
                <w:lang w:eastAsia="en-GB"/>
              </w:rPr>
              <w:t>Capacity building</w:t>
            </w:r>
          </w:p>
        </w:tc>
        <w:tc>
          <w:tcPr>
            <w:tcW w:w="801" w:type="pct"/>
          </w:tcPr>
          <w:p w14:paraId="4CC9CD1B" w14:textId="2ABC00B5" w:rsidR="00BE7823" w:rsidRPr="00BE7823" w:rsidRDefault="00477F34" w:rsidP="00EB27ED">
            <w:pPr>
              <w:jc w:val="right"/>
              <w:rPr>
                <w:rFonts w:eastAsia="Verdana" w:cs="Verdana"/>
                <w:noProof/>
                <w:color w:val="000000"/>
                <w:szCs w:val="18"/>
              </w:rPr>
            </w:pPr>
            <w:r w:rsidRPr="00BE7823">
              <w:rPr>
                <w:rFonts w:eastAsia="Verdana" w:cs="Verdana"/>
                <w:b/>
                <w:bCs/>
                <w:noProof/>
                <w:color w:val="000000"/>
                <w:sz w:val="16"/>
                <w:szCs w:val="16"/>
                <w:lang w:eastAsia="en-GB"/>
              </w:rPr>
              <w:t>5.11</w:t>
            </w:r>
          </w:p>
        </w:tc>
      </w:tr>
      <w:tr w:rsidR="00DF6DBA" w14:paraId="4FEA779B" w14:textId="77777777" w:rsidTr="009D66DC">
        <w:trPr>
          <w:trHeight w:val="78"/>
        </w:trPr>
        <w:tc>
          <w:tcPr>
            <w:tcW w:w="4199" w:type="pct"/>
          </w:tcPr>
          <w:p w14:paraId="2B59E041" w14:textId="77777777" w:rsidR="00BE7823" w:rsidRPr="00BE7823" w:rsidRDefault="00477F34" w:rsidP="00EB27ED">
            <w:pPr>
              <w:jc w:val="left"/>
              <w:rPr>
                <w:rFonts w:eastAsia="Verdana" w:cs="Verdana"/>
                <w:noProof/>
                <w:color w:val="000000"/>
                <w:szCs w:val="18"/>
              </w:rPr>
            </w:pPr>
            <w:r w:rsidRPr="00BE7823">
              <w:rPr>
                <w:rFonts w:eastAsia="Verdana" w:cs="Verdana"/>
                <w:b/>
                <w:bCs/>
                <w:noProof/>
                <w:color w:val="000000"/>
                <w:sz w:val="16"/>
                <w:szCs w:val="16"/>
                <w:lang w:eastAsia="en-GB"/>
              </w:rPr>
              <w:t>Outreach</w:t>
            </w:r>
          </w:p>
        </w:tc>
        <w:tc>
          <w:tcPr>
            <w:tcW w:w="801" w:type="pct"/>
          </w:tcPr>
          <w:p w14:paraId="31FCF25C" w14:textId="0973F21B" w:rsidR="00BE7823" w:rsidRPr="00BE7823" w:rsidRDefault="00477F34" w:rsidP="00EB27ED">
            <w:pPr>
              <w:jc w:val="right"/>
              <w:rPr>
                <w:rFonts w:eastAsia="Verdana" w:cs="Verdana"/>
                <w:noProof/>
                <w:color w:val="000000"/>
                <w:szCs w:val="18"/>
              </w:rPr>
            </w:pPr>
            <w:r w:rsidRPr="00BE7823">
              <w:rPr>
                <w:rFonts w:eastAsia="Verdana" w:cs="Verdana"/>
                <w:b/>
                <w:bCs/>
                <w:noProof/>
                <w:color w:val="000000"/>
                <w:sz w:val="16"/>
                <w:szCs w:val="16"/>
                <w:lang w:eastAsia="en-GB"/>
              </w:rPr>
              <w:t>2.05</w:t>
            </w:r>
          </w:p>
        </w:tc>
      </w:tr>
      <w:tr w:rsidR="00DF6DBA" w14:paraId="7D30CB4E" w14:textId="77777777" w:rsidTr="009D66DC">
        <w:trPr>
          <w:cnfStyle w:val="000000010000" w:firstRow="0" w:lastRow="0" w:firstColumn="0" w:lastColumn="0" w:oddVBand="0" w:evenVBand="0" w:oddHBand="0" w:evenHBand="1" w:firstRowFirstColumn="0" w:firstRowLastColumn="0" w:lastRowFirstColumn="0" w:lastRowLastColumn="0"/>
          <w:trHeight w:val="78"/>
        </w:trPr>
        <w:tc>
          <w:tcPr>
            <w:tcW w:w="4199" w:type="pct"/>
          </w:tcPr>
          <w:p w14:paraId="70FB5A62" w14:textId="77777777" w:rsidR="00BE7823" w:rsidRPr="00BE7823" w:rsidRDefault="00477F34" w:rsidP="00EB27ED">
            <w:pPr>
              <w:jc w:val="left"/>
              <w:rPr>
                <w:rFonts w:eastAsia="Verdana" w:cs="Verdana"/>
                <w:noProof/>
                <w:color w:val="000000"/>
                <w:szCs w:val="18"/>
              </w:rPr>
            </w:pPr>
            <w:r w:rsidRPr="00BE7823">
              <w:rPr>
                <w:rFonts w:eastAsia="Verdana" w:cs="Verdana"/>
                <w:b/>
                <w:bCs/>
                <w:noProof/>
                <w:color w:val="000000"/>
                <w:sz w:val="16"/>
                <w:szCs w:val="16"/>
                <w:lang w:eastAsia="en-GB"/>
              </w:rPr>
              <w:t>Impact evaluation</w:t>
            </w:r>
          </w:p>
        </w:tc>
        <w:tc>
          <w:tcPr>
            <w:tcW w:w="801" w:type="pct"/>
          </w:tcPr>
          <w:p w14:paraId="75C76313" w14:textId="401B9AD3" w:rsidR="00BE7823" w:rsidRPr="00BE7823" w:rsidRDefault="00477F34" w:rsidP="00EB27ED">
            <w:pPr>
              <w:jc w:val="right"/>
              <w:rPr>
                <w:rFonts w:eastAsia="Verdana" w:cs="Verdana"/>
                <w:noProof/>
                <w:color w:val="000000"/>
                <w:szCs w:val="18"/>
              </w:rPr>
            </w:pPr>
            <w:r w:rsidRPr="00BE7823">
              <w:rPr>
                <w:rFonts w:eastAsia="Verdana" w:cs="Verdana"/>
                <w:b/>
                <w:bCs/>
                <w:noProof/>
                <w:color w:val="000000"/>
                <w:sz w:val="16"/>
                <w:szCs w:val="16"/>
                <w:lang w:eastAsia="en-GB"/>
              </w:rPr>
              <w:t>0.13</w:t>
            </w:r>
          </w:p>
        </w:tc>
      </w:tr>
      <w:tr w:rsidR="00DF6DBA" w14:paraId="502CA0E9" w14:textId="77777777" w:rsidTr="009D66DC">
        <w:trPr>
          <w:trHeight w:val="78"/>
        </w:trPr>
        <w:tc>
          <w:tcPr>
            <w:tcW w:w="4199" w:type="pct"/>
          </w:tcPr>
          <w:p w14:paraId="53F475D5" w14:textId="77777777" w:rsidR="00BE7823" w:rsidRPr="00BE7823" w:rsidRDefault="00477F34" w:rsidP="00EB27ED">
            <w:pPr>
              <w:jc w:val="left"/>
              <w:rPr>
                <w:rFonts w:eastAsia="Verdana" w:cs="Verdana"/>
                <w:noProof/>
                <w:color w:val="000000"/>
                <w:szCs w:val="18"/>
              </w:rPr>
            </w:pPr>
            <w:r w:rsidRPr="00BE7823">
              <w:rPr>
                <w:rFonts w:eastAsia="Verdana" w:cs="Verdana"/>
                <w:b/>
                <w:bCs/>
                <w:noProof/>
                <w:color w:val="000000"/>
                <w:sz w:val="16"/>
                <w:szCs w:val="16"/>
                <w:lang w:eastAsia="en-GB"/>
              </w:rPr>
              <w:t>TOTAL</w:t>
            </w:r>
          </w:p>
        </w:tc>
        <w:tc>
          <w:tcPr>
            <w:tcW w:w="801" w:type="pct"/>
          </w:tcPr>
          <w:p w14:paraId="64594804" w14:textId="0ACED8A6" w:rsidR="00BE7823" w:rsidRPr="00BE7823" w:rsidRDefault="00477F34" w:rsidP="00EB27ED">
            <w:pPr>
              <w:jc w:val="right"/>
              <w:rPr>
                <w:rFonts w:eastAsia="Verdana" w:cs="Verdana"/>
                <w:noProof/>
                <w:color w:val="000000"/>
                <w:szCs w:val="18"/>
              </w:rPr>
            </w:pPr>
            <w:r w:rsidRPr="00BE7823">
              <w:rPr>
                <w:rFonts w:eastAsia="Verdana" w:cs="Verdana"/>
                <w:b/>
                <w:bCs/>
                <w:noProof/>
                <w:color w:val="000000"/>
                <w:sz w:val="16"/>
                <w:szCs w:val="16"/>
                <w:lang w:eastAsia="en-GB"/>
              </w:rPr>
              <w:t>104.18</w:t>
            </w:r>
          </w:p>
        </w:tc>
      </w:tr>
    </w:tbl>
    <w:p w14:paraId="5B25F438" w14:textId="5FF3B90F" w:rsidR="00BE7823" w:rsidRPr="00F25582" w:rsidRDefault="00477F34" w:rsidP="00F25582">
      <w:pPr>
        <w:pStyle w:val="NoteText"/>
        <w:spacing w:before="120"/>
        <w:rPr>
          <w:lang w:val="fr-CH"/>
        </w:rPr>
      </w:pPr>
      <w:r w:rsidRPr="00F25582">
        <w:rPr>
          <w:lang w:val="fr-CH"/>
        </w:rPr>
        <w:t>Source:</w:t>
      </w:r>
      <w:r w:rsidR="00E519C9">
        <w:rPr>
          <w:lang w:val="fr-CH"/>
        </w:rPr>
        <w:t xml:space="preserve"> </w:t>
      </w:r>
      <w:r w:rsidRPr="00F25582">
        <w:rPr>
          <w:lang w:val="fr-CH"/>
        </w:rPr>
        <w:t>ACIAR.</w:t>
      </w:r>
    </w:p>
    <w:p w14:paraId="070E748A" w14:textId="509974AD" w:rsidR="00F25582" w:rsidRDefault="00F25582" w:rsidP="00F25582">
      <w:pPr>
        <w:rPr>
          <w:noProof/>
        </w:rPr>
      </w:pPr>
    </w:p>
    <w:p w14:paraId="2A1DE093" w14:textId="573D2511" w:rsidR="00F25582" w:rsidRPr="00F25582" w:rsidRDefault="00F25582" w:rsidP="00F25582">
      <w:pPr>
        <w:jc w:val="center"/>
        <w:rPr>
          <w:noProof/>
        </w:rPr>
      </w:pPr>
      <w:r>
        <w:rPr>
          <w:b/>
          <w:noProof/>
        </w:rPr>
        <w:t>__________</w:t>
      </w:r>
    </w:p>
    <w:sectPr w:rsidR="00F25582" w:rsidRPr="00F25582" w:rsidSect="00AB371A">
      <w:type w:val="continuous"/>
      <w:pgSz w:w="11906" w:h="16838" w:code="9"/>
      <w:pgMar w:top="1699" w:right="1440" w:bottom="562"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D3066" w14:textId="77777777" w:rsidR="007061D8" w:rsidRDefault="00477F34">
      <w:r>
        <w:separator/>
      </w:r>
    </w:p>
  </w:endnote>
  <w:endnote w:type="continuationSeparator" w:id="0">
    <w:p w14:paraId="7B7BFB07" w14:textId="77777777" w:rsidR="007061D8" w:rsidRDefault="0047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152C" w14:textId="49D9E8DB" w:rsidR="00373965" w:rsidRPr="00A230B4" w:rsidRDefault="00A230B4" w:rsidP="00A230B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FF62" w14:textId="323474BE" w:rsidR="00373965" w:rsidRPr="00A230B4" w:rsidRDefault="00A230B4" w:rsidP="00A230B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E030" w14:textId="77777777" w:rsidR="004D4DCE" w:rsidRDefault="004D4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EB8FD" w14:textId="77777777" w:rsidR="00496701" w:rsidRDefault="00477F34" w:rsidP="00ED54E0">
      <w:r>
        <w:separator/>
      </w:r>
    </w:p>
  </w:footnote>
  <w:footnote w:type="continuationSeparator" w:id="0">
    <w:p w14:paraId="15D3330B" w14:textId="77777777" w:rsidR="00496701" w:rsidRDefault="00477F34" w:rsidP="00ED54E0">
      <w:r>
        <w:continuationSeparator/>
      </w:r>
    </w:p>
  </w:footnote>
  <w:footnote w:id="1">
    <w:p w14:paraId="043BBAA6" w14:textId="59B9B062" w:rsidR="009B7913" w:rsidRPr="009B7913" w:rsidRDefault="009B7913">
      <w:pPr>
        <w:pStyle w:val="FootnoteText"/>
      </w:pPr>
      <w:r>
        <w:rPr>
          <w:rStyle w:val="FootnoteReference"/>
        </w:rPr>
        <w:footnoteRef/>
      </w:r>
      <w:r>
        <w:t xml:space="preserve"> </w:t>
      </w:r>
      <w:r w:rsidRPr="009B7913">
        <w:t>Based on Least-Developed Countries as recognised by the Economic and Social Council of the UN.</w:t>
      </w:r>
    </w:p>
  </w:footnote>
  <w:footnote w:id="2">
    <w:p w14:paraId="7362D3E1" w14:textId="7EA231C3" w:rsidR="009B7913" w:rsidRPr="009B7913" w:rsidRDefault="009B7913">
      <w:pPr>
        <w:pStyle w:val="FootnoteText"/>
      </w:pPr>
      <w:r>
        <w:rPr>
          <w:rStyle w:val="FootnoteReference"/>
        </w:rPr>
        <w:footnoteRef/>
      </w:r>
      <w:r>
        <w:t xml:space="preserve"> </w:t>
      </w:r>
      <w:r w:rsidRPr="009B7913">
        <w:t>See G/AG/5/Rev/10 of 23 March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3EF1" w14:textId="77777777" w:rsidR="00A230B4" w:rsidRPr="00A230B4" w:rsidRDefault="00A230B4" w:rsidP="00A230B4">
    <w:pPr>
      <w:pStyle w:val="Header"/>
      <w:pBdr>
        <w:bottom w:val="single" w:sz="4" w:space="1" w:color="auto"/>
      </w:pBdr>
      <w:tabs>
        <w:tab w:val="clear" w:pos="4513"/>
        <w:tab w:val="clear" w:pos="9027"/>
      </w:tabs>
      <w:jc w:val="center"/>
    </w:pPr>
    <w:r w:rsidRPr="00A230B4">
      <w:t>G/AG/N/AUS/143</w:t>
    </w:r>
  </w:p>
  <w:p w14:paraId="38330DD3" w14:textId="77777777" w:rsidR="00A230B4" w:rsidRPr="00A230B4" w:rsidRDefault="00A230B4" w:rsidP="00A230B4">
    <w:pPr>
      <w:pStyle w:val="Header"/>
      <w:pBdr>
        <w:bottom w:val="single" w:sz="4" w:space="1" w:color="auto"/>
      </w:pBdr>
      <w:tabs>
        <w:tab w:val="clear" w:pos="4513"/>
        <w:tab w:val="clear" w:pos="9027"/>
      </w:tabs>
      <w:jc w:val="center"/>
    </w:pPr>
  </w:p>
  <w:p w14:paraId="24E76CEF" w14:textId="1816A7E0" w:rsidR="00A230B4" w:rsidRPr="00A230B4" w:rsidRDefault="00A230B4" w:rsidP="00A230B4">
    <w:pPr>
      <w:pStyle w:val="Header"/>
      <w:pBdr>
        <w:bottom w:val="single" w:sz="4" w:space="1" w:color="auto"/>
      </w:pBdr>
      <w:tabs>
        <w:tab w:val="clear" w:pos="4513"/>
        <w:tab w:val="clear" w:pos="9027"/>
      </w:tabs>
      <w:jc w:val="center"/>
    </w:pPr>
    <w:r w:rsidRPr="00A230B4">
      <w:t xml:space="preserve">- </w:t>
    </w:r>
    <w:r w:rsidRPr="00A230B4">
      <w:fldChar w:fldCharType="begin"/>
    </w:r>
    <w:r w:rsidRPr="00A230B4">
      <w:instrText xml:space="preserve"> PAGE </w:instrText>
    </w:r>
    <w:r w:rsidRPr="00A230B4">
      <w:fldChar w:fldCharType="separate"/>
    </w:r>
    <w:r w:rsidRPr="00A230B4">
      <w:rPr>
        <w:noProof/>
      </w:rPr>
      <w:t>2</w:t>
    </w:r>
    <w:r w:rsidRPr="00A230B4">
      <w:fldChar w:fldCharType="end"/>
    </w:r>
    <w:r w:rsidRPr="00A230B4">
      <w:t xml:space="preserve"> -</w:t>
    </w:r>
  </w:p>
  <w:p w14:paraId="301A7978" w14:textId="36C4546B" w:rsidR="00373965" w:rsidRPr="00A230B4" w:rsidRDefault="005007C8" w:rsidP="00A230B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B307" w14:textId="77777777" w:rsidR="00A230B4" w:rsidRPr="00A230B4" w:rsidRDefault="00A230B4" w:rsidP="00A230B4">
    <w:pPr>
      <w:pStyle w:val="Header"/>
      <w:pBdr>
        <w:bottom w:val="single" w:sz="4" w:space="1" w:color="auto"/>
      </w:pBdr>
      <w:tabs>
        <w:tab w:val="clear" w:pos="4513"/>
        <w:tab w:val="clear" w:pos="9027"/>
      </w:tabs>
      <w:jc w:val="center"/>
    </w:pPr>
    <w:r w:rsidRPr="00A230B4">
      <w:t>G/AG/N/AUS/143</w:t>
    </w:r>
  </w:p>
  <w:p w14:paraId="02F2C6E1" w14:textId="77777777" w:rsidR="00A230B4" w:rsidRPr="00A230B4" w:rsidRDefault="00A230B4" w:rsidP="00A230B4">
    <w:pPr>
      <w:pStyle w:val="Header"/>
      <w:pBdr>
        <w:bottom w:val="single" w:sz="4" w:space="1" w:color="auto"/>
      </w:pBdr>
      <w:tabs>
        <w:tab w:val="clear" w:pos="4513"/>
        <w:tab w:val="clear" w:pos="9027"/>
      </w:tabs>
      <w:jc w:val="center"/>
    </w:pPr>
  </w:p>
  <w:p w14:paraId="385D0BBE" w14:textId="5AF4F89F" w:rsidR="00A230B4" w:rsidRPr="00A230B4" w:rsidRDefault="00A230B4" w:rsidP="00A230B4">
    <w:pPr>
      <w:pStyle w:val="Header"/>
      <w:pBdr>
        <w:bottom w:val="single" w:sz="4" w:space="1" w:color="auto"/>
      </w:pBdr>
      <w:tabs>
        <w:tab w:val="clear" w:pos="4513"/>
        <w:tab w:val="clear" w:pos="9027"/>
      </w:tabs>
      <w:jc w:val="center"/>
    </w:pPr>
    <w:r w:rsidRPr="00A230B4">
      <w:t xml:space="preserve">- </w:t>
    </w:r>
    <w:r w:rsidRPr="00A230B4">
      <w:fldChar w:fldCharType="begin"/>
    </w:r>
    <w:r w:rsidRPr="00A230B4">
      <w:instrText xml:space="preserve"> PAGE </w:instrText>
    </w:r>
    <w:r w:rsidRPr="00A230B4">
      <w:fldChar w:fldCharType="separate"/>
    </w:r>
    <w:r w:rsidRPr="00A230B4">
      <w:rPr>
        <w:noProof/>
      </w:rPr>
      <w:t>3</w:t>
    </w:r>
    <w:r w:rsidRPr="00A230B4">
      <w:fldChar w:fldCharType="end"/>
    </w:r>
    <w:r w:rsidRPr="00A230B4">
      <w:t xml:space="preserve"> -</w:t>
    </w:r>
  </w:p>
  <w:p w14:paraId="7A178F7A" w14:textId="47C70023" w:rsidR="00373965" w:rsidRPr="00A230B4" w:rsidRDefault="005007C8" w:rsidP="00A230B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F6DBA" w14:paraId="2DF5C64E" w14:textId="77777777" w:rsidTr="00565F20">
      <w:trPr>
        <w:trHeight w:val="240"/>
        <w:jc w:val="center"/>
      </w:trPr>
      <w:tc>
        <w:tcPr>
          <w:tcW w:w="3794" w:type="dxa"/>
          <w:shd w:val="clear" w:color="auto" w:fill="FFFFFF"/>
          <w:tcMar>
            <w:left w:w="108" w:type="dxa"/>
            <w:right w:w="108" w:type="dxa"/>
          </w:tcMar>
          <w:vAlign w:val="center"/>
        </w:tcPr>
        <w:p w14:paraId="39DF2572" w14:textId="77777777" w:rsidR="00087786" w:rsidRPr="007C7027" w:rsidRDefault="005007C8" w:rsidP="00565F20">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40AC52EB" w14:textId="75F95ED4" w:rsidR="00087786" w:rsidRPr="007C7027" w:rsidRDefault="00A230B4" w:rsidP="00565F20">
          <w:pPr>
            <w:jc w:val="right"/>
            <w:rPr>
              <w:b/>
              <w:color w:val="FF0000"/>
              <w:szCs w:val="16"/>
            </w:rPr>
          </w:pPr>
          <w:r>
            <w:rPr>
              <w:b/>
              <w:color w:val="FF0000"/>
              <w:szCs w:val="16"/>
            </w:rPr>
            <w:t xml:space="preserve"> </w:t>
          </w:r>
        </w:p>
      </w:tc>
    </w:tr>
    <w:bookmarkEnd w:id="0"/>
    <w:tr w:rsidR="00DF6DBA" w14:paraId="6C934B15" w14:textId="77777777" w:rsidTr="00565F20">
      <w:trPr>
        <w:trHeight w:val="213"/>
        <w:jc w:val="center"/>
      </w:trPr>
      <w:tc>
        <w:tcPr>
          <w:tcW w:w="3794" w:type="dxa"/>
          <w:vMerge w:val="restart"/>
          <w:shd w:val="clear" w:color="auto" w:fill="FFFFFF"/>
          <w:tcMar>
            <w:left w:w="0" w:type="dxa"/>
            <w:right w:w="0" w:type="dxa"/>
          </w:tcMar>
        </w:tcPr>
        <w:p w14:paraId="48C57C5F" w14:textId="4233B83C" w:rsidR="00087786" w:rsidRPr="007C7027" w:rsidRDefault="002566BD" w:rsidP="00565F20">
          <w:pPr>
            <w:jc w:val="left"/>
          </w:pPr>
          <w:r>
            <w:rPr>
              <w:noProof/>
              <w:lang w:eastAsia="en-GB"/>
            </w:rPr>
            <w:drawing>
              <wp:inline distT="0" distB="0" distL="0" distR="0" wp14:anchorId="20D9544C" wp14:editId="37869CA2">
                <wp:extent cx="2398395" cy="7175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75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B4120C7" w14:textId="77777777" w:rsidR="00087786" w:rsidRPr="007C7027" w:rsidRDefault="005007C8" w:rsidP="00565F20">
          <w:pPr>
            <w:jc w:val="right"/>
            <w:rPr>
              <w:b/>
              <w:szCs w:val="16"/>
            </w:rPr>
          </w:pPr>
        </w:p>
      </w:tc>
    </w:tr>
    <w:tr w:rsidR="00DF6DBA" w14:paraId="70AB5D49" w14:textId="77777777" w:rsidTr="00565F20">
      <w:trPr>
        <w:trHeight w:val="868"/>
        <w:jc w:val="center"/>
      </w:trPr>
      <w:tc>
        <w:tcPr>
          <w:tcW w:w="3794" w:type="dxa"/>
          <w:vMerge/>
          <w:shd w:val="clear" w:color="auto" w:fill="FFFFFF"/>
          <w:tcMar>
            <w:left w:w="108" w:type="dxa"/>
            <w:right w:w="108" w:type="dxa"/>
          </w:tcMar>
        </w:tcPr>
        <w:p w14:paraId="69B447D5" w14:textId="77777777" w:rsidR="00087786" w:rsidRPr="007C7027" w:rsidRDefault="005007C8" w:rsidP="00565F20">
          <w:pPr>
            <w:jc w:val="left"/>
            <w:rPr>
              <w:noProof/>
              <w:lang w:eastAsia="en-GB"/>
            </w:rPr>
          </w:pPr>
        </w:p>
      </w:tc>
      <w:tc>
        <w:tcPr>
          <w:tcW w:w="5448" w:type="dxa"/>
          <w:gridSpan w:val="2"/>
          <w:shd w:val="clear" w:color="auto" w:fill="FFFFFF"/>
          <w:tcMar>
            <w:left w:w="108" w:type="dxa"/>
            <w:right w:w="108" w:type="dxa"/>
          </w:tcMar>
        </w:tcPr>
        <w:p w14:paraId="32C4C9DA" w14:textId="77777777" w:rsidR="00A230B4" w:rsidRDefault="00A230B4" w:rsidP="00565F20">
          <w:pPr>
            <w:jc w:val="right"/>
            <w:rPr>
              <w:b/>
              <w:szCs w:val="16"/>
            </w:rPr>
          </w:pPr>
          <w:bookmarkStart w:id="1" w:name="bmkSymbols"/>
          <w:r>
            <w:rPr>
              <w:b/>
              <w:szCs w:val="16"/>
            </w:rPr>
            <w:t>G/AG/N/AUS/143</w:t>
          </w:r>
        </w:p>
        <w:bookmarkEnd w:id="1"/>
        <w:p w14:paraId="3261E56D" w14:textId="5DA8E0CC" w:rsidR="00087786" w:rsidRPr="007C7027" w:rsidRDefault="005007C8" w:rsidP="00565F20">
          <w:pPr>
            <w:jc w:val="right"/>
            <w:rPr>
              <w:b/>
              <w:szCs w:val="16"/>
            </w:rPr>
          </w:pPr>
        </w:p>
      </w:tc>
    </w:tr>
    <w:tr w:rsidR="00DF6DBA" w14:paraId="1EA87559" w14:textId="77777777" w:rsidTr="00565F20">
      <w:trPr>
        <w:trHeight w:val="240"/>
        <w:jc w:val="center"/>
      </w:trPr>
      <w:tc>
        <w:tcPr>
          <w:tcW w:w="3794" w:type="dxa"/>
          <w:vMerge/>
          <w:shd w:val="clear" w:color="auto" w:fill="FFFFFF"/>
          <w:tcMar>
            <w:left w:w="108" w:type="dxa"/>
            <w:right w:w="108" w:type="dxa"/>
          </w:tcMar>
          <w:vAlign w:val="center"/>
        </w:tcPr>
        <w:p w14:paraId="7926BFCA" w14:textId="77777777" w:rsidR="00087786" w:rsidRPr="007C7027" w:rsidRDefault="005007C8" w:rsidP="00565F20"/>
      </w:tc>
      <w:tc>
        <w:tcPr>
          <w:tcW w:w="5448" w:type="dxa"/>
          <w:gridSpan w:val="2"/>
          <w:shd w:val="clear" w:color="auto" w:fill="FFFFFF"/>
          <w:tcMar>
            <w:left w:w="108" w:type="dxa"/>
            <w:right w:w="108" w:type="dxa"/>
          </w:tcMar>
          <w:vAlign w:val="center"/>
        </w:tcPr>
        <w:p w14:paraId="5E989567" w14:textId="4A798BF7" w:rsidR="00087786" w:rsidRPr="00D54D7E" w:rsidRDefault="00A230B4" w:rsidP="00057C84">
          <w:pPr>
            <w:jc w:val="right"/>
            <w:rPr>
              <w:szCs w:val="18"/>
            </w:rPr>
          </w:pPr>
          <w:r>
            <w:rPr>
              <w:rFonts w:eastAsia="Arial"/>
              <w:noProof/>
              <w:szCs w:val="18"/>
            </w:rPr>
            <w:t>10</w:t>
          </w:r>
          <w:r w:rsidR="00477F34" w:rsidRPr="00D54D7E">
            <w:rPr>
              <w:rFonts w:eastAsia="Arial"/>
              <w:noProof/>
              <w:szCs w:val="18"/>
            </w:rPr>
            <w:t xml:space="preserve"> March</w:t>
          </w:r>
          <w:r w:rsidR="00477F34" w:rsidRPr="00D54D7E">
            <w:rPr>
              <w:rFonts w:eastAsia="Arial"/>
              <w:szCs w:val="18"/>
            </w:rPr>
            <w:t xml:space="preserve"> 2022</w:t>
          </w:r>
        </w:p>
      </w:tc>
    </w:tr>
    <w:tr w:rsidR="00DF6DBA" w14:paraId="16FF3CE7" w14:textId="77777777" w:rsidTr="00565F20">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FAAA482" w14:textId="01D05458" w:rsidR="00087786" w:rsidRPr="007C7027" w:rsidRDefault="00477F34" w:rsidP="00565F20">
          <w:pPr>
            <w:jc w:val="left"/>
            <w:rPr>
              <w:b/>
            </w:rPr>
          </w:pPr>
          <w:bookmarkStart w:id="2" w:name="bmkSerial" w:colFirst="0" w:colLast="0"/>
          <w:r w:rsidRPr="007C7027">
            <w:rPr>
              <w:color w:val="FF0000"/>
              <w:szCs w:val="16"/>
            </w:rPr>
            <w:t>(</w:t>
          </w:r>
          <w:r w:rsidR="004D4DCE">
            <w:rPr>
              <w:color w:val="FF0000"/>
              <w:szCs w:val="16"/>
            </w:rPr>
            <w:t>22</w:t>
          </w:r>
          <w:r w:rsidRPr="007C7027">
            <w:rPr>
              <w:color w:val="FF0000"/>
              <w:szCs w:val="16"/>
            </w:rPr>
            <w:t>-</w:t>
          </w:r>
          <w:r w:rsidR="005007C8">
            <w:rPr>
              <w:color w:val="FF0000"/>
              <w:szCs w:val="16"/>
            </w:rPr>
            <w:t>2159</w:t>
          </w:r>
          <w:r w:rsidRPr="007C7027">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1075EC84" w14:textId="77777777" w:rsidR="00087786" w:rsidRPr="007C7027" w:rsidRDefault="00477F34" w:rsidP="00565F20">
          <w:pPr>
            <w:jc w:val="right"/>
            <w:rPr>
              <w:szCs w:val="16"/>
            </w:rPr>
          </w:pPr>
          <w:bookmarkStart w:id="3" w:name="bmkTotPages"/>
          <w:r w:rsidRPr="007C7027">
            <w:rPr>
              <w:bCs/>
              <w:szCs w:val="16"/>
            </w:rPr>
            <w:t xml:space="preserve">Page: </w:t>
          </w:r>
          <w:r w:rsidRPr="007C7027">
            <w:rPr>
              <w:bCs/>
              <w:szCs w:val="16"/>
            </w:rPr>
            <w:fldChar w:fldCharType="begin"/>
          </w:r>
          <w:r w:rsidRPr="007C7027">
            <w:rPr>
              <w:bCs/>
              <w:szCs w:val="16"/>
            </w:rPr>
            <w:instrText xml:space="preserve"> PAGE  \* Arabic  \* MERGEFORMAT </w:instrText>
          </w:r>
          <w:r w:rsidRPr="007C7027">
            <w:rPr>
              <w:bCs/>
              <w:szCs w:val="16"/>
            </w:rPr>
            <w:fldChar w:fldCharType="separate"/>
          </w:r>
          <w:r>
            <w:rPr>
              <w:bCs/>
              <w:noProof/>
              <w:szCs w:val="16"/>
            </w:rPr>
            <w:t>1</w:t>
          </w:r>
          <w:r w:rsidRPr="007C7027">
            <w:rPr>
              <w:bCs/>
              <w:szCs w:val="16"/>
            </w:rPr>
            <w:fldChar w:fldCharType="end"/>
          </w:r>
          <w:r w:rsidRPr="007C7027">
            <w:rPr>
              <w:bCs/>
              <w:szCs w:val="16"/>
            </w:rPr>
            <w:t>/</w:t>
          </w:r>
          <w:r w:rsidRPr="007C7027">
            <w:rPr>
              <w:bCs/>
              <w:szCs w:val="16"/>
            </w:rPr>
            <w:fldChar w:fldCharType="begin"/>
          </w:r>
          <w:r w:rsidRPr="007C7027">
            <w:rPr>
              <w:bCs/>
              <w:szCs w:val="16"/>
            </w:rPr>
            <w:instrText xml:space="preserve"> NUMPAGES  \* Arabic  \* MERGEFORMAT </w:instrText>
          </w:r>
          <w:r w:rsidRPr="007C7027">
            <w:rPr>
              <w:bCs/>
              <w:szCs w:val="16"/>
            </w:rPr>
            <w:fldChar w:fldCharType="separate"/>
          </w:r>
          <w:r>
            <w:rPr>
              <w:bCs/>
              <w:noProof/>
              <w:szCs w:val="16"/>
            </w:rPr>
            <w:t>5</w:t>
          </w:r>
          <w:r w:rsidRPr="007C7027">
            <w:rPr>
              <w:bCs/>
              <w:szCs w:val="16"/>
            </w:rPr>
            <w:fldChar w:fldCharType="end"/>
          </w:r>
          <w:bookmarkEnd w:id="3"/>
        </w:p>
      </w:tc>
    </w:tr>
    <w:tr w:rsidR="00DF6DBA" w14:paraId="74E41F8C" w14:textId="77777777" w:rsidTr="00565F20">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8D01F31" w14:textId="29BA5EA7" w:rsidR="00087786" w:rsidRPr="007C7027" w:rsidRDefault="00A230B4" w:rsidP="00565F20">
          <w:pPr>
            <w:jc w:val="left"/>
            <w:rPr>
              <w:sz w:val="14"/>
              <w:szCs w:val="16"/>
            </w:rPr>
          </w:pPr>
          <w:bookmarkStart w:id="4" w:name="bmkCommittee"/>
          <w:bookmarkStart w:id="5" w:name="bmkLanguage" w:colFirst="1" w:colLast="1"/>
          <w:bookmarkEnd w:id="2"/>
          <w:r>
            <w:rPr>
              <w:b/>
            </w:rPr>
            <w:t>Committee on Agriculture</w:t>
          </w:r>
          <w:bookmarkEnd w:id="4"/>
        </w:p>
      </w:tc>
      <w:tc>
        <w:tcPr>
          <w:tcW w:w="3325" w:type="dxa"/>
          <w:tcBorders>
            <w:top w:val="single" w:sz="4" w:space="0" w:color="auto"/>
          </w:tcBorders>
          <w:tcMar>
            <w:top w:w="113" w:type="dxa"/>
            <w:left w:w="108" w:type="dxa"/>
            <w:bottom w:w="57" w:type="dxa"/>
            <w:right w:w="108" w:type="dxa"/>
          </w:tcMar>
          <w:vAlign w:val="center"/>
        </w:tcPr>
        <w:p w14:paraId="43497A42" w14:textId="28C60C51" w:rsidR="00087786" w:rsidRPr="007C7027" w:rsidRDefault="00A230B4" w:rsidP="00565F20">
          <w:pPr>
            <w:jc w:val="right"/>
            <w:rPr>
              <w:bCs/>
              <w:szCs w:val="18"/>
            </w:rPr>
          </w:pPr>
          <w:r>
            <w:rPr>
              <w:szCs w:val="18"/>
            </w:rPr>
            <w:t>Original: English</w:t>
          </w:r>
        </w:p>
      </w:tc>
    </w:tr>
    <w:bookmarkEnd w:id="5"/>
  </w:tbl>
  <w:p w14:paraId="6E9B3B70" w14:textId="77777777" w:rsidR="00373965" w:rsidRDefault="00500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3870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1A18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B5CDC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022A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7E4D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F90E58"/>
    <w:multiLevelType w:val="hybridMultilevel"/>
    <w:tmpl w:val="C5AAB4DA"/>
    <w:lvl w:ilvl="0" w:tplc="4C62BAAC">
      <w:start w:val="1"/>
      <w:numFmt w:val="decimal"/>
      <w:lvlText w:val="%1"/>
      <w:lvlJc w:val="left"/>
      <w:pPr>
        <w:ind w:left="720" w:hanging="360"/>
      </w:pPr>
      <w:rPr>
        <w:rFonts w:hint="default"/>
      </w:rPr>
    </w:lvl>
    <w:lvl w:ilvl="1" w:tplc="D9EAA3A2" w:tentative="1">
      <w:start w:val="1"/>
      <w:numFmt w:val="lowerLetter"/>
      <w:lvlText w:val="%2."/>
      <w:lvlJc w:val="left"/>
      <w:pPr>
        <w:ind w:left="1440" w:hanging="360"/>
      </w:pPr>
    </w:lvl>
    <w:lvl w:ilvl="2" w:tplc="F8661C14" w:tentative="1">
      <w:start w:val="1"/>
      <w:numFmt w:val="lowerRoman"/>
      <w:lvlText w:val="%3."/>
      <w:lvlJc w:val="right"/>
      <w:pPr>
        <w:ind w:left="2160" w:hanging="180"/>
      </w:pPr>
    </w:lvl>
    <w:lvl w:ilvl="3" w:tplc="6F00CA1A" w:tentative="1">
      <w:start w:val="1"/>
      <w:numFmt w:val="decimal"/>
      <w:lvlText w:val="%4."/>
      <w:lvlJc w:val="left"/>
      <w:pPr>
        <w:ind w:left="2880" w:hanging="360"/>
      </w:pPr>
    </w:lvl>
    <w:lvl w:ilvl="4" w:tplc="06C62C66" w:tentative="1">
      <w:start w:val="1"/>
      <w:numFmt w:val="lowerLetter"/>
      <w:lvlText w:val="%5."/>
      <w:lvlJc w:val="left"/>
      <w:pPr>
        <w:ind w:left="3600" w:hanging="360"/>
      </w:pPr>
    </w:lvl>
    <w:lvl w:ilvl="5" w:tplc="D0D648B8" w:tentative="1">
      <w:start w:val="1"/>
      <w:numFmt w:val="lowerRoman"/>
      <w:lvlText w:val="%6."/>
      <w:lvlJc w:val="right"/>
      <w:pPr>
        <w:ind w:left="4320" w:hanging="180"/>
      </w:pPr>
    </w:lvl>
    <w:lvl w:ilvl="6" w:tplc="44062B76" w:tentative="1">
      <w:start w:val="1"/>
      <w:numFmt w:val="decimal"/>
      <w:lvlText w:val="%7."/>
      <w:lvlJc w:val="left"/>
      <w:pPr>
        <w:ind w:left="5040" w:hanging="360"/>
      </w:pPr>
    </w:lvl>
    <w:lvl w:ilvl="7" w:tplc="D6A03DCA" w:tentative="1">
      <w:start w:val="1"/>
      <w:numFmt w:val="lowerLetter"/>
      <w:lvlText w:val="%8."/>
      <w:lvlJc w:val="left"/>
      <w:pPr>
        <w:ind w:left="5760" w:hanging="360"/>
      </w:pPr>
    </w:lvl>
    <w:lvl w:ilvl="8" w:tplc="BAECA80A" w:tentative="1">
      <w:start w:val="1"/>
      <w:numFmt w:val="lowerRoman"/>
      <w:lvlText w:val="%9."/>
      <w:lvlJc w:val="right"/>
      <w:pPr>
        <w:ind w:left="6480" w:hanging="180"/>
      </w:pPr>
    </w:lvl>
  </w:abstractNum>
  <w:abstractNum w:abstractNumId="11"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75A666C"/>
    <w:numStyleLink w:val="LegalHeadings"/>
  </w:abstractNum>
  <w:abstractNum w:abstractNumId="13"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4" w15:restartNumberingAfterBreak="0">
    <w:nsid w:val="63B44CF9"/>
    <w:multiLevelType w:val="hybridMultilevel"/>
    <w:tmpl w:val="C5AAB4DA"/>
    <w:lvl w:ilvl="0" w:tplc="86F01764">
      <w:start w:val="1"/>
      <w:numFmt w:val="decimal"/>
      <w:lvlText w:val="%1"/>
      <w:lvlJc w:val="left"/>
      <w:pPr>
        <w:ind w:left="720" w:hanging="360"/>
      </w:pPr>
      <w:rPr>
        <w:rFonts w:hint="default"/>
      </w:rPr>
    </w:lvl>
    <w:lvl w:ilvl="1" w:tplc="B9C2B9B2" w:tentative="1">
      <w:start w:val="1"/>
      <w:numFmt w:val="lowerLetter"/>
      <w:lvlText w:val="%2."/>
      <w:lvlJc w:val="left"/>
      <w:pPr>
        <w:ind w:left="1440" w:hanging="360"/>
      </w:pPr>
    </w:lvl>
    <w:lvl w:ilvl="2" w:tplc="580E77B8" w:tentative="1">
      <w:start w:val="1"/>
      <w:numFmt w:val="lowerRoman"/>
      <w:lvlText w:val="%3."/>
      <w:lvlJc w:val="right"/>
      <w:pPr>
        <w:ind w:left="2160" w:hanging="180"/>
      </w:pPr>
    </w:lvl>
    <w:lvl w:ilvl="3" w:tplc="4B569B62" w:tentative="1">
      <w:start w:val="1"/>
      <w:numFmt w:val="decimal"/>
      <w:lvlText w:val="%4."/>
      <w:lvlJc w:val="left"/>
      <w:pPr>
        <w:ind w:left="2880" w:hanging="360"/>
      </w:pPr>
    </w:lvl>
    <w:lvl w:ilvl="4" w:tplc="9B14D474" w:tentative="1">
      <w:start w:val="1"/>
      <w:numFmt w:val="lowerLetter"/>
      <w:lvlText w:val="%5."/>
      <w:lvlJc w:val="left"/>
      <w:pPr>
        <w:ind w:left="3600" w:hanging="360"/>
      </w:pPr>
    </w:lvl>
    <w:lvl w:ilvl="5" w:tplc="0ED41958" w:tentative="1">
      <w:start w:val="1"/>
      <w:numFmt w:val="lowerRoman"/>
      <w:lvlText w:val="%6."/>
      <w:lvlJc w:val="right"/>
      <w:pPr>
        <w:ind w:left="4320" w:hanging="180"/>
      </w:pPr>
    </w:lvl>
    <w:lvl w:ilvl="6" w:tplc="8500CD66" w:tentative="1">
      <w:start w:val="1"/>
      <w:numFmt w:val="decimal"/>
      <w:lvlText w:val="%7."/>
      <w:lvlJc w:val="left"/>
      <w:pPr>
        <w:ind w:left="5040" w:hanging="360"/>
      </w:pPr>
    </w:lvl>
    <w:lvl w:ilvl="7" w:tplc="3E768018" w:tentative="1">
      <w:start w:val="1"/>
      <w:numFmt w:val="lowerLetter"/>
      <w:lvlText w:val="%8."/>
      <w:lvlJc w:val="left"/>
      <w:pPr>
        <w:ind w:left="5760" w:hanging="360"/>
      </w:pPr>
    </w:lvl>
    <w:lvl w:ilvl="8" w:tplc="B11273E0" w:tentative="1">
      <w:start w:val="1"/>
      <w:numFmt w:val="lowerRoman"/>
      <w:lvlText w:val="%9."/>
      <w:lvlJc w:val="right"/>
      <w:pPr>
        <w:ind w:left="6480" w:hanging="180"/>
      </w:pPr>
    </w:lvl>
  </w:abstractNum>
  <w:abstractNum w:abstractNumId="15" w15:restartNumberingAfterBreak="0">
    <w:nsid w:val="63D526BA"/>
    <w:multiLevelType w:val="hybridMultilevel"/>
    <w:tmpl w:val="5CB60482"/>
    <w:lvl w:ilvl="0" w:tplc="25A44612">
      <w:start w:val="1"/>
      <w:numFmt w:val="decimal"/>
      <w:pStyle w:val="SummaryText"/>
      <w:lvlText w:val="%1."/>
      <w:lvlJc w:val="left"/>
      <w:pPr>
        <w:ind w:left="360" w:hanging="360"/>
      </w:pPr>
    </w:lvl>
    <w:lvl w:ilvl="1" w:tplc="96F0DE52" w:tentative="1">
      <w:start w:val="1"/>
      <w:numFmt w:val="lowerLetter"/>
      <w:lvlText w:val="%2."/>
      <w:lvlJc w:val="left"/>
      <w:pPr>
        <w:ind w:left="1080" w:hanging="360"/>
      </w:pPr>
    </w:lvl>
    <w:lvl w:ilvl="2" w:tplc="7DFCBD24" w:tentative="1">
      <w:start w:val="1"/>
      <w:numFmt w:val="lowerRoman"/>
      <w:lvlText w:val="%3."/>
      <w:lvlJc w:val="right"/>
      <w:pPr>
        <w:ind w:left="1800" w:hanging="180"/>
      </w:pPr>
    </w:lvl>
    <w:lvl w:ilvl="3" w:tplc="C1240C6A" w:tentative="1">
      <w:start w:val="1"/>
      <w:numFmt w:val="decimal"/>
      <w:lvlText w:val="%4."/>
      <w:lvlJc w:val="left"/>
      <w:pPr>
        <w:ind w:left="2520" w:hanging="360"/>
      </w:pPr>
    </w:lvl>
    <w:lvl w:ilvl="4" w:tplc="9EA241C4" w:tentative="1">
      <w:start w:val="1"/>
      <w:numFmt w:val="lowerLetter"/>
      <w:lvlText w:val="%5."/>
      <w:lvlJc w:val="left"/>
      <w:pPr>
        <w:ind w:left="3240" w:hanging="360"/>
      </w:pPr>
    </w:lvl>
    <w:lvl w:ilvl="5" w:tplc="905EDAF8" w:tentative="1">
      <w:start w:val="1"/>
      <w:numFmt w:val="lowerRoman"/>
      <w:lvlText w:val="%6."/>
      <w:lvlJc w:val="right"/>
      <w:pPr>
        <w:ind w:left="3960" w:hanging="180"/>
      </w:pPr>
    </w:lvl>
    <w:lvl w:ilvl="6" w:tplc="1F9AD16E" w:tentative="1">
      <w:start w:val="1"/>
      <w:numFmt w:val="decimal"/>
      <w:lvlText w:val="%7."/>
      <w:lvlJc w:val="left"/>
      <w:pPr>
        <w:ind w:left="4680" w:hanging="360"/>
      </w:pPr>
    </w:lvl>
    <w:lvl w:ilvl="7" w:tplc="E6BA32A4" w:tentative="1">
      <w:start w:val="1"/>
      <w:numFmt w:val="lowerLetter"/>
      <w:lvlText w:val="%8."/>
      <w:lvlJc w:val="left"/>
      <w:pPr>
        <w:ind w:left="5400" w:hanging="360"/>
      </w:pPr>
    </w:lvl>
    <w:lvl w:ilvl="8" w:tplc="3DD695B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4"/>
  </w:num>
  <w:num w:numId="18">
    <w:abstractNumId w:val="1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DBA"/>
    <w:rsid w:val="000D692A"/>
    <w:rsid w:val="002566BD"/>
    <w:rsid w:val="0046624B"/>
    <w:rsid w:val="00477F34"/>
    <w:rsid w:val="004D4DCE"/>
    <w:rsid w:val="005007C8"/>
    <w:rsid w:val="005648D8"/>
    <w:rsid w:val="007061D8"/>
    <w:rsid w:val="00740C3B"/>
    <w:rsid w:val="00914B52"/>
    <w:rsid w:val="009B7913"/>
    <w:rsid w:val="009D66DC"/>
    <w:rsid w:val="00A230B4"/>
    <w:rsid w:val="00D2247E"/>
    <w:rsid w:val="00DF6DBA"/>
    <w:rsid w:val="00E519C9"/>
    <w:rsid w:val="00EB27ED"/>
    <w:rsid w:val="00EC2057"/>
    <w:rsid w:val="00F25582"/>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3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468"/>
    <w:pPr>
      <w:jc w:val="both"/>
    </w:pPr>
    <w:rPr>
      <w:rFonts w:ascii="Verdana" w:hAnsi="Verdana"/>
      <w:sz w:val="18"/>
      <w:szCs w:val="22"/>
      <w:lang w:val="en-GB" w:eastAsia="en-US"/>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cs="Mangal"/>
      <w:b/>
      <w:bCs/>
      <w:caps/>
      <w:color w:val="006283"/>
      <w:szCs w:val="28"/>
      <w:lang w:bidi="hi-IN"/>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cs="Mangal"/>
      <w:b/>
      <w:bCs/>
      <w:color w:val="006283"/>
      <w:szCs w:val="26"/>
      <w:lang w:bidi="hi-IN"/>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cs="Mangal"/>
      <w:b/>
      <w:bCs/>
      <w:color w:val="006283"/>
      <w:szCs w:val="20"/>
      <w:lang w:bidi="hi-IN"/>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cs="Mangal"/>
      <w:b/>
      <w:bCs/>
      <w:iCs/>
      <w:color w:val="006283"/>
      <w:szCs w:val="20"/>
      <w:lang w:bidi="hi-IN"/>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cs="Mangal"/>
      <w:b/>
      <w:color w:val="006283"/>
      <w:szCs w:val="20"/>
      <w:lang w:bidi="hi-IN"/>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cs="Mangal"/>
      <w:b/>
      <w:iCs/>
      <w:color w:val="006283"/>
      <w:szCs w:val="20"/>
      <w:lang w:bidi="hi-IN"/>
    </w:rPr>
  </w:style>
  <w:style w:type="paragraph" w:styleId="Heading7">
    <w:name w:val="heading 7"/>
    <w:basedOn w:val="Normal"/>
    <w:next w:val="Normal"/>
    <w:link w:val="Heading7Char"/>
    <w:uiPriority w:val="2"/>
    <w:rsid w:val="00B230EC"/>
    <w:pPr>
      <w:keepNext/>
      <w:keepLines/>
      <w:spacing w:after="240"/>
      <w:outlineLvl w:val="6"/>
    </w:pPr>
    <w:rPr>
      <w:rFonts w:eastAsia="Times New Roman" w:cs="Mangal"/>
      <w:b/>
      <w:iCs/>
      <w:color w:val="006283"/>
      <w:szCs w:val="20"/>
      <w:lang w:bidi="hi-IN"/>
    </w:rPr>
  </w:style>
  <w:style w:type="paragraph" w:styleId="Heading8">
    <w:name w:val="heading 8"/>
    <w:basedOn w:val="Normal"/>
    <w:next w:val="Normal"/>
    <w:link w:val="Heading8Char"/>
    <w:uiPriority w:val="2"/>
    <w:rsid w:val="00B230EC"/>
    <w:pPr>
      <w:keepNext/>
      <w:keepLines/>
      <w:spacing w:after="240"/>
      <w:outlineLvl w:val="7"/>
    </w:pPr>
    <w:rPr>
      <w:rFonts w:eastAsia="Times New Roman" w:cs="Mangal"/>
      <w:b/>
      <w:i/>
      <w:color w:val="006283"/>
      <w:szCs w:val="20"/>
      <w:lang w:bidi="hi-IN"/>
    </w:rPr>
  </w:style>
  <w:style w:type="paragraph" w:styleId="Heading9">
    <w:name w:val="heading 9"/>
    <w:basedOn w:val="Normal"/>
    <w:next w:val="Normal"/>
    <w:link w:val="Heading9Char"/>
    <w:uiPriority w:val="2"/>
    <w:rsid w:val="00B230EC"/>
    <w:pPr>
      <w:keepNext/>
      <w:keepLines/>
      <w:spacing w:after="240"/>
      <w:outlineLvl w:val="8"/>
    </w:pPr>
    <w:rPr>
      <w:rFonts w:eastAsia="Times New Roman" w:cs="Mangal"/>
      <w:b/>
      <w:iCs/>
      <w:color w:val="006283"/>
      <w:szCs w:val="20"/>
      <w:u w:val="single"/>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cs="Mangal"/>
      <w:b/>
      <w:caps/>
      <w:color w:val="006283"/>
      <w:kern w:val="28"/>
      <w:szCs w:val="52"/>
      <w:lang w:bidi="hi-IN"/>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rPr>
      <w:rFonts w:cs="Mangal"/>
      <w:szCs w:val="20"/>
      <w:lang w:bidi="hi-IN"/>
    </w:r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rPr>
      <w:rFonts w:cs="Mangal"/>
      <w:szCs w:val="20"/>
      <w:lang w:bidi="hi-IN"/>
    </w:r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rFonts w:cs="Mangal"/>
      <w:szCs w:val="16"/>
      <w:lang w:bidi="hi-IN"/>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cs="Mangal"/>
      <w:szCs w:val="20"/>
      <w:lang w:bidi="hi-I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cs="Mangal"/>
      <w:sz w:val="16"/>
      <w:szCs w:val="18"/>
      <w:lang w:eastAsia="en-GB" w:bidi="hi-IN"/>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9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cs="Mangal"/>
      <w:i/>
      <w:szCs w:val="20"/>
      <w:lang w:bidi="hi-IN"/>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5"/>
    <w:rsid w:val="0046754A"/>
    <w:pPr>
      <w:tabs>
        <w:tab w:val="center" w:pos="4513"/>
        <w:tab w:val="right" w:pos="9027"/>
      </w:tabs>
    </w:pPr>
    <w:rPr>
      <w:rFonts w:cs="Mangal"/>
      <w:szCs w:val="18"/>
      <w:lang w:eastAsia="en-GB" w:bidi="hi-IN"/>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5"/>
    <w:rsid w:val="0046754A"/>
    <w:pPr>
      <w:tabs>
        <w:tab w:val="center" w:pos="4513"/>
        <w:tab w:val="right" w:pos="9027"/>
      </w:tabs>
      <w:jc w:val="left"/>
    </w:pPr>
    <w:rPr>
      <w:rFonts w:cs="Mangal"/>
      <w:szCs w:val="18"/>
      <w:lang w:eastAsia="en-GB" w:bidi="hi-IN"/>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Mangal"/>
      <w:sz w:val="16"/>
      <w:szCs w:val="16"/>
      <w:lang w:bidi="hi-IN"/>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11"/>
    <w:qFormat/>
    <w:rsid w:val="00E46FD5"/>
    <w:pPr>
      <w:numPr>
        <w:ilvl w:val="1"/>
      </w:numPr>
    </w:pPr>
    <w:rPr>
      <w:rFonts w:eastAsia="Times New Roman" w:cs="Mangal"/>
      <w:b/>
      <w:iCs/>
      <w:szCs w:val="24"/>
      <w:lang w:bidi="hi-IN"/>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ListParagraph"/>
    <w:uiPriority w:val="4"/>
    <w:qFormat/>
    <w:rsid w:val="00EB6C56"/>
    <w:pPr>
      <w:numPr>
        <w:numId w:val="10"/>
      </w:numPr>
      <w:spacing w:after="240"/>
      <w:ind w:left="0" w:firstLine="0"/>
      <w:contextualSpacing w:val="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
    <w:unhideWhenUsed/>
    <w:rsid w:val="00717C5B"/>
    <w:rPr>
      <w:color w:val="0000FF"/>
      <w:u w:val="single"/>
    </w:rPr>
  </w:style>
  <w:style w:type="paragraph" w:styleId="Bibliography">
    <w:name w:val="Bibliography"/>
    <w:basedOn w:val="Normal"/>
    <w:next w:val="Normal"/>
    <w:uiPriority w:val="49"/>
    <w:semiHidden/>
    <w:unhideWhenUsed/>
    <w:rsid w:val="00B772BF"/>
  </w:style>
  <w:style w:type="paragraph" w:styleId="BlockText">
    <w:name w:val="Block Text"/>
    <w:basedOn w:val="Normal"/>
    <w:uiPriority w:val="99"/>
    <w:semiHidden/>
    <w:unhideWhenUsed/>
    <w:rsid w:val="00B772B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B772BF"/>
    <w:pPr>
      <w:numPr>
        <w:ilvl w:val="0"/>
        <w:numId w:val="0"/>
      </w:numPr>
      <w:spacing w:after="0"/>
      <w:ind w:firstLine="360"/>
    </w:pPr>
    <w:rPr>
      <w:szCs w:val="22"/>
    </w:rPr>
  </w:style>
  <w:style w:type="character" w:customStyle="1" w:styleId="BodyTextFirstIndentChar">
    <w:name w:val="Body Text First Indent Char"/>
    <w:link w:val="BodyTextFirstIndent"/>
    <w:uiPriority w:val="99"/>
    <w:semiHidden/>
    <w:rsid w:val="00B772BF"/>
    <w:rPr>
      <w:rFonts w:ascii="Verdana" w:hAnsi="Verdana"/>
      <w:sz w:val="18"/>
      <w:szCs w:val="22"/>
      <w:lang w:eastAsia="en-US"/>
    </w:rPr>
  </w:style>
  <w:style w:type="paragraph" w:styleId="BodyTextIndent">
    <w:name w:val="Body Text Indent"/>
    <w:basedOn w:val="Normal"/>
    <w:link w:val="BodyTextIndentChar"/>
    <w:uiPriority w:val="99"/>
    <w:semiHidden/>
    <w:unhideWhenUsed/>
    <w:rsid w:val="00B772BF"/>
    <w:pPr>
      <w:spacing w:after="120"/>
      <w:ind w:left="283"/>
    </w:pPr>
    <w:rPr>
      <w:rFonts w:cs="Mangal"/>
      <w:lang w:bidi="hi-IN"/>
    </w:rPr>
  </w:style>
  <w:style w:type="character" w:customStyle="1" w:styleId="BodyTextIndentChar">
    <w:name w:val="Body Text Indent Char"/>
    <w:link w:val="BodyTextIndent"/>
    <w:uiPriority w:val="99"/>
    <w:semiHidden/>
    <w:rsid w:val="00B772BF"/>
    <w:rPr>
      <w:rFonts w:ascii="Verdana" w:hAnsi="Verdana"/>
      <w:sz w:val="18"/>
      <w:szCs w:val="22"/>
      <w:lang w:eastAsia="en-US"/>
    </w:rPr>
  </w:style>
  <w:style w:type="paragraph" w:styleId="BodyTextFirstIndent2">
    <w:name w:val="Body Text First Indent 2"/>
    <w:basedOn w:val="BodyTextIndent"/>
    <w:link w:val="BodyTextFirstIndent2Char"/>
    <w:uiPriority w:val="99"/>
    <w:semiHidden/>
    <w:unhideWhenUsed/>
    <w:rsid w:val="00B772BF"/>
    <w:pPr>
      <w:spacing w:after="0"/>
      <w:ind w:left="360" w:firstLine="360"/>
    </w:pPr>
  </w:style>
  <w:style w:type="character" w:customStyle="1" w:styleId="BodyTextFirstIndent2Char">
    <w:name w:val="Body Text First Indent 2 Char"/>
    <w:link w:val="BodyTextFirstIndent2"/>
    <w:uiPriority w:val="99"/>
    <w:semiHidden/>
    <w:rsid w:val="00B772BF"/>
    <w:rPr>
      <w:rFonts w:ascii="Verdana" w:hAnsi="Verdana"/>
      <w:sz w:val="18"/>
      <w:szCs w:val="22"/>
      <w:lang w:eastAsia="en-US"/>
    </w:rPr>
  </w:style>
  <w:style w:type="paragraph" w:styleId="BodyTextIndent2">
    <w:name w:val="Body Text Indent 2"/>
    <w:basedOn w:val="Normal"/>
    <w:link w:val="BodyTextIndent2Char"/>
    <w:uiPriority w:val="99"/>
    <w:semiHidden/>
    <w:unhideWhenUsed/>
    <w:rsid w:val="00B772BF"/>
    <w:pPr>
      <w:spacing w:after="120" w:line="480" w:lineRule="auto"/>
      <w:ind w:left="283"/>
    </w:pPr>
    <w:rPr>
      <w:rFonts w:cs="Mangal"/>
      <w:lang w:bidi="hi-IN"/>
    </w:rPr>
  </w:style>
  <w:style w:type="character" w:customStyle="1" w:styleId="BodyTextIndent2Char">
    <w:name w:val="Body Text Indent 2 Char"/>
    <w:link w:val="BodyTextIndent2"/>
    <w:uiPriority w:val="99"/>
    <w:semiHidden/>
    <w:rsid w:val="00B772BF"/>
    <w:rPr>
      <w:rFonts w:ascii="Verdana" w:hAnsi="Verdana"/>
      <w:sz w:val="18"/>
      <w:szCs w:val="22"/>
      <w:lang w:eastAsia="en-US"/>
    </w:rPr>
  </w:style>
  <w:style w:type="paragraph" w:styleId="BodyTextIndent3">
    <w:name w:val="Body Text Indent 3"/>
    <w:basedOn w:val="Normal"/>
    <w:link w:val="BodyTextIndent3Char"/>
    <w:uiPriority w:val="99"/>
    <w:semiHidden/>
    <w:unhideWhenUsed/>
    <w:rsid w:val="00B772BF"/>
    <w:pPr>
      <w:spacing w:after="120"/>
      <w:ind w:left="283"/>
    </w:pPr>
    <w:rPr>
      <w:rFonts w:cs="Mangal"/>
      <w:sz w:val="16"/>
      <w:szCs w:val="16"/>
      <w:lang w:bidi="hi-IN"/>
    </w:rPr>
  </w:style>
  <w:style w:type="character" w:customStyle="1" w:styleId="BodyTextIndent3Char">
    <w:name w:val="Body Text Indent 3 Char"/>
    <w:link w:val="BodyTextIndent3"/>
    <w:uiPriority w:val="99"/>
    <w:semiHidden/>
    <w:rsid w:val="00B772BF"/>
    <w:rPr>
      <w:rFonts w:ascii="Verdana" w:hAnsi="Verdana"/>
      <w:sz w:val="16"/>
      <w:szCs w:val="16"/>
      <w:lang w:eastAsia="en-US"/>
    </w:rPr>
  </w:style>
  <w:style w:type="character" w:styleId="BookTitle">
    <w:name w:val="Book Title"/>
    <w:uiPriority w:val="99"/>
    <w:semiHidden/>
    <w:qFormat/>
    <w:rsid w:val="00B772BF"/>
    <w:rPr>
      <w:b/>
      <w:bCs/>
      <w:smallCaps/>
      <w:spacing w:val="5"/>
    </w:rPr>
  </w:style>
  <w:style w:type="paragraph" w:styleId="Closing">
    <w:name w:val="Closing"/>
    <w:basedOn w:val="Normal"/>
    <w:link w:val="ClosingChar"/>
    <w:uiPriority w:val="99"/>
    <w:semiHidden/>
    <w:unhideWhenUsed/>
    <w:rsid w:val="00B772BF"/>
    <w:pPr>
      <w:ind w:left="4252"/>
    </w:pPr>
    <w:rPr>
      <w:rFonts w:cs="Mangal"/>
      <w:lang w:bidi="hi-IN"/>
    </w:rPr>
  </w:style>
  <w:style w:type="character" w:customStyle="1" w:styleId="ClosingChar">
    <w:name w:val="Closing Char"/>
    <w:link w:val="Closing"/>
    <w:uiPriority w:val="99"/>
    <w:semiHidden/>
    <w:rsid w:val="00B772BF"/>
    <w:rPr>
      <w:rFonts w:ascii="Verdana" w:hAnsi="Verdana"/>
      <w:sz w:val="18"/>
      <w:szCs w:val="22"/>
      <w:lang w:eastAsia="en-US"/>
    </w:rPr>
  </w:style>
  <w:style w:type="character" w:styleId="CommentReference">
    <w:name w:val="annotation reference"/>
    <w:uiPriority w:val="99"/>
    <w:semiHidden/>
    <w:unhideWhenUsed/>
    <w:rsid w:val="00B772BF"/>
    <w:rPr>
      <w:sz w:val="16"/>
      <w:szCs w:val="16"/>
    </w:rPr>
  </w:style>
  <w:style w:type="paragraph" w:styleId="CommentText">
    <w:name w:val="annotation text"/>
    <w:basedOn w:val="Normal"/>
    <w:link w:val="CommentTextChar"/>
    <w:uiPriority w:val="99"/>
    <w:unhideWhenUsed/>
    <w:rsid w:val="00B772BF"/>
    <w:rPr>
      <w:rFonts w:cs="Mangal"/>
      <w:sz w:val="20"/>
      <w:szCs w:val="20"/>
      <w:lang w:bidi="hi-IN"/>
    </w:rPr>
  </w:style>
  <w:style w:type="character" w:customStyle="1" w:styleId="CommentTextChar">
    <w:name w:val="Comment Text Char"/>
    <w:link w:val="CommentText"/>
    <w:uiPriority w:val="99"/>
    <w:semiHidden/>
    <w:rsid w:val="00B772BF"/>
    <w:rPr>
      <w:rFonts w:ascii="Verdana" w:hAnsi="Verdana"/>
      <w:lang w:eastAsia="en-US"/>
    </w:rPr>
  </w:style>
  <w:style w:type="paragraph" w:styleId="CommentSubject">
    <w:name w:val="annotation subject"/>
    <w:basedOn w:val="CommentText"/>
    <w:next w:val="CommentText"/>
    <w:link w:val="CommentSubjectChar"/>
    <w:uiPriority w:val="99"/>
    <w:unhideWhenUsed/>
    <w:rsid w:val="00B772BF"/>
    <w:rPr>
      <w:b/>
      <w:bCs/>
    </w:rPr>
  </w:style>
  <w:style w:type="character" w:customStyle="1" w:styleId="CommentSubjectChar">
    <w:name w:val="Comment Subject Char"/>
    <w:link w:val="CommentSubject"/>
    <w:uiPriority w:val="99"/>
    <w:semiHidden/>
    <w:rsid w:val="00B772BF"/>
    <w:rPr>
      <w:rFonts w:ascii="Verdana" w:hAnsi="Verdana"/>
      <w:b/>
      <w:bCs/>
      <w:lang w:eastAsia="en-US"/>
    </w:rPr>
  </w:style>
  <w:style w:type="paragraph" w:styleId="Date">
    <w:name w:val="Date"/>
    <w:basedOn w:val="Normal"/>
    <w:next w:val="Normal"/>
    <w:link w:val="DateChar"/>
    <w:uiPriority w:val="99"/>
    <w:semiHidden/>
    <w:unhideWhenUsed/>
    <w:rsid w:val="00B772BF"/>
    <w:rPr>
      <w:rFonts w:cs="Mangal"/>
      <w:lang w:bidi="hi-IN"/>
    </w:rPr>
  </w:style>
  <w:style w:type="character" w:customStyle="1" w:styleId="DateChar">
    <w:name w:val="Date Char"/>
    <w:link w:val="Date"/>
    <w:uiPriority w:val="99"/>
    <w:semiHidden/>
    <w:rsid w:val="00B772BF"/>
    <w:rPr>
      <w:rFonts w:ascii="Verdana" w:hAnsi="Verdana"/>
      <w:sz w:val="18"/>
      <w:szCs w:val="22"/>
      <w:lang w:eastAsia="en-US"/>
    </w:rPr>
  </w:style>
  <w:style w:type="paragraph" w:styleId="DocumentMap">
    <w:name w:val="Document Map"/>
    <w:basedOn w:val="Normal"/>
    <w:link w:val="DocumentMapChar"/>
    <w:uiPriority w:val="99"/>
    <w:semiHidden/>
    <w:unhideWhenUsed/>
    <w:rsid w:val="00B772BF"/>
    <w:rPr>
      <w:rFonts w:ascii="Tahoma" w:hAnsi="Tahoma" w:cs="Mangal"/>
      <w:sz w:val="16"/>
      <w:szCs w:val="16"/>
      <w:lang w:bidi="hi-IN"/>
    </w:rPr>
  </w:style>
  <w:style w:type="character" w:customStyle="1" w:styleId="DocumentMapChar">
    <w:name w:val="Document Map Char"/>
    <w:link w:val="DocumentMap"/>
    <w:uiPriority w:val="99"/>
    <w:semiHidden/>
    <w:rsid w:val="00B772BF"/>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B772BF"/>
    <w:rPr>
      <w:rFonts w:cs="Mangal"/>
      <w:lang w:bidi="hi-IN"/>
    </w:rPr>
  </w:style>
  <w:style w:type="character" w:customStyle="1" w:styleId="E-mailSignatureChar">
    <w:name w:val="E-mail Signature Char"/>
    <w:link w:val="E-mailSignature"/>
    <w:uiPriority w:val="99"/>
    <w:semiHidden/>
    <w:rsid w:val="00B772BF"/>
    <w:rPr>
      <w:rFonts w:ascii="Verdana" w:hAnsi="Verdana"/>
      <w:sz w:val="18"/>
      <w:szCs w:val="22"/>
      <w:lang w:eastAsia="en-US"/>
    </w:rPr>
  </w:style>
  <w:style w:type="character" w:styleId="Emphasis">
    <w:name w:val="Emphasis"/>
    <w:uiPriority w:val="99"/>
    <w:semiHidden/>
    <w:qFormat/>
    <w:rsid w:val="00B772BF"/>
    <w:rPr>
      <w:i/>
      <w:iCs/>
    </w:rPr>
  </w:style>
  <w:style w:type="paragraph" w:styleId="EnvelopeAddress">
    <w:name w:val="envelope address"/>
    <w:basedOn w:val="Normal"/>
    <w:uiPriority w:val="99"/>
    <w:semiHidden/>
    <w:unhideWhenUsed/>
    <w:rsid w:val="00B772B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B772BF"/>
    <w:rPr>
      <w:rFonts w:ascii="Cambria" w:eastAsia="Times New Roman" w:hAnsi="Cambria"/>
      <w:sz w:val="20"/>
      <w:szCs w:val="20"/>
    </w:rPr>
  </w:style>
  <w:style w:type="character" w:styleId="FollowedHyperlink">
    <w:name w:val="FollowedHyperlink"/>
    <w:uiPriority w:val="9"/>
    <w:unhideWhenUsed/>
    <w:rsid w:val="00B772BF"/>
    <w:rPr>
      <w:color w:val="800080"/>
      <w:u w:val="single"/>
    </w:rPr>
  </w:style>
  <w:style w:type="character" w:styleId="HTMLAcronym">
    <w:name w:val="HTML Acronym"/>
    <w:basedOn w:val="DefaultParagraphFont"/>
    <w:uiPriority w:val="99"/>
    <w:semiHidden/>
    <w:unhideWhenUsed/>
    <w:rsid w:val="00B772BF"/>
  </w:style>
  <w:style w:type="paragraph" w:styleId="HTMLAddress">
    <w:name w:val="HTML Address"/>
    <w:basedOn w:val="Normal"/>
    <w:link w:val="HTMLAddressChar"/>
    <w:uiPriority w:val="99"/>
    <w:semiHidden/>
    <w:unhideWhenUsed/>
    <w:rsid w:val="00B772BF"/>
    <w:rPr>
      <w:rFonts w:cs="Mangal"/>
      <w:i/>
      <w:iCs/>
      <w:lang w:bidi="hi-IN"/>
    </w:rPr>
  </w:style>
  <w:style w:type="character" w:customStyle="1" w:styleId="HTMLAddressChar">
    <w:name w:val="HTML Address Char"/>
    <w:link w:val="HTMLAddress"/>
    <w:uiPriority w:val="99"/>
    <w:semiHidden/>
    <w:rsid w:val="00B772BF"/>
    <w:rPr>
      <w:rFonts w:ascii="Verdana" w:hAnsi="Verdana"/>
      <w:i/>
      <w:iCs/>
      <w:sz w:val="18"/>
      <w:szCs w:val="22"/>
      <w:lang w:eastAsia="en-US"/>
    </w:rPr>
  </w:style>
  <w:style w:type="character" w:styleId="HTMLCite">
    <w:name w:val="HTML Cite"/>
    <w:uiPriority w:val="99"/>
    <w:semiHidden/>
    <w:unhideWhenUsed/>
    <w:rsid w:val="00B772BF"/>
    <w:rPr>
      <w:i/>
      <w:iCs/>
    </w:rPr>
  </w:style>
  <w:style w:type="character" w:styleId="HTMLCode">
    <w:name w:val="HTML Code"/>
    <w:uiPriority w:val="99"/>
    <w:semiHidden/>
    <w:unhideWhenUsed/>
    <w:rsid w:val="00B772BF"/>
    <w:rPr>
      <w:rFonts w:ascii="Consolas" w:hAnsi="Consolas" w:cs="Consolas"/>
      <w:sz w:val="20"/>
      <w:szCs w:val="20"/>
    </w:rPr>
  </w:style>
  <w:style w:type="character" w:styleId="HTMLDefinition">
    <w:name w:val="HTML Definition"/>
    <w:uiPriority w:val="99"/>
    <w:semiHidden/>
    <w:unhideWhenUsed/>
    <w:rsid w:val="00B772BF"/>
    <w:rPr>
      <w:i/>
      <w:iCs/>
    </w:rPr>
  </w:style>
  <w:style w:type="character" w:styleId="HTMLKeyboard">
    <w:name w:val="HTML Keyboard"/>
    <w:uiPriority w:val="99"/>
    <w:semiHidden/>
    <w:unhideWhenUsed/>
    <w:rsid w:val="00B772BF"/>
    <w:rPr>
      <w:rFonts w:ascii="Consolas" w:hAnsi="Consolas" w:cs="Consolas"/>
      <w:sz w:val="20"/>
      <w:szCs w:val="20"/>
    </w:rPr>
  </w:style>
  <w:style w:type="paragraph" w:styleId="HTMLPreformatted">
    <w:name w:val="HTML Preformatted"/>
    <w:basedOn w:val="Normal"/>
    <w:link w:val="HTMLPreformattedChar"/>
    <w:uiPriority w:val="99"/>
    <w:semiHidden/>
    <w:unhideWhenUsed/>
    <w:rsid w:val="00B772BF"/>
    <w:rPr>
      <w:rFonts w:ascii="Consolas" w:hAnsi="Consolas" w:cs="Mangal"/>
      <w:sz w:val="20"/>
      <w:szCs w:val="20"/>
      <w:lang w:bidi="hi-IN"/>
    </w:rPr>
  </w:style>
  <w:style w:type="character" w:customStyle="1" w:styleId="HTMLPreformattedChar">
    <w:name w:val="HTML Preformatted Char"/>
    <w:link w:val="HTMLPreformatted"/>
    <w:uiPriority w:val="99"/>
    <w:semiHidden/>
    <w:rsid w:val="00B772BF"/>
    <w:rPr>
      <w:rFonts w:ascii="Consolas" w:hAnsi="Consolas" w:cs="Consolas"/>
      <w:lang w:eastAsia="en-US"/>
    </w:rPr>
  </w:style>
  <w:style w:type="character" w:styleId="HTMLSample">
    <w:name w:val="HTML Sample"/>
    <w:uiPriority w:val="99"/>
    <w:semiHidden/>
    <w:unhideWhenUsed/>
    <w:rsid w:val="00B772BF"/>
    <w:rPr>
      <w:rFonts w:ascii="Consolas" w:hAnsi="Consolas" w:cs="Consolas"/>
      <w:sz w:val="24"/>
      <w:szCs w:val="24"/>
    </w:rPr>
  </w:style>
  <w:style w:type="character" w:styleId="HTMLTypewriter">
    <w:name w:val="HTML Typewriter"/>
    <w:uiPriority w:val="99"/>
    <w:semiHidden/>
    <w:unhideWhenUsed/>
    <w:rsid w:val="00B772BF"/>
    <w:rPr>
      <w:rFonts w:ascii="Consolas" w:hAnsi="Consolas" w:cs="Consolas"/>
      <w:sz w:val="20"/>
      <w:szCs w:val="20"/>
    </w:rPr>
  </w:style>
  <w:style w:type="character" w:styleId="HTMLVariable">
    <w:name w:val="HTML Variable"/>
    <w:uiPriority w:val="99"/>
    <w:semiHidden/>
    <w:unhideWhenUsed/>
    <w:rsid w:val="00B772BF"/>
    <w:rPr>
      <w:i/>
      <w:iCs/>
    </w:rPr>
  </w:style>
  <w:style w:type="paragraph" w:styleId="Index1">
    <w:name w:val="index 1"/>
    <w:basedOn w:val="Normal"/>
    <w:next w:val="Normal"/>
    <w:autoRedefine/>
    <w:uiPriority w:val="99"/>
    <w:semiHidden/>
    <w:unhideWhenUsed/>
    <w:rsid w:val="00B772BF"/>
    <w:pPr>
      <w:ind w:left="180" w:hanging="180"/>
    </w:pPr>
  </w:style>
  <w:style w:type="paragraph" w:styleId="Index2">
    <w:name w:val="index 2"/>
    <w:basedOn w:val="Normal"/>
    <w:next w:val="Normal"/>
    <w:autoRedefine/>
    <w:uiPriority w:val="99"/>
    <w:semiHidden/>
    <w:unhideWhenUsed/>
    <w:rsid w:val="00B772BF"/>
    <w:pPr>
      <w:ind w:left="360" w:hanging="180"/>
    </w:pPr>
  </w:style>
  <w:style w:type="paragraph" w:styleId="Index3">
    <w:name w:val="index 3"/>
    <w:basedOn w:val="Normal"/>
    <w:next w:val="Normal"/>
    <w:autoRedefine/>
    <w:uiPriority w:val="99"/>
    <w:semiHidden/>
    <w:unhideWhenUsed/>
    <w:rsid w:val="00B772BF"/>
    <w:pPr>
      <w:ind w:left="540" w:hanging="180"/>
    </w:pPr>
  </w:style>
  <w:style w:type="paragraph" w:styleId="Index4">
    <w:name w:val="index 4"/>
    <w:basedOn w:val="Normal"/>
    <w:next w:val="Normal"/>
    <w:autoRedefine/>
    <w:uiPriority w:val="99"/>
    <w:semiHidden/>
    <w:unhideWhenUsed/>
    <w:rsid w:val="00B772BF"/>
    <w:pPr>
      <w:ind w:left="720" w:hanging="180"/>
    </w:pPr>
  </w:style>
  <w:style w:type="paragraph" w:styleId="Index5">
    <w:name w:val="index 5"/>
    <w:basedOn w:val="Normal"/>
    <w:next w:val="Normal"/>
    <w:autoRedefine/>
    <w:uiPriority w:val="99"/>
    <w:semiHidden/>
    <w:unhideWhenUsed/>
    <w:rsid w:val="00B772BF"/>
    <w:pPr>
      <w:ind w:left="900" w:hanging="180"/>
    </w:pPr>
  </w:style>
  <w:style w:type="paragraph" w:styleId="Index6">
    <w:name w:val="index 6"/>
    <w:basedOn w:val="Normal"/>
    <w:next w:val="Normal"/>
    <w:autoRedefine/>
    <w:uiPriority w:val="99"/>
    <w:semiHidden/>
    <w:unhideWhenUsed/>
    <w:rsid w:val="00B772BF"/>
    <w:pPr>
      <w:ind w:left="1080" w:hanging="180"/>
    </w:pPr>
  </w:style>
  <w:style w:type="paragraph" w:styleId="Index7">
    <w:name w:val="index 7"/>
    <w:basedOn w:val="Normal"/>
    <w:next w:val="Normal"/>
    <w:autoRedefine/>
    <w:uiPriority w:val="99"/>
    <w:semiHidden/>
    <w:unhideWhenUsed/>
    <w:rsid w:val="00B772BF"/>
    <w:pPr>
      <w:ind w:left="1260" w:hanging="180"/>
    </w:pPr>
  </w:style>
  <w:style w:type="paragraph" w:styleId="Index8">
    <w:name w:val="index 8"/>
    <w:basedOn w:val="Normal"/>
    <w:next w:val="Normal"/>
    <w:autoRedefine/>
    <w:uiPriority w:val="99"/>
    <w:semiHidden/>
    <w:unhideWhenUsed/>
    <w:rsid w:val="00B772BF"/>
    <w:pPr>
      <w:ind w:left="1440" w:hanging="180"/>
    </w:pPr>
  </w:style>
  <w:style w:type="paragraph" w:styleId="Index9">
    <w:name w:val="index 9"/>
    <w:basedOn w:val="Normal"/>
    <w:next w:val="Normal"/>
    <w:autoRedefine/>
    <w:uiPriority w:val="99"/>
    <w:semiHidden/>
    <w:unhideWhenUsed/>
    <w:rsid w:val="00B772BF"/>
    <w:pPr>
      <w:ind w:left="1620" w:hanging="180"/>
    </w:pPr>
  </w:style>
  <w:style w:type="paragraph" w:styleId="IndexHeading">
    <w:name w:val="index heading"/>
    <w:basedOn w:val="Normal"/>
    <w:next w:val="Index1"/>
    <w:uiPriority w:val="99"/>
    <w:semiHidden/>
    <w:unhideWhenUsed/>
    <w:rsid w:val="00B772BF"/>
    <w:rPr>
      <w:rFonts w:ascii="Cambria" w:eastAsia="Times New Roman" w:hAnsi="Cambria"/>
      <w:b/>
      <w:bCs/>
    </w:rPr>
  </w:style>
  <w:style w:type="character" w:styleId="IntenseEmphasis">
    <w:name w:val="Intense Emphasis"/>
    <w:uiPriority w:val="99"/>
    <w:semiHidden/>
    <w:qFormat/>
    <w:rsid w:val="00B772BF"/>
    <w:rPr>
      <w:b/>
      <w:bCs/>
      <w:i/>
      <w:iCs/>
      <w:color w:val="4F81BD"/>
    </w:rPr>
  </w:style>
  <w:style w:type="paragraph" w:styleId="IntenseQuote">
    <w:name w:val="Intense Quote"/>
    <w:basedOn w:val="Normal"/>
    <w:next w:val="Normal"/>
    <w:link w:val="IntenseQuoteChar"/>
    <w:uiPriority w:val="99"/>
    <w:semiHidden/>
    <w:qFormat/>
    <w:rsid w:val="00B772BF"/>
    <w:pPr>
      <w:pBdr>
        <w:bottom w:val="single" w:sz="4" w:space="4" w:color="4F81BD"/>
      </w:pBdr>
      <w:spacing w:before="200" w:after="280"/>
      <w:ind w:left="936" w:right="936"/>
    </w:pPr>
    <w:rPr>
      <w:rFonts w:cs="Mangal"/>
      <w:b/>
      <w:bCs/>
      <w:i/>
      <w:iCs/>
      <w:color w:val="4F81BD"/>
      <w:lang w:bidi="hi-IN"/>
    </w:rPr>
  </w:style>
  <w:style w:type="character" w:customStyle="1" w:styleId="IntenseQuoteChar">
    <w:name w:val="Intense Quote Char"/>
    <w:link w:val="IntenseQuote"/>
    <w:uiPriority w:val="99"/>
    <w:semiHidden/>
    <w:rsid w:val="00B772BF"/>
    <w:rPr>
      <w:rFonts w:ascii="Verdana" w:hAnsi="Verdana"/>
      <w:b/>
      <w:bCs/>
      <w:i/>
      <w:iCs/>
      <w:color w:val="4F81BD"/>
      <w:sz w:val="18"/>
      <w:szCs w:val="22"/>
      <w:lang w:eastAsia="en-US"/>
    </w:rPr>
  </w:style>
  <w:style w:type="character" w:styleId="IntenseReference">
    <w:name w:val="Intense Reference"/>
    <w:uiPriority w:val="99"/>
    <w:semiHidden/>
    <w:qFormat/>
    <w:rsid w:val="00B772BF"/>
    <w:rPr>
      <w:b/>
      <w:bCs/>
      <w:smallCaps/>
      <w:color w:val="C0504D"/>
      <w:spacing w:val="5"/>
      <w:u w:val="single"/>
    </w:rPr>
  </w:style>
  <w:style w:type="character" w:styleId="LineNumber">
    <w:name w:val="line number"/>
    <w:basedOn w:val="DefaultParagraphFont"/>
    <w:uiPriority w:val="99"/>
    <w:semiHidden/>
    <w:unhideWhenUsed/>
    <w:rsid w:val="00B772BF"/>
  </w:style>
  <w:style w:type="paragraph" w:styleId="List">
    <w:name w:val="List"/>
    <w:basedOn w:val="Normal"/>
    <w:uiPriority w:val="99"/>
    <w:semiHidden/>
    <w:unhideWhenUsed/>
    <w:rsid w:val="00B772BF"/>
    <w:pPr>
      <w:ind w:left="283" w:hanging="283"/>
      <w:contextualSpacing/>
    </w:pPr>
  </w:style>
  <w:style w:type="paragraph" w:styleId="List2">
    <w:name w:val="List 2"/>
    <w:basedOn w:val="Normal"/>
    <w:uiPriority w:val="99"/>
    <w:semiHidden/>
    <w:unhideWhenUsed/>
    <w:rsid w:val="00B772BF"/>
    <w:pPr>
      <w:ind w:left="566" w:hanging="283"/>
      <w:contextualSpacing/>
    </w:pPr>
  </w:style>
  <w:style w:type="paragraph" w:styleId="List3">
    <w:name w:val="List 3"/>
    <w:basedOn w:val="Normal"/>
    <w:uiPriority w:val="99"/>
    <w:semiHidden/>
    <w:unhideWhenUsed/>
    <w:rsid w:val="00B772BF"/>
    <w:pPr>
      <w:ind w:left="849" w:hanging="283"/>
      <w:contextualSpacing/>
    </w:pPr>
  </w:style>
  <w:style w:type="paragraph" w:styleId="List4">
    <w:name w:val="List 4"/>
    <w:basedOn w:val="Normal"/>
    <w:uiPriority w:val="99"/>
    <w:semiHidden/>
    <w:unhideWhenUsed/>
    <w:rsid w:val="00B772BF"/>
    <w:pPr>
      <w:ind w:left="1132" w:hanging="283"/>
      <w:contextualSpacing/>
    </w:pPr>
  </w:style>
  <w:style w:type="paragraph" w:styleId="List5">
    <w:name w:val="List 5"/>
    <w:basedOn w:val="Normal"/>
    <w:uiPriority w:val="99"/>
    <w:semiHidden/>
    <w:unhideWhenUsed/>
    <w:rsid w:val="00B772BF"/>
    <w:pPr>
      <w:ind w:left="1415" w:hanging="283"/>
      <w:contextualSpacing/>
    </w:pPr>
  </w:style>
  <w:style w:type="paragraph" w:styleId="ListContinue">
    <w:name w:val="List Continue"/>
    <w:basedOn w:val="Normal"/>
    <w:uiPriority w:val="99"/>
    <w:semiHidden/>
    <w:unhideWhenUsed/>
    <w:rsid w:val="00B772BF"/>
    <w:pPr>
      <w:spacing w:after="120"/>
      <w:ind w:left="283"/>
      <w:contextualSpacing/>
    </w:pPr>
  </w:style>
  <w:style w:type="paragraph" w:styleId="ListContinue2">
    <w:name w:val="List Continue 2"/>
    <w:basedOn w:val="Normal"/>
    <w:uiPriority w:val="99"/>
    <w:semiHidden/>
    <w:unhideWhenUsed/>
    <w:rsid w:val="00B772BF"/>
    <w:pPr>
      <w:spacing w:after="120"/>
      <w:ind w:left="566"/>
      <w:contextualSpacing/>
    </w:pPr>
  </w:style>
  <w:style w:type="paragraph" w:styleId="ListContinue3">
    <w:name w:val="List Continue 3"/>
    <w:basedOn w:val="Normal"/>
    <w:uiPriority w:val="99"/>
    <w:semiHidden/>
    <w:unhideWhenUsed/>
    <w:rsid w:val="00B772BF"/>
    <w:pPr>
      <w:spacing w:after="120"/>
      <w:ind w:left="849"/>
      <w:contextualSpacing/>
    </w:pPr>
  </w:style>
  <w:style w:type="paragraph" w:styleId="ListContinue4">
    <w:name w:val="List Continue 4"/>
    <w:basedOn w:val="Normal"/>
    <w:uiPriority w:val="99"/>
    <w:semiHidden/>
    <w:unhideWhenUsed/>
    <w:rsid w:val="00B772BF"/>
    <w:pPr>
      <w:spacing w:after="120"/>
      <w:ind w:left="1132"/>
      <w:contextualSpacing/>
    </w:pPr>
  </w:style>
  <w:style w:type="paragraph" w:styleId="ListContinue5">
    <w:name w:val="List Continue 5"/>
    <w:basedOn w:val="Normal"/>
    <w:uiPriority w:val="99"/>
    <w:semiHidden/>
    <w:unhideWhenUsed/>
    <w:rsid w:val="00B772BF"/>
    <w:pPr>
      <w:spacing w:after="120"/>
      <w:ind w:left="1415"/>
      <w:contextualSpacing/>
    </w:pPr>
  </w:style>
  <w:style w:type="paragraph" w:styleId="ListNumber">
    <w:name w:val="List Number"/>
    <w:basedOn w:val="Normal"/>
    <w:uiPriority w:val="49"/>
    <w:semiHidden/>
    <w:unhideWhenUsed/>
    <w:rsid w:val="00B772BF"/>
    <w:pPr>
      <w:numPr>
        <w:numId w:val="11"/>
      </w:numPr>
      <w:contextualSpacing/>
    </w:pPr>
  </w:style>
  <w:style w:type="paragraph" w:styleId="ListNumber2">
    <w:name w:val="List Number 2"/>
    <w:basedOn w:val="Normal"/>
    <w:uiPriority w:val="49"/>
    <w:semiHidden/>
    <w:unhideWhenUsed/>
    <w:rsid w:val="00B772BF"/>
    <w:pPr>
      <w:numPr>
        <w:numId w:val="12"/>
      </w:numPr>
      <w:contextualSpacing/>
    </w:pPr>
  </w:style>
  <w:style w:type="paragraph" w:styleId="ListNumber3">
    <w:name w:val="List Number 3"/>
    <w:basedOn w:val="Normal"/>
    <w:uiPriority w:val="49"/>
    <w:semiHidden/>
    <w:unhideWhenUsed/>
    <w:rsid w:val="00B772BF"/>
    <w:pPr>
      <w:numPr>
        <w:numId w:val="13"/>
      </w:numPr>
      <w:contextualSpacing/>
    </w:pPr>
  </w:style>
  <w:style w:type="paragraph" w:styleId="ListNumber4">
    <w:name w:val="List Number 4"/>
    <w:basedOn w:val="Normal"/>
    <w:uiPriority w:val="49"/>
    <w:semiHidden/>
    <w:unhideWhenUsed/>
    <w:rsid w:val="00B772BF"/>
    <w:pPr>
      <w:numPr>
        <w:numId w:val="14"/>
      </w:numPr>
      <w:contextualSpacing/>
    </w:pPr>
  </w:style>
  <w:style w:type="paragraph" w:styleId="ListNumber5">
    <w:name w:val="List Number 5"/>
    <w:basedOn w:val="Normal"/>
    <w:uiPriority w:val="49"/>
    <w:semiHidden/>
    <w:unhideWhenUsed/>
    <w:rsid w:val="00B772BF"/>
    <w:pPr>
      <w:numPr>
        <w:numId w:val="15"/>
      </w:numPr>
      <w:contextualSpacing/>
    </w:pPr>
  </w:style>
  <w:style w:type="paragraph" w:styleId="MacroText">
    <w:name w:val="macro"/>
    <w:link w:val="MacroTextChar"/>
    <w:uiPriority w:val="99"/>
    <w:semiHidden/>
    <w:unhideWhenUsed/>
    <w:rsid w:val="00B772B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B772BF"/>
    <w:rPr>
      <w:rFonts w:ascii="Consolas" w:hAnsi="Consolas" w:cs="Consolas"/>
      <w:lang w:eastAsia="en-US" w:bidi="ar-SA"/>
    </w:rPr>
  </w:style>
  <w:style w:type="paragraph" w:styleId="MessageHeader">
    <w:name w:val="Message Header"/>
    <w:basedOn w:val="Normal"/>
    <w:link w:val="MessageHeaderChar"/>
    <w:uiPriority w:val="99"/>
    <w:semiHidden/>
    <w:unhideWhenUsed/>
    <w:rsid w:val="00B772B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Mangal"/>
      <w:sz w:val="24"/>
      <w:szCs w:val="24"/>
      <w:lang w:bidi="hi-IN"/>
    </w:rPr>
  </w:style>
  <w:style w:type="character" w:customStyle="1" w:styleId="MessageHeaderChar">
    <w:name w:val="Message Header Char"/>
    <w:link w:val="MessageHeader"/>
    <w:uiPriority w:val="99"/>
    <w:semiHidden/>
    <w:rsid w:val="00B772BF"/>
    <w:rPr>
      <w:rFonts w:ascii="Cambria" w:eastAsia="Times New Roman" w:hAnsi="Cambria" w:cs="Times New Roman"/>
      <w:sz w:val="24"/>
      <w:szCs w:val="24"/>
      <w:shd w:val="pct20" w:color="auto" w:fill="auto"/>
      <w:lang w:eastAsia="en-US"/>
    </w:rPr>
  </w:style>
  <w:style w:type="paragraph" w:styleId="NoSpacing">
    <w:name w:val="No Spacing"/>
    <w:uiPriority w:val="1"/>
    <w:semiHidden/>
    <w:qFormat/>
    <w:rsid w:val="00B772BF"/>
    <w:pPr>
      <w:jc w:val="both"/>
    </w:pPr>
    <w:rPr>
      <w:rFonts w:ascii="Verdana" w:hAnsi="Verdana"/>
      <w:sz w:val="18"/>
      <w:szCs w:val="22"/>
      <w:lang w:val="en-GB" w:eastAsia="en-US"/>
    </w:rPr>
  </w:style>
  <w:style w:type="paragraph" w:styleId="NormalWeb">
    <w:name w:val="Normal (Web)"/>
    <w:basedOn w:val="Normal"/>
    <w:uiPriority w:val="99"/>
    <w:semiHidden/>
    <w:unhideWhenUsed/>
    <w:rsid w:val="00B772BF"/>
    <w:rPr>
      <w:rFonts w:ascii="Times New Roman" w:hAnsi="Times New Roman"/>
      <w:sz w:val="24"/>
      <w:szCs w:val="24"/>
    </w:rPr>
  </w:style>
  <w:style w:type="paragraph" w:styleId="NormalIndent">
    <w:name w:val="Normal Indent"/>
    <w:basedOn w:val="Normal"/>
    <w:uiPriority w:val="99"/>
    <w:semiHidden/>
    <w:unhideWhenUsed/>
    <w:rsid w:val="00B772BF"/>
    <w:pPr>
      <w:ind w:left="567"/>
    </w:pPr>
  </w:style>
  <w:style w:type="paragraph" w:styleId="NoteHeading">
    <w:name w:val="Note Heading"/>
    <w:basedOn w:val="Normal"/>
    <w:next w:val="Normal"/>
    <w:link w:val="NoteHeadingChar"/>
    <w:uiPriority w:val="99"/>
    <w:semiHidden/>
    <w:unhideWhenUsed/>
    <w:rsid w:val="00B772BF"/>
    <w:rPr>
      <w:rFonts w:cs="Mangal"/>
      <w:lang w:bidi="hi-IN"/>
    </w:rPr>
  </w:style>
  <w:style w:type="character" w:customStyle="1" w:styleId="NoteHeadingChar">
    <w:name w:val="Note Heading Char"/>
    <w:link w:val="NoteHeading"/>
    <w:uiPriority w:val="99"/>
    <w:semiHidden/>
    <w:rsid w:val="00B772BF"/>
    <w:rPr>
      <w:rFonts w:ascii="Verdana" w:hAnsi="Verdana"/>
      <w:sz w:val="18"/>
      <w:szCs w:val="22"/>
      <w:lang w:eastAsia="en-US"/>
    </w:rPr>
  </w:style>
  <w:style w:type="character" w:styleId="PageNumber">
    <w:name w:val="page number"/>
    <w:basedOn w:val="DefaultParagraphFont"/>
    <w:uiPriority w:val="99"/>
    <w:semiHidden/>
    <w:unhideWhenUsed/>
    <w:rsid w:val="00B772BF"/>
  </w:style>
  <w:style w:type="character" w:styleId="PlaceholderText">
    <w:name w:val="Placeholder Text"/>
    <w:uiPriority w:val="99"/>
    <w:semiHidden/>
    <w:rsid w:val="00B772BF"/>
    <w:rPr>
      <w:color w:val="808080"/>
    </w:rPr>
  </w:style>
  <w:style w:type="paragraph" w:styleId="PlainText">
    <w:name w:val="Plain Text"/>
    <w:basedOn w:val="Normal"/>
    <w:link w:val="PlainTextChar"/>
    <w:uiPriority w:val="99"/>
    <w:unhideWhenUsed/>
    <w:rsid w:val="00B772BF"/>
    <w:rPr>
      <w:rFonts w:ascii="Consolas" w:hAnsi="Consolas" w:cs="Mangal"/>
      <w:sz w:val="21"/>
      <w:szCs w:val="21"/>
      <w:lang w:bidi="hi-IN"/>
    </w:rPr>
  </w:style>
  <w:style w:type="character" w:customStyle="1" w:styleId="PlainTextChar">
    <w:name w:val="Plain Text Char"/>
    <w:link w:val="PlainText"/>
    <w:uiPriority w:val="99"/>
    <w:semiHidden/>
    <w:rsid w:val="00B772BF"/>
    <w:rPr>
      <w:rFonts w:ascii="Consolas" w:hAnsi="Consolas" w:cs="Consolas"/>
      <w:sz w:val="21"/>
      <w:szCs w:val="21"/>
      <w:lang w:eastAsia="en-US"/>
    </w:rPr>
  </w:style>
  <w:style w:type="paragraph" w:styleId="Quote">
    <w:name w:val="Quote"/>
    <w:basedOn w:val="Normal"/>
    <w:next w:val="Normal"/>
    <w:link w:val="QuoteChar"/>
    <w:uiPriority w:val="99"/>
    <w:semiHidden/>
    <w:qFormat/>
    <w:rsid w:val="00B772BF"/>
    <w:rPr>
      <w:rFonts w:cs="Mangal"/>
      <w:i/>
      <w:iCs/>
      <w:color w:val="000000"/>
      <w:lang w:bidi="hi-IN"/>
    </w:rPr>
  </w:style>
  <w:style w:type="character" w:customStyle="1" w:styleId="QuoteChar">
    <w:name w:val="Quote Char"/>
    <w:link w:val="Quote"/>
    <w:uiPriority w:val="99"/>
    <w:semiHidden/>
    <w:rsid w:val="00B772BF"/>
    <w:rPr>
      <w:rFonts w:ascii="Verdana" w:hAnsi="Verdana"/>
      <w:i/>
      <w:iCs/>
      <w:color w:val="000000"/>
      <w:sz w:val="18"/>
      <w:szCs w:val="22"/>
      <w:lang w:eastAsia="en-US"/>
    </w:rPr>
  </w:style>
  <w:style w:type="paragraph" w:styleId="Salutation">
    <w:name w:val="Salutation"/>
    <w:basedOn w:val="Normal"/>
    <w:next w:val="Normal"/>
    <w:link w:val="SalutationChar"/>
    <w:uiPriority w:val="99"/>
    <w:semiHidden/>
    <w:unhideWhenUsed/>
    <w:rsid w:val="00B772BF"/>
    <w:rPr>
      <w:rFonts w:cs="Mangal"/>
      <w:lang w:bidi="hi-IN"/>
    </w:rPr>
  </w:style>
  <w:style w:type="character" w:customStyle="1" w:styleId="SalutationChar">
    <w:name w:val="Salutation Char"/>
    <w:link w:val="Salutation"/>
    <w:uiPriority w:val="99"/>
    <w:semiHidden/>
    <w:rsid w:val="00B772BF"/>
    <w:rPr>
      <w:rFonts w:ascii="Verdana" w:hAnsi="Verdana"/>
      <w:sz w:val="18"/>
      <w:szCs w:val="22"/>
      <w:lang w:eastAsia="en-US"/>
    </w:rPr>
  </w:style>
  <w:style w:type="paragraph" w:styleId="Signature">
    <w:name w:val="Signature"/>
    <w:basedOn w:val="Normal"/>
    <w:link w:val="SignatureChar"/>
    <w:uiPriority w:val="99"/>
    <w:semiHidden/>
    <w:unhideWhenUsed/>
    <w:rsid w:val="00B772BF"/>
    <w:pPr>
      <w:ind w:left="4252"/>
    </w:pPr>
    <w:rPr>
      <w:rFonts w:cs="Mangal"/>
      <w:lang w:bidi="hi-IN"/>
    </w:rPr>
  </w:style>
  <w:style w:type="character" w:customStyle="1" w:styleId="SignatureChar">
    <w:name w:val="Signature Char"/>
    <w:link w:val="Signature"/>
    <w:uiPriority w:val="99"/>
    <w:semiHidden/>
    <w:rsid w:val="00B772BF"/>
    <w:rPr>
      <w:rFonts w:ascii="Verdana" w:hAnsi="Verdana"/>
      <w:sz w:val="18"/>
      <w:szCs w:val="22"/>
      <w:lang w:eastAsia="en-US"/>
    </w:rPr>
  </w:style>
  <w:style w:type="character" w:styleId="Strong">
    <w:name w:val="Strong"/>
    <w:uiPriority w:val="99"/>
    <w:semiHidden/>
    <w:qFormat/>
    <w:rsid w:val="00B772BF"/>
    <w:rPr>
      <w:b/>
      <w:bCs/>
    </w:rPr>
  </w:style>
  <w:style w:type="character" w:styleId="SubtleEmphasis">
    <w:name w:val="Subtle Emphasis"/>
    <w:uiPriority w:val="99"/>
    <w:semiHidden/>
    <w:qFormat/>
    <w:rsid w:val="00B772BF"/>
    <w:rPr>
      <w:i/>
      <w:iCs/>
      <w:color w:val="808080"/>
    </w:rPr>
  </w:style>
  <w:style w:type="character" w:styleId="SubtleReference">
    <w:name w:val="Subtle Reference"/>
    <w:uiPriority w:val="99"/>
    <w:semiHidden/>
    <w:qFormat/>
    <w:rsid w:val="00B772BF"/>
    <w:rPr>
      <w:smallCaps/>
      <w:color w:val="C0504D"/>
      <w:u w:val="single"/>
    </w:rPr>
  </w:style>
  <w:style w:type="paragraph" w:styleId="TOAHeading">
    <w:name w:val="toa heading"/>
    <w:basedOn w:val="Normal"/>
    <w:next w:val="Normal"/>
    <w:uiPriority w:val="39"/>
    <w:unhideWhenUsed/>
    <w:rsid w:val="00B772BF"/>
    <w:pPr>
      <w:spacing w:before="120"/>
    </w:pPr>
    <w:rPr>
      <w:rFonts w:ascii="Cambria" w:eastAsia="Times New Roman" w:hAnsi="Cambria"/>
      <w:b/>
      <w:bCs/>
      <w:sz w:val="24"/>
      <w:szCs w:val="24"/>
    </w:rPr>
  </w:style>
  <w:style w:type="paragraph" w:customStyle="1" w:styleId="EmptyLayoutCell">
    <w:name w:val="EmptyLayoutCell"/>
    <w:basedOn w:val="Normal"/>
    <w:rsid w:val="00B14CBE"/>
    <w:pPr>
      <w:jc w:val="left"/>
    </w:pPr>
    <w:rPr>
      <w:rFonts w:ascii="Times New Roman" w:eastAsia="Times New Roman" w:hAnsi="Times New Roman"/>
      <w:sz w:val="2"/>
      <w:szCs w:val="20"/>
      <w:lang w:val="en-US"/>
    </w:rPr>
  </w:style>
  <w:style w:type="character" w:styleId="UnresolvedMention">
    <w:name w:val="Unresolved Mention"/>
    <w:basedOn w:val="DefaultParagraphFont"/>
    <w:uiPriority w:val="99"/>
    <w:semiHidden/>
    <w:unhideWhenUsed/>
    <w:rsid w:val="009B7913"/>
    <w:rPr>
      <w:color w:val="605E5C"/>
      <w:shd w:val="clear" w:color="auto" w:fill="E1DFDD"/>
    </w:rPr>
  </w:style>
  <w:style w:type="paragraph" w:customStyle="1" w:styleId="NoteText">
    <w:name w:val="Note Text"/>
    <w:basedOn w:val="Normal"/>
    <w:uiPriority w:val="4"/>
    <w:qFormat/>
    <w:rsid w:val="00F25582"/>
    <w:pPr>
      <w:tabs>
        <w:tab w:val="left" w:pos="851"/>
      </w:tabs>
      <w:ind w:left="851" w:hanging="851"/>
      <w:jc w:val="left"/>
    </w:pPr>
    <w:rPr>
      <w:rFonts w:eastAsiaTheme="minorHAnsi" w:cstheme="minorBid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ciar.gov.a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fat.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fernan\AppData\Roaming\Microsoft\Templates\Other%20Documents\G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D886E-7289-472E-930F-3C096B314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GAG-E.dotx</Template>
  <TotalTime>0</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2022-03-10T08:49:00Z</dcterms:created>
  <dcterms:modified xsi:type="dcterms:W3CDTF">2022-03-10T10:30:00Z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3a24a15f-97c1-48ca-8854-355c51436fc5</vt:lpwstr>
  </property>
  <property fmtid="{D5CDD505-2E9C-101B-9397-08002B2CF9AE}" pid="3" name="Symbol1">
    <vt:lpwstr>G/AG/N/AUS/143</vt:lpwstr>
  </property>
  <property fmtid="{D5CDD505-2E9C-101B-9397-08002B2CF9AE}" pid="4" name="WTOCLASSIFICATION">
    <vt:lpwstr>WTO OFFICIAL</vt:lpwstr>
  </property>
</Properties>
</file>