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141A" w14:textId="0E535C82" w:rsidR="00A43B8D" w:rsidRDefault="00A43B8D" w:rsidP="00A43B8D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34BC0037" w14:textId="39CF16AB" w:rsidR="00A43B8D" w:rsidRDefault="00A43B8D" w:rsidP="00A43B8D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17 March</w:t>
      </w:r>
      <w:r w:rsidRPr="00B811FA">
        <w:rPr>
          <w:rFonts w:eastAsia="Arial"/>
        </w:rPr>
        <w:t xml:space="preserve"> 2021</w:t>
      </w:r>
      <w:r w:rsidRPr="00FB1BF9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 xml:space="preserve">of </w:t>
      </w:r>
      <w:r>
        <w:rPr>
          <w:rFonts w:eastAsia="Arial"/>
          <w:b/>
          <w:noProof/>
          <w:color w:val="000000"/>
        </w:rPr>
        <w:t>India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>
        <w:rPr>
          <w:rFonts w:eastAsia="Arial"/>
          <w:b/>
          <w:noProof/>
          <w:color w:val="000000"/>
        </w:rPr>
        <w:t>M</w:t>
      </w:r>
      <w:r w:rsidRPr="009254C1">
        <w:rPr>
          <w:rFonts w:eastAsia="Arial"/>
          <w:b/>
          <w:noProof/>
          <w:color w:val="000000"/>
        </w:rPr>
        <w:t>arketing</w:t>
      </w:r>
      <w:r w:rsidR="00BF16C3">
        <w:rPr>
          <w:rFonts w:eastAsia="Arial"/>
          <w:b/>
          <w:noProof/>
          <w:color w:val="000000"/>
        </w:rPr>
        <w:t> </w:t>
      </w:r>
      <w:r>
        <w:rPr>
          <w:rFonts w:eastAsia="Arial"/>
          <w:b/>
          <w:noProof/>
          <w:color w:val="000000"/>
        </w:rPr>
        <w:t>Y</w:t>
      </w:r>
      <w:r w:rsidRPr="009254C1">
        <w:rPr>
          <w:rFonts w:eastAsia="Arial"/>
          <w:b/>
          <w:noProof/>
          <w:color w:val="000000"/>
        </w:rPr>
        <w:t>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2010/2011</w:t>
      </w:r>
      <w:r>
        <w:rPr>
          <w:rFonts w:eastAsia="Arial"/>
          <w:b/>
          <w:color w:val="000000"/>
        </w:rPr>
        <w:t>.</w:t>
      </w:r>
    </w:p>
    <w:p w14:paraId="6BD3C31D" w14:textId="35F13090" w:rsidR="00A43B8D" w:rsidRDefault="00A43B8D" w:rsidP="00A43B8D">
      <w:pPr>
        <w:rPr>
          <w:rFonts w:eastAsia="Arial"/>
          <w:b/>
          <w:color w:val="000000"/>
        </w:rPr>
      </w:pPr>
    </w:p>
    <w:p w14:paraId="00E0D610" w14:textId="06CA184F" w:rsidR="00A43B8D" w:rsidRDefault="00A43B8D" w:rsidP="00A43B8D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_______________</w:t>
      </w:r>
    </w:p>
    <w:p w14:paraId="12133FEE" w14:textId="07884DE7" w:rsidR="00A43B8D" w:rsidRDefault="00A43B8D" w:rsidP="00A43B8D">
      <w:pPr>
        <w:rPr>
          <w:rFonts w:eastAsia="Arial"/>
          <w:color w:val="000000"/>
        </w:rPr>
      </w:pPr>
    </w:p>
    <w:p w14:paraId="1321527D" w14:textId="77777777" w:rsidR="00A43B8D" w:rsidRPr="00A43B8D" w:rsidRDefault="00A43B8D" w:rsidP="00A43B8D">
      <w:pPr>
        <w:rPr>
          <w:rFonts w:eastAsia="Arial"/>
          <w:color w:val="000000"/>
        </w:rPr>
      </w:pPr>
    </w:p>
    <w:p w14:paraId="6E11E46C" w14:textId="432CE330" w:rsidR="00A43B8D" w:rsidRDefault="00A43B8D" w:rsidP="00A43B8D">
      <w:r w:rsidRPr="00BA54FC">
        <w:rPr>
          <w:noProof/>
        </w:rPr>
        <w:t>India</w:t>
      </w:r>
      <w:r w:rsidRPr="00BA54FC">
        <w:t xml:space="preserve"> notifies that export subsidies covered by Article 9.4 of the Agreement as set out in the Supporting Table ES:2 were granted to agricultural products during the marketing year from 01</w:t>
      </w:r>
      <w:r w:rsidR="002F6726" w:rsidRPr="00BA54FC">
        <w:noBreakHyphen/>
      </w:r>
      <w:r w:rsidRPr="00BA54FC">
        <w:t>10</w:t>
      </w:r>
      <w:r w:rsidR="002F6726" w:rsidRPr="00BA54FC">
        <w:noBreakHyphen/>
      </w:r>
      <w:r w:rsidRPr="00BA54FC">
        <w:t>2010 to 30-09-2011.</w:t>
      </w:r>
    </w:p>
    <w:p w14:paraId="22E57042" w14:textId="2F10A558" w:rsidR="007141CF" w:rsidRDefault="007141CF" w:rsidP="00B52738"/>
    <w:p w14:paraId="2CA3EAB3" w14:textId="276FA4AE" w:rsidR="00A43B8D" w:rsidRDefault="00A43B8D" w:rsidP="00A43B8D"/>
    <w:p w14:paraId="29636D7A" w14:textId="77777777" w:rsidR="00A43B8D" w:rsidRDefault="00A43B8D" w:rsidP="00A43B8D">
      <w:pPr>
        <w:rPr>
          <w:b/>
        </w:rPr>
        <w:sectPr w:rsidR="00A43B8D" w:rsidSect="00BF16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4DF6B24B" w14:textId="77777777" w:rsidR="00A43B8D" w:rsidRPr="00A43B8D" w:rsidRDefault="00A43B8D" w:rsidP="00A43B8D">
      <w:pPr>
        <w:pStyle w:val="Caption"/>
      </w:pPr>
      <w:r w:rsidRPr="00A43B8D">
        <w:lastRenderedPageBreak/>
        <w:t xml:space="preserve">Supporting Table ES:2 </w:t>
      </w:r>
    </w:p>
    <w:p w14:paraId="0C22C403" w14:textId="77777777" w:rsidR="00A43B8D" w:rsidRPr="00A43B8D" w:rsidRDefault="00A43B8D" w:rsidP="00A43B8D">
      <w:pPr>
        <w:pStyle w:val="Title"/>
      </w:pPr>
      <w:r w:rsidRPr="00A43B8D">
        <w:t xml:space="preserve">EXPORT SUBSIDIES: INDIA </w:t>
      </w:r>
    </w:p>
    <w:p w14:paraId="2CC6559F" w14:textId="4EA2E598" w:rsidR="00A43B8D" w:rsidRPr="00A43B8D" w:rsidRDefault="00A43B8D" w:rsidP="00A43B8D">
      <w:pPr>
        <w:pStyle w:val="Title2"/>
      </w:pPr>
      <w:r w:rsidRPr="00A43B8D">
        <w:t>REPORTING PERIOD</w:t>
      </w:r>
      <w:r w:rsidRPr="00BA54FC">
        <w:t xml:space="preserve">: MARKETING YEAR </w:t>
      </w:r>
      <w:r w:rsidR="00E23905" w:rsidRPr="00BA54FC">
        <w:t xml:space="preserve">from 1 october </w:t>
      </w:r>
      <w:r w:rsidRPr="00BA54FC">
        <w:t>2010</w:t>
      </w:r>
      <w:r w:rsidR="00E23905" w:rsidRPr="00BA54FC">
        <w:t xml:space="preserve"> to 30 september 2011</w:t>
      </w:r>
      <w:r w:rsidRPr="00A43B8D">
        <w:t xml:space="preserve"> </w:t>
      </w:r>
    </w:p>
    <w:p w14:paraId="787B1A14" w14:textId="09BC3614" w:rsidR="00A43B8D" w:rsidRDefault="00A43B8D" w:rsidP="00A43B8D">
      <w:pPr>
        <w:pStyle w:val="Title3"/>
      </w:pPr>
      <w:r w:rsidRPr="00A43B8D">
        <w:t>EXPORT SUBSIDIES: Budgetary Outlay and Quantity Reduction Commitments: Developing Country Members using Article 9:1(d) and/or (e) Export Subsidies</w:t>
      </w:r>
    </w:p>
    <w:tbl>
      <w:tblPr>
        <w:tblStyle w:val="WTOTabl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5E0" w:firstRow="1" w:lastRow="1" w:firstColumn="1" w:lastColumn="1" w:noHBand="0" w:noVBand="1"/>
      </w:tblPr>
      <w:tblGrid>
        <w:gridCol w:w="3103"/>
        <w:gridCol w:w="1556"/>
        <w:gridCol w:w="1704"/>
        <w:gridCol w:w="1704"/>
        <w:gridCol w:w="2553"/>
        <w:gridCol w:w="3298"/>
        <w:gridCol w:w="622"/>
      </w:tblGrid>
      <w:tr w:rsidR="00A43B8D" w14:paraId="5F4425F7" w14:textId="77777777" w:rsidTr="00A16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977599" w14:textId="77777777" w:rsidR="00A43B8D" w:rsidRDefault="00A43B8D" w:rsidP="0088154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Description of products</w:t>
            </w:r>
          </w:p>
        </w:tc>
        <w:tc>
          <w:tcPr>
            <w:tcW w:w="5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872ECB" w14:textId="77777777" w:rsidR="00A43B8D" w:rsidRDefault="00A43B8D" w:rsidP="0088154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Cost reduction measures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1B1523" w14:textId="77777777" w:rsidR="00A43B8D" w:rsidRDefault="00A43B8D" w:rsidP="0088154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Internal transport subsidies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06AF11" w14:textId="77777777" w:rsidR="00A43B8D" w:rsidRDefault="00A43B8D" w:rsidP="0088154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Total product specific export subsidies</w:t>
            </w:r>
          </w:p>
        </w:tc>
        <w:tc>
          <w:tcPr>
            <w:tcW w:w="8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76E05D" w14:textId="77777777" w:rsidR="00A43B8D" w:rsidRDefault="00A43B8D" w:rsidP="0088154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Quantity of subsidised exports</w:t>
            </w:r>
          </w:p>
        </w:tc>
        <w:tc>
          <w:tcPr>
            <w:tcW w:w="113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8A2AAD" w14:textId="77777777" w:rsidR="00A43B8D" w:rsidRDefault="00A43B8D" w:rsidP="0088154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Data Sources</w:t>
            </w:r>
          </w:p>
        </w:tc>
        <w:tc>
          <w:tcPr>
            <w:tcW w:w="21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93EEFC" w14:textId="77777777" w:rsidR="00A43B8D" w:rsidRDefault="00A43B8D" w:rsidP="0088154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Note</w:t>
            </w:r>
          </w:p>
        </w:tc>
      </w:tr>
      <w:tr w:rsidR="00A43B8D" w14:paraId="4428C620" w14:textId="77777777" w:rsidTr="00A16C7C">
        <w:tc>
          <w:tcPr>
            <w:tcW w:w="1067" w:type="pct"/>
            <w:vMerge/>
          </w:tcPr>
          <w:p w14:paraId="54716EA3" w14:textId="77777777" w:rsidR="00A43B8D" w:rsidRDefault="00A43B8D" w:rsidP="0088154B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707" w:type="pct"/>
            <w:gridSpan w:val="3"/>
          </w:tcPr>
          <w:p w14:paraId="1EAE515D" w14:textId="77777777" w:rsidR="00A43B8D" w:rsidRDefault="00A43B8D" w:rsidP="0088154B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USD million</w:t>
            </w:r>
          </w:p>
        </w:tc>
        <w:tc>
          <w:tcPr>
            <w:tcW w:w="878" w:type="pct"/>
            <w:vMerge/>
          </w:tcPr>
          <w:p w14:paraId="207410B6" w14:textId="77777777" w:rsidR="00A43B8D" w:rsidRDefault="00A43B8D" w:rsidP="0088154B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34" w:type="pct"/>
            <w:vMerge/>
          </w:tcPr>
          <w:p w14:paraId="1FB1EB3D" w14:textId="77777777" w:rsidR="00A43B8D" w:rsidRDefault="00A43B8D" w:rsidP="0088154B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079A43D4" w14:textId="77777777" w:rsidR="00A43B8D" w:rsidRDefault="00A43B8D" w:rsidP="0088154B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A43B8D" w:rsidRPr="00A43B8D" w14:paraId="287FC7D5" w14:textId="77777777" w:rsidTr="00A16C7C">
        <w:tc>
          <w:tcPr>
            <w:tcW w:w="1067" w:type="pct"/>
          </w:tcPr>
          <w:p w14:paraId="6B45969C" w14:textId="77777777" w:rsidR="00A43B8D" w:rsidRP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A43B8D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535" w:type="pct"/>
          </w:tcPr>
          <w:p w14:paraId="67AFC878" w14:textId="77777777" w:rsidR="00A43B8D" w:rsidRP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A43B8D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586" w:type="pct"/>
          </w:tcPr>
          <w:p w14:paraId="5DAA8FB7" w14:textId="77777777" w:rsidR="00A43B8D" w:rsidRP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A43B8D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586" w:type="pct"/>
          </w:tcPr>
          <w:p w14:paraId="73583D70" w14:textId="77777777" w:rsidR="00A43B8D" w:rsidRP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A43B8D">
              <w:rPr>
                <w:rFonts w:eastAsia="Verdana" w:cs="Verdana"/>
                <w:noProof/>
                <w:sz w:val="14"/>
                <w:szCs w:val="14"/>
              </w:rPr>
              <w:t>4</w:t>
            </w:r>
          </w:p>
        </w:tc>
        <w:tc>
          <w:tcPr>
            <w:tcW w:w="878" w:type="pct"/>
          </w:tcPr>
          <w:p w14:paraId="1B39E95A" w14:textId="77777777" w:rsidR="00A43B8D" w:rsidRP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A43B8D">
              <w:rPr>
                <w:rFonts w:eastAsia="Verdana" w:cs="Verdana"/>
                <w:noProof/>
                <w:sz w:val="14"/>
                <w:szCs w:val="14"/>
              </w:rPr>
              <w:t>5</w:t>
            </w:r>
          </w:p>
        </w:tc>
        <w:tc>
          <w:tcPr>
            <w:tcW w:w="1134" w:type="pct"/>
          </w:tcPr>
          <w:p w14:paraId="17B9D852" w14:textId="77777777" w:rsidR="00A43B8D" w:rsidRP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A43B8D">
              <w:rPr>
                <w:rFonts w:eastAsia="Verdana" w:cs="Verdana"/>
                <w:noProof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14:paraId="4FAC8539" w14:textId="77777777" w:rsidR="00A43B8D" w:rsidRP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A43B8D" w14:paraId="4E4DEBEC" w14:textId="77777777" w:rsidTr="00A16C7C">
        <w:tc>
          <w:tcPr>
            <w:tcW w:w="1067" w:type="pct"/>
          </w:tcPr>
          <w:p w14:paraId="4921EDFA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Tea</w:t>
            </w:r>
          </w:p>
        </w:tc>
        <w:tc>
          <w:tcPr>
            <w:tcW w:w="535" w:type="pct"/>
          </w:tcPr>
          <w:p w14:paraId="35B3611E" w14:textId="528EFB08" w:rsidR="00A43B8D" w:rsidRDefault="0046778F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586" w:type="pct"/>
          </w:tcPr>
          <w:p w14:paraId="3DA198CF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1.02</w:t>
            </w:r>
          </w:p>
        </w:tc>
        <w:tc>
          <w:tcPr>
            <w:tcW w:w="586" w:type="pct"/>
          </w:tcPr>
          <w:p w14:paraId="7B702007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1.02</w:t>
            </w:r>
          </w:p>
        </w:tc>
        <w:tc>
          <w:tcPr>
            <w:tcW w:w="878" w:type="pct"/>
          </w:tcPr>
          <w:p w14:paraId="17899CCA" w14:textId="7A5B6821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30,871 Tonnes</w:t>
            </w:r>
          </w:p>
        </w:tc>
        <w:tc>
          <w:tcPr>
            <w:tcW w:w="1134" w:type="pct"/>
          </w:tcPr>
          <w:p w14:paraId="1550A8C2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Tea Board</w:t>
            </w:r>
          </w:p>
        </w:tc>
        <w:tc>
          <w:tcPr>
            <w:tcW w:w="0" w:type="auto"/>
          </w:tcPr>
          <w:p w14:paraId="5266D6DE" w14:textId="77777777" w:rsidR="00A43B8D" w:rsidRDefault="00A43B8D" w:rsidP="0088154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A43B8D" w14:paraId="54CFD055" w14:textId="77777777" w:rsidTr="00A16C7C">
        <w:tc>
          <w:tcPr>
            <w:tcW w:w="1067" w:type="pct"/>
          </w:tcPr>
          <w:p w14:paraId="1E609E71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Coffee</w:t>
            </w:r>
          </w:p>
        </w:tc>
        <w:tc>
          <w:tcPr>
            <w:tcW w:w="535" w:type="pct"/>
          </w:tcPr>
          <w:p w14:paraId="7BAB297E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0.6</w:t>
            </w:r>
          </w:p>
        </w:tc>
        <w:tc>
          <w:tcPr>
            <w:tcW w:w="586" w:type="pct"/>
          </w:tcPr>
          <w:p w14:paraId="7063BBCF" w14:textId="2B4A9AD0" w:rsidR="00A43B8D" w:rsidRDefault="0046778F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586" w:type="pct"/>
          </w:tcPr>
          <w:p w14:paraId="3D28E9E9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0.6</w:t>
            </w:r>
          </w:p>
        </w:tc>
        <w:tc>
          <w:tcPr>
            <w:tcW w:w="878" w:type="pct"/>
          </w:tcPr>
          <w:p w14:paraId="65A27745" w14:textId="6EBC0B63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17,345 Tonnes</w:t>
            </w:r>
          </w:p>
        </w:tc>
        <w:tc>
          <w:tcPr>
            <w:tcW w:w="1134" w:type="pct"/>
          </w:tcPr>
          <w:p w14:paraId="24C673ED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Coffee Board</w:t>
            </w:r>
          </w:p>
        </w:tc>
        <w:tc>
          <w:tcPr>
            <w:tcW w:w="0" w:type="auto"/>
          </w:tcPr>
          <w:p w14:paraId="6C5A071D" w14:textId="77777777" w:rsidR="00A43B8D" w:rsidRDefault="00A43B8D" w:rsidP="0088154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A43B8D" w14:paraId="1D49D005" w14:textId="77777777" w:rsidTr="00A16C7C">
        <w:tc>
          <w:tcPr>
            <w:tcW w:w="1067" w:type="pct"/>
          </w:tcPr>
          <w:p w14:paraId="43781CD4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Fresh Fruits and Vegetables</w:t>
            </w:r>
          </w:p>
        </w:tc>
        <w:tc>
          <w:tcPr>
            <w:tcW w:w="535" w:type="pct"/>
          </w:tcPr>
          <w:p w14:paraId="71F6C395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2.13</w:t>
            </w:r>
          </w:p>
        </w:tc>
        <w:tc>
          <w:tcPr>
            <w:tcW w:w="586" w:type="pct"/>
          </w:tcPr>
          <w:p w14:paraId="22BA31C7" w14:textId="795984E1" w:rsidR="00A43B8D" w:rsidRDefault="0046778F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586" w:type="pct"/>
          </w:tcPr>
          <w:p w14:paraId="5C146281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2.13</w:t>
            </w:r>
          </w:p>
        </w:tc>
        <w:tc>
          <w:tcPr>
            <w:tcW w:w="878" w:type="pct"/>
          </w:tcPr>
          <w:p w14:paraId="1513C615" w14:textId="0EEE98DC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38,598 Tonnes</w:t>
            </w:r>
          </w:p>
        </w:tc>
        <w:tc>
          <w:tcPr>
            <w:tcW w:w="1134" w:type="pct"/>
          </w:tcPr>
          <w:p w14:paraId="32A2D797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Agricultural and Processed Food Products Export Development Authority (APEDA)</w:t>
            </w:r>
          </w:p>
        </w:tc>
        <w:tc>
          <w:tcPr>
            <w:tcW w:w="0" w:type="auto"/>
          </w:tcPr>
          <w:p w14:paraId="2C358C08" w14:textId="77777777" w:rsidR="00A43B8D" w:rsidRDefault="00A43B8D" w:rsidP="0088154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A43B8D" w14:paraId="598E1343" w14:textId="77777777" w:rsidTr="00A16C7C">
        <w:tc>
          <w:tcPr>
            <w:tcW w:w="1067" w:type="pct"/>
          </w:tcPr>
          <w:p w14:paraId="33BE23BD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Processed Fruits and Vegetables</w:t>
            </w:r>
          </w:p>
        </w:tc>
        <w:tc>
          <w:tcPr>
            <w:tcW w:w="535" w:type="pct"/>
          </w:tcPr>
          <w:p w14:paraId="206DCDEC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1.53</w:t>
            </w:r>
          </w:p>
        </w:tc>
        <w:tc>
          <w:tcPr>
            <w:tcW w:w="586" w:type="pct"/>
          </w:tcPr>
          <w:p w14:paraId="2F819C6B" w14:textId="45BF3AE6" w:rsidR="00A43B8D" w:rsidRDefault="0046778F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586" w:type="pct"/>
          </w:tcPr>
          <w:p w14:paraId="1A5A8BDE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1.53</w:t>
            </w:r>
          </w:p>
        </w:tc>
        <w:tc>
          <w:tcPr>
            <w:tcW w:w="878" w:type="pct"/>
          </w:tcPr>
          <w:p w14:paraId="1EB472B5" w14:textId="0A072D34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78,365 Tonnes</w:t>
            </w:r>
          </w:p>
        </w:tc>
        <w:tc>
          <w:tcPr>
            <w:tcW w:w="1134" w:type="pct"/>
          </w:tcPr>
          <w:p w14:paraId="0BA13FEE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Agricultural and Processed Food Products Export Development Authority (APEDA)</w:t>
            </w:r>
          </w:p>
        </w:tc>
        <w:tc>
          <w:tcPr>
            <w:tcW w:w="0" w:type="auto"/>
          </w:tcPr>
          <w:p w14:paraId="441E4D73" w14:textId="77777777" w:rsidR="00A43B8D" w:rsidRDefault="00A43B8D" w:rsidP="0088154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A43B8D" w14:paraId="3A24ED42" w14:textId="77777777" w:rsidTr="00A16C7C">
        <w:tc>
          <w:tcPr>
            <w:tcW w:w="1067" w:type="pct"/>
          </w:tcPr>
          <w:p w14:paraId="3A85CD0D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Plants and Flowers</w:t>
            </w:r>
          </w:p>
        </w:tc>
        <w:tc>
          <w:tcPr>
            <w:tcW w:w="535" w:type="pct"/>
          </w:tcPr>
          <w:p w14:paraId="3A185226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0.42</w:t>
            </w:r>
          </w:p>
        </w:tc>
        <w:tc>
          <w:tcPr>
            <w:tcW w:w="586" w:type="pct"/>
          </w:tcPr>
          <w:p w14:paraId="52146142" w14:textId="389F277C" w:rsidR="00A43B8D" w:rsidRDefault="0046778F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586" w:type="pct"/>
          </w:tcPr>
          <w:p w14:paraId="72E3F891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0.42</w:t>
            </w:r>
          </w:p>
        </w:tc>
        <w:tc>
          <w:tcPr>
            <w:tcW w:w="878" w:type="pct"/>
          </w:tcPr>
          <w:p w14:paraId="2EC3B97B" w14:textId="3C6F338F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3,547 Tonnes</w:t>
            </w:r>
          </w:p>
        </w:tc>
        <w:tc>
          <w:tcPr>
            <w:tcW w:w="1134" w:type="pct"/>
          </w:tcPr>
          <w:p w14:paraId="25AF5F41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Agricultural and Processed Food Products Export Development Authority (APEDA)</w:t>
            </w:r>
          </w:p>
        </w:tc>
        <w:tc>
          <w:tcPr>
            <w:tcW w:w="0" w:type="auto"/>
          </w:tcPr>
          <w:p w14:paraId="53E60399" w14:textId="77777777" w:rsidR="00A43B8D" w:rsidRDefault="00A43B8D" w:rsidP="0088154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A43B8D" w14:paraId="5A4B8251" w14:textId="77777777" w:rsidTr="00A16C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AECD4D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Animal Products</w:t>
            </w:r>
          </w:p>
        </w:tc>
        <w:tc>
          <w:tcPr>
            <w:tcW w:w="5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06D206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2.46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B3FBDC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0.24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D1EBEF" w14:textId="77777777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2.7</w:t>
            </w:r>
          </w:p>
        </w:tc>
        <w:tc>
          <w:tcPr>
            <w:tcW w:w="8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54EE76" w14:textId="27EAD85D" w:rsidR="00A43B8D" w:rsidRDefault="00A43B8D" w:rsidP="0088154B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49,025 Tonnes</w:t>
            </w:r>
          </w:p>
        </w:tc>
        <w:tc>
          <w:tcPr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4D1F61" w14:textId="77777777" w:rsidR="00A43B8D" w:rsidRDefault="00A43B8D" w:rsidP="0088154B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Agricultural and Processed Food Products Export Development Authority (APEDA)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B97F0B" w14:textId="77777777" w:rsidR="00A43B8D" w:rsidRDefault="00A43B8D" w:rsidP="0088154B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0F3F094F" w14:textId="7CD4916E" w:rsidR="00A43B8D" w:rsidRDefault="00A43B8D" w:rsidP="00A43B8D">
      <w:pPr>
        <w:pStyle w:val="NoteText"/>
        <w:spacing w:before="120"/>
        <w:rPr>
          <w:lang w:eastAsia="en-GB"/>
        </w:rPr>
      </w:pPr>
      <w:r>
        <w:rPr>
          <w:lang w:eastAsia="en-GB"/>
        </w:rPr>
        <w:t>Exchange Rate:  US</w:t>
      </w:r>
      <w:r w:rsidR="00D02753">
        <w:rPr>
          <w:lang w:eastAsia="en-GB"/>
        </w:rPr>
        <w:t xml:space="preserve">D </w:t>
      </w:r>
      <w:r>
        <w:rPr>
          <w:lang w:eastAsia="en-GB"/>
        </w:rPr>
        <w:t>1= Rs. 45.56</w:t>
      </w:r>
    </w:p>
    <w:p w14:paraId="0054DED7" w14:textId="77777777" w:rsidR="00A43B8D" w:rsidRDefault="00A43B8D" w:rsidP="00A43B8D">
      <w:pPr>
        <w:pStyle w:val="NoteText"/>
        <w:rPr>
          <w:lang w:eastAsia="en-GB"/>
        </w:rPr>
      </w:pPr>
      <w:r>
        <w:rPr>
          <w:lang w:eastAsia="en-GB"/>
        </w:rPr>
        <w:t>Cost Reduction Measures: International Air Freight Assistance in terms of Article 9.1 (d).</w:t>
      </w:r>
    </w:p>
    <w:p w14:paraId="14734129" w14:textId="69FC41A4" w:rsidR="00A43B8D" w:rsidRDefault="00A43B8D" w:rsidP="00A43B8D">
      <w:pPr>
        <w:rPr>
          <w:lang w:eastAsia="en-GB"/>
        </w:rPr>
      </w:pPr>
    </w:p>
    <w:p w14:paraId="17BF3785" w14:textId="1DC1A9D5" w:rsidR="00A43B8D" w:rsidRPr="00A43B8D" w:rsidRDefault="00A43B8D" w:rsidP="00A43B8D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A43B8D" w:rsidRPr="00A43B8D" w:rsidSect="00A43B8D">
      <w:headerReference w:type="even" r:id="rId14"/>
      <w:headerReference w:type="default" r:id="rId15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0DF5" w14:textId="77777777" w:rsidR="00A43B8D" w:rsidRDefault="00A43B8D" w:rsidP="00ED54E0">
      <w:r>
        <w:separator/>
      </w:r>
    </w:p>
  </w:endnote>
  <w:endnote w:type="continuationSeparator" w:id="0">
    <w:p w14:paraId="2C50CF10" w14:textId="77777777" w:rsidR="00A43B8D" w:rsidRDefault="00A43B8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A186" w14:textId="588BF74B" w:rsidR="00544326" w:rsidRPr="00BF16C3" w:rsidRDefault="00BF16C3" w:rsidP="00BF16C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EAA1" w14:textId="7A37FABA" w:rsidR="00544326" w:rsidRPr="00BF16C3" w:rsidRDefault="00BF16C3" w:rsidP="00BF16C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700E" w14:textId="77777777" w:rsidR="00356FAA" w:rsidRDefault="0035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FE6C" w14:textId="77777777" w:rsidR="00A43B8D" w:rsidRDefault="00A43B8D" w:rsidP="00ED54E0">
      <w:r>
        <w:separator/>
      </w:r>
    </w:p>
  </w:footnote>
  <w:footnote w:type="continuationSeparator" w:id="0">
    <w:p w14:paraId="5356FE38" w14:textId="77777777" w:rsidR="00A43B8D" w:rsidRDefault="00A43B8D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168D" w14:textId="77777777" w:rsidR="00BF16C3" w:rsidRPr="00BF16C3" w:rsidRDefault="00BF16C3" w:rsidP="00BF16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6C3">
      <w:t>G/AG/N/IND/21</w:t>
    </w:r>
  </w:p>
  <w:p w14:paraId="4810DD4C" w14:textId="77777777" w:rsidR="00BF16C3" w:rsidRPr="00BF16C3" w:rsidRDefault="00BF16C3" w:rsidP="00BF16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BF9BD1" w14:textId="3DF701E7" w:rsidR="00BF16C3" w:rsidRPr="00BF16C3" w:rsidRDefault="00BF16C3" w:rsidP="00BF16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6C3">
      <w:t xml:space="preserve">- </w:t>
    </w:r>
    <w:r w:rsidRPr="00BF16C3">
      <w:fldChar w:fldCharType="begin"/>
    </w:r>
    <w:r w:rsidRPr="00BF16C3">
      <w:instrText xml:space="preserve"> PAGE </w:instrText>
    </w:r>
    <w:r w:rsidRPr="00BF16C3">
      <w:fldChar w:fldCharType="separate"/>
    </w:r>
    <w:r w:rsidRPr="00BF16C3">
      <w:rPr>
        <w:noProof/>
      </w:rPr>
      <w:t>1</w:t>
    </w:r>
    <w:r w:rsidRPr="00BF16C3">
      <w:fldChar w:fldCharType="end"/>
    </w:r>
    <w:r w:rsidRPr="00BF16C3">
      <w:t xml:space="preserve"> -</w:t>
    </w:r>
  </w:p>
  <w:p w14:paraId="0E1D059A" w14:textId="1CE43485" w:rsidR="00544326" w:rsidRPr="00BF16C3" w:rsidRDefault="00544326" w:rsidP="00BF16C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274B7" w14:textId="77777777" w:rsidR="00BF16C3" w:rsidRPr="00BF16C3" w:rsidRDefault="00BF16C3" w:rsidP="00BF16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6C3">
      <w:t>G/AG/N/IND/21</w:t>
    </w:r>
  </w:p>
  <w:p w14:paraId="507468C5" w14:textId="77777777" w:rsidR="00BF16C3" w:rsidRPr="00BF16C3" w:rsidRDefault="00BF16C3" w:rsidP="00BF16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645F02" w14:textId="4E3488E4" w:rsidR="00BF16C3" w:rsidRPr="00BF16C3" w:rsidRDefault="00BF16C3" w:rsidP="00BF16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6C3">
      <w:t xml:space="preserve">- </w:t>
    </w:r>
    <w:r w:rsidRPr="00BF16C3">
      <w:fldChar w:fldCharType="begin"/>
    </w:r>
    <w:r w:rsidRPr="00BF16C3">
      <w:instrText xml:space="preserve"> PAGE </w:instrText>
    </w:r>
    <w:r w:rsidRPr="00BF16C3">
      <w:fldChar w:fldCharType="separate"/>
    </w:r>
    <w:r w:rsidRPr="00BF16C3">
      <w:rPr>
        <w:noProof/>
      </w:rPr>
      <w:t>2</w:t>
    </w:r>
    <w:r w:rsidRPr="00BF16C3">
      <w:fldChar w:fldCharType="end"/>
    </w:r>
    <w:r w:rsidRPr="00BF16C3">
      <w:t xml:space="preserve"> -</w:t>
    </w:r>
  </w:p>
  <w:p w14:paraId="0CCCB57C" w14:textId="685DE699" w:rsidR="00544326" w:rsidRPr="00BF16C3" w:rsidRDefault="00544326" w:rsidP="00BF16C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6F05654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120AF3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3AE238" w14:textId="0300279F" w:rsidR="00ED54E0" w:rsidRPr="00182B84" w:rsidRDefault="00BF16C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2EA433A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0BDE44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4F75183" wp14:editId="4EFEF23E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5A9F76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85DE31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5E79F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C2E1F8" w14:textId="77777777" w:rsidR="00BF16C3" w:rsidRDefault="00BF16C3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G/AG/N/IND/21</w:t>
          </w:r>
        </w:p>
        <w:bookmarkEnd w:id="1"/>
        <w:p w14:paraId="5A068D0C" w14:textId="60B855DD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CEBBA24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DDF27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ABF53B" w14:textId="157D9BF2" w:rsidR="00ED54E0" w:rsidRPr="00182B84" w:rsidRDefault="00356FAA" w:rsidP="00425DC5">
          <w:pPr>
            <w:jc w:val="right"/>
            <w:rPr>
              <w:szCs w:val="16"/>
            </w:rPr>
          </w:pPr>
          <w:r>
            <w:rPr>
              <w:szCs w:val="16"/>
            </w:rPr>
            <w:t>22</w:t>
          </w:r>
          <w:r w:rsidR="00A43B8D">
            <w:rPr>
              <w:szCs w:val="16"/>
            </w:rPr>
            <w:t xml:space="preserve"> March 2021</w:t>
          </w:r>
        </w:p>
      </w:tc>
    </w:tr>
    <w:tr w:rsidR="00ED54E0" w:rsidRPr="00182B84" w14:paraId="1C0D4C4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50CB86" w14:textId="459410B9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A16C7C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0A2F01">
            <w:rPr>
              <w:color w:val="FF0000"/>
              <w:szCs w:val="16"/>
            </w:rPr>
            <w:t>2352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9CA25B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6191214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335997" w14:textId="2274CE99" w:rsidR="00ED54E0" w:rsidRPr="00182B84" w:rsidRDefault="00BF16C3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00D8FC" w14:textId="09C7CA99" w:rsidR="00ED54E0" w:rsidRPr="00182B84" w:rsidRDefault="00BF16C3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17B75414" w14:textId="77777777"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A2E0" w14:textId="77777777" w:rsidR="00BF16C3" w:rsidRDefault="00BF16C3" w:rsidP="00BF16C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G/AG/N/IND/21</w:t>
    </w:r>
  </w:p>
  <w:p w14:paraId="4DAD9F0B" w14:textId="77777777" w:rsidR="00BF16C3" w:rsidRDefault="00BF16C3" w:rsidP="00BF16C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2EA0564A" w14:textId="3E29339B" w:rsidR="00BF16C3" w:rsidRDefault="00BF16C3" w:rsidP="00BF16C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3C31E350" w14:textId="77777777" w:rsidR="00A43B8D" w:rsidRPr="00BF16C3" w:rsidRDefault="00A43B8D" w:rsidP="00BF16C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BB31" w14:textId="77777777" w:rsidR="00BF16C3" w:rsidRDefault="00BF16C3" w:rsidP="00BF16C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G/AG/N/IND/21</w:t>
    </w:r>
  </w:p>
  <w:p w14:paraId="10C7446C" w14:textId="77777777" w:rsidR="00BF16C3" w:rsidRDefault="00BF16C3" w:rsidP="00BF16C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4815E968" w14:textId="13070E96" w:rsidR="00BF16C3" w:rsidRDefault="00BF16C3" w:rsidP="00BF16C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10A76D71" w14:textId="77777777" w:rsidR="00A43B8D" w:rsidRPr="00BF16C3" w:rsidRDefault="00A43B8D" w:rsidP="00BF1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8D"/>
    <w:rsid w:val="000272F6"/>
    <w:rsid w:val="00037AC4"/>
    <w:rsid w:val="000423BF"/>
    <w:rsid w:val="000A2F01"/>
    <w:rsid w:val="000A4945"/>
    <w:rsid w:val="000B31E1"/>
    <w:rsid w:val="0011356B"/>
    <w:rsid w:val="0013337F"/>
    <w:rsid w:val="00182B84"/>
    <w:rsid w:val="001E291F"/>
    <w:rsid w:val="00233408"/>
    <w:rsid w:val="0027067B"/>
    <w:rsid w:val="002F6726"/>
    <w:rsid w:val="003156C6"/>
    <w:rsid w:val="00356FAA"/>
    <w:rsid w:val="003572B4"/>
    <w:rsid w:val="00467032"/>
    <w:rsid w:val="0046754A"/>
    <w:rsid w:val="0046778F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C2BC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16C7C"/>
    <w:rsid w:val="00A43B8D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A54FC"/>
    <w:rsid w:val="00BB1F84"/>
    <w:rsid w:val="00BE5468"/>
    <w:rsid w:val="00BF16C3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02753"/>
    <w:rsid w:val="00D221B8"/>
    <w:rsid w:val="00D52A9D"/>
    <w:rsid w:val="00D55AAD"/>
    <w:rsid w:val="00D747AE"/>
    <w:rsid w:val="00D9226C"/>
    <w:rsid w:val="00DA20BD"/>
    <w:rsid w:val="00DE50DB"/>
    <w:rsid w:val="00DF6AE1"/>
    <w:rsid w:val="00E23905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B23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8D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  <w:style w:type="paragraph" w:customStyle="1" w:styleId="Caption0">
    <w:name w:val="Caption$"/>
    <w:basedOn w:val="Normal"/>
    <w:rsid w:val="00A43B8D"/>
    <w:rPr>
      <w:b/>
    </w:rPr>
  </w:style>
  <w:style w:type="table" w:customStyle="1" w:styleId="htmlanyTable">
    <w:name w:val="html_any Table"/>
    <w:basedOn w:val="TableNormal"/>
    <w:rsid w:val="00A43B8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hi-I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1633-FDC0-4897-ABBE-83F211CA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236</Words>
  <Characters>1402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2021-03-22T10:06:00Z</dcterms:created>
  <dcterms:modified xsi:type="dcterms:W3CDTF">2021-03-22T10:37:00Z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G/AG/N/IND/21</vt:lpwstr>
  </property>
  <property fmtid="{D5CDD505-2E9C-101B-9397-08002B2CF9AE}" pid="3" name="TitusGUID">
    <vt:lpwstr>549e0a62-139c-4cd8-a202-f22ffd282193</vt:lpwstr>
  </property>
  <property fmtid="{D5CDD505-2E9C-101B-9397-08002B2CF9AE}" pid="4" name="WTOCLASSIFICATION">
    <vt:lpwstr>WTO OFFICIAL</vt:lpwstr>
  </property>
</Properties>
</file>