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02E12" w14:textId="77777777" w:rsidR="00045697" w:rsidRDefault="00045697" w:rsidP="00045697">
      <w:pPr>
        <w:pStyle w:val="Title"/>
      </w:pPr>
      <w:r w:rsidRPr="00801632">
        <w:t>NOTIFICATION</w:t>
      </w:r>
    </w:p>
    <w:p w14:paraId="1A0426BB" w14:textId="6980D1D9" w:rsidR="00045697" w:rsidRDefault="00045697" w:rsidP="00045697">
      <w:pPr>
        <w:rPr>
          <w:rFonts w:eastAsia="Arial"/>
          <w:b/>
          <w:color w:val="000000"/>
        </w:rPr>
      </w:pPr>
      <w:r>
        <w:rPr>
          <w:color w:val="000000"/>
          <w:szCs w:val="18"/>
        </w:rPr>
        <w:t xml:space="preserve">The following submission, dated </w:t>
      </w:r>
      <w:r w:rsidRPr="00F15C98">
        <w:rPr>
          <w:rFonts w:eastAsia="Arial"/>
          <w:noProof/>
        </w:rPr>
        <w:t>14 May</w:t>
      </w:r>
      <w:r w:rsidRPr="00F15C98">
        <w:rPr>
          <w:rFonts w:eastAsia="Arial"/>
        </w:rPr>
        <w:t xml:space="preserve"> 2020</w:t>
      </w:r>
      <w:r w:rsidRPr="00330578">
        <w:rPr>
          <w:szCs w:val="18"/>
        </w:rPr>
        <w:t>,</w:t>
      </w:r>
      <w:r>
        <w:rPr>
          <w:color w:val="000000"/>
          <w:szCs w:val="18"/>
        </w:rPr>
        <w:t xml:space="preserve"> is being circulated at the request of the delegation of </w:t>
      </w:r>
      <w:r w:rsidR="00E8447D" w:rsidRPr="00E8447D">
        <w:rPr>
          <w:rFonts w:eastAsia="Arial"/>
          <w:bCs/>
          <w:noProof/>
          <w:color w:val="000000"/>
        </w:rPr>
        <w:t>t</w:t>
      </w:r>
      <w:r w:rsidRPr="00E8447D">
        <w:rPr>
          <w:rFonts w:eastAsia="Arial"/>
          <w:bCs/>
          <w:noProof/>
          <w:color w:val="000000"/>
        </w:rPr>
        <w:t>he</w:t>
      </w:r>
      <w:r>
        <w:rPr>
          <w:rFonts w:eastAsia="Arial"/>
          <w:b/>
          <w:noProof/>
          <w:color w:val="000000"/>
        </w:rPr>
        <w:t xml:space="preserve"> Separate</w:t>
      </w:r>
      <w:r>
        <w:rPr>
          <w:rFonts w:eastAsia="Arial"/>
          <w:b/>
          <w:color w:val="000000"/>
        </w:rPr>
        <w:t xml:space="preserve"> Customs Territory of Taiwan, Penghu, Kinmen and Matsu</w:t>
      </w:r>
      <w:r>
        <w:rPr>
          <w:color w:val="000000"/>
          <w:szCs w:val="18"/>
        </w:rPr>
        <w:t xml:space="preserve">. The notification concerns the administration of tariff quotas </w:t>
      </w:r>
      <w:r w:rsidRPr="00DA4B9C">
        <w:rPr>
          <w:color w:val="000000"/>
          <w:szCs w:val="18"/>
        </w:rPr>
        <w:t>(</w:t>
      </w:r>
      <w:r>
        <w:rPr>
          <w:b/>
          <w:bCs/>
          <w:color w:val="000000"/>
          <w:szCs w:val="18"/>
        </w:rPr>
        <w:t>Table MA:1</w:t>
      </w:r>
      <w:r w:rsidRPr="00DA4B9C">
        <w:rPr>
          <w:color w:val="000000"/>
          <w:szCs w:val="18"/>
        </w:rPr>
        <w:t>)</w:t>
      </w:r>
      <w:r>
        <w:rPr>
          <w:b/>
          <w:bCs/>
          <w:color w:val="000000"/>
          <w:szCs w:val="18"/>
        </w:rPr>
        <w:t xml:space="preserve"> </w:t>
      </w:r>
      <w:r>
        <w:rPr>
          <w:color w:val="000000"/>
          <w:szCs w:val="18"/>
        </w:rPr>
        <w:t xml:space="preserve">for the </w:t>
      </w:r>
      <w:r w:rsidR="00E41E68">
        <w:rPr>
          <w:rFonts w:eastAsia="Arial"/>
          <w:b/>
          <w:noProof/>
          <w:color w:val="000000"/>
        </w:rPr>
        <w:t>c</w:t>
      </w:r>
      <w:r>
        <w:rPr>
          <w:rFonts w:eastAsia="Arial"/>
          <w:b/>
          <w:noProof/>
          <w:color w:val="000000"/>
        </w:rPr>
        <w:t xml:space="preserve">alendar </w:t>
      </w:r>
      <w:r w:rsidR="00E8447D">
        <w:rPr>
          <w:rFonts w:eastAsia="Arial"/>
          <w:b/>
          <w:noProof/>
          <w:color w:val="000000"/>
        </w:rPr>
        <w:t>y</w:t>
      </w:r>
      <w:r>
        <w:rPr>
          <w:rFonts w:eastAsia="Arial"/>
          <w:b/>
          <w:noProof/>
          <w:color w:val="000000"/>
        </w:rPr>
        <w:t>ear</w:t>
      </w:r>
      <w:r>
        <w:rPr>
          <w:rFonts w:eastAsia="Arial"/>
          <w:b/>
          <w:color w:val="000000"/>
        </w:rPr>
        <w:t xml:space="preserve"> 2021</w:t>
      </w:r>
      <w:r w:rsidR="00E41E68">
        <w:rPr>
          <w:rFonts w:eastAsia="Arial"/>
          <w:b/>
          <w:color w:val="000000"/>
        </w:rPr>
        <w:t>.</w:t>
      </w:r>
    </w:p>
    <w:p w14:paraId="2C4EA4A2" w14:textId="77777777" w:rsidR="00045697" w:rsidRDefault="00045697" w:rsidP="00045697">
      <w:pPr>
        <w:rPr>
          <w:rFonts w:eastAsia="Arial"/>
          <w:color w:val="000000"/>
        </w:rPr>
      </w:pPr>
    </w:p>
    <w:p w14:paraId="600EA661" w14:textId="77777777" w:rsidR="00045697" w:rsidRDefault="00045697" w:rsidP="00045697">
      <w:pPr>
        <w:jc w:val="center"/>
        <w:rPr>
          <w:rFonts w:eastAsia="Arial"/>
          <w:b/>
          <w:color w:val="000000"/>
        </w:rPr>
      </w:pPr>
      <w:r>
        <w:rPr>
          <w:rFonts w:eastAsia="Arial"/>
          <w:b/>
          <w:color w:val="000000"/>
        </w:rPr>
        <w:t>_______________</w:t>
      </w:r>
    </w:p>
    <w:p w14:paraId="2D11B4AD" w14:textId="77777777" w:rsidR="00045697" w:rsidRPr="00DA3E75" w:rsidRDefault="00045697" w:rsidP="00045697">
      <w:pPr>
        <w:rPr>
          <w:rFonts w:eastAsia="Arial"/>
          <w:color w:val="000000"/>
        </w:rPr>
      </w:pPr>
    </w:p>
    <w:p w14:paraId="1B4D17BB" w14:textId="77777777" w:rsidR="00045697" w:rsidRDefault="00045697" w:rsidP="00045697"/>
    <w:p w14:paraId="77943453" w14:textId="77777777" w:rsidR="00045697" w:rsidRDefault="00045697" w:rsidP="00045697"/>
    <w:p w14:paraId="0BA85ABA" w14:textId="77777777" w:rsidR="00045697" w:rsidRDefault="00045697" w:rsidP="00045697">
      <w:pPr>
        <w:rPr>
          <w:rFonts w:eastAsia="Arial"/>
          <w:color w:val="000000"/>
        </w:rPr>
      </w:pPr>
      <w:r>
        <w:rPr>
          <w:rFonts w:eastAsia="Verdana" w:cs="Verdana"/>
          <w:noProof/>
          <w:color w:val="000000"/>
          <w:szCs w:val="18"/>
        </w:rPr>
        <w:t xml:space="preserve"> </w:t>
      </w:r>
    </w:p>
    <w:p w14:paraId="54AD4DBD" w14:textId="77777777" w:rsidR="00045697" w:rsidRDefault="00045697" w:rsidP="00045697">
      <w:pPr>
        <w:rPr>
          <w:rFonts w:eastAsia="Arial"/>
          <w:color w:val="000000"/>
        </w:rPr>
      </w:pPr>
    </w:p>
    <w:p w14:paraId="178C2008" w14:textId="77777777" w:rsidR="00045697" w:rsidRDefault="00045697" w:rsidP="00045697">
      <w:pPr>
        <w:rPr>
          <w:rFonts w:eastAsia="Arial"/>
          <w:color w:val="000000"/>
        </w:rPr>
      </w:pPr>
    </w:p>
    <w:p w14:paraId="75B59A9C" w14:textId="77777777" w:rsidR="00045697" w:rsidRPr="00D64433" w:rsidRDefault="00045697" w:rsidP="00045697">
      <w:pPr>
        <w:rPr>
          <w:rFonts w:eastAsia="Arial"/>
          <w:color w:val="000000"/>
        </w:rPr>
        <w:sectPr w:rsidR="00045697" w:rsidRPr="00D64433" w:rsidSect="00A40EB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pgNumType w:start="1"/>
          <w:cols w:space="708"/>
          <w:titlePg/>
          <w:docGrid w:linePitch="360"/>
        </w:sectPr>
      </w:pPr>
    </w:p>
    <w:p w14:paraId="52F94C5B" w14:textId="77777777" w:rsidR="00045697" w:rsidRDefault="00045697" w:rsidP="00045697">
      <w:pPr>
        <w:pStyle w:val="Caption"/>
        <w:spacing w:after="0"/>
      </w:pPr>
      <w:r>
        <w:lastRenderedPageBreak/>
        <w:t>Table MA: 1</w:t>
      </w:r>
    </w:p>
    <w:p w14:paraId="40F3184C" w14:textId="77777777" w:rsidR="00045697" w:rsidRDefault="00045697" w:rsidP="00045697">
      <w:pPr>
        <w:pStyle w:val="Title"/>
        <w:rPr>
          <w:rFonts w:eastAsia="Arial"/>
        </w:rPr>
      </w:pPr>
      <w:r w:rsidRPr="00215443">
        <w:rPr>
          <w:rFonts w:eastAsia="Arial"/>
        </w:rPr>
        <w:t xml:space="preserve">MARKET ACCESS: </w:t>
      </w:r>
      <w:r w:rsidRPr="00215443">
        <w:rPr>
          <w:rFonts w:eastAsia="Arial"/>
          <w:noProof/>
        </w:rPr>
        <w:t>The Separate</w:t>
      </w:r>
      <w:r w:rsidRPr="00215443">
        <w:rPr>
          <w:rFonts w:eastAsia="Arial"/>
        </w:rPr>
        <w:t xml:space="preserve"> Customs Territory of Taiwan, Penghu, Kinmen and Matsu</w:t>
      </w:r>
    </w:p>
    <w:p w14:paraId="48F80243" w14:textId="6F50F678" w:rsidR="00045697" w:rsidRDefault="00045697" w:rsidP="00045697">
      <w:pPr>
        <w:pStyle w:val="Title2"/>
      </w:pPr>
      <w:r w:rsidRPr="00215443">
        <w:t>REPORTING PERIOD:</w:t>
      </w:r>
      <w:r w:rsidR="00E8447D" w:rsidRPr="00215443">
        <w:t xml:space="preserve"> </w:t>
      </w:r>
      <w:r>
        <w:rPr>
          <w:noProof/>
        </w:rPr>
        <w:t>Calendar Year</w:t>
      </w:r>
      <w:r>
        <w:t xml:space="preserve"> from 01-01-2021 to 31-12-2021</w:t>
      </w:r>
    </w:p>
    <w:p w14:paraId="6D7B9855" w14:textId="77777777" w:rsidR="00045697" w:rsidRDefault="00045697" w:rsidP="00045697">
      <w:pPr>
        <w:pStyle w:val="Title3"/>
      </w:pPr>
      <w:r w:rsidRPr="00215443">
        <w:t>Implementation of market access opportunities: Tariff and other quota commitments</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90"/>
        <w:gridCol w:w="3983"/>
        <w:gridCol w:w="3111"/>
        <w:gridCol w:w="732"/>
        <w:gridCol w:w="5372"/>
        <w:gridCol w:w="562"/>
      </w:tblGrid>
      <w:tr w:rsidR="00DB17C8" w14:paraId="111DA92E" w14:textId="77777777" w:rsidTr="0001770A">
        <w:trPr>
          <w:trHeight w:val="20"/>
          <w:tblHeader/>
          <w:jc w:val="center"/>
        </w:trPr>
        <w:tc>
          <w:tcPr>
            <w:tcW w:w="891" w:type="dxa"/>
            <w:vMerge w:val="restart"/>
            <w:tcMar>
              <w:top w:w="40" w:type="dxa"/>
              <w:left w:w="40" w:type="dxa"/>
              <w:bottom w:w="40" w:type="dxa"/>
              <w:right w:w="40" w:type="dxa"/>
            </w:tcMar>
          </w:tcPr>
          <w:p w14:paraId="398FE679" w14:textId="77777777" w:rsidR="00045697" w:rsidRPr="00A81D0A" w:rsidRDefault="00045697" w:rsidP="00045697">
            <w:pPr>
              <w:jc w:val="center"/>
              <w:rPr>
                <w:sz w:val="14"/>
                <w:szCs w:val="14"/>
              </w:rPr>
            </w:pPr>
            <w:r w:rsidRPr="00A81D0A">
              <w:rPr>
                <w:rFonts w:eastAsia="Arial"/>
                <w:b/>
                <w:color w:val="000000"/>
                <w:sz w:val="14"/>
                <w:szCs w:val="14"/>
              </w:rPr>
              <w:t>TQ ID</w:t>
            </w:r>
          </w:p>
        </w:tc>
        <w:tc>
          <w:tcPr>
            <w:tcW w:w="3983" w:type="dxa"/>
            <w:tcMar>
              <w:top w:w="40" w:type="dxa"/>
              <w:left w:w="40" w:type="dxa"/>
              <w:bottom w:w="40" w:type="dxa"/>
              <w:right w:w="40" w:type="dxa"/>
            </w:tcMar>
          </w:tcPr>
          <w:p w14:paraId="60897185" w14:textId="77777777" w:rsidR="00045697" w:rsidRPr="00A81D0A" w:rsidRDefault="00045697" w:rsidP="00045697">
            <w:pPr>
              <w:jc w:val="center"/>
              <w:rPr>
                <w:sz w:val="14"/>
                <w:szCs w:val="14"/>
              </w:rPr>
            </w:pPr>
            <w:r w:rsidRPr="00A81D0A">
              <w:rPr>
                <w:rFonts w:eastAsia="Arial"/>
                <w:b/>
                <w:color w:val="000000"/>
                <w:sz w:val="14"/>
                <w:szCs w:val="14"/>
              </w:rPr>
              <w:t>Description of products</w:t>
            </w:r>
          </w:p>
        </w:tc>
        <w:tc>
          <w:tcPr>
            <w:tcW w:w="3111" w:type="dxa"/>
            <w:tcMar>
              <w:top w:w="40" w:type="dxa"/>
              <w:left w:w="40" w:type="dxa"/>
              <w:bottom w:w="40" w:type="dxa"/>
              <w:right w:w="40" w:type="dxa"/>
            </w:tcMar>
          </w:tcPr>
          <w:p w14:paraId="13D4D2B0" w14:textId="77777777" w:rsidR="00045697" w:rsidRPr="00A81D0A" w:rsidRDefault="00045697" w:rsidP="00045697">
            <w:pPr>
              <w:jc w:val="center"/>
              <w:rPr>
                <w:sz w:val="14"/>
                <w:szCs w:val="14"/>
              </w:rPr>
            </w:pPr>
            <w:r w:rsidRPr="00A81D0A">
              <w:rPr>
                <w:rFonts w:eastAsia="Arial"/>
                <w:b/>
                <w:color w:val="000000"/>
                <w:sz w:val="14"/>
                <w:szCs w:val="14"/>
              </w:rPr>
              <w:t>Tariff item number(s) encompassed in product description</w:t>
            </w:r>
          </w:p>
        </w:tc>
        <w:tc>
          <w:tcPr>
            <w:tcW w:w="732" w:type="dxa"/>
            <w:vMerge w:val="restart"/>
            <w:tcMar>
              <w:top w:w="40" w:type="dxa"/>
              <w:left w:w="40" w:type="dxa"/>
              <w:bottom w:w="40" w:type="dxa"/>
              <w:right w:w="40" w:type="dxa"/>
            </w:tcMar>
          </w:tcPr>
          <w:p w14:paraId="66A35578" w14:textId="77777777" w:rsidR="00045697" w:rsidRPr="00A81D0A" w:rsidRDefault="00045697" w:rsidP="00045697">
            <w:pPr>
              <w:jc w:val="center"/>
              <w:rPr>
                <w:sz w:val="14"/>
                <w:szCs w:val="14"/>
              </w:rPr>
            </w:pPr>
            <w:r w:rsidRPr="00A81D0A">
              <w:rPr>
                <w:rFonts w:eastAsia="Arial"/>
                <w:b/>
                <w:color w:val="000000"/>
                <w:sz w:val="14"/>
                <w:szCs w:val="14"/>
              </w:rPr>
              <w:t>Not opened</w:t>
            </w:r>
          </w:p>
        </w:tc>
        <w:tc>
          <w:tcPr>
            <w:tcW w:w="5372" w:type="dxa"/>
            <w:vMerge w:val="restart"/>
            <w:tcMar>
              <w:top w:w="40" w:type="dxa"/>
              <w:left w:w="40" w:type="dxa"/>
              <w:bottom w:w="40" w:type="dxa"/>
              <w:right w:w="40" w:type="dxa"/>
            </w:tcMar>
          </w:tcPr>
          <w:p w14:paraId="2312CAE4" w14:textId="77777777" w:rsidR="00045697" w:rsidRPr="00A81D0A" w:rsidRDefault="00045697" w:rsidP="00045697">
            <w:pPr>
              <w:jc w:val="center"/>
              <w:rPr>
                <w:sz w:val="14"/>
                <w:szCs w:val="14"/>
              </w:rPr>
            </w:pPr>
            <w:r w:rsidRPr="00A81D0A">
              <w:rPr>
                <w:rFonts w:eastAsia="Arial"/>
                <w:b/>
                <w:color w:val="000000"/>
                <w:sz w:val="14"/>
                <w:szCs w:val="14"/>
              </w:rPr>
              <w:t>Description of import arrangement applicable</w:t>
            </w:r>
          </w:p>
        </w:tc>
        <w:tc>
          <w:tcPr>
            <w:tcW w:w="562" w:type="dxa"/>
            <w:vMerge w:val="restart"/>
            <w:tcMar>
              <w:top w:w="40" w:type="dxa"/>
              <w:left w:w="40" w:type="dxa"/>
              <w:bottom w:w="40" w:type="dxa"/>
              <w:right w:w="40" w:type="dxa"/>
            </w:tcMar>
          </w:tcPr>
          <w:p w14:paraId="22FE4EB1" w14:textId="77777777" w:rsidR="00045697" w:rsidRPr="00A81D0A" w:rsidRDefault="00045697" w:rsidP="00045697">
            <w:pPr>
              <w:jc w:val="center"/>
              <w:rPr>
                <w:sz w:val="14"/>
                <w:szCs w:val="14"/>
              </w:rPr>
            </w:pPr>
            <w:r w:rsidRPr="00A81D0A">
              <w:rPr>
                <w:rFonts w:eastAsia="Arial"/>
                <w:b/>
                <w:color w:val="000000"/>
                <w:sz w:val="14"/>
                <w:szCs w:val="14"/>
              </w:rPr>
              <w:t>Note</w:t>
            </w:r>
          </w:p>
        </w:tc>
      </w:tr>
      <w:tr w:rsidR="00DB17C8" w14:paraId="1F6AF6C9" w14:textId="77777777" w:rsidTr="0001770A">
        <w:trPr>
          <w:trHeight w:val="20"/>
          <w:tblHeader/>
          <w:jc w:val="center"/>
        </w:trPr>
        <w:tc>
          <w:tcPr>
            <w:tcW w:w="891" w:type="dxa"/>
            <w:vMerge/>
            <w:tcMar>
              <w:top w:w="40" w:type="dxa"/>
              <w:left w:w="40" w:type="dxa"/>
              <w:bottom w:w="40" w:type="dxa"/>
              <w:right w:w="40" w:type="dxa"/>
            </w:tcMar>
          </w:tcPr>
          <w:p w14:paraId="39F00B20" w14:textId="77777777" w:rsidR="00045697" w:rsidRPr="00A81D0A" w:rsidRDefault="00045697" w:rsidP="00045697">
            <w:pPr>
              <w:rPr>
                <w:sz w:val="14"/>
                <w:szCs w:val="14"/>
              </w:rPr>
            </w:pPr>
          </w:p>
        </w:tc>
        <w:tc>
          <w:tcPr>
            <w:tcW w:w="7093" w:type="dxa"/>
            <w:gridSpan w:val="2"/>
            <w:tcMar>
              <w:top w:w="40" w:type="dxa"/>
              <w:left w:w="40" w:type="dxa"/>
              <w:bottom w:w="40" w:type="dxa"/>
              <w:right w:w="40" w:type="dxa"/>
            </w:tcMar>
          </w:tcPr>
          <w:p w14:paraId="48E7940E" w14:textId="77777777" w:rsidR="00045697" w:rsidRPr="00A81D0A" w:rsidRDefault="00045697" w:rsidP="00045697">
            <w:pPr>
              <w:jc w:val="center"/>
              <w:rPr>
                <w:sz w:val="14"/>
                <w:szCs w:val="14"/>
              </w:rPr>
            </w:pPr>
            <w:r w:rsidRPr="00A81D0A">
              <w:rPr>
                <w:rFonts w:eastAsia="Arial"/>
                <w:color w:val="000000"/>
                <w:sz w:val="14"/>
                <w:szCs w:val="14"/>
              </w:rPr>
              <w:t>(from Section I-B (or I-A) of Part I of the Schedule)</w:t>
            </w:r>
          </w:p>
        </w:tc>
        <w:tc>
          <w:tcPr>
            <w:tcW w:w="732" w:type="dxa"/>
            <w:vMerge/>
            <w:tcMar>
              <w:top w:w="40" w:type="dxa"/>
              <w:left w:w="40" w:type="dxa"/>
              <w:bottom w:w="40" w:type="dxa"/>
              <w:right w:w="40" w:type="dxa"/>
            </w:tcMar>
          </w:tcPr>
          <w:p w14:paraId="7727B739" w14:textId="77777777" w:rsidR="00045697" w:rsidRPr="00A81D0A" w:rsidRDefault="00045697" w:rsidP="00045697">
            <w:pPr>
              <w:rPr>
                <w:sz w:val="14"/>
                <w:szCs w:val="14"/>
              </w:rPr>
            </w:pPr>
          </w:p>
        </w:tc>
        <w:tc>
          <w:tcPr>
            <w:tcW w:w="5372" w:type="dxa"/>
            <w:vMerge/>
            <w:tcMar>
              <w:top w:w="40" w:type="dxa"/>
              <w:left w:w="40" w:type="dxa"/>
              <w:bottom w:w="40" w:type="dxa"/>
              <w:right w:w="40" w:type="dxa"/>
            </w:tcMar>
          </w:tcPr>
          <w:p w14:paraId="49ACF340" w14:textId="77777777" w:rsidR="00045697" w:rsidRPr="00E64EEF" w:rsidRDefault="00045697" w:rsidP="00045697">
            <w:pPr>
              <w:jc w:val="center"/>
              <w:rPr>
                <w:rFonts w:eastAsia="Arial"/>
                <w:color w:val="000000"/>
                <w:sz w:val="14"/>
                <w:szCs w:val="14"/>
              </w:rPr>
            </w:pPr>
          </w:p>
        </w:tc>
        <w:tc>
          <w:tcPr>
            <w:tcW w:w="562" w:type="dxa"/>
            <w:vMerge/>
            <w:tcMar>
              <w:top w:w="40" w:type="dxa"/>
              <w:left w:w="40" w:type="dxa"/>
              <w:bottom w:w="40" w:type="dxa"/>
              <w:right w:w="40" w:type="dxa"/>
            </w:tcMar>
          </w:tcPr>
          <w:p w14:paraId="0AFCCDAC" w14:textId="77777777" w:rsidR="00045697" w:rsidRPr="00A81D0A" w:rsidRDefault="00045697" w:rsidP="00045697">
            <w:pPr>
              <w:jc w:val="center"/>
              <w:rPr>
                <w:sz w:val="14"/>
                <w:szCs w:val="14"/>
              </w:rPr>
            </w:pPr>
          </w:p>
        </w:tc>
      </w:tr>
      <w:tr w:rsidR="00DB17C8" w14:paraId="7086DEFC" w14:textId="77777777" w:rsidTr="0001770A">
        <w:trPr>
          <w:trHeight w:val="20"/>
          <w:tblHeader/>
          <w:jc w:val="center"/>
        </w:trPr>
        <w:tc>
          <w:tcPr>
            <w:tcW w:w="891" w:type="dxa"/>
            <w:vMerge/>
            <w:tcMar>
              <w:top w:w="40" w:type="dxa"/>
              <w:left w:w="40" w:type="dxa"/>
              <w:bottom w:w="40" w:type="dxa"/>
              <w:right w:w="40" w:type="dxa"/>
            </w:tcMar>
          </w:tcPr>
          <w:p w14:paraId="658A3271" w14:textId="77777777" w:rsidR="00045697" w:rsidRPr="00A81D0A" w:rsidRDefault="00045697" w:rsidP="00045697">
            <w:pPr>
              <w:rPr>
                <w:sz w:val="14"/>
                <w:szCs w:val="14"/>
              </w:rPr>
            </w:pPr>
          </w:p>
        </w:tc>
        <w:tc>
          <w:tcPr>
            <w:tcW w:w="3983" w:type="dxa"/>
            <w:tcMar>
              <w:top w:w="40" w:type="dxa"/>
              <w:left w:w="40" w:type="dxa"/>
              <w:bottom w:w="40" w:type="dxa"/>
              <w:right w:w="40" w:type="dxa"/>
            </w:tcMar>
          </w:tcPr>
          <w:p w14:paraId="01BE0673" w14:textId="77777777" w:rsidR="00045697" w:rsidRPr="00A81D0A" w:rsidRDefault="00045697" w:rsidP="00045697">
            <w:pPr>
              <w:jc w:val="center"/>
              <w:rPr>
                <w:sz w:val="14"/>
                <w:szCs w:val="14"/>
              </w:rPr>
            </w:pPr>
            <w:r w:rsidRPr="00A81D0A">
              <w:rPr>
                <w:rFonts w:eastAsia="Arial"/>
                <w:color w:val="000000"/>
                <w:sz w:val="14"/>
                <w:szCs w:val="14"/>
              </w:rPr>
              <w:t>1</w:t>
            </w:r>
          </w:p>
        </w:tc>
        <w:tc>
          <w:tcPr>
            <w:tcW w:w="3111" w:type="dxa"/>
            <w:tcMar>
              <w:top w:w="40" w:type="dxa"/>
              <w:left w:w="40" w:type="dxa"/>
              <w:bottom w:w="40" w:type="dxa"/>
              <w:right w:w="40" w:type="dxa"/>
            </w:tcMar>
          </w:tcPr>
          <w:p w14:paraId="720A24BE" w14:textId="77777777" w:rsidR="00045697" w:rsidRPr="00A81D0A" w:rsidRDefault="00045697" w:rsidP="00045697">
            <w:pPr>
              <w:jc w:val="center"/>
              <w:rPr>
                <w:sz w:val="14"/>
                <w:szCs w:val="14"/>
              </w:rPr>
            </w:pPr>
            <w:r w:rsidRPr="00A81D0A">
              <w:rPr>
                <w:rFonts w:eastAsia="Arial"/>
                <w:color w:val="000000"/>
                <w:sz w:val="14"/>
                <w:szCs w:val="14"/>
              </w:rPr>
              <w:t>2</w:t>
            </w:r>
          </w:p>
        </w:tc>
        <w:tc>
          <w:tcPr>
            <w:tcW w:w="732" w:type="dxa"/>
            <w:vMerge/>
            <w:tcMar>
              <w:top w:w="40" w:type="dxa"/>
              <w:left w:w="40" w:type="dxa"/>
              <w:bottom w:w="40" w:type="dxa"/>
              <w:right w:w="40" w:type="dxa"/>
            </w:tcMar>
          </w:tcPr>
          <w:p w14:paraId="0A308B5C" w14:textId="77777777" w:rsidR="00045697" w:rsidRPr="00A81D0A" w:rsidRDefault="00045697" w:rsidP="00045697">
            <w:pPr>
              <w:rPr>
                <w:sz w:val="14"/>
                <w:szCs w:val="14"/>
              </w:rPr>
            </w:pPr>
          </w:p>
        </w:tc>
        <w:tc>
          <w:tcPr>
            <w:tcW w:w="5372" w:type="dxa"/>
            <w:tcMar>
              <w:top w:w="40" w:type="dxa"/>
              <w:left w:w="40" w:type="dxa"/>
              <w:bottom w:w="40" w:type="dxa"/>
              <w:right w:w="40" w:type="dxa"/>
            </w:tcMar>
          </w:tcPr>
          <w:p w14:paraId="035EF60F" w14:textId="77777777" w:rsidR="00045697" w:rsidRPr="00E64EEF" w:rsidRDefault="00045697" w:rsidP="00045697">
            <w:pPr>
              <w:jc w:val="center"/>
              <w:rPr>
                <w:rFonts w:eastAsia="Arial"/>
                <w:color w:val="000000"/>
                <w:sz w:val="14"/>
                <w:szCs w:val="14"/>
              </w:rPr>
            </w:pPr>
            <w:r w:rsidRPr="00A81D0A">
              <w:rPr>
                <w:rFonts w:eastAsia="Arial"/>
                <w:color w:val="000000"/>
                <w:sz w:val="14"/>
                <w:szCs w:val="14"/>
              </w:rPr>
              <w:t>3</w:t>
            </w:r>
          </w:p>
        </w:tc>
        <w:tc>
          <w:tcPr>
            <w:tcW w:w="562" w:type="dxa"/>
            <w:vMerge/>
            <w:tcMar>
              <w:top w:w="40" w:type="dxa"/>
              <w:left w:w="40" w:type="dxa"/>
              <w:bottom w:w="40" w:type="dxa"/>
              <w:right w:w="40" w:type="dxa"/>
            </w:tcMar>
          </w:tcPr>
          <w:p w14:paraId="6D124250" w14:textId="77777777" w:rsidR="00045697" w:rsidRPr="00A81D0A" w:rsidRDefault="00045697" w:rsidP="00045697">
            <w:pPr>
              <w:jc w:val="center"/>
              <w:rPr>
                <w:sz w:val="14"/>
                <w:szCs w:val="14"/>
              </w:rPr>
            </w:pPr>
          </w:p>
        </w:tc>
      </w:tr>
      <w:tr w:rsidR="00DB17C8" w14:paraId="765FA966" w14:textId="77777777" w:rsidTr="0001770A">
        <w:trPr>
          <w:trHeight w:val="20"/>
          <w:jc w:val="center"/>
        </w:trPr>
        <w:tc>
          <w:tcPr>
            <w:tcW w:w="891" w:type="dxa"/>
            <w:tcMar>
              <w:top w:w="40" w:type="dxa"/>
              <w:left w:w="40" w:type="dxa"/>
              <w:bottom w:w="40" w:type="dxa"/>
              <w:right w:w="40" w:type="dxa"/>
            </w:tcMar>
          </w:tcPr>
          <w:p w14:paraId="7867B208" w14:textId="77777777" w:rsidR="00045697" w:rsidRPr="00A81D0A" w:rsidRDefault="00045697" w:rsidP="00045697">
            <w:pPr>
              <w:jc w:val="center"/>
              <w:rPr>
                <w:sz w:val="14"/>
                <w:szCs w:val="14"/>
              </w:rPr>
            </w:pPr>
            <w:r w:rsidRPr="00A81D0A">
              <w:rPr>
                <w:noProof/>
                <w:sz w:val="14"/>
                <w:szCs w:val="14"/>
              </w:rPr>
              <w:t>CHTQ007</w:t>
            </w:r>
          </w:p>
        </w:tc>
        <w:tc>
          <w:tcPr>
            <w:tcW w:w="3983" w:type="dxa"/>
            <w:tcMar>
              <w:top w:w="40" w:type="dxa"/>
              <w:left w:w="40" w:type="dxa"/>
              <w:bottom w:w="40" w:type="dxa"/>
              <w:right w:w="40" w:type="dxa"/>
            </w:tcMar>
          </w:tcPr>
          <w:p w14:paraId="1AE75A92" w14:textId="1A03E697" w:rsidR="00F053FA" w:rsidRDefault="00045697" w:rsidP="00045697">
            <w:pPr>
              <w:jc w:val="left"/>
              <w:rPr>
                <w:rFonts w:eastAsia="Verdana" w:cs="Verdana"/>
                <w:noProof/>
                <w:sz w:val="14"/>
                <w:szCs w:val="14"/>
              </w:rPr>
            </w:pPr>
            <w:r>
              <w:rPr>
                <w:rFonts w:eastAsia="Verdana" w:cs="Verdana"/>
                <w:noProof/>
                <w:sz w:val="14"/>
                <w:szCs w:val="14"/>
              </w:rPr>
              <w:t>Peanuts</w:t>
            </w:r>
            <w:r w:rsidR="0001770A">
              <w:rPr>
                <w:rFonts w:eastAsia="Verdana" w:cs="Verdana"/>
                <w:noProof/>
                <w:sz w:val="14"/>
                <w:szCs w:val="14"/>
              </w:rPr>
              <w:t>:</w:t>
            </w:r>
          </w:p>
          <w:p w14:paraId="745D453A" w14:textId="76F11CB6" w:rsidR="00045697" w:rsidRDefault="00045697" w:rsidP="00045697">
            <w:pPr>
              <w:jc w:val="left"/>
              <w:rPr>
                <w:rFonts w:eastAsia="Verdana" w:cs="Verdana"/>
                <w:noProof/>
                <w:sz w:val="14"/>
                <w:szCs w:val="14"/>
              </w:rPr>
            </w:pPr>
            <w:r>
              <w:rPr>
                <w:rFonts w:eastAsia="Verdana" w:cs="Verdana"/>
                <w:noProof/>
                <w:sz w:val="14"/>
                <w:szCs w:val="14"/>
              </w:rPr>
              <w:t xml:space="preserve"> </w:t>
            </w:r>
          </w:p>
          <w:p w14:paraId="5CE6BA8F" w14:textId="22B1F2D1" w:rsidR="00045697" w:rsidRDefault="00045697" w:rsidP="00045697">
            <w:pPr>
              <w:jc w:val="left"/>
              <w:rPr>
                <w:rFonts w:eastAsia="Verdana" w:cs="Verdana"/>
                <w:noProof/>
                <w:sz w:val="14"/>
                <w:szCs w:val="14"/>
              </w:rPr>
            </w:pPr>
            <w:r>
              <w:rPr>
                <w:rFonts w:eastAsia="Verdana" w:cs="Verdana"/>
                <w:noProof/>
                <w:sz w:val="14"/>
                <w:szCs w:val="14"/>
              </w:rPr>
              <w:t>Groundnuts</w:t>
            </w:r>
            <w:r w:rsidR="0001770A">
              <w:rPr>
                <w:rFonts w:eastAsia="Verdana" w:cs="Verdana"/>
                <w:noProof/>
                <w:sz w:val="14"/>
                <w:szCs w:val="14"/>
              </w:rPr>
              <w:t>:</w:t>
            </w:r>
            <w:r>
              <w:rPr>
                <w:rFonts w:eastAsia="Verdana" w:cs="Verdana"/>
                <w:noProof/>
                <w:sz w:val="14"/>
                <w:szCs w:val="14"/>
              </w:rPr>
              <w:t xml:space="preserve"> </w:t>
            </w:r>
          </w:p>
          <w:p w14:paraId="1E746B99" w14:textId="388A4E9C" w:rsidR="00045697" w:rsidRDefault="00045697" w:rsidP="00045697">
            <w:pPr>
              <w:jc w:val="left"/>
              <w:rPr>
                <w:rFonts w:eastAsia="Verdana" w:cs="Verdana"/>
                <w:noProof/>
                <w:sz w:val="14"/>
                <w:szCs w:val="14"/>
              </w:rPr>
            </w:pPr>
            <w:r>
              <w:rPr>
                <w:rFonts w:eastAsia="Verdana" w:cs="Verdana"/>
                <w:noProof/>
                <w:sz w:val="14"/>
                <w:szCs w:val="14"/>
              </w:rPr>
              <w:t xml:space="preserve">-- in shell </w:t>
            </w:r>
          </w:p>
          <w:p w14:paraId="7272EF70" w14:textId="77777777" w:rsidR="00045697" w:rsidRDefault="00045697" w:rsidP="00045697">
            <w:pPr>
              <w:jc w:val="left"/>
              <w:rPr>
                <w:rFonts w:eastAsia="Verdana" w:cs="Verdana"/>
                <w:noProof/>
                <w:sz w:val="14"/>
                <w:szCs w:val="14"/>
              </w:rPr>
            </w:pPr>
            <w:r>
              <w:rPr>
                <w:rFonts w:eastAsia="Verdana" w:cs="Verdana"/>
                <w:noProof/>
                <w:sz w:val="14"/>
                <w:szCs w:val="14"/>
              </w:rPr>
              <w:t xml:space="preserve">-- shelled </w:t>
            </w:r>
          </w:p>
          <w:p w14:paraId="660B6679" w14:textId="77777777" w:rsidR="00045697" w:rsidRDefault="00045697" w:rsidP="00045697">
            <w:pPr>
              <w:jc w:val="left"/>
              <w:rPr>
                <w:rFonts w:eastAsia="Verdana" w:cs="Verdana"/>
                <w:noProof/>
                <w:sz w:val="14"/>
                <w:szCs w:val="14"/>
              </w:rPr>
            </w:pPr>
            <w:r>
              <w:rPr>
                <w:rFonts w:eastAsia="Verdana" w:cs="Verdana"/>
                <w:noProof/>
                <w:sz w:val="14"/>
                <w:szCs w:val="14"/>
              </w:rPr>
              <w:t>-- mixtures (containing groundnuts exceeding 20%)</w:t>
            </w:r>
          </w:p>
          <w:p w14:paraId="1C81A34B" w14:textId="77777777" w:rsidR="00045697" w:rsidRDefault="00045697" w:rsidP="00045697">
            <w:pPr>
              <w:jc w:val="left"/>
              <w:rPr>
                <w:rFonts w:eastAsia="Verdana" w:cs="Verdana"/>
                <w:noProof/>
                <w:sz w:val="14"/>
                <w:szCs w:val="14"/>
              </w:rPr>
            </w:pPr>
          </w:p>
          <w:p w14:paraId="43A89342" w14:textId="1FBD0C1A" w:rsidR="00045697" w:rsidRDefault="00045697" w:rsidP="00045697">
            <w:pPr>
              <w:jc w:val="left"/>
              <w:rPr>
                <w:rFonts w:eastAsia="Verdana" w:cs="Verdana"/>
                <w:noProof/>
                <w:sz w:val="14"/>
                <w:szCs w:val="14"/>
              </w:rPr>
            </w:pPr>
            <w:r>
              <w:rPr>
                <w:rFonts w:eastAsia="Verdana" w:cs="Verdana"/>
                <w:noProof/>
                <w:sz w:val="14"/>
                <w:szCs w:val="14"/>
              </w:rPr>
              <w:t>Flours and meals of groundnuts</w:t>
            </w:r>
            <w:r w:rsidR="0001770A">
              <w:rPr>
                <w:rFonts w:eastAsia="Verdana" w:cs="Verdana"/>
                <w:noProof/>
                <w:sz w:val="14"/>
                <w:szCs w:val="14"/>
              </w:rPr>
              <w:t>:</w:t>
            </w:r>
          </w:p>
          <w:p w14:paraId="138495EB" w14:textId="77777777" w:rsidR="00045697" w:rsidRDefault="00045697" w:rsidP="00045697">
            <w:pPr>
              <w:jc w:val="left"/>
              <w:rPr>
                <w:rFonts w:eastAsia="Verdana" w:cs="Verdana"/>
                <w:noProof/>
                <w:sz w:val="14"/>
                <w:szCs w:val="14"/>
              </w:rPr>
            </w:pPr>
            <w:r>
              <w:rPr>
                <w:rFonts w:eastAsia="Verdana" w:cs="Verdana"/>
                <w:noProof/>
                <w:sz w:val="14"/>
                <w:szCs w:val="14"/>
              </w:rPr>
              <w:t xml:space="preserve">-- edible </w:t>
            </w:r>
          </w:p>
          <w:p w14:paraId="7BD24E51" w14:textId="77777777" w:rsidR="00045697" w:rsidRDefault="00045697" w:rsidP="00045697">
            <w:pPr>
              <w:jc w:val="left"/>
              <w:rPr>
                <w:rFonts w:eastAsia="Verdana" w:cs="Verdana"/>
                <w:noProof/>
                <w:sz w:val="14"/>
                <w:szCs w:val="14"/>
              </w:rPr>
            </w:pPr>
            <w:r>
              <w:rPr>
                <w:rFonts w:eastAsia="Verdana" w:cs="Verdana"/>
                <w:noProof/>
                <w:sz w:val="14"/>
                <w:szCs w:val="14"/>
              </w:rPr>
              <w:t xml:space="preserve">-- inedible </w:t>
            </w:r>
          </w:p>
          <w:p w14:paraId="58F4EC47" w14:textId="77777777" w:rsidR="00045697" w:rsidRDefault="00045697" w:rsidP="00045697">
            <w:pPr>
              <w:jc w:val="left"/>
              <w:rPr>
                <w:rFonts w:eastAsia="Verdana" w:cs="Verdana"/>
                <w:noProof/>
                <w:sz w:val="14"/>
                <w:szCs w:val="14"/>
              </w:rPr>
            </w:pPr>
          </w:p>
          <w:p w14:paraId="6278EF3C" w14:textId="3286028F" w:rsidR="00045697" w:rsidRDefault="00045697" w:rsidP="00045697">
            <w:pPr>
              <w:jc w:val="left"/>
              <w:rPr>
                <w:rFonts w:eastAsia="Verdana" w:cs="Verdana"/>
                <w:noProof/>
                <w:sz w:val="14"/>
                <w:szCs w:val="14"/>
              </w:rPr>
            </w:pPr>
            <w:r>
              <w:rPr>
                <w:rFonts w:eastAsia="Verdana" w:cs="Verdana"/>
                <w:noProof/>
                <w:sz w:val="14"/>
                <w:szCs w:val="14"/>
              </w:rPr>
              <w:t>Groundnuts oil</w:t>
            </w:r>
            <w:r w:rsidR="0001770A">
              <w:rPr>
                <w:rFonts w:eastAsia="Verdana" w:cs="Verdana"/>
                <w:noProof/>
                <w:sz w:val="14"/>
                <w:szCs w:val="14"/>
              </w:rPr>
              <w:t>:</w:t>
            </w:r>
          </w:p>
          <w:p w14:paraId="1EEE4CA4" w14:textId="77777777" w:rsidR="00045697" w:rsidRDefault="00045697" w:rsidP="00045697">
            <w:pPr>
              <w:jc w:val="left"/>
              <w:rPr>
                <w:rFonts w:eastAsia="Verdana" w:cs="Verdana"/>
                <w:noProof/>
                <w:sz w:val="14"/>
                <w:szCs w:val="14"/>
              </w:rPr>
            </w:pPr>
            <w:r>
              <w:rPr>
                <w:rFonts w:eastAsia="Verdana" w:cs="Verdana"/>
                <w:noProof/>
                <w:sz w:val="14"/>
                <w:szCs w:val="14"/>
              </w:rPr>
              <w:t>-- crude</w:t>
            </w:r>
          </w:p>
          <w:p w14:paraId="3D25D2B2" w14:textId="5A1CFBDE" w:rsidR="00045697" w:rsidRPr="003C3493" w:rsidRDefault="00045697" w:rsidP="00045697">
            <w:pPr>
              <w:jc w:val="left"/>
              <w:rPr>
                <w:rFonts w:eastAsia="Arial"/>
                <w:color w:val="000000"/>
                <w:sz w:val="14"/>
                <w:szCs w:val="14"/>
              </w:rPr>
            </w:pPr>
            <w:r>
              <w:rPr>
                <w:rFonts w:eastAsia="Verdana" w:cs="Verdana"/>
                <w:noProof/>
                <w:sz w:val="14"/>
                <w:szCs w:val="14"/>
              </w:rPr>
              <w:t>-- refined</w:t>
            </w:r>
          </w:p>
        </w:tc>
        <w:tc>
          <w:tcPr>
            <w:tcW w:w="3111" w:type="dxa"/>
            <w:tcMar>
              <w:top w:w="40" w:type="dxa"/>
              <w:left w:w="40" w:type="dxa"/>
              <w:bottom w:w="40" w:type="dxa"/>
              <w:right w:w="40" w:type="dxa"/>
            </w:tcMar>
          </w:tcPr>
          <w:p w14:paraId="6F10BED1" w14:textId="50D3AFC3" w:rsidR="00045697" w:rsidRPr="00A81D0A" w:rsidRDefault="00045697" w:rsidP="00045697">
            <w:pPr>
              <w:jc w:val="center"/>
              <w:rPr>
                <w:rFonts w:eastAsia="Arial"/>
                <w:color w:val="000000"/>
                <w:sz w:val="14"/>
                <w:szCs w:val="14"/>
              </w:rPr>
            </w:pPr>
            <w:r w:rsidRPr="00A81D0A">
              <w:rPr>
                <w:rFonts w:eastAsia="Arial"/>
                <w:noProof/>
                <w:color w:val="000000"/>
                <w:sz w:val="14"/>
                <w:szCs w:val="14"/>
              </w:rPr>
              <w:t>12023010, 12024100,</w:t>
            </w:r>
            <w:r w:rsidRPr="00A81D0A">
              <w:rPr>
                <w:rFonts w:eastAsia="Arial"/>
                <w:color w:val="000000"/>
                <w:sz w:val="14"/>
                <w:szCs w:val="14"/>
              </w:rPr>
              <w:t xml:space="preserve"> </w:t>
            </w:r>
          </w:p>
          <w:p w14:paraId="7075550E" w14:textId="77777777" w:rsidR="00045697" w:rsidRPr="00A81D0A" w:rsidRDefault="00045697" w:rsidP="00045697">
            <w:pPr>
              <w:jc w:val="center"/>
              <w:rPr>
                <w:rFonts w:eastAsia="Arial"/>
                <w:color w:val="000000"/>
                <w:sz w:val="14"/>
                <w:szCs w:val="14"/>
              </w:rPr>
            </w:pPr>
            <w:r w:rsidRPr="00A81D0A">
              <w:rPr>
                <w:rFonts w:eastAsia="Arial"/>
                <w:color w:val="000000"/>
                <w:sz w:val="14"/>
                <w:szCs w:val="14"/>
              </w:rPr>
              <w:t xml:space="preserve">20081111, 20081191, </w:t>
            </w:r>
          </w:p>
          <w:p w14:paraId="604CE11C" w14:textId="77777777" w:rsidR="00045697" w:rsidRPr="00A81D0A" w:rsidRDefault="00045697" w:rsidP="00045697">
            <w:pPr>
              <w:jc w:val="center"/>
              <w:rPr>
                <w:rFonts w:eastAsia="Arial"/>
                <w:color w:val="000000"/>
                <w:sz w:val="14"/>
                <w:szCs w:val="14"/>
              </w:rPr>
            </w:pPr>
            <w:r w:rsidRPr="00A81D0A">
              <w:rPr>
                <w:rFonts w:eastAsia="Arial"/>
                <w:color w:val="000000"/>
                <w:sz w:val="14"/>
                <w:szCs w:val="14"/>
              </w:rPr>
              <w:t xml:space="preserve">12023020, 12024200, </w:t>
            </w:r>
          </w:p>
          <w:p w14:paraId="0064E616" w14:textId="77777777" w:rsidR="00045697" w:rsidRPr="00A81D0A" w:rsidRDefault="00045697" w:rsidP="00045697">
            <w:pPr>
              <w:jc w:val="center"/>
              <w:rPr>
                <w:rFonts w:eastAsia="Arial"/>
                <w:color w:val="000000"/>
                <w:sz w:val="14"/>
                <w:szCs w:val="14"/>
              </w:rPr>
            </w:pPr>
            <w:r w:rsidRPr="00A81D0A">
              <w:rPr>
                <w:rFonts w:eastAsia="Arial"/>
                <w:color w:val="000000"/>
                <w:sz w:val="14"/>
                <w:szCs w:val="14"/>
              </w:rPr>
              <w:t xml:space="preserve">20081112, 20081192, </w:t>
            </w:r>
          </w:p>
          <w:p w14:paraId="39DB9795" w14:textId="77777777" w:rsidR="00045697" w:rsidRPr="00A81D0A" w:rsidRDefault="00045697" w:rsidP="00045697">
            <w:pPr>
              <w:jc w:val="center"/>
              <w:rPr>
                <w:rFonts w:eastAsia="Arial"/>
                <w:color w:val="000000"/>
                <w:sz w:val="14"/>
                <w:szCs w:val="14"/>
              </w:rPr>
            </w:pPr>
            <w:r w:rsidRPr="00A81D0A">
              <w:rPr>
                <w:rFonts w:eastAsia="Arial"/>
                <w:color w:val="000000"/>
                <w:sz w:val="14"/>
                <w:szCs w:val="14"/>
              </w:rPr>
              <w:t xml:space="preserve">20081942, 12089011, </w:t>
            </w:r>
          </w:p>
          <w:p w14:paraId="385314CF" w14:textId="77777777" w:rsidR="00045697" w:rsidRPr="00A81D0A" w:rsidRDefault="00045697" w:rsidP="00045697">
            <w:pPr>
              <w:jc w:val="center"/>
              <w:rPr>
                <w:rFonts w:eastAsia="Arial"/>
                <w:color w:val="000000"/>
                <w:sz w:val="14"/>
                <w:szCs w:val="14"/>
              </w:rPr>
            </w:pPr>
            <w:r w:rsidRPr="00A81D0A">
              <w:rPr>
                <w:rFonts w:eastAsia="Arial"/>
                <w:color w:val="000000"/>
                <w:sz w:val="14"/>
                <w:szCs w:val="14"/>
              </w:rPr>
              <w:t xml:space="preserve">12089021, 15081000, </w:t>
            </w:r>
          </w:p>
          <w:p w14:paraId="66521DB7" w14:textId="77777777" w:rsidR="00045697" w:rsidRPr="00A81D0A" w:rsidRDefault="00045697" w:rsidP="00045697">
            <w:pPr>
              <w:jc w:val="center"/>
              <w:rPr>
                <w:rFonts w:eastAsia="Arial"/>
                <w:color w:val="000000"/>
                <w:sz w:val="14"/>
                <w:szCs w:val="14"/>
              </w:rPr>
            </w:pPr>
            <w:r w:rsidRPr="00A81D0A">
              <w:rPr>
                <w:rFonts w:eastAsia="Arial"/>
                <w:color w:val="000000"/>
                <w:sz w:val="14"/>
                <w:szCs w:val="14"/>
              </w:rPr>
              <w:t>15089000</w:t>
            </w:r>
          </w:p>
        </w:tc>
        <w:tc>
          <w:tcPr>
            <w:tcW w:w="732" w:type="dxa"/>
            <w:tcMar>
              <w:top w:w="40" w:type="dxa"/>
              <w:left w:w="40" w:type="dxa"/>
              <w:bottom w:w="40" w:type="dxa"/>
              <w:right w:w="40" w:type="dxa"/>
            </w:tcMar>
          </w:tcPr>
          <w:p w14:paraId="774AF17C" w14:textId="77777777" w:rsidR="00045697" w:rsidRPr="00A81D0A" w:rsidRDefault="00045697" w:rsidP="00045697">
            <w:pPr>
              <w:jc w:val="center"/>
              <w:rPr>
                <w:sz w:val="14"/>
                <w:szCs w:val="14"/>
              </w:rPr>
            </w:pPr>
            <w:r w:rsidRPr="00A81D0A">
              <w:rPr>
                <w:rFonts w:ascii="Wingdings" w:eastAsia="Wingdings" w:hAnsi="Wingdings"/>
                <w:noProof/>
                <w:color w:val="000000"/>
                <w:sz w:val="14"/>
                <w:szCs w:val="14"/>
              </w:rPr>
              <w:t></w:t>
            </w:r>
          </w:p>
        </w:tc>
        <w:tc>
          <w:tcPr>
            <w:tcW w:w="5372" w:type="dxa"/>
            <w:tcMar>
              <w:top w:w="40" w:type="dxa"/>
              <w:left w:w="40" w:type="dxa"/>
              <w:bottom w:w="40" w:type="dxa"/>
              <w:right w:w="40" w:type="dxa"/>
            </w:tcMar>
          </w:tcPr>
          <w:p w14:paraId="41444F67" w14:textId="40DC8E4C" w:rsidR="0001770A" w:rsidRDefault="00045697" w:rsidP="0004654F">
            <w:pPr>
              <w:tabs>
                <w:tab w:val="left" w:pos="284"/>
              </w:tabs>
              <w:ind w:left="284" w:hanging="284"/>
              <w:jc w:val="left"/>
              <w:rPr>
                <w:rFonts w:eastAsia="Verdana" w:cs="Verdana"/>
                <w:noProof/>
                <w:color w:val="000000"/>
                <w:sz w:val="14"/>
                <w:szCs w:val="14"/>
              </w:rPr>
            </w:pPr>
            <w:r>
              <w:rPr>
                <w:rFonts w:eastAsia="Verdana" w:cs="Verdana"/>
                <w:noProof/>
                <w:color w:val="000000"/>
                <w:sz w:val="14"/>
                <w:szCs w:val="14"/>
              </w:rPr>
              <w:t>(a)</w:t>
            </w:r>
            <w:r w:rsidR="0001770A">
              <w:rPr>
                <w:rFonts w:eastAsia="Verdana" w:cs="Verdana"/>
                <w:noProof/>
                <w:color w:val="000000"/>
                <w:sz w:val="14"/>
                <w:szCs w:val="14"/>
              </w:rPr>
              <w:tab/>
            </w:r>
            <w:r>
              <w:rPr>
                <w:rFonts w:eastAsia="Verdana" w:cs="Verdana"/>
                <w:noProof/>
                <w:color w:val="000000"/>
                <w:sz w:val="14"/>
                <w:szCs w:val="14"/>
              </w:rPr>
              <w:t>Allocation of quotas to supplying countries:</w:t>
            </w:r>
            <w:r w:rsidR="0001770A">
              <w:rPr>
                <w:rFonts w:eastAsia="Verdana" w:cs="Verdana"/>
                <w:noProof/>
                <w:color w:val="000000"/>
                <w:sz w:val="14"/>
                <w:szCs w:val="14"/>
              </w:rPr>
              <w:t xml:space="preserve"> </w:t>
            </w:r>
            <w:r>
              <w:rPr>
                <w:rFonts w:eastAsia="Verdana" w:cs="Verdana"/>
                <w:noProof/>
                <w:color w:val="000000"/>
                <w:sz w:val="14"/>
                <w:szCs w:val="14"/>
              </w:rPr>
              <w:t>None.</w:t>
            </w:r>
          </w:p>
          <w:p w14:paraId="47084C0D" w14:textId="77777777" w:rsidR="0001770A" w:rsidRDefault="0001770A" w:rsidP="0004654F">
            <w:pPr>
              <w:jc w:val="left"/>
              <w:rPr>
                <w:rFonts w:eastAsia="Verdana" w:cs="Verdana"/>
                <w:noProof/>
                <w:color w:val="000000"/>
                <w:sz w:val="14"/>
                <w:szCs w:val="14"/>
              </w:rPr>
            </w:pPr>
          </w:p>
          <w:p w14:paraId="2699B718" w14:textId="218F2A89" w:rsidR="0001770A" w:rsidRDefault="00045697" w:rsidP="00A2664B">
            <w:pPr>
              <w:tabs>
                <w:tab w:val="left" w:pos="284"/>
              </w:tabs>
              <w:spacing w:before="120"/>
              <w:ind w:left="284" w:hanging="284"/>
              <w:jc w:val="left"/>
              <w:rPr>
                <w:rFonts w:eastAsia="Verdana" w:cs="Verdana"/>
                <w:noProof/>
                <w:color w:val="000000"/>
                <w:sz w:val="14"/>
                <w:szCs w:val="14"/>
              </w:rPr>
            </w:pPr>
            <w:r>
              <w:rPr>
                <w:rFonts w:eastAsia="Verdana" w:cs="Verdana"/>
                <w:noProof/>
                <w:color w:val="000000"/>
                <w:sz w:val="14"/>
                <w:szCs w:val="14"/>
              </w:rPr>
              <w:t>(b)</w:t>
            </w:r>
            <w:r w:rsidR="0001770A">
              <w:rPr>
                <w:rFonts w:eastAsia="Verdana" w:cs="Verdana"/>
                <w:noProof/>
                <w:color w:val="000000"/>
                <w:sz w:val="14"/>
                <w:szCs w:val="14"/>
              </w:rPr>
              <w:tab/>
            </w:r>
            <w:r>
              <w:rPr>
                <w:rFonts w:eastAsia="Verdana" w:cs="Verdana"/>
                <w:noProof/>
                <w:color w:val="000000"/>
                <w:sz w:val="14"/>
                <w:szCs w:val="14"/>
              </w:rPr>
              <w:t>Allocation of licences or of access to quotas to importers:</w:t>
            </w:r>
          </w:p>
          <w:p w14:paraId="348B7BDB" w14:textId="77777777" w:rsidR="0001770A" w:rsidRDefault="0001770A" w:rsidP="0004654F">
            <w:pPr>
              <w:jc w:val="left"/>
              <w:rPr>
                <w:rFonts w:eastAsia="Verdana" w:cs="Verdana"/>
                <w:noProof/>
                <w:color w:val="000000"/>
                <w:sz w:val="14"/>
                <w:szCs w:val="14"/>
              </w:rPr>
            </w:pPr>
          </w:p>
          <w:p w14:paraId="408AA232" w14:textId="7E410719" w:rsidR="0001770A" w:rsidRDefault="00045697" w:rsidP="0004654F">
            <w:pPr>
              <w:tabs>
                <w:tab w:val="left" w:pos="284"/>
              </w:tabs>
              <w:ind w:left="284" w:hanging="284"/>
              <w:jc w:val="left"/>
              <w:rPr>
                <w:rFonts w:eastAsia="Verdana" w:cs="Verdana"/>
                <w:noProof/>
                <w:color w:val="000000"/>
                <w:sz w:val="14"/>
                <w:szCs w:val="14"/>
              </w:rPr>
            </w:pPr>
            <w:r>
              <w:rPr>
                <w:rFonts w:eastAsia="Verdana" w:cs="Verdana"/>
                <w:noProof/>
                <w:color w:val="000000"/>
                <w:sz w:val="14"/>
                <w:szCs w:val="14"/>
              </w:rPr>
              <w:t>(i)</w:t>
            </w:r>
            <w:r w:rsidR="0001770A">
              <w:rPr>
                <w:rFonts w:eastAsia="Verdana" w:cs="Verdana"/>
                <w:noProof/>
                <w:color w:val="000000"/>
                <w:sz w:val="14"/>
                <w:szCs w:val="14"/>
              </w:rPr>
              <w:tab/>
            </w:r>
            <w:r>
              <w:rPr>
                <w:rFonts w:eastAsia="Verdana" w:cs="Verdana"/>
                <w:noProof/>
                <w:color w:val="000000"/>
                <w:sz w:val="14"/>
                <w:szCs w:val="14"/>
              </w:rPr>
              <w:t>Tariff quota certificates are issued by the Ministry of Finance.</w:t>
            </w:r>
          </w:p>
          <w:p w14:paraId="59EBADEF" w14:textId="4AA0AEBE" w:rsidR="0001770A" w:rsidRDefault="00045697" w:rsidP="00A2664B">
            <w:pPr>
              <w:tabs>
                <w:tab w:val="left" w:pos="284"/>
              </w:tabs>
              <w:spacing w:before="120"/>
              <w:ind w:left="284" w:hanging="284"/>
              <w:jc w:val="left"/>
              <w:rPr>
                <w:rFonts w:eastAsia="Verdana" w:cs="Verdana"/>
                <w:noProof/>
                <w:color w:val="000000"/>
                <w:sz w:val="14"/>
                <w:szCs w:val="14"/>
              </w:rPr>
            </w:pPr>
            <w:r>
              <w:rPr>
                <w:rFonts w:eastAsia="Verdana" w:cs="Verdana"/>
                <w:noProof/>
                <w:color w:val="000000"/>
                <w:sz w:val="14"/>
                <w:szCs w:val="14"/>
              </w:rPr>
              <w:t>(ii)</w:t>
            </w:r>
            <w:r w:rsidR="0001770A">
              <w:rPr>
                <w:rFonts w:eastAsia="Verdana" w:cs="Verdana"/>
                <w:noProof/>
                <w:color w:val="000000"/>
                <w:sz w:val="14"/>
                <w:szCs w:val="14"/>
              </w:rPr>
              <w:tab/>
            </w:r>
            <w:r>
              <w:rPr>
                <w:rFonts w:eastAsia="Verdana" w:cs="Verdana"/>
                <w:noProof/>
                <w:color w:val="000000"/>
                <w:sz w:val="14"/>
                <w:szCs w:val="14"/>
              </w:rPr>
              <w:t>Any enterprise registered as an importer/exporter at the Bureau of Foreign Trade (under the Ministry of Economic Affairs) would be eligible to apply for tariff quota certificates.</w:t>
            </w:r>
          </w:p>
          <w:p w14:paraId="253B7A27" w14:textId="77777777" w:rsidR="00A2664B" w:rsidRDefault="00045697" w:rsidP="00A2664B">
            <w:pPr>
              <w:tabs>
                <w:tab w:val="left" w:pos="284"/>
              </w:tabs>
              <w:spacing w:before="120"/>
              <w:ind w:left="284" w:hanging="284"/>
              <w:jc w:val="left"/>
              <w:rPr>
                <w:rFonts w:eastAsia="Verdana" w:cs="Verdana"/>
                <w:noProof/>
                <w:color w:val="000000"/>
                <w:sz w:val="14"/>
                <w:szCs w:val="14"/>
              </w:rPr>
            </w:pPr>
            <w:r>
              <w:rPr>
                <w:rFonts w:eastAsia="Verdana" w:cs="Verdana"/>
                <w:noProof/>
                <w:color w:val="000000"/>
                <w:sz w:val="14"/>
                <w:szCs w:val="14"/>
              </w:rPr>
              <w:t>(iii)</w:t>
            </w:r>
            <w:r w:rsidR="0001770A">
              <w:rPr>
                <w:rFonts w:eastAsia="Verdana" w:cs="Verdana"/>
                <w:noProof/>
                <w:color w:val="000000"/>
                <w:sz w:val="14"/>
                <w:szCs w:val="14"/>
              </w:rPr>
              <w:tab/>
            </w:r>
            <w:r>
              <w:rPr>
                <w:rFonts w:eastAsia="Verdana" w:cs="Verdana"/>
                <w:noProof/>
                <w:color w:val="000000"/>
                <w:sz w:val="14"/>
                <w:szCs w:val="14"/>
              </w:rPr>
              <w:t>The method of allocation is conducted on the basis of bidding price per unit amount offered by the bidders (starting from the highest bid). If there are two or more bidders offering identical bid prices and the quota available for allocation is less than the total amount in the bid, allocation will be made on a pro-rata basis.</w:t>
            </w:r>
          </w:p>
          <w:p w14:paraId="4D7B2291" w14:textId="5C62B373" w:rsidR="0001770A" w:rsidRDefault="00045697" w:rsidP="00A2664B">
            <w:pPr>
              <w:tabs>
                <w:tab w:val="left" w:pos="284"/>
              </w:tabs>
              <w:spacing w:before="120"/>
              <w:ind w:left="284" w:hanging="284"/>
              <w:jc w:val="left"/>
              <w:rPr>
                <w:rFonts w:eastAsia="Verdana" w:cs="Verdana"/>
                <w:noProof/>
                <w:color w:val="000000"/>
                <w:sz w:val="14"/>
                <w:szCs w:val="14"/>
              </w:rPr>
            </w:pPr>
            <w:r>
              <w:rPr>
                <w:rFonts w:eastAsia="Verdana" w:cs="Verdana"/>
                <w:noProof/>
                <w:color w:val="000000"/>
                <w:sz w:val="14"/>
                <w:szCs w:val="14"/>
              </w:rPr>
              <w:t>(iv)</w:t>
            </w:r>
            <w:r w:rsidR="00A2664B">
              <w:rPr>
                <w:rFonts w:eastAsia="Verdana" w:cs="Verdana"/>
                <w:noProof/>
                <w:color w:val="000000"/>
                <w:sz w:val="14"/>
                <w:szCs w:val="14"/>
              </w:rPr>
              <w:tab/>
            </w:r>
            <w:r w:rsidRPr="00A2664B">
              <w:rPr>
                <w:rFonts w:eastAsia="Verdana" w:cs="Verdana"/>
                <w:noProof/>
                <w:color w:val="000000"/>
                <w:sz w:val="14"/>
                <w:szCs w:val="14"/>
                <w:u w:val="single"/>
              </w:rPr>
              <w:t>Tariff quota certificates are valid from 1 February to 30 June and From 1 August to 31</w:t>
            </w:r>
            <w:r w:rsidR="0004654F" w:rsidRPr="00A2664B">
              <w:rPr>
                <w:rFonts w:eastAsia="Verdana" w:cs="Verdana"/>
                <w:noProof/>
                <w:color w:val="000000"/>
                <w:sz w:val="14"/>
                <w:szCs w:val="14"/>
                <w:u w:val="single"/>
              </w:rPr>
              <w:t> </w:t>
            </w:r>
            <w:r w:rsidRPr="00A2664B">
              <w:rPr>
                <w:rFonts w:eastAsia="Verdana" w:cs="Verdana"/>
                <w:noProof/>
                <w:color w:val="000000"/>
                <w:sz w:val="14"/>
                <w:szCs w:val="14"/>
                <w:u w:val="single"/>
              </w:rPr>
              <w:t>October.</w:t>
            </w:r>
          </w:p>
          <w:p w14:paraId="07814133" w14:textId="77777777" w:rsidR="0001770A" w:rsidRDefault="0001770A" w:rsidP="0004654F">
            <w:pPr>
              <w:jc w:val="left"/>
              <w:rPr>
                <w:rFonts w:eastAsia="Verdana" w:cs="Verdana"/>
                <w:noProof/>
                <w:color w:val="000000"/>
                <w:sz w:val="14"/>
                <w:szCs w:val="14"/>
              </w:rPr>
            </w:pPr>
          </w:p>
          <w:p w14:paraId="5ABDDB80" w14:textId="63F8E8E5" w:rsidR="0001770A" w:rsidRDefault="00045697" w:rsidP="00A2664B">
            <w:pPr>
              <w:tabs>
                <w:tab w:val="left" w:pos="284"/>
              </w:tabs>
              <w:spacing w:before="120"/>
              <w:ind w:left="284" w:hanging="284"/>
              <w:jc w:val="left"/>
              <w:rPr>
                <w:rFonts w:eastAsia="Verdana" w:cs="Verdana"/>
                <w:noProof/>
                <w:color w:val="000000"/>
                <w:sz w:val="14"/>
                <w:szCs w:val="14"/>
              </w:rPr>
            </w:pPr>
            <w:r>
              <w:rPr>
                <w:rFonts w:eastAsia="Verdana" w:cs="Verdana"/>
                <w:noProof/>
                <w:color w:val="000000"/>
                <w:sz w:val="14"/>
                <w:szCs w:val="14"/>
              </w:rPr>
              <w:t>(c)</w:t>
            </w:r>
            <w:r w:rsidR="0001770A">
              <w:rPr>
                <w:rFonts w:eastAsia="Verdana" w:cs="Verdana"/>
                <w:noProof/>
                <w:color w:val="000000"/>
                <w:sz w:val="14"/>
                <w:szCs w:val="14"/>
              </w:rPr>
              <w:tab/>
            </w:r>
            <w:r>
              <w:rPr>
                <w:rFonts w:eastAsia="Verdana" w:cs="Verdana"/>
                <w:noProof/>
                <w:color w:val="000000"/>
                <w:sz w:val="14"/>
                <w:szCs w:val="14"/>
              </w:rPr>
              <w:t>Details of other arrangements (not involving import licences):</w:t>
            </w:r>
            <w:r w:rsidR="0001770A">
              <w:rPr>
                <w:rFonts w:eastAsia="Verdana" w:cs="Verdana"/>
                <w:noProof/>
                <w:color w:val="000000"/>
                <w:sz w:val="14"/>
                <w:szCs w:val="14"/>
              </w:rPr>
              <w:t xml:space="preserve"> </w:t>
            </w:r>
            <w:r>
              <w:rPr>
                <w:rFonts w:eastAsia="Verdana" w:cs="Verdana"/>
                <w:noProof/>
                <w:color w:val="000000"/>
                <w:sz w:val="14"/>
                <w:szCs w:val="14"/>
              </w:rPr>
              <w:t>None applicable.</w:t>
            </w:r>
          </w:p>
          <w:p w14:paraId="49BA395A" w14:textId="77777777" w:rsidR="0001770A" w:rsidRDefault="0001770A" w:rsidP="0004654F">
            <w:pPr>
              <w:jc w:val="left"/>
              <w:rPr>
                <w:rFonts w:eastAsia="Verdana" w:cs="Verdana"/>
                <w:noProof/>
                <w:color w:val="000000"/>
                <w:sz w:val="14"/>
                <w:szCs w:val="14"/>
              </w:rPr>
            </w:pPr>
          </w:p>
          <w:p w14:paraId="111F137E" w14:textId="70351B41" w:rsidR="00045697" w:rsidRPr="00A81D0A" w:rsidRDefault="00045697" w:rsidP="00A2664B">
            <w:pPr>
              <w:tabs>
                <w:tab w:val="left" w:pos="284"/>
              </w:tabs>
              <w:spacing w:before="120"/>
              <w:ind w:left="284" w:hanging="284"/>
              <w:jc w:val="left"/>
              <w:rPr>
                <w:rFonts w:eastAsia="Arial"/>
                <w:color w:val="000000"/>
                <w:sz w:val="14"/>
                <w:szCs w:val="14"/>
              </w:rPr>
            </w:pPr>
            <w:r>
              <w:rPr>
                <w:rFonts w:eastAsia="Verdana" w:cs="Verdana"/>
                <w:noProof/>
                <w:color w:val="000000"/>
                <w:sz w:val="14"/>
                <w:szCs w:val="14"/>
              </w:rPr>
              <w:t>(d)</w:t>
            </w:r>
            <w:r w:rsidR="0001770A">
              <w:rPr>
                <w:rFonts w:eastAsia="Verdana" w:cs="Verdana"/>
                <w:noProof/>
                <w:color w:val="000000"/>
                <w:sz w:val="14"/>
                <w:szCs w:val="14"/>
              </w:rPr>
              <w:tab/>
            </w:r>
            <w:r>
              <w:rPr>
                <w:rFonts w:eastAsia="Verdana" w:cs="Verdana"/>
                <w:noProof/>
                <w:color w:val="000000"/>
                <w:sz w:val="14"/>
                <w:szCs w:val="14"/>
              </w:rPr>
              <w:t xml:space="preserve">Other information: See Customs Import Tariff (the Separate Customs Territory of Taiwan, Penghu, Kinmen and Matsu), published by both the Customs Administration (under the Ministry of Finance) and the Bureau of Foreign Trade (under the Ministry of Economic Affairs). </w:t>
            </w:r>
          </w:p>
        </w:tc>
        <w:tc>
          <w:tcPr>
            <w:tcW w:w="562" w:type="dxa"/>
            <w:tcMar>
              <w:top w:w="40" w:type="dxa"/>
              <w:left w:w="40" w:type="dxa"/>
              <w:bottom w:w="40" w:type="dxa"/>
              <w:right w:w="40" w:type="dxa"/>
            </w:tcMar>
          </w:tcPr>
          <w:p w14:paraId="703B7C8C" w14:textId="77777777" w:rsidR="00045697" w:rsidRPr="00A81D0A" w:rsidRDefault="00045697" w:rsidP="00045697">
            <w:pPr>
              <w:jc w:val="center"/>
              <w:rPr>
                <w:i/>
                <w:sz w:val="14"/>
                <w:szCs w:val="14"/>
              </w:rPr>
            </w:pPr>
          </w:p>
          <w:p w14:paraId="3525F468" w14:textId="77777777" w:rsidR="00045697" w:rsidRPr="00A81D0A" w:rsidRDefault="00045697" w:rsidP="00045697">
            <w:pPr>
              <w:jc w:val="center"/>
              <w:rPr>
                <w:i/>
                <w:sz w:val="14"/>
                <w:szCs w:val="14"/>
              </w:rPr>
            </w:pPr>
          </w:p>
          <w:p w14:paraId="0C1E02D7" w14:textId="77777777" w:rsidR="00045697" w:rsidRPr="00A81D0A" w:rsidRDefault="00045697" w:rsidP="00045697">
            <w:pPr>
              <w:jc w:val="center"/>
              <w:rPr>
                <w:sz w:val="14"/>
                <w:szCs w:val="14"/>
              </w:rPr>
            </w:pPr>
          </w:p>
        </w:tc>
      </w:tr>
    </w:tbl>
    <w:p w14:paraId="7F0189DF" w14:textId="2D53AAC4" w:rsidR="00045697" w:rsidRDefault="00045697" w:rsidP="00045697">
      <w:pPr>
        <w:rPr>
          <w:rFonts w:eastAsia="Arial"/>
          <w:szCs w:val="18"/>
        </w:rPr>
      </w:pPr>
    </w:p>
    <w:p w14:paraId="7DCAEF0D" w14:textId="6D41BB5C" w:rsidR="00E8447D" w:rsidRDefault="00E8447D" w:rsidP="00E8447D">
      <w:pPr>
        <w:rPr>
          <w:rFonts w:eastAsia="Arial"/>
          <w:szCs w:val="18"/>
        </w:rPr>
      </w:pPr>
    </w:p>
    <w:p w14:paraId="0DBD9928" w14:textId="3DA95A30" w:rsidR="00E8447D" w:rsidRPr="00E8447D" w:rsidRDefault="00E8447D" w:rsidP="00E8447D">
      <w:pPr>
        <w:jc w:val="center"/>
        <w:rPr>
          <w:rFonts w:eastAsia="Arial"/>
          <w:szCs w:val="18"/>
        </w:rPr>
      </w:pPr>
      <w:r>
        <w:rPr>
          <w:rFonts w:eastAsia="Arial"/>
          <w:b/>
          <w:szCs w:val="18"/>
        </w:rPr>
        <w:t>__________</w:t>
      </w:r>
    </w:p>
    <w:sectPr w:rsidR="00E8447D" w:rsidRPr="00E8447D" w:rsidSect="00045697">
      <w:headerReference w:type="even" r:id="rId14"/>
      <w:headerReference w:type="default" r:id="rId15"/>
      <w:headerReference w:type="first" r:id="rId16"/>
      <w:pgSz w:w="16838" w:h="11906" w:orient="landscape" w:code="9"/>
      <w:pgMar w:top="1440" w:right="1701" w:bottom="1440" w:left="567" w:header="720" w:footer="72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0E084" w14:textId="77777777" w:rsidR="00F053FA" w:rsidRDefault="00F053FA">
      <w:r>
        <w:separator/>
      </w:r>
    </w:p>
  </w:endnote>
  <w:endnote w:type="continuationSeparator" w:id="0">
    <w:p w14:paraId="2026CD49" w14:textId="77777777" w:rsidR="00F053FA" w:rsidRDefault="00F0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DC11C" w14:textId="1CB774B8" w:rsidR="00F053FA" w:rsidRPr="00A40EBE" w:rsidRDefault="00A40EBE" w:rsidP="00A40EB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DC646" w14:textId="04A385A5" w:rsidR="00F053FA" w:rsidRPr="00A40EBE" w:rsidRDefault="00A40EBE" w:rsidP="00A40EB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8E0AF" w14:textId="77777777" w:rsidR="00271803" w:rsidRDefault="00271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28EBF" w14:textId="77777777" w:rsidR="00F053FA" w:rsidRDefault="00F053FA">
      <w:r>
        <w:separator/>
      </w:r>
    </w:p>
  </w:footnote>
  <w:footnote w:type="continuationSeparator" w:id="0">
    <w:p w14:paraId="1EF5394B" w14:textId="77777777" w:rsidR="00F053FA" w:rsidRDefault="00F05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CF392" w14:textId="77777777" w:rsidR="00A40EBE" w:rsidRPr="00A40EBE" w:rsidRDefault="00A40EBE" w:rsidP="00A40EBE">
    <w:pPr>
      <w:pStyle w:val="Header"/>
      <w:pBdr>
        <w:bottom w:val="single" w:sz="4" w:space="1" w:color="auto"/>
      </w:pBdr>
      <w:tabs>
        <w:tab w:val="clear" w:pos="4513"/>
        <w:tab w:val="clear" w:pos="9027"/>
      </w:tabs>
      <w:jc w:val="center"/>
    </w:pPr>
    <w:r w:rsidRPr="00A40EBE">
      <w:t>G/AG/N/TPKM/192</w:t>
    </w:r>
  </w:p>
  <w:p w14:paraId="5C4929B7" w14:textId="77777777" w:rsidR="00A40EBE" w:rsidRPr="00A40EBE" w:rsidRDefault="00A40EBE" w:rsidP="00A40EBE">
    <w:pPr>
      <w:pStyle w:val="Header"/>
      <w:pBdr>
        <w:bottom w:val="single" w:sz="4" w:space="1" w:color="auto"/>
      </w:pBdr>
      <w:tabs>
        <w:tab w:val="clear" w:pos="4513"/>
        <w:tab w:val="clear" w:pos="9027"/>
      </w:tabs>
      <w:jc w:val="center"/>
    </w:pPr>
  </w:p>
  <w:p w14:paraId="639F4EFA" w14:textId="69C8ED6C" w:rsidR="00A40EBE" w:rsidRPr="00A40EBE" w:rsidRDefault="00A40EBE" w:rsidP="00A40EBE">
    <w:pPr>
      <w:pStyle w:val="Header"/>
      <w:pBdr>
        <w:bottom w:val="single" w:sz="4" w:space="1" w:color="auto"/>
      </w:pBdr>
      <w:tabs>
        <w:tab w:val="clear" w:pos="4513"/>
        <w:tab w:val="clear" w:pos="9027"/>
      </w:tabs>
      <w:jc w:val="center"/>
    </w:pPr>
    <w:r w:rsidRPr="00A40EBE">
      <w:t xml:space="preserve">- </w:t>
    </w:r>
    <w:r w:rsidRPr="00A40EBE">
      <w:fldChar w:fldCharType="begin"/>
    </w:r>
    <w:r w:rsidRPr="00A40EBE">
      <w:instrText xml:space="preserve"> PAGE </w:instrText>
    </w:r>
    <w:r w:rsidRPr="00A40EBE">
      <w:fldChar w:fldCharType="separate"/>
    </w:r>
    <w:r w:rsidRPr="00A40EBE">
      <w:rPr>
        <w:noProof/>
      </w:rPr>
      <w:t>1</w:t>
    </w:r>
    <w:r w:rsidRPr="00A40EBE">
      <w:fldChar w:fldCharType="end"/>
    </w:r>
    <w:r w:rsidRPr="00A40EBE">
      <w:t xml:space="preserve"> -</w:t>
    </w:r>
  </w:p>
  <w:p w14:paraId="5BAB1AF9" w14:textId="29E57AA8" w:rsidR="00F053FA" w:rsidRPr="00A40EBE" w:rsidRDefault="00F053FA" w:rsidP="00A40EB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67BD" w14:textId="77777777" w:rsidR="00A40EBE" w:rsidRPr="00A40EBE" w:rsidRDefault="00A40EBE" w:rsidP="00A40EBE">
    <w:pPr>
      <w:pStyle w:val="Header"/>
      <w:pBdr>
        <w:bottom w:val="single" w:sz="4" w:space="1" w:color="auto"/>
      </w:pBdr>
      <w:tabs>
        <w:tab w:val="clear" w:pos="4513"/>
        <w:tab w:val="clear" w:pos="9027"/>
      </w:tabs>
      <w:jc w:val="center"/>
    </w:pPr>
    <w:r w:rsidRPr="00A40EBE">
      <w:t>G/AG/N/TPKM/192</w:t>
    </w:r>
  </w:p>
  <w:p w14:paraId="2A12AF8D" w14:textId="77777777" w:rsidR="00A40EBE" w:rsidRPr="00A40EBE" w:rsidRDefault="00A40EBE" w:rsidP="00A40EBE">
    <w:pPr>
      <w:pStyle w:val="Header"/>
      <w:pBdr>
        <w:bottom w:val="single" w:sz="4" w:space="1" w:color="auto"/>
      </w:pBdr>
      <w:tabs>
        <w:tab w:val="clear" w:pos="4513"/>
        <w:tab w:val="clear" w:pos="9027"/>
      </w:tabs>
      <w:jc w:val="center"/>
    </w:pPr>
  </w:p>
  <w:p w14:paraId="58C7E0F6" w14:textId="26767928" w:rsidR="00A40EBE" w:rsidRPr="00A40EBE" w:rsidRDefault="00A40EBE" w:rsidP="00A40EBE">
    <w:pPr>
      <w:pStyle w:val="Header"/>
      <w:pBdr>
        <w:bottom w:val="single" w:sz="4" w:space="1" w:color="auto"/>
      </w:pBdr>
      <w:tabs>
        <w:tab w:val="clear" w:pos="4513"/>
        <w:tab w:val="clear" w:pos="9027"/>
      </w:tabs>
      <w:jc w:val="center"/>
    </w:pPr>
    <w:r w:rsidRPr="00A40EBE">
      <w:t xml:space="preserve">- </w:t>
    </w:r>
    <w:r w:rsidRPr="00A40EBE">
      <w:fldChar w:fldCharType="begin"/>
    </w:r>
    <w:r w:rsidRPr="00A40EBE">
      <w:instrText xml:space="preserve"> PAGE </w:instrText>
    </w:r>
    <w:r w:rsidRPr="00A40EBE">
      <w:fldChar w:fldCharType="separate"/>
    </w:r>
    <w:r w:rsidRPr="00A40EBE">
      <w:rPr>
        <w:noProof/>
      </w:rPr>
      <w:t>2</w:t>
    </w:r>
    <w:r w:rsidRPr="00A40EBE">
      <w:fldChar w:fldCharType="end"/>
    </w:r>
    <w:r w:rsidRPr="00A40EBE">
      <w:t xml:space="preserve"> -</w:t>
    </w:r>
  </w:p>
  <w:p w14:paraId="38AF926B" w14:textId="1E590956" w:rsidR="00F053FA" w:rsidRPr="00A40EBE" w:rsidRDefault="00F053FA" w:rsidP="00A40EB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053FA" w14:paraId="56912F41" w14:textId="77777777" w:rsidTr="00045697">
      <w:trPr>
        <w:trHeight w:val="240"/>
        <w:jc w:val="center"/>
      </w:trPr>
      <w:tc>
        <w:tcPr>
          <w:tcW w:w="3794" w:type="dxa"/>
          <w:shd w:val="clear" w:color="auto" w:fill="FFFFFF"/>
          <w:tcMar>
            <w:left w:w="108" w:type="dxa"/>
            <w:right w:w="108" w:type="dxa"/>
          </w:tcMar>
          <w:vAlign w:val="center"/>
        </w:tcPr>
        <w:p w14:paraId="63EBD622" w14:textId="77777777" w:rsidR="00F053FA" w:rsidRPr="00BE3236" w:rsidRDefault="00F053FA" w:rsidP="00045697">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6982B61C" w14:textId="0B659989" w:rsidR="00F053FA" w:rsidRPr="00BE3236" w:rsidRDefault="00A40EBE" w:rsidP="00045697">
          <w:pPr>
            <w:jc w:val="right"/>
            <w:rPr>
              <w:b/>
              <w:color w:val="FF0000"/>
              <w:szCs w:val="16"/>
            </w:rPr>
          </w:pPr>
          <w:r>
            <w:rPr>
              <w:b/>
              <w:color w:val="FF0000"/>
              <w:szCs w:val="16"/>
            </w:rPr>
            <w:t xml:space="preserve"> </w:t>
          </w:r>
        </w:p>
      </w:tc>
    </w:tr>
    <w:bookmarkEnd w:id="0"/>
    <w:tr w:rsidR="00F053FA" w14:paraId="1B2C53DB" w14:textId="77777777" w:rsidTr="00045697">
      <w:trPr>
        <w:trHeight w:val="213"/>
        <w:jc w:val="center"/>
      </w:trPr>
      <w:tc>
        <w:tcPr>
          <w:tcW w:w="3794" w:type="dxa"/>
          <w:vMerge w:val="restart"/>
          <w:shd w:val="clear" w:color="auto" w:fill="FFFFFF"/>
          <w:tcMar>
            <w:left w:w="0" w:type="dxa"/>
            <w:right w:w="0" w:type="dxa"/>
          </w:tcMar>
        </w:tcPr>
        <w:p w14:paraId="1ACEBDB6" w14:textId="77777777" w:rsidR="00F053FA" w:rsidRPr="00BE3236" w:rsidRDefault="00271803" w:rsidP="00045697">
          <w:pPr>
            <w:jc w:val="left"/>
          </w:pPr>
          <w:r>
            <w:rPr>
              <w:noProof/>
              <w:lang w:eastAsia="en-GB"/>
            </w:rPr>
            <w:pict w14:anchorId="6CA2C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pt;height:56.1pt;visibility:visible">
                <v:imagedata r:id="rId1" o:title=""/>
              </v:shape>
            </w:pict>
          </w:r>
        </w:p>
      </w:tc>
      <w:tc>
        <w:tcPr>
          <w:tcW w:w="5448" w:type="dxa"/>
          <w:gridSpan w:val="2"/>
          <w:shd w:val="clear" w:color="auto" w:fill="FFFFFF"/>
          <w:tcMar>
            <w:left w:w="108" w:type="dxa"/>
            <w:right w:w="108" w:type="dxa"/>
          </w:tcMar>
        </w:tcPr>
        <w:p w14:paraId="0850B494" w14:textId="77777777" w:rsidR="00F053FA" w:rsidRPr="00BE3236" w:rsidRDefault="00F053FA" w:rsidP="00045697">
          <w:pPr>
            <w:jc w:val="right"/>
            <w:rPr>
              <w:b/>
              <w:szCs w:val="16"/>
            </w:rPr>
          </w:pPr>
        </w:p>
      </w:tc>
    </w:tr>
    <w:tr w:rsidR="00F053FA" w14:paraId="4298D545" w14:textId="77777777" w:rsidTr="00045697">
      <w:trPr>
        <w:trHeight w:val="868"/>
        <w:jc w:val="center"/>
      </w:trPr>
      <w:tc>
        <w:tcPr>
          <w:tcW w:w="3794" w:type="dxa"/>
          <w:vMerge/>
          <w:shd w:val="clear" w:color="auto" w:fill="FFFFFF"/>
          <w:tcMar>
            <w:left w:w="108" w:type="dxa"/>
            <w:right w:w="108" w:type="dxa"/>
          </w:tcMar>
        </w:tcPr>
        <w:p w14:paraId="0E99B3FB" w14:textId="77777777" w:rsidR="00F053FA" w:rsidRPr="00BE3236" w:rsidRDefault="00F053FA" w:rsidP="00045697">
          <w:pPr>
            <w:jc w:val="left"/>
            <w:rPr>
              <w:noProof/>
              <w:lang w:eastAsia="en-GB"/>
            </w:rPr>
          </w:pPr>
        </w:p>
      </w:tc>
      <w:tc>
        <w:tcPr>
          <w:tcW w:w="5448" w:type="dxa"/>
          <w:gridSpan w:val="2"/>
          <w:shd w:val="clear" w:color="auto" w:fill="FFFFFF"/>
          <w:tcMar>
            <w:left w:w="108" w:type="dxa"/>
            <w:right w:w="108" w:type="dxa"/>
          </w:tcMar>
        </w:tcPr>
        <w:p w14:paraId="7A1C987D" w14:textId="77777777" w:rsidR="00A40EBE" w:rsidRDefault="00A40EBE" w:rsidP="00045697">
          <w:pPr>
            <w:jc w:val="right"/>
            <w:rPr>
              <w:b/>
              <w:szCs w:val="18"/>
            </w:rPr>
          </w:pPr>
          <w:bookmarkStart w:id="1" w:name="bmkSymbols"/>
          <w:r>
            <w:rPr>
              <w:b/>
              <w:szCs w:val="18"/>
            </w:rPr>
            <w:t>G/AG/N/TPKM/192</w:t>
          </w:r>
        </w:p>
        <w:bookmarkEnd w:id="1"/>
        <w:p w14:paraId="399A593C" w14:textId="3230182F" w:rsidR="00F053FA" w:rsidRDefault="00F053FA" w:rsidP="00045697">
          <w:pPr>
            <w:jc w:val="right"/>
            <w:rPr>
              <w:b/>
              <w:szCs w:val="18"/>
            </w:rPr>
          </w:pPr>
        </w:p>
        <w:p w14:paraId="715E1D59" w14:textId="77777777" w:rsidR="00F053FA" w:rsidRPr="00BE3236" w:rsidRDefault="00F053FA" w:rsidP="00045697">
          <w:pPr>
            <w:jc w:val="right"/>
            <w:rPr>
              <w:b/>
              <w:szCs w:val="16"/>
            </w:rPr>
          </w:pPr>
        </w:p>
      </w:tc>
    </w:tr>
    <w:tr w:rsidR="00F053FA" w14:paraId="546D896D" w14:textId="77777777" w:rsidTr="00045697">
      <w:trPr>
        <w:trHeight w:val="240"/>
        <w:jc w:val="center"/>
      </w:trPr>
      <w:tc>
        <w:tcPr>
          <w:tcW w:w="3794" w:type="dxa"/>
          <w:vMerge/>
          <w:shd w:val="clear" w:color="auto" w:fill="FFFFFF"/>
          <w:tcMar>
            <w:left w:w="108" w:type="dxa"/>
            <w:right w:w="108" w:type="dxa"/>
          </w:tcMar>
          <w:vAlign w:val="center"/>
        </w:tcPr>
        <w:p w14:paraId="7C3A8E4E" w14:textId="77777777" w:rsidR="00F053FA" w:rsidRPr="00BE3236" w:rsidRDefault="00F053FA" w:rsidP="00045697"/>
      </w:tc>
      <w:tc>
        <w:tcPr>
          <w:tcW w:w="5448" w:type="dxa"/>
          <w:gridSpan w:val="2"/>
          <w:shd w:val="clear" w:color="auto" w:fill="FFFFFF"/>
          <w:tcMar>
            <w:left w:w="108" w:type="dxa"/>
            <w:right w:w="108" w:type="dxa"/>
          </w:tcMar>
          <w:vAlign w:val="center"/>
        </w:tcPr>
        <w:p w14:paraId="6D724929" w14:textId="77777777" w:rsidR="00F053FA" w:rsidRPr="002D6497" w:rsidRDefault="00F053FA" w:rsidP="00045697">
          <w:pPr>
            <w:jc w:val="right"/>
            <w:rPr>
              <w:szCs w:val="16"/>
            </w:rPr>
          </w:pPr>
          <w:r w:rsidRPr="002D6497">
            <w:rPr>
              <w:rFonts w:eastAsia="Arial"/>
              <w:noProof/>
              <w:szCs w:val="18"/>
            </w:rPr>
            <w:t>15 May</w:t>
          </w:r>
          <w:r w:rsidRPr="002D6497">
            <w:rPr>
              <w:rFonts w:eastAsia="Arial"/>
              <w:szCs w:val="18"/>
            </w:rPr>
            <w:t xml:space="preserve"> 2020</w:t>
          </w:r>
        </w:p>
      </w:tc>
    </w:tr>
    <w:tr w:rsidR="00F053FA" w14:paraId="581DE792" w14:textId="77777777" w:rsidTr="00045697">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3E0B38" w14:textId="236641A6" w:rsidR="00F053FA" w:rsidRPr="00271803" w:rsidRDefault="00271803" w:rsidP="00045697">
          <w:pPr>
            <w:spacing w:after="20"/>
            <w:jc w:val="left"/>
            <w:rPr>
              <w:bCs/>
              <w:color w:val="FF0000"/>
            </w:rPr>
          </w:pPr>
          <w:bookmarkStart w:id="2" w:name="bmkSerial" w:colFirst="0" w:colLast="0"/>
          <w:r>
            <w:rPr>
              <w:bCs/>
              <w:color w:val="FF0000"/>
            </w:rPr>
            <w:t>(20-3622)</w:t>
          </w:r>
          <w:bookmarkStart w:id="3" w:name="_GoBack"/>
          <w:bookmarkEnd w:id="3"/>
        </w:p>
      </w:tc>
      <w:tc>
        <w:tcPr>
          <w:tcW w:w="3325" w:type="dxa"/>
          <w:tcBorders>
            <w:bottom w:val="single" w:sz="4" w:space="0" w:color="auto"/>
          </w:tcBorders>
          <w:tcMar>
            <w:top w:w="0" w:type="dxa"/>
            <w:left w:w="108" w:type="dxa"/>
            <w:bottom w:w="57" w:type="dxa"/>
            <w:right w:w="108" w:type="dxa"/>
          </w:tcMar>
          <w:vAlign w:val="bottom"/>
        </w:tcPr>
        <w:p w14:paraId="2C41170C" w14:textId="77777777" w:rsidR="00F053FA" w:rsidRPr="00BE3236" w:rsidRDefault="00F053FA" w:rsidP="00045697">
          <w:pPr>
            <w:spacing w:after="20"/>
            <w:jc w:val="right"/>
            <w:rPr>
              <w:szCs w:val="16"/>
            </w:rPr>
          </w:pPr>
          <w:bookmarkStart w:id="4" w:name="bmkTotPages"/>
          <w:r w:rsidRPr="00BE3236">
            <w:rPr>
              <w:bCs/>
              <w:szCs w:val="16"/>
            </w:rPr>
            <w:t xml:space="preserve">Page: </w:t>
          </w:r>
          <w:r w:rsidRPr="00BE3236">
            <w:rPr>
              <w:bCs/>
              <w:szCs w:val="16"/>
            </w:rPr>
            <w:fldChar w:fldCharType="begin"/>
          </w:r>
          <w:r w:rsidRPr="00BE3236">
            <w:rPr>
              <w:bCs/>
              <w:szCs w:val="16"/>
            </w:rPr>
            <w:instrText xml:space="preserve"> PAGE  \* Arabic  \* MERGEFORMAT </w:instrText>
          </w:r>
          <w:r w:rsidRPr="00BE3236">
            <w:rPr>
              <w:bCs/>
              <w:szCs w:val="16"/>
            </w:rPr>
            <w:fldChar w:fldCharType="separate"/>
          </w:r>
          <w:r>
            <w:rPr>
              <w:bCs/>
              <w:noProof/>
              <w:szCs w:val="16"/>
            </w:rPr>
            <w:t>1</w:t>
          </w:r>
          <w:r w:rsidRPr="00BE3236">
            <w:rPr>
              <w:bCs/>
              <w:szCs w:val="16"/>
            </w:rPr>
            <w:fldChar w:fldCharType="end"/>
          </w:r>
          <w:r w:rsidRPr="00BE3236">
            <w:rPr>
              <w:bCs/>
              <w:szCs w:val="16"/>
            </w:rPr>
            <w:t>/</w:t>
          </w:r>
          <w:r w:rsidRPr="00BE3236">
            <w:rPr>
              <w:bCs/>
              <w:szCs w:val="16"/>
            </w:rPr>
            <w:fldChar w:fldCharType="begin"/>
          </w:r>
          <w:r w:rsidRPr="00BE3236">
            <w:rPr>
              <w:bCs/>
              <w:szCs w:val="16"/>
            </w:rPr>
            <w:instrText xml:space="preserve"> NUMPAGES  \* Arabic  \* MERGEFORMAT </w:instrText>
          </w:r>
          <w:r w:rsidRPr="00BE3236">
            <w:rPr>
              <w:bCs/>
              <w:szCs w:val="16"/>
            </w:rPr>
            <w:fldChar w:fldCharType="separate"/>
          </w:r>
          <w:r>
            <w:rPr>
              <w:bCs/>
              <w:noProof/>
              <w:szCs w:val="16"/>
            </w:rPr>
            <w:t>5</w:t>
          </w:r>
          <w:r w:rsidRPr="00BE3236">
            <w:rPr>
              <w:bCs/>
              <w:szCs w:val="16"/>
            </w:rPr>
            <w:fldChar w:fldCharType="end"/>
          </w:r>
          <w:bookmarkEnd w:id="4"/>
        </w:p>
      </w:tc>
    </w:tr>
    <w:tr w:rsidR="00F053FA" w14:paraId="78C8F43F" w14:textId="77777777" w:rsidTr="00045697">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E49BF6F" w14:textId="1D7EAB0C" w:rsidR="00F053FA" w:rsidRPr="00BE3236" w:rsidRDefault="00A40EBE" w:rsidP="00045697">
          <w:pPr>
            <w:jc w:val="left"/>
            <w:rPr>
              <w:sz w:val="14"/>
              <w:szCs w:val="16"/>
            </w:rPr>
          </w:pPr>
          <w:bookmarkStart w:id="5" w:name="bmkCommittee"/>
          <w:bookmarkStart w:id="6" w:name="bmkLanguage" w:colFirst="1" w:colLast="1"/>
          <w:bookmarkEnd w:id="2"/>
          <w:r>
            <w:rPr>
              <w:b/>
            </w:rPr>
            <w:t>Committee on Agriculture</w:t>
          </w:r>
          <w:bookmarkEnd w:id="5"/>
        </w:p>
      </w:tc>
      <w:tc>
        <w:tcPr>
          <w:tcW w:w="3325" w:type="dxa"/>
          <w:tcBorders>
            <w:top w:val="single" w:sz="4" w:space="0" w:color="auto"/>
          </w:tcBorders>
          <w:tcMar>
            <w:top w:w="113" w:type="dxa"/>
            <w:left w:w="108" w:type="dxa"/>
            <w:bottom w:w="57" w:type="dxa"/>
            <w:right w:w="108" w:type="dxa"/>
          </w:tcMar>
          <w:vAlign w:val="center"/>
        </w:tcPr>
        <w:p w14:paraId="3E41AE4F" w14:textId="540F1C24" w:rsidR="00F053FA" w:rsidRPr="00BE3236" w:rsidRDefault="00A40EBE" w:rsidP="00045697">
          <w:pPr>
            <w:jc w:val="right"/>
            <w:rPr>
              <w:bCs/>
              <w:szCs w:val="18"/>
            </w:rPr>
          </w:pPr>
          <w:r>
            <w:rPr>
              <w:szCs w:val="18"/>
            </w:rPr>
            <w:t>Original: English</w:t>
          </w:r>
        </w:p>
      </w:tc>
    </w:tr>
    <w:bookmarkEnd w:id="6"/>
  </w:tbl>
  <w:p w14:paraId="504F1623" w14:textId="18C6507C" w:rsidR="00F053FA" w:rsidRDefault="00F053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05D2" w14:textId="77777777" w:rsidR="00A40EBE" w:rsidRDefault="00A40EBE" w:rsidP="00A40EBE">
    <w:pPr>
      <w:framePr w:w="709" w:h="9071" w:hRule="exact" w:vSpace="800" w:wrap="around" w:vAnchor="page" w:hAnchor="page" w:x="15421" w:y="1418"/>
      <w:pBdr>
        <w:bottom w:val="single" w:sz="4" w:space="1" w:color="auto"/>
      </w:pBdr>
      <w:jc w:val="center"/>
      <w:textDirection w:val="tbRl"/>
    </w:pPr>
    <w:r>
      <w:t>G/AG/N/TPKM/192</w:t>
    </w:r>
  </w:p>
  <w:p w14:paraId="35B912F9" w14:textId="77777777" w:rsidR="00A40EBE" w:rsidRDefault="00A40EBE" w:rsidP="00A40EBE">
    <w:pPr>
      <w:framePr w:w="709" w:h="9071" w:hRule="exact" w:vSpace="800" w:wrap="around" w:vAnchor="page" w:hAnchor="page" w:x="15421" w:y="1418"/>
      <w:pBdr>
        <w:bottom w:val="single" w:sz="4" w:space="1" w:color="auto"/>
      </w:pBdr>
      <w:jc w:val="center"/>
      <w:textDirection w:val="tbRl"/>
    </w:pPr>
  </w:p>
  <w:p w14:paraId="08914E8F" w14:textId="5349150A" w:rsidR="00A40EBE" w:rsidRDefault="00A40EBE" w:rsidP="00A40EBE">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2</w:t>
    </w:r>
    <w:r>
      <w:fldChar w:fldCharType="end"/>
    </w:r>
    <w:r>
      <w:t xml:space="preserve"> -</w:t>
    </w:r>
  </w:p>
  <w:p w14:paraId="2BAB86A6" w14:textId="70F40E53" w:rsidR="00F053FA" w:rsidRPr="00A40EBE" w:rsidRDefault="00F053FA" w:rsidP="00A40E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0A67" w14:textId="77777777" w:rsidR="00A40EBE" w:rsidRDefault="00A40EBE" w:rsidP="00A40EBE">
    <w:pPr>
      <w:framePr w:w="709" w:h="9071" w:hRule="exact" w:vSpace="800" w:wrap="around" w:vAnchor="page" w:hAnchor="page" w:x="15421" w:y="1418"/>
      <w:pBdr>
        <w:bottom w:val="single" w:sz="4" w:space="1" w:color="auto"/>
      </w:pBdr>
      <w:jc w:val="center"/>
      <w:textDirection w:val="tbRl"/>
    </w:pPr>
    <w:r>
      <w:t>G/AG/N/TPKM/192</w:t>
    </w:r>
  </w:p>
  <w:p w14:paraId="3FB5E4F2" w14:textId="77777777" w:rsidR="00A40EBE" w:rsidRDefault="00A40EBE" w:rsidP="00A40EBE">
    <w:pPr>
      <w:framePr w:w="709" w:h="9071" w:hRule="exact" w:vSpace="800" w:wrap="around" w:vAnchor="page" w:hAnchor="page" w:x="15421" w:y="1418"/>
      <w:pBdr>
        <w:bottom w:val="single" w:sz="4" w:space="1" w:color="auto"/>
      </w:pBdr>
      <w:jc w:val="center"/>
      <w:textDirection w:val="tbRl"/>
    </w:pPr>
  </w:p>
  <w:p w14:paraId="0E1379B2" w14:textId="7CFAE1D0" w:rsidR="00A40EBE" w:rsidRDefault="00A40EBE" w:rsidP="00A40EBE">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1</w:t>
    </w:r>
    <w:r>
      <w:fldChar w:fldCharType="end"/>
    </w:r>
    <w:r>
      <w:t xml:space="preserve"> -</w:t>
    </w:r>
  </w:p>
  <w:p w14:paraId="6C7444B1" w14:textId="77777777" w:rsidR="00F053FA" w:rsidRPr="00A40EBE" w:rsidRDefault="00F053FA" w:rsidP="00A40E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71803" w14:paraId="6801969D" w14:textId="77777777" w:rsidTr="00045697">
      <w:trPr>
        <w:trHeight w:val="240"/>
        <w:jc w:val="center"/>
      </w:trPr>
      <w:tc>
        <w:tcPr>
          <w:tcW w:w="3794" w:type="dxa"/>
          <w:shd w:val="clear" w:color="auto" w:fill="FFFFFF"/>
          <w:tcMar>
            <w:left w:w="108" w:type="dxa"/>
            <w:right w:w="108" w:type="dxa"/>
          </w:tcMar>
          <w:vAlign w:val="center"/>
        </w:tcPr>
        <w:p w14:paraId="31832A5A" w14:textId="77777777" w:rsidR="00271803" w:rsidRPr="00BE3236" w:rsidRDefault="00271803" w:rsidP="00045697">
          <w:pPr>
            <w:rPr>
              <w:noProof/>
              <w:lang w:eastAsia="en-GB"/>
            </w:rPr>
          </w:pPr>
        </w:p>
      </w:tc>
      <w:tc>
        <w:tcPr>
          <w:tcW w:w="5448" w:type="dxa"/>
          <w:gridSpan w:val="2"/>
          <w:shd w:val="clear" w:color="auto" w:fill="FFFFFF"/>
          <w:tcMar>
            <w:left w:w="108" w:type="dxa"/>
            <w:right w:w="108" w:type="dxa"/>
          </w:tcMar>
          <w:vAlign w:val="center"/>
        </w:tcPr>
        <w:p w14:paraId="0FFC958A" w14:textId="77777777" w:rsidR="00271803" w:rsidRPr="00BE3236" w:rsidRDefault="00271803" w:rsidP="00045697">
          <w:pPr>
            <w:jc w:val="right"/>
            <w:rPr>
              <w:b/>
              <w:color w:val="FF0000"/>
              <w:szCs w:val="16"/>
            </w:rPr>
          </w:pPr>
          <w:r>
            <w:rPr>
              <w:b/>
              <w:color w:val="FF0000"/>
              <w:szCs w:val="16"/>
            </w:rPr>
            <w:t xml:space="preserve"> </w:t>
          </w:r>
        </w:p>
      </w:tc>
    </w:tr>
    <w:tr w:rsidR="00271803" w14:paraId="736A4EC8" w14:textId="77777777" w:rsidTr="00045697">
      <w:trPr>
        <w:trHeight w:val="213"/>
        <w:jc w:val="center"/>
      </w:trPr>
      <w:tc>
        <w:tcPr>
          <w:tcW w:w="3794" w:type="dxa"/>
          <w:vMerge w:val="restart"/>
          <w:shd w:val="clear" w:color="auto" w:fill="FFFFFF"/>
          <w:tcMar>
            <w:left w:w="0" w:type="dxa"/>
            <w:right w:w="0" w:type="dxa"/>
          </w:tcMar>
        </w:tcPr>
        <w:p w14:paraId="1FFBE9D1" w14:textId="77777777" w:rsidR="00271803" w:rsidRPr="00BE3236" w:rsidRDefault="00271803" w:rsidP="00045697">
          <w:pPr>
            <w:jc w:val="left"/>
          </w:pPr>
          <w:r>
            <w:rPr>
              <w:noProof/>
              <w:lang w:eastAsia="en-GB"/>
            </w:rPr>
            <w:pict w14:anchorId="592D1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88.9pt;height:56.1pt;visibility:visible">
                <v:imagedata r:id="rId1" o:title=""/>
              </v:shape>
            </w:pict>
          </w:r>
        </w:p>
      </w:tc>
      <w:tc>
        <w:tcPr>
          <w:tcW w:w="5448" w:type="dxa"/>
          <w:gridSpan w:val="2"/>
          <w:shd w:val="clear" w:color="auto" w:fill="FFFFFF"/>
          <w:tcMar>
            <w:left w:w="108" w:type="dxa"/>
            <w:right w:w="108" w:type="dxa"/>
          </w:tcMar>
        </w:tcPr>
        <w:p w14:paraId="1E45B62B" w14:textId="77777777" w:rsidR="00271803" w:rsidRPr="00BE3236" w:rsidRDefault="00271803" w:rsidP="00045697">
          <w:pPr>
            <w:jc w:val="right"/>
            <w:rPr>
              <w:b/>
              <w:szCs w:val="16"/>
            </w:rPr>
          </w:pPr>
        </w:p>
      </w:tc>
    </w:tr>
    <w:tr w:rsidR="00271803" w14:paraId="58E9D4F5" w14:textId="77777777" w:rsidTr="00045697">
      <w:trPr>
        <w:trHeight w:val="868"/>
        <w:jc w:val="center"/>
      </w:trPr>
      <w:tc>
        <w:tcPr>
          <w:tcW w:w="3794" w:type="dxa"/>
          <w:vMerge/>
          <w:shd w:val="clear" w:color="auto" w:fill="FFFFFF"/>
          <w:tcMar>
            <w:left w:w="108" w:type="dxa"/>
            <w:right w:w="108" w:type="dxa"/>
          </w:tcMar>
        </w:tcPr>
        <w:p w14:paraId="505D5394" w14:textId="77777777" w:rsidR="00271803" w:rsidRPr="00BE3236" w:rsidRDefault="00271803" w:rsidP="00045697">
          <w:pPr>
            <w:jc w:val="left"/>
            <w:rPr>
              <w:noProof/>
              <w:lang w:eastAsia="en-GB"/>
            </w:rPr>
          </w:pPr>
        </w:p>
      </w:tc>
      <w:tc>
        <w:tcPr>
          <w:tcW w:w="5448" w:type="dxa"/>
          <w:gridSpan w:val="2"/>
          <w:shd w:val="clear" w:color="auto" w:fill="FFFFFF"/>
          <w:tcMar>
            <w:left w:w="108" w:type="dxa"/>
            <w:right w:w="108" w:type="dxa"/>
          </w:tcMar>
        </w:tcPr>
        <w:p w14:paraId="275C3799" w14:textId="77777777" w:rsidR="00271803" w:rsidRDefault="00271803" w:rsidP="00045697">
          <w:pPr>
            <w:jc w:val="right"/>
            <w:rPr>
              <w:b/>
              <w:szCs w:val="18"/>
            </w:rPr>
          </w:pPr>
          <w:r>
            <w:rPr>
              <w:b/>
              <w:szCs w:val="18"/>
            </w:rPr>
            <w:t>G/AG/N/</w:t>
          </w:r>
          <w:proofErr w:type="spellStart"/>
          <w:r>
            <w:rPr>
              <w:b/>
              <w:szCs w:val="18"/>
            </w:rPr>
            <w:t>TPKM</w:t>
          </w:r>
          <w:proofErr w:type="spellEnd"/>
          <w:r>
            <w:rPr>
              <w:b/>
              <w:szCs w:val="18"/>
            </w:rPr>
            <w:t>/192</w:t>
          </w:r>
        </w:p>
        <w:p w14:paraId="17CDB277" w14:textId="77777777" w:rsidR="00271803" w:rsidRDefault="00271803" w:rsidP="00045697">
          <w:pPr>
            <w:jc w:val="right"/>
            <w:rPr>
              <w:b/>
              <w:szCs w:val="18"/>
            </w:rPr>
          </w:pPr>
        </w:p>
        <w:p w14:paraId="49443674" w14:textId="77777777" w:rsidR="00271803" w:rsidRPr="00BE3236" w:rsidRDefault="00271803" w:rsidP="00045697">
          <w:pPr>
            <w:jc w:val="right"/>
            <w:rPr>
              <w:b/>
              <w:szCs w:val="16"/>
            </w:rPr>
          </w:pPr>
        </w:p>
      </w:tc>
    </w:tr>
    <w:tr w:rsidR="00271803" w14:paraId="55F297EB" w14:textId="77777777" w:rsidTr="00045697">
      <w:trPr>
        <w:trHeight w:val="240"/>
        <w:jc w:val="center"/>
      </w:trPr>
      <w:tc>
        <w:tcPr>
          <w:tcW w:w="3794" w:type="dxa"/>
          <w:vMerge/>
          <w:shd w:val="clear" w:color="auto" w:fill="FFFFFF"/>
          <w:tcMar>
            <w:left w:w="108" w:type="dxa"/>
            <w:right w:w="108" w:type="dxa"/>
          </w:tcMar>
          <w:vAlign w:val="center"/>
        </w:tcPr>
        <w:p w14:paraId="1D9BAC86" w14:textId="77777777" w:rsidR="00271803" w:rsidRPr="00BE3236" w:rsidRDefault="00271803" w:rsidP="00045697"/>
      </w:tc>
      <w:tc>
        <w:tcPr>
          <w:tcW w:w="5448" w:type="dxa"/>
          <w:gridSpan w:val="2"/>
          <w:shd w:val="clear" w:color="auto" w:fill="FFFFFF"/>
          <w:tcMar>
            <w:left w:w="108" w:type="dxa"/>
            <w:right w:w="108" w:type="dxa"/>
          </w:tcMar>
          <w:vAlign w:val="center"/>
        </w:tcPr>
        <w:p w14:paraId="78364B45" w14:textId="77777777" w:rsidR="00271803" w:rsidRPr="002D6497" w:rsidRDefault="00271803" w:rsidP="00045697">
          <w:pPr>
            <w:jc w:val="right"/>
            <w:rPr>
              <w:szCs w:val="16"/>
            </w:rPr>
          </w:pPr>
          <w:r w:rsidRPr="002D6497">
            <w:rPr>
              <w:rFonts w:eastAsia="Arial"/>
              <w:noProof/>
              <w:szCs w:val="18"/>
            </w:rPr>
            <w:t>15 May</w:t>
          </w:r>
          <w:r w:rsidRPr="002D6497">
            <w:rPr>
              <w:rFonts w:eastAsia="Arial"/>
              <w:szCs w:val="18"/>
            </w:rPr>
            <w:t xml:space="preserve"> 2020</w:t>
          </w:r>
        </w:p>
      </w:tc>
    </w:tr>
    <w:tr w:rsidR="00271803" w14:paraId="5704614C" w14:textId="77777777" w:rsidTr="00045697">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6BAE3F8" w14:textId="77777777" w:rsidR="00271803" w:rsidRPr="00271803" w:rsidRDefault="00271803" w:rsidP="00045697">
          <w:pPr>
            <w:spacing w:after="20"/>
            <w:jc w:val="left"/>
            <w:rPr>
              <w:bCs/>
              <w:color w:val="FF0000"/>
            </w:rPr>
          </w:pPr>
          <w:r>
            <w:rPr>
              <w:bCs/>
              <w:color w:val="FF0000"/>
            </w:rPr>
            <w:t>(20-3622)</w:t>
          </w:r>
        </w:p>
      </w:tc>
      <w:tc>
        <w:tcPr>
          <w:tcW w:w="3325" w:type="dxa"/>
          <w:tcBorders>
            <w:bottom w:val="single" w:sz="4" w:space="0" w:color="auto"/>
          </w:tcBorders>
          <w:tcMar>
            <w:top w:w="0" w:type="dxa"/>
            <w:left w:w="108" w:type="dxa"/>
            <w:bottom w:w="57" w:type="dxa"/>
            <w:right w:w="108" w:type="dxa"/>
          </w:tcMar>
          <w:vAlign w:val="bottom"/>
        </w:tcPr>
        <w:p w14:paraId="5AC87383" w14:textId="77777777" w:rsidR="00271803" w:rsidRPr="00BE3236" w:rsidRDefault="00271803" w:rsidP="00045697">
          <w:pPr>
            <w:spacing w:after="20"/>
            <w:jc w:val="right"/>
            <w:rPr>
              <w:szCs w:val="16"/>
            </w:rPr>
          </w:pPr>
          <w:r w:rsidRPr="00BE3236">
            <w:rPr>
              <w:bCs/>
              <w:szCs w:val="16"/>
            </w:rPr>
            <w:t xml:space="preserve">Page: </w:t>
          </w:r>
          <w:r w:rsidRPr="00BE3236">
            <w:rPr>
              <w:bCs/>
              <w:szCs w:val="16"/>
            </w:rPr>
            <w:fldChar w:fldCharType="begin"/>
          </w:r>
          <w:r w:rsidRPr="00BE3236">
            <w:rPr>
              <w:bCs/>
              <w:szCs w:val="16"/>
            </w:rPr>
            <w:instrText xml:space="preserve"> PAGE  \* Arabic  \* MERGEFORMAT </w:instrText>
          </w:r>
          <w:r w:rsidRPr="00BE3236">
            <w:rPr>
              <w:bCs/>
              <w:szCs w:val="16"/>
            </w:rPr>
            <w:fldChar w:fldCharType="separate"/>
          </w:r>
          <w:r>
            <w:rPr>
              <w:bCs/>
              <w:noProof/>
              <w:szCs w:val="16"/>
            </w:rPr>
            <w:t>1</w:t>
          </w:r>
          <w:r w:rsidRPr="00BE3236">
            <w:rPr>
              <w:bCs/>
              <w:szCs w:val="16"/>
            </w:rPr>
            <w:fldChar w:fldCharType="end"/>
          </w:r>
          <w:r w:rsidRPr="00BE3236">
            <w:rPr>
              <w:bCs/>
              <w:szCs w:val="16"/>
            </w:rPr>
            <w:t>/</w:t>
          </w:r>
          <w:r w:rsidRPr="00BE3236">
            <w:rPr>
              <w:bCs/>
              <w:szCs w:val="16"/>
            </w:rPr>
            <w:fldChar w:fldCharType="begin"/>
          </w:r>
          <w:r w:rsidRPr="00BE3236">
            <w:rPr>
              <w:bCs/>
              <w:szCs w:val="16"/>
            </w:rPr>
            <w:instrText xml:space="preserve"> NUMPAGES  \* Arabic  \* MERGEFORMAT </w:instrText>
          </w:r>
          <w:r w:rsidRPr="00BE3236">
            <w:rPr>
              <w:bCs/>
              <w:szCs w:val="16"/>
            </w:rPr>
            <w:fldChar w:fldCharType="separate"/>
          </w:r>
          <w:r>
            <w:rPr>
              <w:bCs/>
              <w:noProof/>
              <w:szCs w:val="16"/>
            </w:rPr>
            <w:t>5</w:t>
          </w:r>
          <w:r w:rsidRPr="00BE3236">
            <w:rPr>
              <w:bCs/>
              <w:szCs w:val="16"/>
            </w:rPr>
            <w:fldChar w:fldCharType="end"/>
          </w:r>
        </w:p>
      </w:tc>
    </w:tr>
    <w:tr w:rsidR="00271803" w14:paraId="14A38B4B" w14:textId="77777777" w:rsidTr="00045697">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E159259" w14:textId="77777777" w:rsidR="00271803" w:rsidRPr="00BE3236" w:rsidRDefault="00271803" w:rsidP="00045697">
          <w:pPr>
            <w:jc w:val="left"/>
            <w:rPr>
              <w:sz w:val="14"/>
              <w:szCs w:val="16"/>
            </w:rPr>
          </w:pPr>
          <w:r>
            <w:rPr>
              <w:b/>
            </w:rPr>
            <w:t>Committee on Agriculture</w:t>
          </w:r>
        </w:p>
      </w:tc>
      <w:tc>
        <w:tcPr>
          <w:tcW w:w="3325" w:type="dxa"/>
          <w:tcBorders>
            <w:top w:val="single" w:sz="4" w:space="0" w:color="auto"/>
          </w:tcBorders>
          <w:tcMar>
            <w:top w:w="113" w:type="dxa"/>
            <w:left w:w="108" w:type="dxa"/>
            <w:bottom w:w="57" w:type="dxa"/>
            <w:right w:w="108" w:type="dxa"/>
          </w:tcMar>
          <w:vAlign w:val="center"/>
        </w:tcPr>
        <w:p w14:paraId="7C9C5631" w14:textId="77777777" w:rsidR="00271803" w:rsidRPr="00BE3236" w:rsidRDefault="00271803" w:rsidP="00045697">
          <w:pPr>
            <w:jc w:val="right"/>
            <w:rPr>
              <w:bCs/>
              <w:szCs w:val="18"/>
            </w:rPr>
          </w:pPr>
          <w:r>
            <w:rPr>
              <w:szCs w:val="18"/>
            </w:rPr>
            <w:t>Original: English</w:t>
          </w:r>
        </w:p>
      </w:tc>
    </w:tr>
  </w:tbl>
  <w:p w14:paraId="61236887" w14:textId="77777777" w:rsidR="00271803" w:rsidRDefault="00271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3870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1A18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5CDC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022A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7E4D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B584B5E">
      <w:start w:val="1"/>
      <w:numFmt w:val="decimal"/>
      <w:pStyle w:val="SummaryText"/>
      <w:lvlText w:val="%1."/>
      <w:lvlJc w:val="left"/>
      <w:pPr>
        <w:ind w:left="360" w:hanging="360"/>
      </w:pPr>
    </w:lvl>
    <w:lvl w:ilvl="1" w:tplc="A574E3B6" w:tentative="1">
      <w:start w:val="1"/>
      <w:numFmt w:val="lowerLetter"/>
      <w:lvlText w:val="%2."/>
      <w:lvlJc w:val="left"/>
      <w:pPr>
        <w:ind w:left="1080" w:hanging="360"/>
      </w:pPr>
    </w:lvl>
    <w:lvl w:ilvl="2" w:tplc="6D26A4E6" w:tentative="1">
      <w:start w:val="1"/>
      <w:numFmt w:val="lowerRoman"/>
      <w:lvlText w:val="%3."/>
      <w:lvlJc w:val="right"/>
      <w:pPr>
        <w:ind w:left="1800" w:hanging="180"/>
      </w:pPr>
    </w:lvl>
    <w:lvl w:ilvl="3" w:tplc="8A1E02E8" w:tentative="1">
      <w:start w:val="1"/>
      <w:numFmt w:val="decimal"/>
      <w:lvlText w:val="%4."/>
      <w:lvlJc w:val="left"/>
      <w:pPr>
        <w:ind w:left="2520" w:hanging="360"/>
      </w:pPr>
    </w:lvl>
    <w:lvl w:ilvl="4" w:tplc="F8EE4386" w:tentative="1">
      <w:start w:val="1"/>
      <w:numFmt w:val="lowerLetter"/>
      <w:lvlText w:val="%5."/>
      <w:lvlJc w:val="left"/>
      <w:pPr>
        <w:ind w:left="3240" w:hanging="360"/>
      </w:pPr>
    </w:lvl>
    <w:lvl w:ilvl="5" w:tplc="D512AF9E" w:tentative="1">
      <w:start w:val="1"/>
      <w:numFmt w:val="lowerRoman"/>
      <w:lvlText w:val="%6."/>
      <w:lvlJc w:val="right"/>
      <w:pPr>
        <w:ind w:left="3960" w:hanging="180"/>
      </w:pPr>
    </w:lvl>
    <w:lvl w:ilvl="6" w:tplc="CF740A24" w:tentative="1">
      <w:start w:val="1"/>
      <w:numFmt w:val="decimal"/>
      <w:lvlText w:val="%7."/>
      <w:lvlJc w:val="left"/>
      <w:pPr>
        <w:ind w:left="4680" w:hanging="360"/>
      </w:pPr>
    </w:lvl>
    <w:lvl w:ilvl="7" w:tplc="77E2834A" w:tentative="1">
      <w:start w:val="1"/>
      <w:numFmt w:val="lowerLetter"/>
      <w:lvlText w:val="%8."/>
      <w:lvlJc w:val="left"/>
      <w:pPr>
        <w:ind w:left="5400" w:hanging="360"/>
      </w:pPr>
    </w:lvl>
    <w:lvl w:ilvl="8" w:tplc="224C4A0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attachedTemplate r:id="rId1"/>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B17C8"/>
    <w:rsid w:val="0001770A"/>
    <w:rsid w:val="00045697"/>
    <w:rsid w:val="0004654F"/>
    <w:rsid w:val="001E2CEB"/>
    <w:rsid w:val="00271803"/>
    <w:rsid w:val="00A2664B"/>
    <w:rsid w:val="00A40EBE"/>
    <w:rsid w:val="00DA4B9C"/>
    <w:rsid w:val="00DB17C8"/>
    <w:rsid w:val="00E41E68"/>
    <w:rsid w:val="00E8447D"/>
    <w:rsid w:val="00F053FA"/>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6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5"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5468"/>
    <w:pPr>
      <w:jc w:val="both"/>
    </w:pPr>
    <w:rPr>
      <w:rFonts w:ascii="Verdana" w:hAnsi="Verdana"/>
      <w:sz w:val="18"/>
      <w:szCs w:val="22"/>
      <w:lang w:val="en-GB"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szCs w:val="20"/>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szCs w:val="20"/>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szCs w:val="20"/>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szCs w:val="20"/>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szCs w:val="20"/>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rPr>
      <w:szCs w:val="20"/>
    </w:r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rPr>
      <w:szCs w:val="20"/>
    </w:r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szCs w:val="20"/>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9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szCs w:val="20"/>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5"/>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5"/>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11"/>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ListParagraph"/>
    <w:uiPriority w:val="4"/>
    <w:qFormat/>
    <w:rsid w:val="00EB6C56"/>
    <w:pPr>
      <w:numPr>
        <w:numId w:val="10"/>
      </w:numPr>
      <w:spacing w:after="240"/>
      <w:ind w:left="0" w:firstLine="0"/>
      <w:contextualSpacing w:val="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
    <w:unhideWhenUsed/>
    <w:rsid w:val="00717C5B"/>
    <w:rPr>
      <w:color w:val="0000FF"/>
      <w:u w:val="single"/>
    </w:rPr>
  </w:style>
  <w:style w:type="paragraph" w:styleId="Bibliography">
    <w:name w:val="Bibliography"/>
    <w:basedOn w:val="Normal"/>
    <w:next w:val="Normal"/>
    <w:uiPriority w:val="49"/>
    <w:semiHidden/>
    <w:unhideWhenUsed/>
    <w:rsid w:val="00B772BF"/>
  </w:style>
  <w:style w:type="paragraph" w:styleId="BlockText">
    <w:name w:val="Block Text"/>
    <w:basedOn w:val="Normal"/>
    <w:uiPriority w:val="99"/>
    <w:semiHidden/>
    <w:unhideWhenUsed/>
    <w:rsid w:val="00B772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B772BF"/>
    <w:pPr>
      <w:numPr>
        <w:ilvl w:val="0"/>
        <w:numId w:val="0"/>
      </w:numPr>
      <w:spacing w:after="0"/>
      <w:ind w:firstLine="360"/>
    </w:pPr>
    <w:rPr>
      <w:szCs w:val="22"/>
    </w:rPr>
  </w:style>
  <w:style w:type="character" w:customStyle="1" w:styleId="BodyTextFirstIndentChar">
    <w:name w:val="Body Text First Indent Char"/>
    <w:link w:val="BodyTextFirstIndent"/>
    <w:uiPriority w:val="99"/>
    <w:semiHidden/>
    <w:rsid w:val="00B772BF"/>
    <w:rPr>
      <w:rFonts w:ascii="Verdana" w:hAnsi="Verdana"/>
      <w:sz w:val="18"/>
      <w:szCs w:val="22"/>
      <w:lang w:eastAsia="en-US"/>
    </w:rPr>
  </w:style>
  <w:style w:type="paragraph" w:styleId="BodyTextIndent">
    <w:name w:val="Body Text Indent"/>
    <w:basedOn w:val="Normal"/>
    <w:link w:val="BodyTextIndentChar"/>
    <w:uiPriority w:val="99"/>
    <w:semiHidden/>
    <w:unhideWhenUsed/>
    <w:rsid w:val="00B772BF"/>
    <w:pPr>
      <w:spacing w:after="120"/>
      <w:ind w:left="283"/>
    </w:pPr>
  </w:style>
  <w:style w:type="character" w:customStyle="1" w:styleId="BodyTextIndentChar">
    <w:name w:val="Body Text Indent Char"/>
    <w:link w:val="BodyTextIndent"/>
    <w:uiPriority w:val="99"/>
    <w:semiHidden/>
    <w:rsid w:val="00B772BF"/>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B772BF"/>
    <w:pPr>
      <w:spacing w:after="0"/>
      <w:ind w:left="360" w:firstLine="360"/>
    </w:pPr>
  </w:style>
  <w:style w:type="character" w:customStyle="1" w:styleId="BodyTextFirstIndent2Char">
    <w:name w:val="Body Text First Indent 2 Char"/>
    <w:link w:val="BodyTextFirstIndent2"/>
    <w:uiPriority w:val="99"/>
    <w:semiHidden/>
    <w:rsid w:val="00B772BF"/>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B772BF"/>
    <w:pPr>
      <w:spacing w:after="120" w:line="480" w:lineRule="auto"/>
      <w:ind w:left="283"/>
    </w:pPr>
  </w:style>
  <w:style w:type="character" w:customStyle="1" w:styleId="BodyTextIndent2Char">
    <w:name w:val="Body Text Indent 2 Char"/>
    <w:link w:val="BodyTextIndent2"/>
    <w:uiPriority w:val="99"/>
    <w:semiHidden/>
    <w:rsid w:val="00B772BF"/>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B772BF"/>
    <w:pPr>
      <w:spacing w:after="120"/>
      <w:ind w:left="283"/>
    </w:pPr>
    <w:rPr>
      <w:sz w:val="16"/>
      <w:szCs w:val="16"/>
    </w:rPr>
  </w:style>
  <w:style w:type="character" w:customStyle="1" w:styleId="BodyTextIndent3Char">
    <w:name w:val="Body Text Indent 3 Char"/>
    <w:link w:val="BodyTextIndent3"/>
    <w:uiPriority w:val="99"/>
    <w:semiHidden/>
    <w:rsid w:val="00B772BF"/>
    <w:rPr>
      <w:rFonts w:ascii="Verdana" w:hAnsi="Verdana"/>
      <w:sz w:val="16"/>
      <w:szCs w:val="16"/>
      <w:lang w:eastAsia="en-US"/>
    </w:rPr>
  </w:style>
  <w:style w:type="character" w:styleId="BookTitle">
    <w:name w:val="Book Title"/>
    <w:uiPriority w:val="99"/>
    <w:semiHidden/>
    <w:qFormat/>
    <w:rsid w:val="00B772BF"/>
    <w:rPr>
      <w:b/>
      <w:bCs/>
      <w:smallCaps/>
      <w:spacing w:val="5"/>
    </w:rPr>
  </w:style>
  <w:style w:type="paragraph" w:styleId="Closing">
    <w:name w:val="Closing"/>
    <w:basedOn w:val="Normal"/>
    <w:link w:val="ClosingChar"/>
    <w:uiPriority w:val="99"/>
    <w:semiHidden/>
    <w:unhideWhenUsed/>
    <w:rsid w:val="00B772BF"/>
    <w:pPr>
      <w:ind w:left="4252"/>
    </w:pPr>
  </w:style>
  <w:style w:type="character" w:customStyle="1" w:styleId="ClosingChar">
    <w:name w:val="Closing Char"/>
    <w:link w:val="Closing"/>
    <w:uiPriority w:val="99"/>
    <w:semiHidden/>
    <w:rsid w:val="00B772BF"/>
    <w:rPr>
      <w:rFonts w:ascii="Verdana" w:hAnsi="Verdana"/>
      <w:sz w:val="18"/>
      <w:szCs w:val="22"/>
      <w:lang w:eastAsia="en-US"/>
    </w:rPr>
  </w:style>
  <w:style w:type="character" w:styleId="CommentReference">
    <w:name w:val="annotation reference"/>
    <w:uiPriority w:val="99"/>
    <w:semiHidden/>
    <w:unhideWhenUsed/>
    <w:rsid w:val="00B772BF"/>
    <w:rPr>
      <w:sz w:val="16"/>
      <w:szCs w:val="16"/>
    </w:rPr>
  </w:style>
  <w:style w:type="paragraph" w:styleId="CommentText">
    <w:name w:val="annotation text"/>
    <w:basedOn w:val="Normal"/>
    <w:link w:val="CommentTextChar"/>
    <w:uiPriority w:val="99"/>
    <w:unhideWhenUsed/>
    <w:rsid w:val="00B772BF"/>
    <w:rPr>
      <w:sz w:val="20"/>
      <w:szCs w:val="20"/>
    </w:rPr>
  </w:style>
  <w:style w:type="character" w:customStyle="1" w:styleId="CommentTextChar">
    <w:name w:val="Comment Text Char"/>
    <w:link w:val="CommentText"/>
    <w:uiPriority w:val="99"/>
    <w:rsid w:val="00B772BF"/>
    <w:rPr>
      <w:rFonts w:ascii="Verdana" w:hAnsi="Verdana"/>
      <w:lang w:eastAsia="en-US"/>
    </w:rPr>
  </w:style>
  <w:style w:type="paragraph" w:styleId="CommentSubject">
    <w:name w:val="annotation subject"/>
    <w:basedOn w:val="CommentText"/>
    <w:next w:val="CommentText"/>
    <w:link w:val="CommentSubjectChar"/>
    <w:uiPriority w:val="99"/>
    <w:unhideWhenUsed/>
    <w:rsid w:val="00B772BF"/>
    <w:rPr>
      <w:b/>
      <w:bCs/>
    </w:rPr>
  </w:style>
  <w:style w:type="character" w:customStyle="1" w:styleId="CommentSubjectChar">
    <w:name w:val="Comment Subject Char"/>
    <w:link w:val="CommentSubject"/>
    <w:uiPriority w:val="99"/>
    <w:semiHidden/>
    <w:rsid w:val="00B772BF"/>
    <w:rPr>
      <w:rFonts w:ascii="Verdana" w:hAnsi="Verdana"/>
      <w:b/>
      <w:bCs/>
      <w:lang w:eastAsia="en-US"/>
    </w:rPr>
  </w:style>
  <w:style w:type="paragraph" w:styleId="Date">
    <w:name w:val="Date"/>
    <w:basedOn w:val="Normal"/>
    <w:next w:val="Normal"/>
    <w:link w:val="DateChar"/>
    <w:uiPriority w:val="99"/>
    <w:semiHidden/>
    <w:unhideWhenUsed/>
    <w:rsid w:val="00B772BF"/>
  </w:style>
  <w:style w:type="character" w:customStyle="1" w:styleId="DateChar">
    <w:name w:val="Date Char"/>
    <w:link w:val="Date"/>
    <w:uiPriority w:val="99"/>
    <w:semiHidden/>
    <w:rsid w:val="00B772BF"/>
    <w:rPr>
      <w:rFonts w:ascii="Verdana" w:hAnsi="Verdana"/>
      <w:sz w:val="18"/>
      <w:szCs w:val="22"/>
      <w:lang w:eastAsia="en-US"/>
    </w:rPr>
  </w:style>
  <w:style w:type="paragraph" w:styleId="DocumentMap">
    <w:name w:val="Document Map"/>
    <w:basedOn w:val="Normal"/>
    <w:link w:val="DocumentMapChar"/>
    <w:uiPriority w:val="99"/>
    <w:semiHidden/>
    <w:unhideWhenUsed/>
    <w:rsid w:val="00B772BF"/>
    <w:rPr>
      <w:rFonts w:ascii="Tahoma" w:hAnsi="Tahoma"/>
      <w:sz w:val="16"/>
      <w:szCs w:val="16"/>
    </w:rPr>
  </w:style>
  <w:style w:type="character" w:customStyle="1" w:styleId="DocumentMapChar">
    <w:name w:val="Document Map Char"/>
    <w:link w:val="DocumentMap"/>
    <w:uiPriority w:val="99"/>
    <w:semiHidden/>
    <w:rsid w:val="00B772BF"/>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B772BF"/>
  </w:style>
  <w:style w:type="character" w:customStyle="1" w:styleId="E-mailSignatureChar">
    <w:name w:val="E-mail Signature Char"/>
    <w:link w:val="E-mailSignature"/>
    <w:uiPriority w:val="99"/>
    <w:semiHidden/>
    <w:rsid w:val="00B772BF"/>
    <w:rPr>
      <w:rFonts w:ascii="Verdana" w:hAnsi="Verdana"/>
      <w:sz w:val="18"/>
      <w:szCs w:val="22"/>
      <w:lang w:eastAsia="en-US"/>
    </w:rPr>
  </w:style>
  <w:style w:type="character" w:styleId="Emphasis">
    <w:name w:val="Emphasis"/>
    <w:uiPriority w:val="99"/>
    <w:semiHidden/>
    <w:qFormat/>
    <w:rsid w:val="00B772BF"/>
    <w:rPr>
      <w:i/>
      <w:iCs/>
    </w:rPr>
  </w:style>
  <w:style w:type="paragraph" w:styleId="EnvelopeAddress">
    <w:name w:val="envelope address"/>
    <w:basedOn w:val="Normal"/>
    <w:uiPriority w:val="99"/>
    <w:semiHidden/>
    <w:unhideWhenUsed/>
    <w:rsid w:val="00B772B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B772BF"/>
    <w:rPr>
      <w:rFonts w:ascii="Cambria" w:eastAsia="Times New Roman" w:hAnsi="Cambria"/>
      <w:sz w:val="20"/>
      <w:szCs w:val="20"/>
    </w:rPr>
  </w:style>
  <w:style w:type="character" w:styleId="FollowedHyperlink">
    <w:name w:val="FollowedHyperlink"/>
    <w:uiPriority w:val="9"/>
    <w:unhideWhenUsed/>
    <w:rsid w:val="00B772BF"/>
    <w:rPr>
      <w:color w:val="800080"/>
      <w:u w:val="single"/>
    </w:rPr>
  </w:style>
  <w:style w:type="character" w:styleId="HTMLAcronym">
    <w:name w:val="HTML Acronym"/>
    <w:basedOn w:val="DefaultParagraphFont"/>
    <w:uiPriority w:val="99"/>
    <w:semiHidden/>
    <w:unhideWhenUsed/>
    <w:rsid w:val="00B772BF"/>
  </w:style>
  <w:style w:type="paragraph" w:styleId="HTMLAddress">
    <w:name w:val="HTML Address"/>
    <w:basedOn w:val="Normal"/>
    <w:link w:val="HTMLAddressChar"/>
    <w:uiPriority w:val="99"/>
    <w:semiHidden/>
    <w:unhideWhenUsed/>
    <w:rsid w:val="00B772BF"/>
    <w:rPr>
      <w:i/>
      <w:iCs/>
    </w:rPr>
  </w:style>
  <w:style w:type="character" w:customStyle="1" w:styleId="HTMLAddressChar">
    <w:name w:val="HTML Address Char"/>
    <w:link w:val="HTMLAddress"/>
    <w:uiPriority w:val="99"/>
    <w:semiHidden/>
    <w:rsid w:val="00B772BF"/>
    <w:rPr>
      <w:rFonts w:ascii="Verdana" w:hAnsi="Verdana"/>
      <w:i/>
      <w:iCs/>
      <w:sz w:val="18"/>
      <w:szCs w:val="22"/>
      <w:lang w:eastAsia="en-US"/>
    </w:rPr>
  </w:style>
  <w:style w:type="character" w:styleId="HTMLCite">
    <w:name w:val="HTML Cite"/>
    <w:uiPriority w:val="99"/>
    <w:semiHidden/>
    <w:unhideWhenUsed/>
    <w:rsid w:val="00B772BF"/>
    <w:rPr>
      <w:i/>
      <w:iCs/>
    </w:rPr>
  </w:style>
  <w:style w:type="character" w:styleId="HTMLCode">
    <w:name w:val="HTML Code"/>
    <w:uiPriority w:val="99"/>
    <w:semiHidden/>
    <w:unhideWhenUsed/>
    <w:rsid w:val="00B772BF"/>
    <w:rPr>
      <w:rFonts w:ascii="Consolas" w:hAnsi="Consolas" w:cs="Consolas"/>
      <w:sz w:val="20"/>
      <w:szCs w:val="20"/>
    </w:rPr>
  </w:style>
  <w:style w:type="character" w:styleId="HTMLDefinition">
    <w:name w:val="HTML Definition"/>
    <w:uiPriority w:val="99"/>
    <w:semiHidden/>
    <w:unhideWhenUsed/>
    <w:rsid w:val="00B772BF"/>
    <w:rPr>
      <w:i/>
      <w:iCs/>
    </w:rPr>
  </w:style>
  <w:style w:type="character" w:styleId="HTMLKeyboard">
    <w:name w:val="HTML Keyboard"/>
    <w:uiPriority w:val="99"/>
    <w:semiHidden/>
    <w:unhideWhenUsed/>
    <w:rsid w:val="00B772BF"/>
    <w:rPr>
      <w:rFonts w:ascii="Consolas" w:hAnsi="Consolas" w:cs="Consolas"/>
      <w:sz w:val="20"/>
      <w:szCs w:val="20"/>
    </w:rPr>
  </w:style>
  <w:style w:type="paragraph" w:styleId="HTMLPreformatted">
    <w:name w:val="HTML Preformatted"/>
    <w:basedOn w:val="Normal"/>
    <w:link w:val="HTMLPreformattedChar"/>
    <w:uiPriority w:val="99"/>
    <w:semiHidden/>
    <w:unhideWhenUsed/>
    <w:rsid w:val="00B772BF"/>
    <w:rPr>
      <w:rFonts w:ascii="Consolas" w:hAnsi="Consolas"/>
      <w:sz w:val="20"/>
      <w:szCs w:val="20"/>
    </w:rPr>
  </w:style>
  <w:style w:type="character" w:customStyle="1" w:styleId="HTMLPreformattedChar">
    <w:name w:val="HTML Preformatted Char"/>
    <w:link w:val="HTMLPreformatted"/>
    <w:uiPriority w:val="99"/>
    <w:semiHidden/>
    <w:rsid w:val="00B772BF"/>
    <w:rPr>
      <w:rFonts w:ascii="Consolas" w:hAnsi="Consolas" w:cs="Consolas"/>
      <w:lang w:eastAsia="en-US"/>
    </w:rPr>
  </w:style>
  <w:style w:type="character" w:styleId="HTMLSample">
    <w:name w:val="HTML Sample"/>
    <w:uiPriority w:val="99"/>
    <w:semiHidden/>
    <w:unhideWhenUsed/>
    <w:rsid w:val="00B772BF"/>
    <w:rPr>
      <w:rFonts w:ascii="Consolas" w:hAnsi="Consolas" w:cs="Consolas"/>
      <w:sz w:val="24"/>
      <w:szCs w:val="24"/>
    </w:rPr>
  </w:style>
  <w:style w:type="character" w:styleId="HTMLTypewriter">
    <w:name w:val="HTML Typewriter"/>
    <w:uiPriority w:val="99"/>
    <w:semiHidden/>
    <w:unhideWhenUsed/>
    <w:rsid w:val="00B772BF"/>
    <w:rPr>
      <w:rFonts w:ascii="Consolas" w:hAnsi="Consolas" w:cs="Consolas"/>
      <w:sz w:val="20"/>
      <w:szCs w:val="20"/>
    </w:rPr>
  </w:style>
  <w:style w:type="character" w:styleId="HTMLVariable">
    <w:name w:val="HTML Variable"/>
    <w:uiPriority w:val="99"/>
    <w:semiHidden/>
    <w:unhideWhenUsed/>
    <w:rsid w:val="00B772BF"/>
    <w:rPr>
      <w:i/>
      <w:iCs/>
    </w:rPr>
  </w:style>
  <w:style w:type="paragraph" w:styleId="Index1">
    <w:name w:val="index 1"/>
    <w:basedOn w:val="Normal"/>
    <w:next w:val="Normal"/>
    <w:autoRedefine/>
    <w:uiPriority w:val="99"/>
    <w:semiHidden/>
    <w:unhideWhenUsed/>
    <w:rsid w:val="00B772BF"/>
    <w:pPr>
      <w:ind w:left="180" w:hanging="180"/>
    </w:pPr>
  </w:style>
  <w:style w:type="paragraph" w:styleId="Index2">
    <w:name w:val="index 2"/>
    <w:basedOn w:val="Normal"/>
    <w:next w:val="Normal"/>
    <w:autoRedefine/>
    <w:uiPriority w:val="99"/>
    <w:semiHidden/>
    <w:unhideWhenUsed/>
    <w:rsid w:val="00B772BF"/>
    <w:pPr>
      <w:ind w:left="360" w:hanging="180"/>
    </w:pPr>
  </w:style>
  <w:style w:type="paragraph" w:styleId="Index3">
    <w:name w:val="index 3"/>
    <w:basedOn w:val="Normal"/>
    <w:next w:val="Normal"/>
    <w:autoRedefine/>
    <w:uiPriority w:val="99"/>
    <w:semiHidden/>
    <w:unhideWhenUsed/>
    <w:rsid w:val="00B772BF"/>
    <w:pPr>
      <w:ind w:left="540" w:hanging="180"/>
    </w:pPr>
  </w:style>
  <w:style w:type="paragraph" w:styleId="Index4">
    <w:name w:val="index 4"/>
    <w:basedOn w:val="Normal"/>
    <w:next w:val="Normal"/>
    <w:autoRedefine/>
    <w:uiPriority w:val="99"/>
    <w:semiHidden/>
    <w:unhideWhenUsed/>
    <w:rsid w:val="00B772BF"/>
    <w:pPr>
      <w:ind w:left="720" w:hanging="180"/>
    </w:pPr>
  </w:style>
  <w:style w:type="paragraph" w:styleId="Index5">
    <w:name w:val="index 5"/>
    <w:basedOn w:val="Normal"/>
    <w:next w:val="Normal"/>
    <w:autoRedefine/>
    <w:uiPriority w:val="99"/>
    <w:semiHidden/>
    <w:unhideWhenUsed/>
    <w:rsid w:val="00B772BF"/>
    <w:pPr>
      <w:ind w:left="900" w:hanging="180"/>
    </w:pPr>
  </w:style>
  <w:style w:type="paragraph" w:styleId="Index6">
    <w:name w:val="index 6"/>
    <w:basedOn w:val="Normal"/>
    <w:next w:val="Normal"/>
    <w:autoRedefine/>
    <w:uiPriority w:val="99"/>
    <w:semiHidden/>
    <w:unhideWhenUsed/>
    <w:rsid w:val="00B772BF"/>
    <w:pPr>
      <w:ind w:left="1080" w:hanging="180"/>
    </w:pPr>
  </w:style>
  <w:style w:type="paragraph" w:styleId="Index7">
    <w:name w:val="index 7"/>
    <w:basedOn w:val="Normal"/>
    <w:next w:val="Normal"/>
    <w:autoRedefine/>
    <w:uiPriority w:val="99"/>
    <w:semiHidden/>
    <w:unhideWhenUsed/>
    <w:rsid w:val="00B772BF"/>
    <w:pPr>
      <w:ind w:left="1260" w:hanging="180"/>
    </w:pPr>
  </w:style>
  <w:style w:type="paragraph" w:styleId="Index8">
    <w:name w:val="index 8"/>
    <w:basedOn w:val="Normal"/>
    <w:next w:val="Normal"/>
    <w:autoRedefine/>
    <w:uiPriority w:val="99"/>
    <w:semiHidden/>
    <w:unhideWhenUsed/>
    <w:rsid w:val="00B772BF"/>
    <w:pPr>
      <w:ind w:left="1440" w:hanging="180"/>
    </w:pPr>
  </w:style>
  <w:style w:type="paragraph" w:styleId="Index9">
    <w:name w:val="index 9"/>
    <w:basedOn w:val="Normal"/>
    <w:next w:val="Normal"/>
    <w:autoRedefine/>
    <w:uiPriority w:val="99"/>
    <w:semiHidden/>
    <w:unhideWhenUsed/>
    <w:rsid w:val="00B772BF"/>
    <w:pPr>
      <w:ind w:left="1620" w:hanging="180"/>
    </w:pPr>
  </w:style>
  <w:style w:type="paragraph" w:styleId="IndexHeading">
    <w:name w:val="index heading"/>
    <w:basedOn w:val="Normal"/>
    <w:next w:val="Index1"/>
    <w:uiPriority w:val="99"/>
    <w:semiHidden/>
    <w:unhideWhenUsed/>
    <w:rsid w:val="00B772BF"/>
    <w:rPr>
      <w:rFonts w:ascii="Cambria" w:eastAsia="Times New Roman" w:hAnsi="Cambria"/>
      <w:b/>
      <w:bCs/>
    </w:rPr>
  </w:style>
  <w:style w:type="character" w:styleId="IntenseEmphasis">
    <w:name w:val="Intense Emphasis"/>
    <w:uiPriority w:val="99"/>
    <w:semiHidden/>
    <w:qFormat/>
    <w:rsid w:val="00B772BF"/>
    <w:rPr>
      <w:b/>
      <w:bCs/>
      <w:i/>
      <w:iCs/>
      <w:color w:val="4F81BD"/>
    </w:rPr>
  </w:style>
  <w:style w:type="paragraph" w:styleId="IntenseQuote">
    <w:name w:val="Intense Quote"/>
    <w:basedOn w:val="Normal"/>
    <w:next w:val="Normal"/>
    <w:link w:val="IntenseQuoteChar"/>
    <w:uiPriority w:val="99"/>
    <w:semiHidden/>
    <w:qFormat/>
    <w:rsid w:val="00B772B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B772BF"/>
    <w:rPr>
      <w:rFonts w:ascii="Verdana" w:hAnsi="Verdana"/>
      <w:b/>
      <w:bCs/>
      <w:i/>
      <w:iCs/>
      <w:color w:val="4F81BD"/>
      <w:sz w:val="18"/>
      <w:szCs w:val="22"/>
      <w:lang w:eastAsia="en-US"/>
    </w:rPr>
  </w:style>
  <w:style w:type="character" w:styleId="IntenseReference">
    <w:name w:val="Intense Reference"/>
    <w:uiPriority w:val="99"/>
    <w:semiHidden/>
    <w:qFormat/>
    <w:rsid w:val="00B772BF"/>
    <w:rPr>
      <w:b/>
      <w:bCs/>
      <w:smallCaps/>
      <w:color w:val="C0504D"/>
      <w:spacing w:val="5"/>
      <w:u w:val="single"/>
    </w:rPr>
  </w:style>
  <w:style w:type="character" w:styleId="LineNumber">
    <w:name w:val="line number"/>
    <w:basedOn w:val="DefaultParagraphFont"/>
    <w:uiPriority w:val="99"/>
    <w:semiHidden/>
    <w:unhideWhenUsed/>
    <w:rsid w:val="00B772BF"/>
  </w:style>
  <w:style w:type="paragraph" w:styleId="List">
    <w:name w:val="List"/>
    <w:basedOn w:val="Normal"/>
    <w:uiPriority w:val="99"/>
    <w:semiHidden/>
    <w:unhideWhenUsed/>
    <w:rsid w:val="00B772BF"/>
    <w:pPr>
      <w:ind w:left="283" w:hanging="283"/>
      <w:contextualSpacing/>
    </w:pPr>
  </w:style>
  <w:style w:type="paragraph" w:styleId="List2">
    <w:name w:val="List 2"/>
    <w:basedOn w:val="Normal"/>
    <w:uiPriority w:val="99"/>
    <w:semiHidden/>
    <w:unhideWhenUsed/>
    <w:rsid w:val="00B772BF"/>
    <w:pPr>
      <w:ind w:left="566" w:hanging="283"/>
      <w:contextualSpacing/>
    </w:pPr>
  </w:style>
  <w:style w:type="paragraph" w:styleId="List3">
    <w:name w:val="List 3"/>
    <w:basedOn w:val="Normal"/>
    <w:uiPriority w:val="99"/>
    <w:semiHidden/>
    <w:unhideWhenUsed/>
    <w:rsid w:val="00B772BF"/>
    <w:pPr>
      <w:ind w:left="849" w:hanging="283"/>
      <w:contextualSpacing/>
    </w:pPr>
  </w:style>
  <w:style w:type="paragraph" w:styleId="List4">
    <w:name w:val="List 4"/>
    <w:basedOn w:val="Normal"/>
    <w:uiPriority w:val="99"/>
    <w:semiHidden/>
    <w:unhideWhenUsed/>
    <w:rsid w:val="00B772BF"/>
    <w:pPr>
      <w:ind w:left="1132" w:hanging="283"/>
      <w:contextualSpacing/>
    </w:pPr>
  </w:style>
  <w:style w:type="paragraph" w:styleId="List5">
    <w:name w:val="List 5"/>
    <w:basedOn w:val="Normal"/>
    <w:uiPriority w:val="99"/>
    <w:semiHidden/>
    <w:unhideWhenUsed/>
    <w:rsid w:val="00B772BF"/>
    <w:pPr>
      <w:ind w:left="1415" w:hanging="283"/>
      <w:contextualSpacing/>
    </w:pPr>
  </w:style>
  <w:style w:type="paragraph" w:styleId="ListContinue">
    <w:name w:val="List Continue"/>
    <w:basedOn w:val="Normal"/>
    <w:uiPriority w:val="99"/>
    <w:semiHidden/>
    <w:unhideWhenUsed/>
    <w:rsid w:val="00B772BF"/>
    <w:pPr>
      <w:spacing w:after="120"/>
      <w:ind w:left="283"/>
      <w:contextualSpacing/>
    </w:pPr>
  </w:style>
  <w:style w:type="paragraph" w:styleId="ListContinue2">
    <w:name w:val="List Continue 2"/>
    <w:basedOn w:val="Normal"/>
    <w:uiPriority w:val="99"/>
    <w:semiHidden/>
    <w:unhideWhenUsed/>
    <w:rsid w:val="00B772BF"/>
    <w:pPr>
      <w:spacing w:after="120"/>
      <w:ind w:left="566"/>
      <w:contextualSpacing/>
    </w:pPr>
  </w:style>
  <w:style w:type="paragraph" w:styleId="ListContinue3">
    <w:name w:val="List Continue 3"/>
    <w:basedOn w:val="Normal"/>
    <w:uiPriority w:val="99"/>
    <w:semiHidden/>
    <w:unhideWhenUsed/>
    <w:rsid w:val="00B772BF"/>
    <w:pPr>
      <w:spacing w:after="120"/>
      <w:ind w:left="849"/>
      <w:contextualSpacing/>
    </w:pPr>
  </w:style>
  <w:style w:type="paragraph" w:styleId="ListContinue4">
    <w:name w:val="List Continue 4"/>
    <w:basedOn w:val="Normal"/>
    <w:uiPriority w:val="99"/>
    <w:semiHidden/>
    <w:unhideWhenUsed/>
    <w:rsid w:val="00B772BF"/>
    <w:pPr>
      <w:spacing w:after="120"/>
      <w:ind w:left="1132"/>
      <w:contextualSpacing/>
    </w:pPr>
  </w:style>
  <w:style w:type="paragraph" w:styleId="ListContinue5">
    <w:name w:val="List Continue 5"/>
    <w:basedOn w:val="Normal"/>
    <w:uiPriority w:val="99"/>
    <w:semiHidden/>
    <w:unhideWhenUsed/>
    <w:rsid w:val="00B772BF"/>
    <w:pPr>
      <w:spacing w:after="120"/>
      <w:ind w:left="1415"/>
      <w:contextualSpacing/>
    </w:pPr>
  </w:style>
  <w:style w:type="paragraph" w:styleId="ListNumber">
    <w:name w:val="List Number"/>
    <w:basedOn w:val="Normal"/>
    <w:uiPriority w:val="49"/>
    <w:semiHidden/>
    <w:unhideWhenUsed/>
    <w:rsid w:val="00B772BF"/>
    <w:pPr>
      <w:numPr>
        <w:numId w:val="11"/>
      </w:numPr>
      <w:contextualSpacing/>
    </w:pPr>
  </w:style>
  <w:style w:type="paragraph" w:styleId="ListNumber2">
    <w:name w:val="List Number 2"/>
    <w:basedOn w:val="Normal"/>
    <w:uiPriority w:val="49"/>
    <w:semiHidden/>
    <w:unhideWhenUsed/>
    <w:rsid w:val="00B772BF"/>
    <w:pPr>
      <w:numPr>
        <w:numId w:val="12"/>
      </w:numPr>
      <w:contextualSpacing/>
    </w:pPr>
  </w:style>
  <w:style w:type="paragraph" w:styleId="ListNumber3">
    <w:name w:val="List Number 3"/>
    <w:basedOn w:val="Normal"/>
    <w:uiPriority w:val="49"/>
    <w:semiHidden/>
    <w:unhideWhenUsed/>
    <w:rsid w:val="00B772BF"/>
    <w:pPr>
      <w:numPr>
        <w:numId w:val="13"/>
      </w:numPr>
      <w:contextualSpacing/>
    </w:pPr>
  </w:style>
  <w:style w:type="paragraph" w:styleId="ListNumber4">
    <w:name w:val="List Number 4"/>
    <w:basedOn w:val="Normal"/>
    <w:uiPriority w:val="49"/>
    <w:semiHidden/>
    <w:unhideWhenUsed/>
    <w:rsid w:val="00B772BF"/>
    <w:pPr>
      <w:numPr>
        <w:numId w:val="14"/>
      </w:numPr>
      <w:contextualSpacing/>
    </w:pPr>
  </w:style>
  <w:style w:type="paragraph" w:styleId="ListNumber5">
    <w:name w:val="List Number 5"/>
    <w:basedOn w:val="Normal"/>
    <w:uiPriority w:val="49"/>
    <w:semiHidden/>
    <w:unhideWhenUsed/>
    <w:rsid w:val="00B772BF"/>
    <w:pPr>
      <w:numPr>
        <w:numId w:val="15"/>
      </w:numPr>
      <w:contextualSpacing/>
    </w:pPr>
  </w:style>
  <w:style w:type="paragraph" w:styleId="MacroText">
    <w:name w:val="macro"/>
    <w:link w:val="MacroTextChar"/>
    <w:uiPriority w:val="99"/>
    <w:semiHidden/>
    <w:unhideWhenUsed/>
    <w:rsid w:val="00B772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US" w:eastAsia="en-US"/>
    </w:rPr>
  </w:style>
  <w:style w:type="character" w:customStyle="1" w:styleId="MacroTextChar">
    <w:name w:val="Macro Text Char"/>
    <w:link w:val="MacroText"/>
    <w:uiPriority w:val="99"/>
    <w:semiHidden/>
    <w:rsid w:val="00B772BF"/>
    <w:rPr>
      <w:rFonts w:ascii="Consolas" w:hAnsi="Consolas" w:cs="Consolas"/>
      <w:lang w:eastAsia="en-US" w:bidi="ar-SA"/>
    </w:rPr>
  </w:style>
  <w:style w:type="paragraph" w:styleId="MessageHeader">
    <w:name w:val="Message Header"/>
    <w:basedOn w:val="Normal"/>
    <w:link w:val="MessageHeaderChar"/>
    <w:uiPriority w:val="99"/>
    <w:semiHidden/>
    <w:unhideWhenUsed/>
    <w:rsid w:val="00B772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B772BF"/>
    <w:rPr>
      <w:rFonts w:ascii="Cambria" w:eastAsia="Times New Roman" w:hAnsi="Cambria" w:cs="Times New Roman"/>
      <w:sz w:val="24"/>
      <w:szCs w:val="24"/>
      <w:shd w:val="pct20" w:color="auto" w:fill="auto"/>
      <w:lang w:eastAsia="en-US"/>
    </w:rPr>
  </w:style>
  <w:style w:type="paragraph" w:styleId="NoSpacing">
    <w:name w:val="No Spacing"/>
    <w:uiPriority w:val="1"/>
    <w:semiHidden/>
    <w:qFormat/>
    <w:rsid w:val="00B772BF"/>
    <w:pPr>
      <w:jc w:val="both"/>
    </w:pPr>
    <w:rPr>
      <w:rFonts w:ascii="Verdana" w:hAnsi="Verdana"/>
      <w:sz w:val="18"/>
      <w:szCs w:val="22"/>
      <w:lang w:val="en-GB" w:eastAsia="en-US"/>
    </w:rPr>
  </w:style>
  <w:style w:type="paragraph" w:styleId="NormalWeb">
    <w:name w:val="Normal (Web)"/>
    <w:basedOn w:val="Normal"/>
    <w:uiPriority w:val="99"/>
    <w:semiHidden/>
    <w:unhideWhenUsed/>
    <w:rsid w:val="00B772BF"/>
    <w:rPr>
      <w:rFonts w:ascii="Times New Roman" w:hAnsi="Times New Roman"/>
      <w:sz w:val="24"/>
      <w:szCs w:val="24"/>
    </w:rPr>
  </w:style>
  <w:style w:type="paragraph" w:styleId="NormalIndent">
    <w:name w:val="Normal Indent"/>
    <w:basedOn w:val="Normal"/>
    <w:uiPriority w:val="99"/>
    <w:semiHidden/>
    <w:unhideWhenUsed/>
    <w:rsid w:val="00B772BF"/>
    <w:pPr>
      <w:ind w:left="567"/>
    </w:pPr>
  </w:style>
  <w:style w:type="paragraph" w:styleId="NoteHeading">
    <w:name w:val="Note Heading"/>
    <w:basedOn w:val="Normal"/>
    <w:next w:val="Normal"/>
    <w:link w:val="NoteHeadingChar"/>
    <w:uiPriority w:val="99"/>
    <w:semiHidden/>
    <w:unhideWhenUsed/>
    <w:rsid w:val="00B772BF"/>
  </w:style>
  <w:style w:type="character" w:customStyle="1" w:styleId="NoteHeadingChar">
    <w:name w:val="Note Heading Char"/>
    <w:link w:val="NoteHeading"/>
    <w:uiPriority w:val="99"/>
    <w:semiHidden/>
    <w:rsid w:val="00B772BF"/>
    <w:rPr>
      <w:rFonts w:ascii="Verdana" w:hAnsi="Verdana"/>
      <w:sz w:val="18"/>
      <w:szCs w:val="22"/>
      <w:lang w:eastAsia="en-US"/>
    </w:rPr>
  </w:style>
  <w:style w:type="character" w:styleId="PageNumber">
    <w:name w:val="page number"/>
    <w:basedOn w:val="DefaultParagraphFont"/>
    <w:uiPriority w:val="99"/>
    <w:semiHidden/>
    <w:unhideWhenUsed/>
    <w:rsid w:val="00B772BF"/>
  </w:style>
  <w:style w:type="character" w:styleId="PlaceholderText">
    <w:name w:val="Placeholder Text"/>
    <w:uiPriority w:val="99"/>
    <w:semiHidden/>
    <w:rsid w:val="00B772BF"/>
    <w:rPr>
      <w:color w:val="808080"/>
    </w:rPr>
  </w:style>
  <w:style w:type="paragraph" w:styleId="PlainText">
    <w:name w:val="Plain Text"/>
    <w:basedOn w:val="Normal"/>
    <w:link w:val="PlainTextChar"/>
    <w:uiPriority w:val="99"/>
    <w:unhideWhenUsed/>
    <w:rsid w:val="00B772BF"/>
    <w:rPr>
      <w:rFonts w:ascii="Consolas" w:hAnsi="Consolas"/>
      <w:sz w:val="21"/>
      <w:szCs w:val="21"/>
    </w:rPr>
  </w:style>
  <w:style w:type="character" w:customStyle="1" w:styleId="PlainTextChar">
    <w:name w:val="Plain Text Char"/>
    <w:link w:val="PlainText"/>
    <w:uiPriority w:val="99"/>
    <w:semiHidden/>
    <w:rsid w:val="00B772BF"/>
    <w:rPr>
      <w:rFonts w:ascii="Consolas" w:hAnsi="Consolas" w:cs="Consolas"/>
      <w:sz w:val="21"/>
      <w:szCs w:val="21"/>
      <w:lang w:eastAsia="en-US"/>
    </w:rPr>
  </w:style>
  <w:style w:type="paragraph" w:styleId="Quote">
    <w:name w:val="Quote"/>
    <w:basedOn w:val="Normal"/>
    <w:next w:val="Normal"/>
    <w:link w:val="QuoteChar"/>
    <w:uiPriority w:val="99"/>
    <w:semiHidden/>
    <w:qFormat/>
    <w:rsid w:val="00B772BF"/>
    <w:rPr>
      <w:i/>
      <w:iCs/>
      <w:color w:val="000000"/>
    </w:rPr>
  </w:style>
  <w:style w:type="character" w:customStyle="1" w:styleId="QuoteChar">
    <w:name w:val="Quote Char"/>
    <w:link w:val="Quote"/>
    <w:uiPriority w:val="99"/>
    <w:semiHidden/>
    <w:rsid w:val="00B772BF"/>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B772BF"/>
  </w:style>
  <w:style w:type="character" w:customStyle="1" w:styleId="SalutationChar">
    <w:name w:val="Salutation Char"/>
    <w:link w:val="Salutation"/>
    <w:uiPriority w:val="99"/>
    <w:semiHidden/>
    <w:rsid w:val="00B772BF"/>
    <w:rPr>
      <w:rFonts w:ascii="Verdana" w:hAnsi="Verdana"/>
      <w:sz w:val="18"/>
      <w:szCs w:val="22"/>
      <w:lang w:eastAsia="en-US"/>
    </w:rPr>
  </w:style>
  <w:style w:type="paragraph" w:styleId="Signature">
    <w:name w:val="Signature"/>
    <w:basedOn w:val="Normal"/>
    <w:link w:val="SignatureChar"/>
    <w:uiPriority w:val="99"/>
    <w:semiHidden/>
    <w:unhideWhenUsed/>
    <w:rsid w:val="00B772BF"/>
    <w:pPr>
      <w:ind w:left="4252"/>
    </w:pPr>
  </w:style>
  <w:style w:type="character" w:customStyle="1" w:styleId="SignatureChar">
    <w:name w:val="Signature Char"/>
    <w:link w:val="Signature"/>
    <w:uiPriority w:val="99"/>
    <w:semiHidden/>
    <w:rsid w:val="00B772BF"/>
    <w:rPr>
      <w:rFonts w:ascii="Verdana" w:hAnsi="Verdana"/>
      <w:sz w:val="18"/>
      <w:szCs w:val="22"/>
      <w:lang w:eastAsia="en-US"/>
    </w:rPr>
  </w:style>
  <w:style w:type="character" w:styleId="Strong">
    <w:name w:val="Strong"/>
    <w:uiPriority w:val="99"/>
    <w:semiHidden/>
    <w:qFormat/>
    <w:rsid w:val="00B772BF"/>
    <w:rPr>
      <w:b/>
      <w:bCs/>
    </w:rPr>
  </w:style>
  <w:style w:type="character" w:styleId="SubtleEmphasis">
    <w:name w:val="Subtle Emphasis"/>
    <w:uiPriority w:val="99"/>
    <w:semiHidden/>
    <w:qFormat/>
    <w:rsid w:val="00B772BF"/>
    <w:rPr>
      <w:i/>
      <w:iCs/>
      <w:color w:val="808080"/>
    </w:rPr>
  </w:style>
  <w:style w:type="character" w:styleId="SubtleReference">
    <w:name w:val="Subtle Reference"/>
    <w:uiPriority w:val="99"/>
    <w:semiHidden/>
    <w:qFormat/>
    <w:rsid w:val="00B772BF"/>
    <w:rPr>
      <w:smallCaps/>
      <w:color w:val="C0504D"/>
      <w:u w:val="single"/>
    </w:rPr>
  </w:style>
  <w:style w:type="paragraph" w:styleId="TOAHeading">
    <w:name w:val="toa heading"/>
    <w:basedOn w:val="Normal"/>
    <w:next w:val="Normal"/>
    <w:uiPriority w:val="39"/>
    <w:unhideWhenUsed/>
    <w:rsid w:val="00B772BF"/>
    <w:pPr>
      <w:spacing w:before="120"/>
    </w:pPr>
    <w:rPr>
      <w:rFonts w:ascii="Cambria" w:eastAsia="Times New Roman" w:hAnsi="Cambria"/>
      <w:b/>
      <w:bCs/>
      <w:sz w:val="24"/>
      <w:szCs w:val="24"/>
    </w:rPr>
  </w:style>
  <w:style w:type="paragraph" w:customStyle="1" w:styleId="EmptyLayoutCell">
    <w:name w:val="EmptyLayoutCell"/>
    <w:basedOn w:val="Normal"/>
    <w:rsid w:val="00B14CBE"/>
    <w:pPr>
      <w:jc w:val="left"/>
    </w:pPr>
    <w:rPr>
      <w:rFonts w:ascii="Times New Roman" w:eastAsia="Times New Roman" w:hAnsi="Times New Roman"/>
      <w:sz w:val="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fernan\AppData\Roaming\Microsoft\Templates\Other%20Documents\G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7DC9A-E103-4A66-A23B-3DE1153D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GAG-E.dotx</Template>
  <TotalTime>0</TotalTime>
  <Pages>2</Pages>
  <Words>348</Words>
  <Characters>1941</Characters>
  <Application>Microsoft Office Word</Application>
  <DocSecurity>0</DocSecurity>
  <Lines>92</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2014-11-06T06:26:00Z</dcterms:created>
  <dcterms:modified xsi:type="dcterms:W3CDTF">2020-05-15T13:02:00Z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G/AG/N/TPKM/192</vt:lpwstr>
  </property>
  <property fmtid="{D5CDD505-2E9C-101B-9397-08002B2CF9AE}" pid="3" name="TitusGUID">
    <vt:lpwstr>fbcebda3-3c9e-449d-8eee-c40b91d1a291</vt:lpwstr>
  </property>
  <property fmtid="{D5CDD505-2E9C-101B-9397-08002B2CF9AE}" pid="4" name="WTOCLASSIFICATION">
    <vt:lpwstr>WTO OFFICIAL</vt:lpwstr>
  </property>
</Properties>
</file>