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AD" w:rsidRDefault="00234783" w:rsidP="00EB22AD">
      <w:pPr>
        <w:pStyle w:val="Title"/>
      </w:pPr>
      <w:r w:rsidRPr="00801632">
        <w:t>NOTIFICATION</w:t>
      </w:r>
    </w:p>
    <w:p w:rsidR="00EB22AD" w:rsidRDefault="00234783" w:rsidP="00EB22AD">
      <w:pPr>
        <w:rPr>
          <w:rFonts w:eastAsia="Arial"/>
          <w:b/>
          <w:color w:val="000000"/>
        </w:rPr>
      </w:pPr>
      <w:r>
        <w:rPr>
          <w:color w:val="000000"/>
          <w:szCs w:val="18"/>
        </w:rPr>
        <w:t xml:space="preserve">The following submission, dated </w:t>
      </w:r>
      <w:r w:rsidRPr="00576415">
        <w:rPr>
          <w:rFonts w:eastAsia="Arial"/>
          <w:noProof/>
        </w:rPr>
        <w:t>21 August</w:t>
      </w:r>
      <w:r w:rsidRPr="00576415">
        <w:rPr>
          <w:rFonts w:eastAsia="Arial"/>
        </w:rPr>
        <w:t xml:space="preserve"> 2019</w:t>
      </w:r>
      <w:r w:rsidRPr="00576415">
        <w:rPr>
          <w:szCs w:val="18"/>
        </w:rPr>
        <w:t>,</w:t>
      </w:r>
      <w:r>
        <w:rPr>
          <w:color w:val="000000"/>
          <w:szCs w:val="18"/>
        </w:rPr>
        <w:t xml:space="preserve"> is being circulated at the request of the delegation of </w:t>
      </w:r>
      <w:r>
        <w:rPr>
          <w:rFonts w:eastAsia="Arial"/>
          <w:b/>
          <w:noProof/>
          <w:color w:val="000000"/>
        </w:rPr>
        <w:t>Ukraine</w:t>
      </w:r>
      <w:r>
        <w:rPr>
          <w:color w:val="000000"/>
          <w:szCs w:val="18"/>
        </w:rPr>
        <w:t xml:space="preserve">. The notification concerns the administration of tariff quotas </w:t>
      </w:r>
      <w:r w:rsidRPr="00DF294B">
        <w:rPr>
          <w:bCs/>
          <w:color w:val="000000"/>
          <w:szCs w:val="18"/>
        </w:rPr>
        <w:t>(</w:t>
      </w:r>
      <w:r>
        <w:rPr>
          <w:b/>
          <w:bCs/>
          <w:color w:val="000000"/>
          <w:szCs w:val="18"/>
        </w:rPr>
        <w:t>Table MA:1</w:t>
      </w:r>
      <w:r w:rsidRPr="00DF294B">
        <w:rPr>
          <w:bCs/>
          <w:color w:val="000000"/>
          <w:szCs w:val="18"/>
        </w:rPr>
        <w:t>)</w:t>
      </w:r>
      <w:r>
        <w:rPr>
          <w:b/>
          <w:bCs/>
          <w:color w:val="000000"/>
          <w:szCs w:val="18"/>
        </w:rPr>
        <w:t xml:space="preserve"> </w:t>
      </w:r>
      <w:r>
        <w:rPr>
          <w:color w:val="000000"/>
          <w:szCs w:val="18"/>
        </w:rPr>
        <w:t>for the</w:t>
      </w:r>
      <w:r w:rsidR="00576415">
        <w:rPr>
          <w:color w:val="000000"/>
          <w:szCs w:val="18"/>
        </w:rPr>
        <w:t> </w:t>
      </w:r>
      <w:r>
        <w:rPr>
          <w:rFonts w:eastAsia="Arial"/>
          <w:b/>
          <w:noProof/>
          <w:color w:val="000000"/>
        </w:rPr>
        <w:t>calendar year</w:t>
      </w:r>
      <w:r>
        <w:rPr>
          <w:rFonts w:eastAsia="Arial"/>
          <w:b/>
          <w:color w:val="000000"/>
        </w:rPr>
        <w:t xml:space="preserve"> </w:t>
      </w:r>
      <w:r>
        <w:rPr>
          <w:rFonts w:eastAsia="Arial"/>
          <w:b/>
          <w:noProof/>
          <w:color w:val="000000"/>
        </w:rPr>
        <w:t>2019</w:t>
      </w:r>
      <w:r w:rsidR="002A4103" w:rsidRPr="002A4103">
        <w:rPr>
          <w:rFonts w:eastAsia="Arial"/>
          <w:noProof/>
          <w:color w:val="000000"/>
        </w:rPr>
        <w:t>.</w:t>
      </w:r>
    </w:p>
    <w:p w:rsidR="00EB22AD" w:rsidRDefault="00F1737F" w:rsidP="00EB22AD">
      <w:pPr>
        <w:rPr>
          <w:rFonts w:eastAsia="Arial"/>
          <w:color w:val="000000"/>
        </w:rPr>
      </w:pPr>
    </w:p>
    <w:p w:rsidR="00EB22AD" w:rsidRDefault="00234783" w:rsidP="00EB22AD">
      <w:pPr>
        <w:jc w:val="center"/>
        <w:rPr>
          <w:rFonts w:eastAsia="Arial"/>
          <w:b/>
          <w:color w:val="000000"/>
        </w:rPr>
      </w:pPr>
      <w:r>
        <w:rPr>
          <w:rFonts w:eastAsia="Arial"/>
          <w:b/>
          <w:color w:val="000000"/>
        </w:rPr>
        <w:t>_______________</w:t>
      </w:r>
    </w:p>
    <w:p w:rsidR="00EB22AD" w:rsidRDefault="00F1737F" w:rsidP="00EB22AD">
      <w:pPr>
        <w:rPr>
          <w:rFonts w:eastAsia="Arial"/>
          <w:color w:val="000000"/>
        </w:rPr>
      </w:pPr>
    </w:p>
    <w:p w:rsidR="00576415" w:rsidRPr="00DA3E75" w:rsidRDefault="00576415" w:rsidP="00EB22AD">
      <w:pPr>
        <w:rPr>
          <w:rFonts w:eastAsia="Arial"/>
          <w:color w:val="000000"/>
        </w:rPr>
      </w:pPr>
    </w:p>
    <w:p w:rsidR="00EB22AD" w:rsidRDefault="00234783" w:rsidP="00BE3236">
      <w:pPr>
        <w:pStyle w:val="anyParagraph"/>
        <w:rPr>
          <w:noProof/>
          <w:color w:val="000000"/>
        </w:rPr>
      </w:pPr>
      <w:r>
        <w:rPr>
          <w:rStyle w:val="any"/>
          <w:noProof/>
          <w:color w:val="000000"/>
        </w:rPr>
        <w:t xml:space="preserve">The attached notification is submitted pursuant to the obligation to communicate any changes in the administration of tariff quotas, in accordance with the requirements given in document G/AG/2. </w:t>
      </w:r>
      <w:r>
        <w:rPr>
          <w:rStyle w:val="any"/>
          <w:noProof/>
          <w:color w:val="000000"/>
          <w:lang w:val="en-US"/>
        </w:rPr>
        <w:t>This notification amends the</w:t>
      </w:r>
      <w:r>
        <w:rPr>
          <w:rStyle w:val="any"/>
          <w:noProof/>
          <w:color w:val="000000"/>
        </w:rPr>
        <w:t xml:space="preserve"> document G/</w:t>
      </w:r>
      <w:r>
        <w:rPr>
          <w:rStyle w:val="any"/>
          <w:noProof/>
          <w:color w:val="000000"/>
          <w:lang w:val="en-US"/>
        </w:rPr>
        <w:t>AG/N/UKR/8/Rev.</w:t>
      </w:r>
      <w:r>
        <w:rPr>
          <w:rStyle w:val="any"/>
          <w:noProof/>
          <w:color w:val="000000"/>
          <w:lang w:val="uk-UA" w:eastAsia="uk-UA"/>
        </w:rPr>
        <w:t>2</w:t>
      </w:r>
      <w:r>
        <w:rPr>
          <w:rStyle w:val="any"/>
          <w:noProof/>
          <w:color w:val="000000"/>
          <w:lang w:val="en-US"/>
        </w:rPr>
        <w:t xml:space="preserve">, dated </w:t>
      </w:r>
      <w:r>
        <w:rPr>
          <w:rStyle w:val="any"/>
          <w:noProof/>
          <w:color w:val="000000"/>
          <w:lang w:val="uk-UA" w:eastAsia="uk-UA"/>
        </w:rPr>
        <w:t>19</w:t>
      </w:r>
      <w:r>
        <w:rPr>
          <w:rStyle w:val="any"/>
          <w:noProof/>
          <w:color w:val="000000"/>
          <w:lang w:val="en-US"/>
        </w:rPr>
        <w:t xml:space="preserve"> July 2011. </w:t>
      </w:r>
      <w:r>
        <w:rPr>
          <w:rStyle w:val="any"/>
          <w:noProof/>
          <w:color w:val="000000"/>
        </w:rPr>
        <w:t xml:space="preserve">The changes concern the administration </w:t>
      </w:r>
      <w:r>
        <w:rPr>
          <w:rStyle w:val="any"/>
          <w:noProof/>
          <w:color w:val="000000"/>
          <w:lang w:val="en-US"/>
        </w:rPr>
        <w:t xml:space="preserve">of the </w:t>
      </w:r>
      <w:r>
        <w:rPr>
          <w:rStyle w:val="any"/>
          <w:noProof/>
          <w:color w:val="000000"/>
        </w:rPr>
        <w:t xml:space="preserve">tariff rate quota for raw cane sugar and affect the following items: </w:t>
      </w:r>
      <w:r>
        <w:rPr>
          <w:rStyle w:val="any"/>
          <w:noProof/>
          <w:color w:val="000000"/>
          <w:lang w:val="en-US"/>
        </w:rPr>
        <w:t>(a), b</w:t>
      </w:r>
      <w:r w:rsidR="00576415">
        <w:rPr>
          <w:rStyle w:val="any"/>
          <w:noProof/>
          <w:color w:val="000000"/>
          <w:lang w:val="en-US"/>
        </w:rPr>
        <w:t> </w:t>
      </w:r>
      <w:r>
        <w:rPr>
          <w:rStyle w:val="any"/>
          <w:noProof/>
          <w:color w:val="000000"/>
          <w:lang w:val="en-US"/>
        </w:rPr>
        <w:t xml:space="preserve">(ii), </w:t>
      </w:r>
      <w:r>
        <w:rPr>
          <w:rStyle w:val="any"/>
          <w:noProof/>
          <w:color w:val="000000"/>
        </w:rPr>
        <w:t>b (iv) and (d).</w:t>
      </w:r>
      <w:r>
        <w:rPr>
          <w:rStyle w:val="any"/>
          <w:noProof/>
          <w:color w:val="000000"/>
          <w:lang w:val="en-US"/>
        </w:rPr>
        <w:t xml:space="preserve"> The above changes are made due to the fulfillment of Ukraine’s obligations regarding the allocation of 260 tonnes to Paraguay within total tariff quota until 1 January 2019.</w:t>
      </w:r>
    </w:p>
    <w:p w:rsidR="00D64433" w:rsidRDefault="00F1737F" w:rsidP="00BE3236">
      <w:pPr>
        <w:rPr>
          <w:rFonts w:eastAsia="Verdana" w:cs="Verdana"/>
          <w:color w:val="000000"/>
        </w:rPr>
      </w:pPr>
    </w:p>
    <w:p w:rsidR="00D64433" w:rsidRDefault="00F1737F" w:rsidP="00BE3236">
      <w:pPr>
        <w:rPr>
          <w:rFonts w:eastAsia="Arial"/>
          <w:color w:val="000000"/>
        </w:rPr>
      </w:pPr>
    </w:p>
    <w:p w:rsidR="00D64433" w:rsidRDefault="00F1737F" w:rsidP="00BE3236">
      <w:pPr>
        <w:rPr>
          <w:rFonts w:eastAsia="Arial"/>
          <w:color w:val="000000"/>
        </w:rPr>
      </w:pPr>
    </w:p>
    <w:p w:rsidR="00D64433" w:rsidRPr="00D64433" w:rsidRDefault="00F1737F" w:rsidP="00BE3236">
      <w:pPr>
        <w:rPr>
          <w:rFonts w:eastAsia="Arial"/>
          <w:color w:val="000000"/>
        </w:rPr>
        <w:sectPr w:rsidR="00D64433" w:rsidRPr="00D64433" w:rsidSect="00F208C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rsidR="00397478" w:rsidRDefault="00234783" w:rsidP="00397478">
      <w:pPr>
        <w:pStyle w:val="Caption"/>
        <w:spacing w:after="0"/>
      </w:pPr>
      <w:r>
        <w:lastRenderedPageBreak/>
        <w:t>Table MA: 1</w:t>
      </w:r>
    </w:p>
    <w:p w:rsidR="00397478" w:rsidRDefault="00234783" w:rsidP="00DA3E75">
      <w:pPr>
        <w:pStyle w:val="Title"/>
        <w:rPr>
          <w:rFonts w:eastAsia="Arial"/>
        </w:rPr>
      </w:pPr>
      <w:r w:rsidRPr="00215443">
        <w:rPr>
          <w:rFonts w:eastAsia="Arial"/>
        </w:rPr>
        <w:t xml:space="preserve">MARKET ACCESS: </w:t>
      </w:r>
      <w:r w:rsidRPr="00215443">
        <w:rPr>
          <w:rFonts w:eastAsia="Arial"/>
          <w:noProof/>
        </w:rPr>
        <w:t>Ukraine</w:t>
      </w:r>
    </w:p>
    <w:p w:rsidR="00397478" w:rsidRDefault="00234783" w:rsidP="00DA3E75">
      <w:pPr>
        <w:pStyle w:val="Title2"/>
      </w:pPr>
      <w:r w:rsidRPr="00215443">
        <w:t xml:space="preserve">REPORTING PERIOD: </w:t>
      </w:r>
      <w:r w:rsidRPr="00215443">
        <w:rPr>
          <w:noProof/>
        </w:rPr>
        <w:t>Calendar Year</w:t>
      </w:r>
      <w:r w:rsidRPr="00215443">
        <w:t xml:space="preserve"> </w:t>
      </w:r>
      <w:r>
        <w:rPr>
          <w:noProof/>
        </w:rPr>
        <w:t>2019</w:t>
      </w:r>
    </w:p>
    <w:p w:rsidR="00397478" w:rsidRDefault="00234783" w:rsidP="00DA3E75">
      <w:pPr>
        <w:pStyle w:val="Title3"/>
      </w:pPr>
      <w:r w:rsidRPr="00215443">
        <w:t>Implementation of market access opportunities: Tariff and other quota commitments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8"/>
        <w:gridCol w:w="2107"/>
        <w:gridCol w:w="2070"/>
        <w:gridCol w:w="720"/>
        <w:gridCol w:w="7770"/>
        <w:gridCol w:w="845"/>
      </w:tblGrid>
      <w:tr w:rsidR="00D90E4A" w:rsidTr="00EE0CB3">
        <w:trPr>
          <w:trHeight w:val="20"/>
          <w:tblHeader/>
          <w:jc w:val="center"/>
        </w:trPr>
        <w:tc>
          <w:tcPr>
            <w:tcW w:w="1028" w:type="dxa"/>
            <w:vMerge w:val="restart"/>
            <w:tcMar>
              <w:top w:w="40" w:type="dxa"/>
              <w:left w:w="40" w:type="dxa"/>
              <w:bottom w:w="40" w:type="dxa"/>
              <w:right w:w="40" w:type="dxa"/>
            </w:tcMar>
          </w:tcPr>
          <w:p w:rsidR="00FC4ACC" w:rsidRPr="00A81D0A" w:rsidRDefault="00234783" w:rsidP="00452B70">
            <w:pPr>
              <w:jc w:val="center"/>
              <w:rPr>
                <w:sz w:val="14"/>
                <w:szCs w:val="14"/>
              </w:rPr>
            </w:pPr>
            <w:r w:rsidRPr="00A81D0A">
              <w:rPr>
                <w:rFonts w:eastAsia="Arial"/>
                <w:b/>
                <w:color w:val="000000"/>
                <w:sz w:val="14"/>
                <w:szCs w:val="14"/>
              </w:rPr>
              <w:t>TQ ID</w:t>
            </w:r>
          </w:p>
        </w:tc>
        <w:tc>
          <w:tcPr>
            <w:tcW w:w="2107" w:type="dxa"/>
            <w:tcMar>
              <w:top w:w="40" w:type="dxa"/>
              <w:left w:w="40" w:type="dxa"/>
              <w:bottom w:w="40" w:type="dxa"/>
              <w:right w:w="40" w:type="dxa"/>
            </w:tcMar>
          </w:tcPr>
          <w:p w:rsidR="00FC4ACC" w:rsidRPr="00A81D0A" w:rsidRDefault="00234783" w:rsidP="00452B70">
            <w:pPr>
              <w:jc w:val="center"/>
              <w:rPr>
                <w:sz w:val="14"/>
                <w:szCs w:val="14"/>
              </w:rPr>
            </w:pPr>
            <w:r w:rsidRPr="00A81D0A">
              <w:rPr>
                <w:rFonts w:eastAsia="Arial"/>
                <w:b/>
                <w:color w:val="000000"/>
                <w:sz w:val="14"/>
                <w:szCs w:val="14"/>
              </w:rPr>
              <w:t>Description of products</w:t>
            </w:r>
          </w:p>
        </w:tc>
        <w:tc>
          <w:tcPr>
            <w:tcW w:w="2070" w:type="dxa"/>
            <w:tcMar>
              <w:top w:w="40" w:type="dxa"/>
              <w:left w:w="40" w:type="dxa"/>
              <w:bottom w:w="40" w:type="dxa"/>
              <w:right w:w="40" w:type="dxa"/>
            </w:tcMar>
          </w:tcPr>
          <w:p w:rsidR="00FC4ACC" w:rsidRPr="00A81D0A" w:rsidRDefault="00234783" w:rsidP="00452B70">
            <w:pPr>
              <w:jc w:val="center"/>
              <w:rPr>
                <w:sz w:val="14"/>
                <w:szCs w:val="14"/>
              </w:rPr>
            </w:pPr>
            <w:r w:rsidRPr="00A81D0A">
              <w:rPr>
                <w:rFonts w:eastAsia="Arial"/>
                <w:b/>
                <w:color w:val="000000"/>
                <w:sz w:val="14"/>
                <w:szCs w:val="14"/>
              </w:rPr>
              <w:t>Tariff item number(s) encompassed in product description</w:t>
            </w:r>
          </w:p>
        </w:tc>
        <w:tc>
          <w:tcPr>
            <w:tcW w:w="720" w:type="dxa"/>
            <w:vMerge w:val="restart"/>
            <w:tcMar>
              <w:top w:w="40" w:type="dxa"/>
              <w:left w:w="40" w:type="dxa"/>
              <w:bottom w:w="40" w:type="dxa"/>
              <w:right w:w="40" w:type="dxa"/>
            </w:tcMar>
          </w:tcPr>
          <w:p w:rsidR="00FC4ACC" w:rsidRPr="00A81D0A" w:rsidRDefault="00234783" w:rsidP="00452B70">
            <w:pPr>
              <w:jc w:val="center"/>
              <w:rPr>
                <w:sz w:val="14"/>
                <w:szCs w:val="14"/>
              </w:rPr>
            </w:pPr>
            <w:r w:rsidRPr="00A81D0A">
              <w:rPr>
                <w:rFonts w:eastAsia="Arial"/>
                <w:b/>
                <w:color w:val="000000"/>
                <w:sz w:val="14"/>
                <w:szCs w:val="14"/>
              </w:rPr>
              <w:t>Not opened</w:t>
            </w:r>
          </w:p>
        </w:tc>
        <w:tc>
          <w:tcPr>
            <w:tcW w:w="7770" w:type="dxa"/>
            <w:vMerge w:val="restart"/>
            <w:tcMar>
              <w:top w:w="40" w:type="dxa"/>
              <w:left w:w="40" w:type="dxa"/>
              <w:bottom w:w="40" w:type="dxa"/>
              <w:right w:w="40" w:type="dxa"/>
            </w:tcMar>
          </w:tcPr>
          <w:p w:rsidR="00FC4ACC" w:rsidRPr="00A81D0A" w:rsidRDefault="00234783" w:rsidP="00452B70">
            <w:pPr>
              <w:jc w:val="center"/>
              <w:rPr>
                <w:sz w:val="14"/>
                <w:szCs w:val="14"/>
              </w:rPr>
            </w:pPr>
            <w:r w:rsidRPr="00A81D0A">
              <w:rPr>
                <w:rFonts w:eastAsia="Arial"/>
                <w:b/>
                <w:color w:val="000000"/>
                <w:sz w:val="14"/>
                <w:szCs w:val="14"/>
              </w:rPr>
              <w:t>Description of import arrangement applicable</w:t>
            </w:r>
          </w:p>
        </w:tc>
        <w:tc>
          <w:tcPr>
            <w:tcW w:w="845" w:type="dxa"/>
            <w:vMerge w:val="restart"/>
            <w:tcMar>
              <w:top w:w="40" w:type="dxa"/>
              <w:left w:w="40" w:type="dxa"/>
              <w:bottom w:w="40" w:type="dxa"/>
              <w:right w:w="40" w:type="dxa"/>
            </w:tcMar>
          </w:tcPr>
          <w:p w:rsidR="00FC4ACC" w:rsidRPr="00A81D0A" w:rsidRDefault="00234783" w:rsidP="00D403F5">
            <w:pPr>
              <w:jc w:val="center"/>
              <w:rPr>
                <w:sz w:val="14"/>
                <w:szCs w:val="14"/>
              </w:rPr>
            </w:pPr>
            <w:r w:rsidRPr="00A81D0A">
              <w:rPr>
                <w:rFonts w:eastAsia="Arial"/>
                <w:b/>
                <w:color w:val="000000"/>
                <w:sz w:val="14"/>
                <w:szCs w:val="14"/>
              </w:rPr>
              <w:t>Note</w:t>
            </w:r>
          </w:p>
        </w:tc>
      </w:tr>
      <w:tr w:rsidR="00D90E4A" w:rsidTr="00EE0CB3">
        <w:trPr>
          <w:trHeight w:val="20"/>
          <w:tblHeader/>
          <w:jc w:val="center"/>
        </w:trPr>
        <w:tc>
          <w:tcPr>
            <w:tcW w:w="1028" w:type="dxa"/>
            <w:vMerge/>
            <w:tcMar>
              <w:top w:w="40" w:type="dxa"/>
              <w:left w:w="40" w:type="dxa"/>
              <w:bottom w:w="40" w:type="dxa"/>
              <w:right w:w="40" w:type="dxa"/>
            </w:tcMar>
          </w:tcPr>
          <w:p w:rsidR="00FC4ACC" w:rsidRPr="00A81D0A" w:rsidRDefault="00F1737F" w:rsidP="00452B70">
            <w:pPr>
              <w:rPr>
                <w:sz w:val="14"/>
                <w:szCs w:val="14"/>
              </w:rPr>
            </w:pPr>
          </w:p>
        </w:tc>
        <w:tc>
          <w:tcPr>
            <w:tcW w:w="4177" w:type="dxa"/>
            <w:gridSpan w:val="2"/>
            <w:tcMar>
              <w:top w:w="40" w:type="dxa"/>
              <w:left w:w="40" w:type="dxa"/>
              <w:bottom w:w="40" w:type="dxa"/>
              <w:right w:w="40" w:type="dxa"/>
            </w:tcMar>
          </w:tcPr>
          <w:p w:rsidR="00FC4ACC" w:rsidRPr="00A81D0A" w:rsidRDefault="00234783" w:rsidP="00452B70">
            <w:pPr>
              <w:jc w:val="center"/>
              <w:rPr>
                <w:sz w:val="14"/>
                <w:szCs w:val="14"/>
              </w:rPr>
            </w:pPr>
            <w:r w:rsidRPr="00A81D0A">
              <w:rPr>
                <w:rFonts w:eastAsia="Arial"/>
                <w:color w:val="000000"/>
                <w:sz w:val="14"/>
                <w:szCs w:val="14"/>
              </w:rPr>
              <w:t>(from Section I-B (or I-A) of Part I of the Schedule)</w:t>
            </w:r>
          </w:p>
        </w:tc>
        <w:tc>
          <w:tcPr>
            <w:tcW w:w="720" w:type="dxa"/>
            <w:vMerge/>
            <w:tcMar>
              <w:top w:w="40" w:type="dxa"/>
              <w:left w:w="40" w:type="dxa"/>
              <w:bottom w:w="40" w:type="dxa"/>
              <w:right w:w="40" w:type="dxa"/>
            </w:tcMar>
          </w:tcPr>
          <w:p w:rsidR="00FC4ACC" w:rsidRPr="00A81D0A" w:rsidRDefault="00F1737F" w:rsidP="00452B70">
            <w:pPr>
              <w:rPr>
                <w:sz w:val="14"/>
                <w:szCs w:val="14"/>
              </w:rPr>
            </w:pPr>
          </w:p>
        </w:tc>
        <w:tc>
          <w:tcPr>
            <w:tcW w:w="7770" w:type="dxa"/>
            <w:vMerge/>
            <w:tcMar>
              <w:top w:w="40" w:type="dxa"/>
              <w:left w:w="40" w:type="dxa"/>
              <w:bottom w:w="40" w:type="dxa"/>
              <w:right w:w="40" w:type="dxa"/>
            </w:tcMar>
          </w:tcPr>
          <w:p w:rsidR="00FC4ACC" w:rsidRPr="00E64EEF" w:rsidRDefault="00F1737F" w:rsidP="00E64EEF">
            <w:pPr>
              <w:jc w:val="center"/>
              <w:rPr>
                <w:rFonts w:eastAsia="Arial"/>
                <w:color w:val="000000"/>
                <w:sz w:val="14"/>
                <w:szCs w:val="14"/>
              </w:rPr>
            </w:pPr>
          </w:p>
        </w:tc>
        <w:tc>
          <w:tcPr>
            <w:tcW w:w="845" w:type="dxa"/>
            <w:vMerge/>
            <w:tcMar>
              <w:top w:w="40" w:type="dxa"/>
              <w:left w:w="40" w:type="dxa"/>
              <w:bottom w:w="40" w:type="dxa"/>
              <w:right w:w="40" w:type="dxa"/>
            </w:tcMar>
          </w:tcPr>
          <w:p w:rsidR="00FC4ACC" w:rsidRPr="00A81D0A" w:rsidRDefault="00F1737F" w:rsidP="00D403F5">
            <w:pPr>
              <w:jc w:val="center"/>
              <w:rPr>
                <w:sz w:val="14"/>
                <w:szCs w:val="14"/>
              </w:rPr>
            </w:pPr>
          </w:p>
        </w:tc>
      </w:tr>
      <w:tr w:rsidR="00D90E4A" w:rsidTr="00F208C9">
        <w:trPr>
          <w:trHeight w:val="20"/>
          <w:tblHeader/>
          <w:jc w:val="center"/>
        </w:trPr>
        <w:tc>
          <w:tcPr>
            <w:tcW w:w="1028" w:type="dxa"/>
            <w:vMerge/>
            <w:tcBorders>
              <w:bottom w:val="single" w:sz="6" w:space="0" w:color="auto"/>
            </w:tcBorders>
            <w:tcMar>
              <w:top w:w="40" w:type="dxa"/>
              <w:left w:w="40" w:type="dxa"/>
              <w:bottom w:w="40" w:type="dxa"/>
              <w:right w:w="40" w:type="dxa"/>
            </w:tcMar>
          </w:tcPr>
          <w:p w:rsidR="009E5B29" w:rsidRPr="00A81D0A" w:rsidRDefault="00F1737F" w:rsidP="00452B70">
            <w:pPr>
              <w:rPr>
                <w:sz w:val="14"/>
                <w:szCs w:val="14"/>
              </w:rPr>
            </w:pPr>
          </w:p>
        </w:tc>
        <w:tc>
          <w:tcPr>
            <w:tcW w:w="2107" w:type="dxa"/>
            <w:tcBorders>
              <w:bottom w:val="single" w:sz="6" w:space="0" w:color="auto"/>
            </w:tcBorders>
            <w:tcMar>
              <w:top w:w="40" w:type="dxa"/>
              <w:left w:w="40" w:type="dxa"/>
              <w:bottom w:w="40" w:type="dxa"/>
              <w:right w:w="40" w:type="dxa"/>
            </w:tcMar>
          </w:tcPr>
          <w:p w:rsidR="009E5B29" w:rsidRPr="00A81D0A" w:rsidRDefault="00234783" w:rsidP="00452B70">
            <w:pPr>
              <w:jc w:val="center"/>
              <w:rPr>
                <w:sz w:val="14"/>
                <w:szCs w:val="14"/>
              </w:rPr>
            </w:pPr>
            <w:r w:rsidRPr="00A81D0A">
              <w:rPr>
                <w:rFonts w:eastAsia="Arial"/>
                <w:color w:val="000000"/>
                <w:sz w:val="14"/>
                <w:szCs w:val="14"/>
              </w:rPr>
              <w:t>1</w:t>
            </w:r>
          </w:p>
        </w:tc>
        <w:tc>
          <w:tcPr>
            <w:tcW w:w="2070" w:type="dxa"/>
            <w:tcBorders>
              <w:bottom w:val="single" w:sz="6" w:space="0" w:color="auto"/>
            </w:tcBorders>
            <w:tcMar>
              <w:top w:w="40" w:type="dxa"/>
              <w:left w:w="40" w:type="dxa"/>
              <w:bottom w:w="40" w:type="dxa"/>
              <w:right w:w="40" w:type="dxa"/>
            </w:tcMar>
          </w:tcPr>
          <w:p w:rsidR="009E5B29" w:rsidRPr="00A81D0A" w:rsidRDefault="00234783" w:rsidP="00452B70">
            <w:pPr>
              <w:jc w:val="center"/>
              <w:rPr>
                <w:sz w:val="14"/>
                <w:szCs w:val="14"/>
              </w:rPr>
            </w:pPr>
            <w:r w:rsidRPr="00A81D0A">
              <w:rPr>
                <w:rFonts w:eastAsia="Arial"/>
                <w:color w:val="000000"/>
                <w:sz w:val="14"/>
                <w:szCs w:val="14"/>
              </w:rPr>
              <w:t>2</w:t>
            </w:r>
          </w:p>
        </w:tc>
        <w:tc>
          <w:tcPr>
            <w:tcW w:w="720" w:type="dxa"/>
            <w:vMerge/>
            <w:tcBorders>
              <w:bottom w:val="single" w:sz="6" w:space="0" w:color="auto"/>
            </w:tcBorders>
            <w:tcMar>
              <w:top w:w="40" w:type="dxa"/>
              <w:left w:w="40" w:type="dxa"/>
              <w:bottom w:w="40" w:type="dxa"/>
              <w:right w:w="40" w:type="dxa"/>
            </w:tcMar>
          </w:tcPr>
          <w:p w:rsidR="009E5B29" w:rsidRPr="00A81D0A" w:rsidRDefault="00F1737F" w:rsidP="00452B70">
            <w:pPr>
              <w:rPr>
                <w:sz w:val="14"/>
                <w:szCs w:val="14"/>
              </w:rPr>
            </w:pPr>
          </w:p>
        </w:tc>
        <w:tc>
          <w:tcPr>
            <w:tcW w:w="7770" w:type="dxa"/>
            <w:tcBorders>
              <w:bottom w:val="single" w:sz="6" w:space="0" w:color="auto"/>
            </w:tcBorders>
            <w:tcMar>
              <w:top w:w="40" w:type="dxa"/>
              <w:left w:w="40" w:type="dxa"/>
              <w:bottom w:w="40" w:type="dxa"/>
              <w:right w:w="40" w:type="dxa"/>
            </w:tcMar>
          </w:tcPr>
          <w:p w:rsidR="009E5B29" w:rsidRPr="00E64EEF" w:rsidRDefault="00234783" w:rsidP="00452B70">
            <w:pPr>
              <w:jc w:val="center"/>
              <w:rPr>
                <w:rFonts w:eastAsia="Arial"/>
                <w:color w:val="000000"/>
                <w:sz w:val="14"/>
                <w:szCs w:val="14"/>
              </w:rPr>
            </w:pPr>
            <w:r w:rsidRPr="00A81D0A">
              <w:rPr>
                <w:rFonts w:eastAsia="Arial"/>
                <w:color w:val="000000"/>
                <w:sz w:val="14"/>
                <w:szCs w:val="14"/>
              </w:rPr>
              <w:t>3</w:t>
            </w:r>
          </w:p>
        </w:tc>
        <w:tc>
          <w:tcPr>
            <w:tcW w:w="845" w:type="dxa"/>
            <w:vMerge/>
            <w:tcBorders>
              <w:bottom w:val="single" w:sz="6" w:space="0" w:color="auto"/>
            </w:tcBorders>
            <w:tcMar>
              <w:top w:w="40" w:type="dxa"/>
              <w:left w:w="40" w:type="dxa"/>
              <w:bottom w:w="40" w:type="dxa"/>
              <w:right w:w="40" w:type="dxa"/>
            </w:tcMar>
          </w:tcPr>
          <w:p w:rsidR="009E5B29" w:rsidRPr="00A81D0A" w:rsidRDefault="00F1737F" w:rsidP="00D403F5">
            <w:pPr>
              <w:jc w:val="center"/>
              <w:rPr>
                <w:sz w:val="14"/>
                <w:szCs w:val="14"/>
              </w:rPr>
            </w:pPr>
          </w:p>
        </w:tc>
      </w:tr>
      <w:tr w:rsidR="00D90E4A" w:rsidTr="00F208C9">
        <w:trPr>
          <w:trHeight w:val="20"/>
          <w:jc w:val="center"/>
        </w:trPr>
        <w:tc>
          <w:tcPr>
            <w:tcW w:w="1028" w:type="dxa"/>
            <w:tcBorders>
              <w:top w:val="single" w:sz="6" w:space="0" w:color="auto"/>
              <w:bottom w:val="single" w:sz="6" w:space="0" w:color="auto"/>
            </w:tcBorders>
            <w:tcMar>
              <w:top w:w="40" w:type="dxa"/>
              <w:left w:w="40" w:type="dxa"/>
              <w:bottom w:w="40" w:type="dxa"/>
              <w:right w:w="40" w:type="dxa"/>
            </w:tcMar>
          </w:tcPr>
          <w:p w:rsidR="00930C8F" w:rsidRPr="00A81D0A" w:rsidRDefault="00234783" w:rsidP="009E5B29">
            <w:pPr>
              <w:jc w:val="center"/>
              <w:rPr>
                <w:sz w:val="14"/>
                <w:szCs w:val="14"/>
              </w:rPr>
            </w:pPr>
            <w:r w:rsidRPr="00A81D0A">
              <w:rPr>
                <w:noProof/>
                <w:sz w:val="14"/>
                <w:szCs w:val="14"/>
              </w:rPr>
              <w:t>UKRQ001</w:t>
            </w:r>
          </w:p>
        </w:tc>
        <w:tc>
          <w:tcPr>
            <w:tcW w:w="2107" w:type="dxa"/>
            <w:tcBorders>
              <w:top w:val="single" w:sz="6" w:space="0" w:color="auto"/>
              <w:bottom w:val="single" w:sz="6" w:space="0" w:color="auto"/>
            </w:tcBorders>
            <w:tcMar>
              <w:top w:w="40" w:type="dxa"/>
              <w:left w:w="40" w:type="dxa"/>
              <w:bottom w:w="40" w:type="dxa"/>
              <w:right w:w="40" w:type="dxa"/>
            </w:tcMar>
          </w:tcPr>
          <w:p w:rsidR="00E9403A" w:rsidRPr="003C3493" w:rsidRDefault="00234783" w:rsidP="009E5B29">
            <w:pPr>
              <w:jc w:val="center"/>
              <w:rPr>
                <w:rFonts w:eastAsia="Arial"/>
                <w:color w:val="000000"/>
                <w:sz w:val="14"/>
                <w:szCs w:val="14"/>
              </w:rPr>
            </w:pPr>
            <w:r>
              <w:rPr>
                <w:rFonts w:eastAsia="Verdana" w:cs="Verdana"/>
                <w:noProof/>
                <w:sz w:val="14"/>
                <w:szCs w:val="14"/>
              </w:rPr>
              <w:t>Raw cane sugar</w:t>
            </w:r>
          </w:p>
        </w:tc>
        <w:tc>
          <w:tcPr>
            <w:tcW w:w="2070" w:type="dxa"/>
            <w:tcBorders>
              <w:top w:val="single" w:sz="6" w:space="0" w:color="auto"/>
              <w:bottom w:val="single" w:sz="6" w:space="0" w:color="auto"/>
            </w:tcBorders>
            <w:tcMar>
              <w:top w:w="40" w:type="dxa"/>
              <w:left w:w="40" w:type="dxa"/>
              <w:bottom w:w="40" w:type="dxa"/>
              <w:right w:w="40" w:type="dxa"/>
            </w:tcMar>
          </w:tcPr>
          <w:p w:rsidR="00930C8F" w:rsidRPr="00A81D0A" w:rsidRDefault="00234783" w:rsidP="00452B70">
            <w:pPr>
              <w:jc w:val="center"/>
              <w:rPr>
                <w:rFonts w:eastAsia="Arial"/>
                <w:color w:val="000000"/>
                <w:sz w:val="14"/>
                <w:szCs w:val="14"/>
              </w:rPr>
            </w:pPr>
            <w:r w:rsidRPr="00A81D0A">
              <w:rPr>
                <w:rFonts w:eastAsia="Arial"/>
                <w:noProof/>
                <w:color w:val="000000"/>
                <w:sz w:val="14"/>
                <w:szCs w:val="14"/>
              </w:rPr>
              <w:t>170111</w:t>
            </w:r>
          </w:p>
        </w:tc>
        <w:tc>
          <w:tcPr>
            <w:tcW w:w="720" w:type="dxa"/>
            <w:tcBorders>
              <w:top w:val="single" w:sz="6" w:space="0" w:color="auto"/>
              <w:bottom w:val="single" w:sz="6" w:space="0" w:color="auto"/>
            </w:tcBorders>
            <w:tcMar>
              <w:top w:w="40" w:type="dxa"/>
              <w:left w:w="40" w:type="dxa"/>
              <w:bottom w:w="40" w:type="dxa"/>
              <w:right w:w="40" w:type="dxa"/>
            </w:tcMar>
          </w:tcPr>
          <w:p w:rsidR="00930C8F" w:rsidRPr="00A81D0A" w:rsidRDefault="00234783" w:rsidP="00452B70">
            <w:pPr>
              <w:jc w:val="center"/>
              <w:rPr>
                <w:sz w:val="14"/>
                <w:szCs w:val="14"/>
              </w:rPr>
            </w:pPr>
            <w:r w:rsidRPr="00A81D0A">
              <w:rPr>
                <w:rFonts w:ascii="Wingdings" w:eastAsia="Wingdings" w:hAnsi="Wingdings"/>
                <w:noProof/>
                <w:color w:val="000000"/>
                <w:sz w:val="14"/>
                <w:szCs w:val="14"/>
              </w:rPr>
              <w:t></w:t>
            </w:r>
          </w:p>
        </w:tc>
        <w:tc>
          <w:tcPr>
            <w:tcW w:w="7770" w:type="dxa"/>
            <w:tcBorders>
              <w:top w:val="single" w:sz="6" w:space="0" w:color="auto"/>
              <w:bottom w:val="single" w:sz="6" w:space="0" w:color="auto"/>
            </w:tcBorders>
            <w:tcMar>
              <w:top w:w="40" w:type="dxa"/>
              <w:left w:w="40" w:type="dxa"/>
              <w:bottom w:w="40" w:type="dxa"/>
              <w:right w:w="40" w:type="dxa"/>
            </w:tcMar>
          </w:tcPr>
          <w:p w:rsidR="00EE0CB3" w:rsidRDefault="00234783" w:rsidP="00333B3B">
            <w:pPr>
              <w:jc w:val="left"/>
              <w:rPr>
                <w:rFonts w:eastAsia="Verdana" w:cs="Verdana"/>
                <w:noProof/>
                <w:color w:val="000000"/>
                <w:sz w:val="14"/>
                <w:szCs w:val="14"/>
              </w:rPr>
            </w:pPr>
            <w:r>
              <w:rPr>
                <w:rFonts w:eastAsia="Verdana" w:cs="Verdana"/>
                <w:noProof/>
                <w:color w:val="000000"/>
                <w:sz w:val="14"/>
                <w:szCs w:val="14"/>
              </w:rPr>
              <w:t>(a) Allocation of quotas to supplying countries:</w:t>
            </w: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br/>
              <w:t xml:space="preserve">(i) Global quota. </w:t>
            </w:r>
          </w:p>
          <w:p w:rsidR="00053124" w:rsidRDefault="00053124" w:rsidP="00333B3B">
            <w:pPr>
              <w:jc w:val="left"/>
              <w:rPr>
                <w:rFonts w:eastAsia="Verdana" w:cs="Verdana"/>
                <w:noProof/>
                <w:color w:val="000000"/>
                <w:sz w:val="14"/>
                <w:szCs w:val="14"/>
              </w:rPr>
            </w:pPr>
          </w:p>
          <w:p w:rsidR="003B66C6" w:rsidRDefault="00234783" w:rsidP="00333B3B">
            <w:pPr>
              <w:jc w:val="left"/>
              <w:rPr>
                <w:rFonts w:eastAsia="Verdana" w:cs="Verdana"/>
                <w:noProof/>
                <w:color w:val="000000"/>
                <w:sz w:val="14"/>
                <w:szCs w:val="14"/>
              </w:rPr>
            </w:pPr>
            <w:r>
              <w:rPr>
                <w:rFonts w:eastAsia="Verdana" w:cs="Verdana"/>
                <w:noProof/>
                <w:color w:val="000000"/>
                <w:sz w:val="14"/>
                <w:szCs w:val="14"/>
              </w:rPr>
              <w:t>(ii) The tariff quota is open from 1 January to 31 December.</w:t>
            </w:r>
          </w:p>
          <w:p w:rsidR="003B66C6" w:rsidRDefault="003B66C6" w:rsidP="00333B3B">
            <w:pPr>
              <w:jc w:val="left"/>
              <w:rPr>
                <w:rFonts w:eastAsia="Verdana" w:cs="Verdana"/>
                <w:noProof/>
                <w:color w:val="000000"/>
                <w:sz w:val="14"/>
                <w:szCs w:val="14"/>
              </w:rPr>
            </w:pPr>
          </w:p>
          <w:p w:rsidR="00EE0CB3" w:rsidRDefault="00234783" w:rsidP="00333B3B">
            <w:pPr>
              <w:jc w:val="left"/>
              <w:rPr>
                <w:rFonts w:eastAsia="Verdana" w:cs="Verdana"/>
                <w:noProof/>
                <w:color w:val="000000"/>
                <w:sz w:val="14"/>
                <w:szCs w:val="14"/>
              </w:rPr>
            </w:pPr>
            <w:r>
              <w:rPr>
                <w:rFonts w:eastAsia="Verdana" w:cs="Verdana"/>
                <w:noProof/>
                <w:color w:val="000000"/>
                <w:sz w:val="14"/>
                <w:szCs w:val="14"/>
              </w:rPr>
              <w:t>(b) Allocation of licences or of access to quotas to importers:</w:t>
            </w:r>
            <w:r>
              <w:rPr>
                <w:rFonts w:eastAsia="Verdana" w:cs="Verdana"/>
                <w:noProof/>
                <w:color w:val="000000"/>
                <w:sz w:val="14"/>
                <w:szCs w:val="14"/>
              </w:rPr>
              <w:br/>
            </w: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t>(i) Import licence issued by the Ministry of Economic Development and Trade of Ukraine is required. Licences are issued on the approvals of the State Reserve Agency of Ukraine and the Ministry of Agrarian Policy and Food of Ukraine. The approvals of both the authorities should be received by the applicants before applying for licences. Submitting the certificate of origin of goods (or its copy) is not required for obtaining an import licence.</w:t>
            </w:r>
          </w:p>
          <w:p w:rsidR="00EE0CB3" w:rsidRDefault="00EE0CB3" w:rsidP="00333B3B">
            <w:pPr>
              <w:jc w:val="left"/>
              <w:rPr>
                <w:rFonts w:eastAsia="Verdana" w:cs="Verdana"/>
                <w:noProof/>
                <w:color w:val="000000"/>
                <w:sz w:val="14"/>
                <w:szCs w:val="14"/>
              </w:rPr>
            </w:pP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t>(ii) All registered entities engaged in foreign economic activities, regardless of their ownership form, have the right to submit applications to obtain a licence (see par</w:t>
            </w:r>
            <w:r w:rsidR="00576415">
              <w:rPr>
                <w:rFonts w:eastAsia="Verdana" w:cs="Verdana"/>
                <w:noProof/>
                <w:color w:val="000000"/>
                <w:sz w:val="14"/>
                <w:szCs w:val="14"/>
              </w:rPr>
              <w:t>.</w:t>
            </w:r>
            <w:r>
              <w:rPr>
                <w:rFonts w:eastAsia="Verdana" w:cs="Verdana"/>
                <w:noProof/>
                <w:color w:val="000000"/>
                <w:sz w:val="14"/>
                <w:szCs w:val="14"/>
              </w:rPr>
              <w:t xml:space="preserve"> d) on information regarding the relevant procedures).</w:t>
            </w:r>
          </w:p>
          <w:p w:rsidR="00EE0CB3" w:rsidRDefault="00EE0CB3" w:rsidP="00333B3B">
            <w:pPr>
              <w:jc w:val="left"/>
              <w:rPr>
                <w:rFonts w:eastAsia="Verdana" w:cs="Verdana"/>
                <w:noProof/>
                <w:color w:val="000000"/>
                <w:sz w:val="14"/>
                <w:szCs w:val="14"/>
              </w:rPr>
            </w:pP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t>(iii) Licences are issued on a first-come, first-served basis.</w:t>
            </w:r>
          </w:p>
          <w:p w:rsidR="00EE0CB3" w:rsidRDefault="00EE0CB3" w:rsidP="00333B3B">
            <w:pPr>
              <w:jc w:val="left"/>
              <w:rPr>
                <w:rFonts w:eastAsia="Verdana" w:cs="Verdana"/>
                <w:noProof/>
                <w:color w:val="000000"/>
                <w:sz w:val="14"/>
                <w:szCs w:val="14"/>
              </w:rPr>
            </w:pP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t>(iv) The term of the validity of the import licence is 90 days from the date of its signing, but shall be valid only until 31</w:t>
            </w:r>
            <w:r w:rsidR="00576415">
              <w:rPr>
                <w:rFonts w:eastAsia="Verdana" w:cs="Verdana"/>
                <w:noProof/>
                <w:color w:val="000000"/>
                <w:sz w:val="14"/>
                <w:szCs w:val="14"/>
              </w:rPr>
              <w:t> </w:t>
            </w:r>
            <w:r>
              <w:rPr>
                <w:rFonts w:eastAsia="Verdana" w:cs="Verdana"/>
                <w:noProof/>
                <w:color w:val="000000"/>
                <w:sz w:val="14"/>
                <w:szCs w:val="14"/>
              </w:rPr>
              <w:t>December of the year for which it has been issued, within the amount of tariff rate quota. In the case of exhausting the set quota, acceptance of requests for delivery of licences is halted. Licences are not transferable.</w:t>
            </w: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t>In case of the increase of the value of imports, the licence holder would be required to apply for a new licence. Reducing of the value of imports does not require a new licence</w:t>
            </w:r>
            <w:r w:rsidR="00576415">
              <w:rPr>
                <w:rFonts w:eastAsia="Verdana" w:cs="Verdana"/>
                <w:noProof/>
                <w:color w:val="000000"/>
                <w:sz w:val="14"/>
                <w:szCs w:val="14"/>
              </w:rPr>
              <w:t>.</w:t>
            </w:r>
          </w:p>
          <w:p w:rsidR="00576415" w:rsidRDefault="00234783" w:rsidP="00333B3B">
            <w:pPr>
              <w:jc w:val="left"/>
              <w:rPr>
                <w:rFonts w:eastAsia="Verdana" w:cs="Verdana"/>
                <w:noProof/>
                <w:color w:val="000000"/>
                <w:sz w:val="14"/>
                <w:szCs w:val="14"/>
              </w:rPr>
            </w:pPr>
            <w:r>
              <w:rPr>
                <w:rFonts w:eastAsia="Verdana" w:cs="Verdana"/>
                <w:noProof/>
                <w:color w:val="000000"/>
                <w:sz w:val="14"/>
                <w:szCs w:val="14"/>
              </w:rPr>
              <w:t>Changing the country of origin does not require a new licence</w:t>
            </w:r>
            <w:r w:rsidR="00576415">
              <w:rPr>
                <w:rFonts w:eastAsia="Verdana" w:cs="Verdana"/>
                <w:noProof/>
                <w:color w:val="000000"/>
                <w:sz w:val="14"/>
                <w:szCs w:val="14"/>
              </w:rPr>
              <w:t>.</w:t>
            </w:r>
          </w:p>
          <w:p w:rsidR="00333B3B" w:rsidRPr="00A81D0A" w:rsidRDefault="00234783" w:rsidP="00053124">
            <w:pPr>
              <w:jc w:val="left"/>
              <w:rPr>
                <w:rFonts w:eastAsia="Arial"/>
                <w:color w:val="000000"/>
                <w:sz w:val="14"/>
                <w:szCs w:val="14"/>
              </w:rPr>
            </w:pPr>
            <w:r>
              <w:rPr>
                <w:rFonts w:eastAsia="Verdana" w:cs="Verdana"/>
                <w:noProof/>
                <w:color w:val="000000"/>
                <w:sz w:val="14"/>
                <w:szCs w:val="14"/>
              </w:rPr>
              <w:t xml:space="preserve">In the period not later than 15 days after the date of import licence validity expiring, the subjects of foreign economic activity should submit to the Ministry of Economic Development and Trade the information on factual import of goods under the licence (indicating amounts). </w:t>
            </w:r>
          </w:p>
        </w:tc>
        <w:tc>
          <w:tcPr>
            <w:tcW w:w="845" w:type="dxa"/>
            <w:tcBorders>
              <w:top w:val="single" w:sz="6" w:space="0" w:color="auto"/>
              <w:bottom w:val="single" w:sz="6" w:space="0" w:color="auto"/>
            </w:tcBorders>
            <w:tcMar>
              <w:top w:w="40" w:type="dxa"/>
              <w:left w:w="40" w:type="dxa"/>
              <w:bottom w:w="40" w:type="dxa"/>
              <w:right w:w="40" w:type="dxa"/>
            </w:tcMar>
          </w:tcPr>
          <w:p w:rsidR="00930C8F" w:rsidRPr="00A81D0A" w:rsidRDefault="00F1737F" w:rsidP="00D403F5">
            <w:pPr>
              <w:jc w:val="center"/>
              <w:rPr>
                <w:i/>
                <w:sz w:val="14"/>
                <w:szCs w:val="14"/>
              </w:rPr>
            </w:pPr>
          </w:p>
          <w:p w:rsidR="00930C8F" w:rsidRPr="00A81D0A" w:rsidRDefault="00F1737F" w:rsidP="00D403F5">
            <w:pPr>
              <w:jc w:val="center"/>
              <w:rPr>
                <w:i/>
                <w:sz w:val="14"/>
                <w:szCs w:val="14"/>
              </w:rPr>
            </w:pPr>
          </w:p>
          <w:p w:rsidR="00930C8F" w:rsidRPr="00A81D0A" w:rsidRDefault="00F1737F" w:rsidP="00D403F5">
            <w:pPr>
              <w:jc w:val="center"/>
              <w:rPr>
                <w:sz w:val="14"/>
                <w:szCs w:val="14"/>
              </w:rPr>
            </w:pPr>
          </w:p>
        </w:tc>
      </w:tr>
      <w:tr w:rsidR="00F208C9" w:rsidTr="00F208C9">
        <w:trPr>
          <w:trHeight w:val="20"/>
          <w:jc w:val="center"/>
        </w:trPr>
        <w:tc>
          <w:tcPr>
            <w:tcW w:w="1028" w:type="dxa"/>
            <w:tcBorders>
              <w:top w:val="single" w:sz="6" w:space="0" w:color="auto"/>
            </w:tcBorders>
            <w:tcMar>
              <w:top w:w="40" w:type="dxa"/>
              <w:left w:w="40" w:type="dxa"/>
              <w:bottom w:w="40" w:type="dxa"/>
              <w:right w:w="40" w:type="dxa"/>
            </w:tcMar>
          </w:tcPr>
          <w:p w:rsidR="00F208C9" w:rsidRPr="00A81D0A" w:rsidRDefault="00F208C9" w:rsidP="009E5B29">
            <w:pPr>
              <w:jc w:val="center"/>
              <w:rPr>
                <w:noProof/>
                <w:sz w:val="14"/>
                <w:szCs w:val="14"/>
              </w:rPr>
            </w:pPr>
          </w:p>
        </w:tc>
        <w:tc>
          <w:tcPr>
            <w:tcW w:w="2107" w:type="dxa"/>
            <w:tcBorders>
              <w:top w:val="single" w:sz="6" w:space="0" w:color="auto"/>
            </w:tcBorders>
            <w:tcMar>
              <w:top w:w="40" w:type="dxa"/>
              <w:left w:w="40" w:type="dxa"/>
              <w:bottom w:w="40" w:type="dxa"/>
              <w:right w:w="40" w:type="dxa"/>
            </w:tcMar>
          </w:tcPr>
          <w:p w:rsidR="00F208C9" w:rsidRDefault="00F208C9" w:rsidP="009E5B29">
            <w:pPr>
              <w:jc w:val="center"/>
              <w:rPr>
                <w:rFonts w:eastAsia="Verdana" w:cs="Verdana"/>
                <w:noProof/>
                <w:sz w:val="14"/>
                <w:szCs w:val="14"/>
              </w:rPr>
            </w:pPr>
          </w:p>
        </w:tc>
        <w:tc>
          <w:tcPr>
            <w:tcW w:w="2070" w:type="dxa"/>
            <w:tcBorders>
              <w:top w:val="single" w:sz="6" w:space="0" w:color="auto"/>
            </w:tcBorders>
            <w:tcMar>
              <w:top w:w="40" w:type="dxa"/>
              <w:left w:w="40" w:type="dxa"/>
              <w:bottom w:w="40" w:type="dxa"/>
              <w:right w:w="40" w:type="dxa"/>
            </w:tcMar>
          </w:tcPr>
          <w:p w:rsidR="00F208C9" w:rsidRPr="00A81D0A" w:rsidRDefault="00F208C9" w:rsidP="00452B70">
            <w:pPr>
              <w:jc w:val="center"/>
              <w:rPr>
                <w:rFonts w:eastAsia="Arial"/>
                <w:noProof/>
                <w:color w:val="000000"/>
                <w:sz w:val="14"/>
                <w:szCs w:val="14"/>
              </w:rPr>
            </w:pPr>
          </w:p>
        </w:tc>
        <w:tc>
          <w:tcPr>
            <w:tcW w:w="720" w:type="dxa"/>
            <w:tcBorders>
              <w:top w:val="single" w:sz="6" w:space="0" w:color="auto"/>
            </w:tcBorders>
            <w:tcMar>
              <w:top w:w="40" w:type="dxa"/>
              <w:left w:w="40" w:type="dxa"/>
              <w:bottom w:w="40" w:type="dxa"/>
              <w:right w:w="40" w:type="dxa"/>
            </w:tcMar>
          </w:tcPr>
          <w:p w:rsidR="00F208C9" w:rsidRPr="00A81D0A" w:rsidRDefault="00F208C9" w:rsidP="00452B70">
            <w:pPr>
              <w:jc w:val="center"/>
              <w:rPr>
                <w:rFonts w:ascii="Wingdings" w:eastAsia="Wingdings" w:hAnsi="Wingdings"/>
                <w:noProof/>
                <w:color w:val="000000"/>
                <w:sz w:val="14"/>
                <w:szCs w:val="14"/>
              </w:rPr>
            </w:pPr>
          </w:p>
        </w:tc>
        <w:tc>
          <w:tcPr>
            <w:tcW w:w="7770" w:type="dxa"/>
            <w:tcBorders>
              <w:top w:val="single" w:sz="6" w:space="0" w:color="auto"/>
            </w:tcBorders>
            <w:tcMar>
              <w:top w:w="40" w:type="dxa"/>
              <w:left w:w="40" w:type="dxa"/>
              <w:bottom w:w="40" w:type="dxa"/>
              <w:right w:w="40" w:type="dxa"/>
            </w:tcMar>
          </w:tcPr>
          <w:p w:rsidR="00F208C9" w:rsidRDefault="00F208C9" w:rsidP="00F208C9">
            <w:pPr>
              <w:keepNext/>
              <w:keepLines/>
              <w:jc w:val="left"/>
              <w:rPr>
                <w:rFonts w:eastAsia="Verdana" w:cs="Verdana"/>
                <w:noProof/>
                <w:color w:val="000000"/>
                <w:sz w:val="14"/>
                <w:szCs w:val="14"/>
              </w:rPr>
            </w:pPr>
            <w:r>
              <w:rPr>
                <w:rFonts w:eastAsia="Verdana" w:cs="Verdana"/>
                <w:noProof/>
                <w:color w:val="000000"/>
                <w:sz w:val="14"/>
                <w:szCs w:val="14"/>
              </w:rPr>
              <w:t>(c) Details of other arrangements (not involving import licences): None.</w:t>
            </w:r>
          </w:p>
          <w:p w:rsidR="00F208C9" w:rsidRDefault="00F208C9" w:rsidP="00F208C9">
            <w:pPr>
              <w:keepNext/>
              <w:keepLines/>
              <w:jc w:val="left"/>
              <w:rPr>
                <w:rFonts w:eastAsia="Verdana" w:cs="Verdana"/>
                <w:noProof/>
                <w:color w:val="000000"/>
                <w:sz w:val="14"/>
                <w:szCs w:val="14"/>
              </w:rPr>
            </w:pPr>
            <w:r>
              <w:rPr>
                <w:rFonts w:eastAsia="Verdana" w:cs="Verdana"/>
                <w:noProof/>
                <w:color w:val="000000"/>
                <w:sz w:val="14"/>
                <w:szCs w:val="14"/>
              </w:rPr>
              <w:br/>
              <w:t xml:space="preserve">(d) Other information: </w:t>
            </w:r>
          </w:p>
          <w:p w:rsidR="00F208C9" w:rsidRDefault="00F208C9" w:rsidP="00F208C9">
            <w:pPr>
              <w:keepNext/>
              <w:keepLines/>
              <w:jc w:val="left"/>
              <w:rPr>
                <w:rFonts w:eastAsia="Verdana" w:cs="Verdana"/>
                <w:noProof/>
                <w:color w:val="000000"/>
                <w:sz w:val="14"/>
                <w:szCs w:val="14"/>
              </w:rPr>
            </w:pPr>
          </w:p>
          <w:p w:rsidR="00F208C9" w:rsidRDefault="00F208C9" w:rsidP="00F208C9">
            <w:pPr>
              <w:keepNext/>
              <w:keepLines/>
              <w:jc w:val="left"/>
              <w:rPr>
                <w:rFonts w:eastAsia="Verdana" w:cs="Verdana"/>
                <w:noProof/>
                <w:color w:val="000000"/>
                <w:sz w:val="14"/>
                <w:szCs w:val="14"/>
              </w:rPr>
            </w:pPr>
            <w:r>
              <w:rPr>
                <w:rFonts w:eastAsia="Verdana" w:cs="Verdana"/>
                <w:noProof/>
                <w:color w:val="000000"/>
                <w:sz w:val="14"/>
                <w:szCs w:val="14"/>
              </w:rPr>
              <w:t xml:space="preserve">The Procedure for allocating the tariff rate quota on imported raw cane sugar into Ukraine is specified in the Resolution of the Cabinet of Ministers of Ukraine of 12 November 2008 No. 1002  (with amendments) and is available on the official site of the Verkhovna Rada of Ukraine: </w:t>
            </w:r>
            <w:hyperlink r:id="rId14" w:history="1">
              <w:r w:rsidRPr="00C75D8D">
                <w:rPr>
                  <w:rStyle w:val="Hyperlink"/>
                  <w:rFonts w:eastAsia="Verdana" w:cs="Verdana"/>
                  <w:noProof/>
                  <w:sz w:val="14"/>
                  <w:szCs w:val="14"/>
                </w:rPr>
                <w:t>https://zakon.rada.gov.ua/laws/show/1002-2008-п</w:t>
              </w:r>
            </w:hyperlink>
            <w:r>
              <w:rPr>
                <w:rFonts w:eastAsia="Verdana" w:cs="Verdana"/>
                <w:noProof/>
                <w:color w:val="000000"/>
                <w:sz w:val="14"/>
                <w:szCs w:val="14"/>
              </w:rPr>
              <w:t xml:space="preserve">. </w:t>
            </w:r>
          </w:p>
          <w:p w:rsidR="00F208C9" w:rsidRDefault="00F208C9" w:rsidP="00F208C9">
            <w:pPr>
              <w:keepNext/>
              <w:keepLines/>
              <w:jc w:val="left"/>
              <w:rPr>
                <w:rFonts w:eastAsia="Verdana" w:cs="Verdana"/>
                <w:noProof/>
                <w:color w:val="000000"/>
                <w:sz w:val="14"/>
                <w:szCs w:val="14"/>
              </w:rPr>
            </w:pPr>
          </w:p>
          <w:p w:rsidR="00F208C9" w:rsidRDefault="00F208C9" w:rsidP="00F208C9">
            <w:pPr>
              <w:jc w:val="left"/>
              <w:rPr>
                <w:rFonts w:eastAsia="Verdana" w:cs="Verdana"/>
                <w:noProof/>
                <w:color w:val="000000"/>
                <w:sz w:val="14"/>
                <w:szCs w:val="14"/>
              </w:rPr>
            </w:pPr>
            <w:r>
              <w:rPr>
                <w:rFonts w:eastAsia="Verdana" w:cs="Verdana"/>
                <w:noProof/>
                <w:color w:val="000000"/>
                <w:sz w:val="14"/>
                <w:szCs w:val="14"/>
              </w:rPr>
              <w:t xml:space="preserve">The Procedure for issuing licences to import raw cane sugar to Ukraine within the amount of tariff rate quota is specified in the Order of the Ministry of Economy of Ukraine of 20 January 2009 No. 15 (with amendments) and is available on the official site of the Verkhovna Rada of Ukraine </w:t>
            </w:r>
            <w:hyperlink r:id="rId15" w:history="1">
              <w:r w:rsidRPr="00C75D8D">
                <w:rPr>
                  <w:rStyle w:val="Hyperlink"/>
                  <w:rFonts w:eastAsia="Verdana" w:cs="Verdana"/>
                  <w:noProof/>
                  <w:sz w:val="14"/>
                  <w:szCs w:val="14"/>
                </w:rPr>
                <w:t>https://zakon.rada.gov.ua/laws/show/z0117-09</w:t>
              </w:r>
            </w:hyperlink>
            <w:r>
              <w:rPr>
                <w:rFonts w:eastAsia="Verdana" w:cs="Verdana"/>
                <w:noProof/>
                <w:color w:val="000000"/>
                <w:sz w:val="14"/>
                <w:szCs w:val="14"/>
              </w:rPr>
              <w:t>.</w:t>
            </w:r>
          </w:p>
        </w:tc>
        <w:tc>
          <w:tcPr>
            <w:tcW w:w="845" w:type="dxa"/>
            <w:tcBorders>
              <w:top w:val="single" w:sz="6" w:space="0" w:color="auto"/>
            </w:tcBorders>
            <w:tcMar>
              <w:top w:w="40" w:type="dxa"/>
              <w:left w:w="40" w:type="dxa"/>
              <w:bottom w:w="40" w:type="dxa"/>
              <w:right w:w="40" w:type="dxa"/>
            </w:tcMar>
          </w:tcPr>
          <w:p w:rsidR="00F208C9" w:rsidRPr="00A81D0A" w:rsidRDefault="00F208C9" w:rsidP="00D403F5">
            <w:pPr>
              <w:jc w:val="center"/>
              <w:rPr>
                <w:i/>
                <w:sz w:val="14"/>
                <w:szCs w:val="14"/>
              </w:rPr>
            </w:pPr>
          </w:p>
        </w:tc>
      </w:tr>
    </w:tbl>
    <w:p w:rsidR="00DA3E75" w:rsidRDefault="00F1737F" w:rsidP="00433D4B">
      <w:pPr>
        <w:rPr>
          <w:rFonts w:eastAsia="Arial"/>
          <w:szCs w:val="18"/>
        </w:rPr>
      </w:pPr>
    </w:p>
    <w:p w:rsidR="00576415" w:rsidRDefault="00576415" w:rsidP="00576415">
      <w:pPr>
        <w:rPr>
          <w:rFonts w:eastAsia="Arial"/>
          <w:szCs w:val="18"/>
        </w:rPr>
      </w:pPr>
    </w:p>
    <w:p w:rsidR="00576415" w:rsidRPr="00576415" w:rsidRDefault="00576415" w:rsidP="00576415">
      <w:pPr>
        <w:jc w:val="center"/>
        <w:rPr>
          <w:rFonts w:eastAsia="Arial"/>
          <w:szCs w:val="18"/>
        </w:rPr>
      </w:pPr>
      <w:r>
        <w:rPr>
          <w:rFonts w:eastAsia="Arial"/>
          <w:b/>
          <w:szCs w:val="18"/>
        </w:rPr>
        <w:t>__________</w:t>
      </w:r>
    </w:p>
    <w:sectPr w:rsidR="00576415" w:rsidRPr="00576415" w:rsidSect="00A94556">
      <w:headerReference w:type="even" r:id="rId16"/>
      <w:headerReference w:type="default" r:id="rId17"/>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29" w:rsidRDefault="00234783">
      <w:r>
        <w:separator/>
      </w:r>
    </w:p>
  </w:endnote>
  <w:endnote w:type="continuationSeparator" w:id="0">
    <w:p w:rsidR="00563829" w:rsidRDefault="0023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65" w:rsidRPr="00F208C9" w:rsidRDefault="00F208C9" w:rsidP="00F208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65" w:rsidRPr="00F208C9" w:rsidRDefault="00F208C9" w:rsidP="00F208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7F" w:rsidRDefault="00F1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29" w:rsidRDefault="00234783">
      <w:r>
        <w:separator/>
      </w:r>
    </w:p>
  </w:footnote>
  <w:footnote w:type="continuationSeparator" w:id="0">
    <w:p w:rsidR="00563829" w:rsidRDefault="0023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C9" w:rsidRPr="00F208C9" w:rsidRDefault="00F208C9" w:rsidP="00F208C9">
    <w:pPr>
      <w:pStyle w:val="Header"/>
      <w:pBdr>
        <w:bottom w:val="single" w:sz="4" w:space="1" w:color="auto"/>
      </w:pBdr>
      <w:tabs>
        <w:tab w:val="clear" w:pos="4513"/>
        <w:tab w:val="clear" w:pos="9027"/>
      </w:tabs>
      <w:jc w:val="center"/>
    </w:pPr>
    <w:r w:rsidRPr="00F208C9">
      <w:t>G/AG/N/UKR/34</w:t>
    </w:r>
  </w:p>
  <w:p w:rsidR="00F208C9" w:rsidRPr="00F208C9" w:rsidRDefault="00F208C9" w:rsidP="00F208C9">
    <w:pPr>
      <w:pStyle w:val="Header"/>
      <w:pBdr>
        <w:bottom w:val="single" w:sz="4" w:space="1" w:color="auto"/>
      </w:pBdr>
      <w:tabs>
        <w:tab w:val="clear" w:pos="4513"/>
        <w:tab w:val="clear" w:pos="9027"/>
      </w:tabs>
      <w:jc w:val="center"/>
    </w:pPr>
  </w:p>
  <w:p w:rsidR="00F208C9" w:rsidRPr="00F208C9" w:rsidRDefault="00F208C9" w:rsidP="00F208C9">
    <w:pPr>
      <w:pStyle w:val="Header"/>
      <w:pBdr>
        <w:bottom w:val="single" w:sz="4" w:space="1" w:color="auto"/>
      </w:pBdr>
      <w:tabs>
        <w:tab w:val="clear" w:pos="4513"/>
        <w:tab w:val="clear" w:pos="9027"/>
      </w:tabs>
      <w:jc w:val="center"/>
    </w:pPr>
    <w:r w:rsidRPr="00F208C9">
      <w:t xml:space="preserve">- </w:t>
    </w:r>
    <w:r w:rsidRPr="00F208C9">
      <w:fldChar w:fldCharType="begin"/>
    </w:r>
    <w:r w:rsidRPr="00F208C9">
      <w:instrText xml:space="preserve"> PAGE </w:instrText>
    </w:r>
    <w:r w:rsidRPr="00F208C9">
      <w:fldChar w:fldCharType="separate"/>
    </w:r>
    <w:r w:rsidRPr="00F208C9">
      <w:rPr>
        <w:noProof/>
      </w:rPr>
      <w:t>1</w:t>
    </w:r>
    <w:r w:rsidRPr="00F208C9">
      <w:fldChar w:fldCharType="end"/>
    </w:r>
    <w:r w:rsidRPr="00F208C9">
      <w:t xml:space="preserve"> -</w:t>
    </w:r>
  </w:p>
  <w:p w:rsidR="00373965" w:rsidRPr="00F208C9" w:rsidRDefault="00F1737F" w:rsidP="00F208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C9" w:rsidRPr="00F208C9" w:rsidRDefault="00F208C9" w:rsidP="00F208C9">
    <w:pPr>
      <w:pStyle w:val="Header"/>
      <w:pBdr>
        <w:bottom w:val="single" w:sz="4" w:space="1" w:color="auto"/>
      </w:pBdr>
      <w:tabs>
        <w:tab w:val="clear" w:pos="4513"/>
        <w:tab w:val="clear" w:pos="9027"/>
      </w:tabs>
      <w:jc w:val="center"/>
    </w:pPr>
    <w:r w:rsidRPr="00F208C9">
      <w:t>G/AG/N/UKR/34</w:t>
    </w:r>
  </w:p>
  <w:p w:rsidR="00F208C9" w:rsidRPr="00F208C9" w:rsidRDefault="00F208C9" w:rsidP="00F208C9">
    <w:pPr>
      <w:pStyle w:val="Header"/>
      <w:pBdr>
        <w:bottom w:val="single" w:sz="4" w:space="1" w:color="auto"/>
      </w:pBdr>
      <w:tabs>
        <w:tab w:val="clear" w:pos="4513"/>
        <w:tab w:val="clear" w:pos="9027"/>
      </w:tabs>
      <w:jc w:val="center"/>
    </w:pPr>
  </w:p>
  <w:p w:rsidR="00F208C9" w:rsidRPr="00F208C9" w:rsidRDefault="00F208C9" w:rsidP="00F208C9">
    <w:pPr>
      <w:pStyle w:val="Header"/>
      <w:pBdr>
        <w:bottom w:val="single" w:sz="4" w:space="1" w:color="auto"/>
      </w:pBdr>
      <w:tabs>
        <w:tab w:val="clear" w:pos="4513"/>
        <w:tab w:val="clear" w:pos="9027"/>
      </w:tabs>
      <w:jc w:val="center"/>
    </w:pPr>
    <w:r w:rsidRPr="00F208C9">
      <w:t xml:space="preserve">- </w:t>
    </w:r>
    <w:r w:rsidRPr="00F208C9">
      <w:fldChar w:fldCharType="begin"/>
    </w:r>
    <w:r w:rsidRPr="00F208C9">
      <w:instrText xml:space="preserve"> PAGE </w:instrText>
    </w:r>
    <w:r w:rsidRPr="00F208C9">
      <w:fldChar w:fldCharType="separate"/>
    </w:r>
    <w:r w:rsidRPr="00F208C9">
      <w:rPr>
        <w:noProof/>
      </w:rPr>
      <w:t>2</w:t>
    </w:r>
    <w:r w:rsidRPr="00F208C9">
      <w:fldChar w:fldCharType="end"/>
    </w:r>
    <w:r w:rsidRPr="00F208C9">
      <w:t xml:space="preserve"> -</w:t>
    </w:r>
  </w:p>
  <w:p w:rsidR="00373965" w:rsidRPr="00F208C9" w:rsidRDefault="00F1737F" w:rsidP="00F208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0E4A" w:rsidTr="009E5858">
      <w:trPr>
        <w:trHeight w:val="240"/>
        <w:jc w:val="center"/>
      </w:trPr>
      <w:tc>
        <w:tcPr>
          <w:tcW w:w="3794" w:type="dxa"/>
          <w:shd w:val="clear" w:color="auto" w:fill="FFFFFF"/>
          <w:tcMar>
            <w:left w:w="108" w:type="dxa"/>
            <w:right w:w="108" w:type="dxa"/>
          </w:tcMar>
          <w:vAlign w:val="center"/>
        </w:tcPr>
        <w:p w:rsidR="00373965" w:rsidRPr="00BE3236" w:rsidRDefault="00F1737F" w:rsidP="002A695B">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373965" w:rsidRPr="00BE3236" w:rsidRDefault="00F208C9" w:rsidP="002A695B">
          <w:pPr>
            <w:jc w:val="right"/>
            <w:rPr>
              <w:b/>
              <w:color w:val="FF0000"/>
              <w:szCs w:val="16"/>
            </w:rPr>
          </w:pPr>
          <w:r>
            <w:rPr>
              <w:b/>
              <w:color w:val="FF0000"/>
              <w:szCs w:val="16"/>
            </w:rPr>
            <w:t xml:space="preserve"> </w:t>
          </w:r>
        </w:p>
      </w:tc>
    </w:tr>
    <w:bookmarkEnd w:id="0"/>
    <w:tr w:rsidR="00D90E4A" w:rsidTr="009E5858">
      <w:trPr>
        <w:trHeight w:val="213"/>
        <w:jc w:val="center"/>
      </w:trPr>
      <w:tc>
        <w:tcPr>
          <w:tcW w:w="3794" w:type="dxa"/>
          <w:vMerge w:val="restart"/>
          <w:shd w:val="clear" w:color="auto" w:fill="FFFFFF"/>
          <w:tcMar>
            <w:left w:w="0" w:type="dxa"/>
            <w:right w:w="0" w:type="dxa"/>
          </w:tcMar>
        </w:tcPr>
        <w:p w:rsidR="00373965" w:rsidRPr="00BE3236" w:rsidRDefault="007C1093" w:rsidP="002A695B">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373965" w:rsidRPr="00BE3236" w:rsidRDefault="00F1737F" w:rsidP="007E6BE0">
          <w:pPr>
            <w:jc w:val="right"/>
            <w:rPr>
              <w:b/>
              <w:szCs w:val="16"/>
            </w:rPr>
          </w:pPr>
        </w:p>
      </w:tc>
    </w:tr>
    <w:tr w:rsidR="00D90E4A" w:rsidTr="009E5858">
      <w:trPr>
        <w:trHeight w:val="868"/>
        <w:jc w:val="center"/>
      </w:trPr>
      <w:tc>
        <w:tcPr>
          <w:tcW w:w="3794" w:type="dxa"/>
          <w:vMerge/>
          <w:shd w:val="clear" w:color="auto" w:fill="FFFFFF"/>
          <w:tcMar>
            <w:left w:w="108" w:type="dxa"/>
            <w:right w:w="108" w:type="dxa"/>
          </w:tcMar>
        </w:tcPr>
        <w:p w:rsidR="00373965" w:rsidRPr="00BE3236" w:rsidRDefault="00F1737F" w:rsidP="002A695B">
          <w:pPr>
            <w:jc w:val="left"/>
            <w:rPr>
              <w:noProof/>
              <w:lang w:eastAsia="en-GB"/>
            </w:rPr>
          </w:pPr>
        </w:p>
      </w:tc>
      <w:tc>
        <w:tcPr>
          <w:tcW w:w="5448" w:type="dxa"/>
          <w:gridSpan w:val="2"/>
          <w:shd w:val="clear" w:color="auto" w:fill="FFFFFF"/>
          <w:tcMar>
            <w:left w:w="108" w:type="dxa"/>
            <w:right w:w="108" w:type="dxa"/>
          </w:tcMar>
        </w:tcPr>
        <w:p w:rsidR="00F208C9" w:rsidRDefault="00F208C9" w:rsidP="00A56E54">
          <w:pPr>
            <w:jc w:val="right"/>
            <w:rPr>
              <w:b/>
              <w:szCs w:val="18"/>
            </w:rPr>
          </w:pPr>
          <w:bookmarkStart w:id="1" w:name="bmkSymbols"/>
          <w:r>
            <w:rPr>
              <w:b/>
              <w:szCs w:val="18"/>
            </w:rPr>
            <w:t>G/AG/N/UKR/34</w:t>
          </w:r>
        </w:p>
        <w:bookmarkEnd w:id="1"/>
        <w:p w:rsidR="00A56E54" w:rsidRDefault="00F1737F" w:rsidP="00A56E54">
          <w:pPr>
            <w:jc w:val="right"/>
            <w:rPr>
              <w:b/>
              <w:szCs w:val="18"/>
            </w:rPr>
          </w:pPr>
        </w:p>
        <w:p w:rsidR="00373965" w:rsidRPr="00BE3236" w:rsidRDefault="00F1737F" w:rsidP="00F51079">
          <w:pPr>
            <w:jc w:val="right"/>
            <w:rPr>
              <w:b/>
              <w:szCs w:val="16"/>
            </w:rPr>
          </w:pPr>
        </w:p>
      </w:tc>
    </w:tr>
    <w:tr w:rsidR="00D90E4A" w:rsidTr="009E5858">
      <w:trPr>
        <w:trHeight w:val="240"/>
        <w:jc w:val="center"/>
      </w:trPr>
      <w:tc>
        <w:tcPr>
          <w:tcW w:w="3794" w:type="dxa"/>
          <w:vMerge/>
          <w:shd w:val="clear" w:color="auto" w:fill="FFFFFF"/>
          <w:tcMar>
            <w:left w:w="108" w:type="dxa"/>
            <w:right w:w="108" w:type="dxa"/>
          </w:tcMar>
          <w:vAlign w:val="center"/>
        </w:tcPr>
        <w:p w:rsidR="00373965" w:rsidRPr="00BE3236" w:rsidRDefault="00F1737F" w:rsidP="002A695B"/>
      </w:tc>
      <w:tc>
        <w:tcPr>
          <w:tcW w:w="5448" w:type="dxa"/>
          <w:gridSpan w:val="2"/>
          <w:shd w:val="clear" w:color="auto" w:fill="FFFFFF"/>
          <w:tcMar>
            <w:left w:w="108" w:type="dxa"/>
            <w:right w:w="108" w:type="dxa"/>
          </w:tcMar>
          <w:vAlign w:val="center"/>
        </w:tcPr>
        <w:p w:rsidR="00373965" w:rsidRPr="00576415" w:rsidRDefault="00234783" w:rsidP="002A695B">
          <w:pPr>
            <w:jc w:val="right"/>
            <w:rPr>
              <w:szCs w:val="16"/>
            </w:rPr>
          </w:pPr>
          <w:r w:rsidRPr="00576415">
            <w:rPr>
              <w:rFonts w:eastAsia="Arial"/>
              <w:noProof/>
              <w:szCs w:val="18"/>
            </w:rPr>
            <w:t>23 August</w:t>
          </w:r>
          <w:r w:rsidRPr="00576415">
            <w:rPr>
              <w:rFonts w:eastAsia="Arial"/>
              <w:szCs w:val="18"/>
            </w:rPr>
            <w:t xml:space="preserve"> 2019</w:t>
          </w:r>
        </w:p>
      </w:tc>
    </w:tr>
    <w:tr w:rsidR="00D90E4A" w:rsidTr="009E58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73965" w:rsidRPr="00F1737F" w:rsidRDefault="00F1737F" w:rsidP="00270D48">
          <w:pPr>
            <w:spacing w:after="20"/>
            <w:jc w:val="left"/>
          </w:pPr>
          <w:bookmarkStart w:id="2" w:name="bmkSerial" w:colFirst="0" w:colLast="0"/>
          <w:bookmarkStart w:id="3" w:name="_GoBack"/>
          <w:r w:rsidRPr="00F1737F">
            <w:rPr>
              <w:color w:val="FF0000"/>
            </w:rPr>
            <w:t>(19-5442)</w:t>
          </w:r>
          <w:bookmarkEnd w:id="3"/>
        </w:p>
      </w:tc>
      <w:tc>
        <w:tcPr>
          <w:tcW w:w="3325" w:type="dxa"/>
          <w:tcBorders>
            <w:bottom w:val="single" w:sz="4" w:space="0" w:color="auto"/>
          </w:tcBorders>
          <w:tcMar>
            <w:top w:w="0" w:type="dxa"/>
            <w:left w:w="108" w:type="dxa"/>
            <w:bottom w:w="57" w:type="dxa"/>
            <w:right w:w="108" w:type="dxa"/>
          </w:tcMar>
          <w:vAlign w:val="bottom"/>
        </w:tcPr>
        <w:p w:rsidR="00373965" w:rsidRPr="00BE3236" w:rsidRDefault="00234783" w:rsidP="00270D48">
          <w:pPr>
            <w:spacing w:after="20"/>
            <w:jc w:val="right"/>
            <w:rPr>
              <w:szCs w:val="16"/>
            </w:rPr>
          </w:pPr>
          <w:bookmarkStart w:id="4" w:name="bmkTotPages"/>
          <w:r w:rsidRPr="00BE3236">
            <w:rPr>
              <w:bCs/>
              <w:szCs w:val="16"/>
            </w:rPr>
            <w:t xml:space="preserve">Page: </w:t>
          </w:r>
          <w:r w:rsidRPr="00BE3236">
            <w:rPr>
              <w:bCs/>
              <w:szCs w:val="16"/>
            </w:rPr>
            <w:fldChar w:fldCharType="begin"/>
          </w:r>
          <w:r w:rsidRPr="00BE3236">
            <w:rPr>
              <w:bCs/>
              <w:szCs w:val="16"/>
            </w:rPr>
            <w:instrText xml:space="preserve"> PAGE  \* Arabic  \* MERGEFORMAT </w:instrText>
          </w:r>
          <w:r w:rsidRPr="00BE3236">
            <w:rPr>
              <w:bCs/>
              <w:szCs w:val="16"/>
            </w:rPr>
            <w:fldChar w:fldCharType="separate"/>
          </w:r>
          <w:r>
            <w:rPr>
              <w:bCs/>
              <w:noProof/>
              <w:szCs w:val="16"/>
            </w:rPr>
            <w:t>1</w:t>
          </w:r>
          <w:r w:rsidRPr="00BE3236">
            <w:rPr>
              <w:bCs/>
              <w:szCs w:val="16"/>
            </w:rPr>
            <w:fldChar w:fldCharType="end"/>
          </w:r>
          <w:r w:rsidRPr="00BE3236">
            <w:rPr>
              <w:bCs/>
              <w:szCs w:val="16"/>
            </w:rPr>
            <w:t>/</w:t>
          </w:r>
          <w:r w:rsidRPr="00BE3236">
            <w:rPr>
              <w:bCs/>
              <w:szCs w:val="16"/>
            </w:rPr>
            <w:fldChar w:fldCharType="begin"/>
          </w:r>
          <w:r w:rsidRPr="00BE3236">
            <w:rPr>
              <w:bCs/>
              <w:szCs w:val="16"/>
            </w:rPr>
            <w:instrText xml:space="preserve"> NUMPAGES  \* Arabic  \* MERGEFORMAT </w:instrText>
          </w:r>
          <w:r w:rsidRPr="00BE3236">
            <w:rPr>
              <w:bCs/>
              <w:szCs w:val="16"/>
            </w:rPr>
            <w:fldChar w:fldCharType="separate"/>
          </w:r>
          <w:r>
            <w:rPr>
              <w:bCs/>
              <w:noProof/>
              <w:szCs w:val="16"/>
            </w:rPr>
            <w:t>4</w:t>
          </w:r>
          <w:r w:rsidRPr="00BE3236">
            <w:rPr>
              <w:bCs/>
              <w:szCs w:val="16"/>
            </w:rPr>
            <w:fldChar w:fldCharType="end"/>
          </w:r>
          <w:bookmarkEnd w:id="4"/>
        </w:p>
      </w:tc>
    </w:tr>
    <w:tr w:rsidR="00D90E4A" w:rsidTr="009E58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73965" w:rsidRPr="00BE3236" w:rsidRDefault="00F208C9" w:rsidP="002A695B">
          <w:pPr>
            <w:jc w:val="left"/>
            <w:rPr>
              <w:sz w:val="14"/>
              <w:szCs w:val="16"/>
            </w:rPr>
          </w:pPr>
          <w:bookmarkStart w:id="5" w:name="bmkCommittee"/>
          <w:bookmarkStart w:id="6" w:name="bmkLanguage" w:colFirst="1" w:colLast="1"/>
          <w:bookmarkEnd w:id="2"/>
          <w:r>
            <w:rPr>
              <w:b/>
            </w:rPr>
            <w:t>Committee on Agriculture</w:t>
          </w:r>
          <w:bookmarkEnd w:id="5"/>
        </w:p>
      </w:tc>
      <w:tc>
        <w:tcPr>
          <w:tcW w:w="3325" w:type="dxa"/>
          <w:tcBorders>
            <w:top w:val="single" w:sz="4" w:space="0" w:color="auto"/>
          </w:tcBorders>
          <w:tcMar>
            <w:top w:w="113" w:type="dxa"/>
            <w:left w:w="108" w:type="dxa"/>
            <w:bottom w:w="57" w:type="dxa"/>
            <w:right w:w="108" w:type="dxa"/>
          </w:tcMar>
          <w:vAlign w:val="center"/>
        </w:tcPr>
        <w:p w:rsidR="00373965" w:rsidRPr="00BE3236" w:rsidRDefault="00F208C9" w:rsidP="00657C9F">
          <w:pPr>
            <w:jc w:val="right"/>
            <w:rPr>
              <w:bCs/>
              <w:szCs w:val="18"/>
            </w:rPr>
          </w:pPr>
          <w:r>
            <w:rPr>
              <w:szCs w:val="18"/>
            </w:rPr>
            <w:t>Original: English</w:t>
          </w:r>
        </w:p>
      </w:tc>
    </w:tr>
    <w:bookmarkEnd w:id="6"/>
  </w:tbl>
  <w:p w:rsidR="00373965" w:rsidRDefault="00F17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C9" w:rsidRDefault="00F208C9" w:rsidP="00F208C9">
    <w:pPr>
      <w:framePr w:w="709" w:h="9071" w:hRule="exact" w:vSpace="800" w:wrap="around" w:vAnchor="page" w:hAnchor="page" w:x="15421" w:y="1418"/>
      <w:pBdr>
        <w:bottom w:val="single" w:sz="4" w:space="1" w:color="auto"/>
      </w:pBdr>
      <w:jc w:val="center"/>
      <w:textDirection w:val="tbRl"/>
    </w:pPr>
    <w:r>
      <w:t>G/AG/N/UKR/34</w:t>
    </w:r>
  </w:p>
  <w:p w:rsidR="00F208C9" w:rsidRDefault="00F208C9" w:rsidP="00F208C9">
    <w:pPr>
      <w:framePr w:w="709" w:h="9071" w:hRule="exact" w:vSpace="800" w:wrap="around" w:vAnchor="page" w:hAnchor="page" w:x="15421" w:y="1418"/>
      <w:pBdr>
        <w:bottom w:val="single" w:sz="4" w:space="1" w:color="auto"/>
      </w:pBdr>
      <w:jc w:val="center"/>
      <w:textDirection w:val="tbRl"/>
    </w:pPr>
  </w:p>
  <w:p w:rsidR="00F208C9" w:rsidRDefault="00F208C9" w:rsidP="00F208C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rsidR="00373965" w:rsidRPr="00F208C9" w:rsidRDefault="00F1737F" w:rsidP="00F208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C9" w:rsidRDefault="00F208C9" w:rsidP="00F208C9">
    <w:pPr>
      <w:framePr w:w="709" w:h="9071" w:hRule="exact" w:vSpace="800" w:wrap="around" w:vAnchor="page" w:hAnchor="page" w:x="15421" w:y="1418"/>
      <w:pBdr>
        <w:bottom w:val="single" w:sz="4" w:space="1" w:color="auto"/>
      </w:pBdr>
      <w:jc w:val="center"/>
      <w:textDirection w:val="tbRl"/>
    </w:pPr>
    <w:r>
      <w:t>G/AG/N/UKR/34</w:t>
    </w:r>
  </w:p>
  <w:p w:rsidR="00F208C9" w:rsidRDefault="00F208C9" w:rsidP="00F208C9">
    <w:pPr>
      <w:framePr w:w="709" w:h="9071" w:hRule="exact" w:vSpace="800" w:wrap="around" w:vAnchor="page" w:hAnchor="page" w:x="15421" w:y="1418"/>
      <w:pBdr>
        <w:bottom w:val="single" w:sz="4" w:space="1" w:color="auto"/>
      </w:pBdr>
      <w:jc w:val="center"/>
      <w:textDirection w:val="tbRl"/>
    </w:pPr>
  </w:p>
  <w:p w:rsidR="00F208C9" w:rsidRDefault="00F208C9" w:rsidP="00F208C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rsidR="00373965" w:rsidRPr="00F208C9" w:rsidRDefault="00F1737F" w:rsidP="00F20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BC3D78">
      <w:start w:val="1"/>
      <w:numFmt w:val="decimal"/>
      <w:pStyle w:val="SummaryText"/>
      <w:lvlText w:val="%1."/>
      <w:lvlJc w:val="left"/>
      <w:pPr>
        <w:ind w:left="360" w:hanging="360"/>
      </w:pPr>
    </w:lvl>
    <w:lvl w:ilvl="1" w:tplc="B11064AA" w:tentative="1">
      <w:start w:val="1"/>
      <w:numFmt w:val="lowerLetter"/>
      <w:lvlText w:val="%2."/>
      <w:lvlJc w:val="left"/>
      <w:pPr>
        <w:ind w:left="1080" w:hanging="360"/>
      </w:pPr>
    </w:lvl>
    <w:lvl w:ilvl="2" w:tplc="4336C514" w:tentative="1">
      <w:start w:val="1"/>
      <w:numFmt w:val="lowerRoman"/>
      <w:lvlText w:val="%3."/>
      <w:lvlJc w:val="right"/>
      <w:pPr>
        <w:ind w:left="1800" w:hanging="180"/>
      </w:pPr>
    </w:lvl>
    <w:lvl w:ilvl="3" w:tplc="32D4665A" w:tentative="1">
      <w:start w:val="1"/>
      <w:numFmt w:val="decimal"/>
      <w:lvlText w:val="%4."/>
      <w:lvlJc w:val="left"/>
      <w:pPr>
        <w:ind w:left="2520" w:hanging="360"/>
      </w:pPr>
    </w:lvl>
    <w:lvl w:ilvl="4" w:tplc="E940C9F2" w:tentative="1">
      <w:start w:val="1"/>
      <w:numFmt w:val="lowerLetter"/>
      <w:lvlText w:val="%5."/>
      <w:lvlJc w:val="left"/>
      <w:pPr>
        <w:ind w:left="3240" w:hanging="360"/>
      </w:pPr>
    </w:lvl>
    <w:lvl w:ilvl="5" w:tplc="F6F6D59C" w:tentative="1">
      <w:start w:val="1"/>
      <w:numFmt w:val="lowerRoman"/>
      <w:lvlText w:val="%6."/>
      <w:lvlJc w:val="right"/>
      <w:pPr>
        <w:ind w:left="3960" w:hanging="180"/>
      </w:pPr>
    </w:lvl>
    <w:lvl w:ilvl="6" w:tplc="3D205A46" w:tentative="1">
      <w:start w:val="1"/>
      <w:numFmt w:val="decimal"/>
      <w:lvlText w:val="%7."/>
      <w:lvlJc w:val="left"/>
      <w:pPr>
        <w:ind w:left="4680" w:hanging="360"/>
      </w:pPr>
    </w:lvl>
    <w:lvl w:ilvl="7" w:tplc="82ECF794" w:tentative="1">
      <w:start w:val="1"/>
      <w:numFmt w:val="lowerLetter"/>
      <w:lvlText w:val="%8."/>
      <w:lvlJc w:val="left"/>
      <w:pPr>
        <w:ind w:left="5400" w:hanging="360"/>
      </w:pPr>
    </w:lvl>
    <w:lvl w:ilvl="8" w:tplc="7398E7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4A"/>
    <w:rsid w:val="00053124"/>
    <w:rsid w:val="00234783"/>
    <w:rsid w:val="002A4103"/>
    <w:rsid w:val="003B66C6"/>
    <w:rsid w:val="00515241"/>
    <w:rsid w:val="00563829"/>
    <w:rsid w:val="00576415"/>
    <w:rsid w:val="007C1093"/>
    <w:rsid w:val="00B43965"/>
    <w:rsid w:val="00D90E4A"/>
    <w:rsid w:val="00DF294B"/>
    <w:rsid w:val="00E03692"/>
    <w:rsid w:val="00EE0CB3"/>
    <w:rsid w:val="00EF7695"/>
    <w:rsid w:val="00F1737F"/>
    <w:rsid w:val="00F208C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C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szCs w:val="20"/>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szCs w:val="20"/>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szCs w:val="20"/>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szCs w:val="20"/>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szCs w:val="20"/>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szCs w:val="20"/>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szCs w:val="20"/>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szCs w:val="20"/>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szCs w:val="20"/>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sz w:val="16"/>
      <w:szCs w:val="16"/>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sz w:val="20"/>
      <w:szCs w:val="20"/>
    </w:rPr>
  </w:style>
  <w:style w:type="character" w:customStyle="1" w:styleId="CommentTextChar">
    <w:name w:val="Comment Text Char"/>
    <w:link w:val="CommentText"/>
    <w:uiPriority w:val="99"/>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sz w:val="16"/>
      <w:szCs w:val="16"/>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i/>
      <w:iCs/>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sz w:val="20"/>
      <w:szCs w:val="20"/>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sz w:val="21"/>
      <w:szCs w:val="21"/>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i/>
      <w:iCs/>
      <w:color w:val="000000"/>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character" w:customStyle="1" w:styleId="any">
    <w:name w:val="any"/>
    <w:basedOn w:val="DefaultParagraphFont"/>
    <w:rPr>
      <w:rFonts w:ascii="Verdana" w:eastAsia="Verdana" w:hAnsi="Verdana" w:cs="Verdana"/>
      <w:sz w:val="18"/>
      <w:szCs w:val="18"/>
    </w:rPr>
  </w:style>
  <w:style w:type="paragraph" w:customStyle="1" w:styleId="anyParagraph">
    <w:name w:val="any Paragraph"/>
    <w:basedOn w:val="Normal"/>
    <w:rPr>
      <w:rFonts w:eastAsia="Verdana" w:cs="Verdana"/>
      <w:szCs w:val="18"/>
    </w:rPr>
  </w:style>
  <w:style w:type="character" w:styleId="UnresolvedMention">
    <w:name w:val="Unresolved Mention"/>
    <w:basedOn w:val="DefaultParagraphFont"/>
    <w:uiPriority w:val="99"/>
    <w:semiHidden/>
    <w:unhideWhenUsed/>
    <w:rsid w:val="0057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z0117-0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1002-2008-&#10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6C3F-30C5-40AE-B305-FF1BCABE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3</Pages>
  <Words>605</Words>
  <Characters>3193</Characters>
  <Application>Microsoft Office Word</Application>
  <DocSecurity>0</DocSecurity>
  <Lines>100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2019-08-23T10:44:00Z</dcterms:created>
  <dcterms:modified xsi:type="dcterms:W3CDTF">2019-08-26T06:06:00Z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G/AG/N/UKR/34</vt:lpwstr>
  </property>
</Properties>
</file>