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1EF3" w14:textId="11145B35" w:rsidR="003A0AEE" w:rsidRDefault="003A0AEE" w:rsidP="00062F2D">
      <w:pPr>
        <w:pStyle w:val="Titre"/>
      </w:pPr>
      <w:r>
        <w:t>report (202</w:t>
      </w:r>
      <w:r w:rsidR="00C655F1">
        <w:t>1</w:t>
      </w:r>
      <w:r>
        <w:t>) of the committee on market Access</w:t>
      </w:r>
      <w:r>
        <w:br/>
        <w:t>to the council for trade in goods</w:t>
      </w:r>
    </w:p>
    <w:p w14:paraId="426C550E" w14:textId="1C5F9C66" w:rsidR="00F03E1C" w:rsidRDefault="003A0AEE" w:rsidP="00F03E1C">
      <w:pPr>
        <w:pStyle w:val="SummaryText"/>
      </w:pPr>
      <w:r w:rsidRPr="00B8125A">
        <w:t>Since the last review</w:t>
      </w:r>
      <w:r w:rsidRPr="00BA00C9">
        <w:rPr>
          <w:vertAlign w:val="superscript"/>
        </w:rPr>
        <w:footnoteReference w:id="1"/>
      </w:r>
      <w:r w:rsidRPr="00B8125A">
        <w:t xml:space="preserve">, the Committee on Market Access held </w:t>
      </w:r>
      <w:r>
        <w:t xml:space="preserve">two </w:t>
      </w:r>
      <w:r w:rsidRPr="00B8125A">
        <w:t>formal meetings (</w:t>
      </w:r>
      <w:r w:rsidR="00C655F1">
        <w:t>29-30 April and 11 October</w:t>
      </w:r>
      <w:r w:rsidRPr="00B8125A">
        <w:t xml:space="preserve">) and </w:t>
      </w:r>
      <w:r w:rsidR="00F43799">
        <w:t xml:space="preserve">four </w:t>
      </w:r>
      <w:r w:rsidRPr="00B8125A">
        <w:t>informal meetings (</w:t>
      </w:r>
      <w:r w:rsidR="00062F2D">
        <w:t>28 January</w:t>
      </w:r>
      <w:r w:rsidRPr="00B8125A">
        <w:t xml:space="preserve">, </w:t>
      </w:r>
      <w:r>
        <w:t>2</w:t>
      </w:r>
      <w:r w:rsidR="00062F2D">
        <w:t>6</w:t>
      </w:r>
      <w:r>
        <w:t> May, 1</w:t>
      </w:r>
      <w:r w:rsidR="00062F2D">
        <w:t xml:space="preserve">6 June, </w:t>
      </w:r>
      <w:r w:rsidR="006930CD">
        <w:t xml:space="preserve">and </w:t>
      </w:r>
      <w:r w:rsidR="00062F2D">
        <w:t>21 September</w:t>
      </w:r>
      <w:r w:rsidRPr="00B8125A">
        <w:t xml:space="preserve">). </w:t>
      </w:r>
      <w:r w:rsidR="00A711BA">
        <w:t xml:space="preserve">The Committee </w:t>
      </w:r>
      <w:r w:rsidR="006930CD">
        <w:t>is expected to hold</w:t>
      </w:r>
      <w:r w:rsidR="00F43799">
        <w:t xml:space="preserve"> an informal meeting on 9 December.  </w:t>
      </w:r>
      <w:r w:rsidRPr="00B8125A">
        <w:t>The minutes of the formal meetings are contained in documents</w:t>
      </w:r>
      <w:r>
        <w:t> </w:t>
      </w:r>
      <w:r w:rsidRPr="000C1DB0">
        <w:t>G/MA/M/7</w:t>
      </w:r>
      <w:r w:rsidR="00062F2D">
        <w:t>4</w:t>
      </w:r>
      <w:r>
        <w:t xml:space="preserve"> </w:t>
      </w:r>
      <w:r w:rsidRPr="000C1DB0">
        <w:t>and G/MA/M/7</w:t>
      </w:r>
      <w:r w:rsidR="00062F2D">
        <w:t>5</w:t>
      </w:r>
      <w:r w:rsidRPr="000C1DB0">
        <w:t xml:space="preserve"> (to be </w:t>
      </w:r>
      <w:r w:rsidRPr="006930CD">
        <w:t xml:space="preserve">issued).   </w:t>
      </w:r>
    </w:p>
    <w:p w14:paraId="495F3A78" w14:textId="05B6DEE3" w:rsidR="0023351B" w:rsidRPr="00CA4D0E" w:rsidRDefault="0023351B" w:rsidP="0023351B">
      <w:pPr>
        <w:pStyle w:val="SummaryText"/>
      </w:pPr>
      <w:r w:rsidRPr="00CA4D0E">
        <w:t>Mr </w:t>
      </w:r>
      <w:proofErr w:type="spellStart"/>
      <w:r w:rsidRPr="00CA4D0E">
        <w:t>Chakarin</w:t>
      </w:r>
      <w:proofErr w:type="spellEnd"/>
      <w:r w:rsidRPr="00CA4D0E">
        <w:t xml:space="preserve"> </w:t>
      </w:r>
      <w:proofErr w:type="spellStart"/>
      <w:r w:rsidRPr="00CA4D0E">
        <w:t>KOLMOSIRI</w:t>
      </w:r>
      <w:proofErr w:type="spellEnd"/>
      <w:r w:rsidRPr="00CA4D0E">
        <w:t xml:space="preserve"> (Thailand) was elected Chair of the Committee on Market Access through written procedures in August 2021. At </w:t>
      </w:r>
      <w:r w:rsidR="00B53A6B">
        <w:t>the</w:t>
      </w:r>
      <w:r w:rsidRPr="00CA4D0E">
        <w:t xml:space="preserve"> meeting of 11 October, the </w:t>
      </w:r>
      <w:r w:rsidR="00AE479A" w:rsidRPr="00CA4D0E">
        <w:t xml:space="preserve">Chairperson </w:t>
      </w:r>
      <w:r w:rsidR="00A935E0" w:rsidRPr="00CA4D0E">
        <w:t xml:space="preserve">noted </w:t>
      </w:r>
      <w:r w:rsidR="00AE479A" w:rsidRPr="00CA4D0E">
        <w:t xml:space="preserve">that </w:t>
      </w:r>
      <w:r w:rsidR="00A935E0" w:rsidRPr="00CA4D0E">
        <w:t>in light of comments made, he would conduct consultations on the question of the Vice</w:t>
      </w:r>
      <w:r w:rsidR="00B53A6B">
        <w:noBreakHyphen/>
      </w:r>
      <w:r w:rsidR="00A935E0" w:rsidRPr="00CA4D0E">
        <w:t xml:space="preserve">Chairpersonship of the </w:t>
      </w:r>
      <w:r w:rsidRPr="00CA4D0E">
        <w:t>Committee</w:t>
      </w:r>
      <w:r w:rsidR="00A935E0" w:rsidRPr="00CA4D0E">
        <w:t>.</w:t>
      </w:r>
    </w:p>
    <w:p w14:paraId="52B4E3AB" w14:textId="77777777" w:rsidR="003A0AEE" w:rsidRPr="00B8125A" w:rsidRDefault="003A0AEE" w:rsidP="00EA361A">
      <w:pPr>
        <w:pStyle w:val="Titre1"/>
        <w:numPr>
          <w:ilvl w:val="0"/>
          <w:numId w:val="18"/>
        </w:numPr>
      </w:pPr>
      <w:r w:rsidRPr="00B8125A">
        <w:t>waivers</w:t>
      </w:r>
    </w:p>
    <w:p w14:paraId="008EE86C" w14:textId="6C248322" w:rsidR="003A0AEE" w:rsidRDefault="003A0AEE" w:rsidP="00F03E1C">
      <w:pPr>
        <w:pStyle w:val="SummaryText"/>
      </w:pPr>
      <w:r w:rsidRPr="00B8125A">
        <w:t xml:space="preserve">At its formal meeting </w:t>
      </w:r>
      <w:r w:rsidRPr="000C1DB0">
        <w:t xml:space="preserve">of </w:t>
      </w:r>
      <w:r w:rsidR="00414711">
        <w:t>11 October</w:t>
      </w:r>
      <w:r w:rsidRPr="000C1DB0">
        <w:t xml:space="preserve">, the Committee </w:t>
      </w:r>
      <w:r w:rsidRPr="006930CD">
        <w:t>approved</w:t>
      </w:r>
      <w:r w:rsidRPr="000C1DB0">
        <w:t xml:space="preserve"> the extension of the HS2002 "collective" waiver (G/C/W/7</w:t>
      </w:r>
      <w:r w:rsidR="00414711">
        <w:t>96</w:t>
      </w:r>
      <w:r w:rsidRPr="000C1DB0">
        <w:t>), the HS2007 "collective" waiver (G/C/W/7</w:t>
      </w:r>
      <w:r w:rsidR="00414711">
        <w:t>97</w:t>
      </w:r>
      <w:r w:rsidRPr="000C1DB0">
        <w:t>), the HS2012 "collective" waiver (G/C/W/7</w:t>
      </w:r>
      <w:r w:rsidR="00414711">
        <w:t>98</w:t>
      </w:r>
      <w:r w:rsidRPr="000C1DB0">
        <w:t>), and the HS2017 "collective" waiver (G/C/W/7</w:t>
      </w:r>
      <w:r w:rsidR="00414711">
        <w:t>99</w:t>
      </w:r>
      <w:r w:rsidRPr="000C1DB0">
        <w:t>). The Committee</w:t>
      </w:r>
      <w:r w:rsidR="00B53A6B">
        <w:t xml:space="preserve"> </w:t>
      </w:r>
      <w:r w:rsidRPr="000C1DB0">
        <w:t>agreed to forward the draft waiver decisions to the General Council, through the Council for Trade in Goods, for appropriate action.</w:t>
      </w:r>
    </w:p>
    <w:p w14:paraId="05772DC9" w14:textId="77777777" w:rsidR="003A0AEE" w:rsidRPr="00B8125A" w:rsidRDefault="003A0AEE" w:rsidP="00EA361A">
      <w:pPr>
        <w:pStyle w:val="Titre1"/>
        <w:numPr>
          <w:ilvl w:val="0"/>
          <w:numId w:val="18"/>
        </w:numPr>
      </w:pPr>
      <w:r w:rsidRPr="00B8125A">
        <w:t>Introduction of Harmonized System changes to schedules of concessions</w:t>
      </w:r>
    </w:p>
    <w:p w14:paraId="4824347D" w14:textId="45C0E42E" w:rsidR="003A0AEE" w:rsidRPr="00B8125A" w:rsidRDefault="003A0AEE" w:rsidP="00F03E1C">
      <w:pPr>
        <w:pStyle w:val="SummaryText"/>
      </w:pPr>
      <w:r w:rsidRPr="002E3221">
        <w:t>At</w:t>
      </w:r>
      <w:r w:rsidR="00DA17F0">
        <w:t xml:space="preserve"> its formal</w:t>
      </w:r>
      <w:r w:rsidRPr="002E3221">
        <w:t xml:space="preserve"> meeting</w:t>
      </w:r>
      <w:r w:rsidR="00DA17F0">
        <w:t>s</w:t>
      </w:r>
      <w:r w:rsidRPr="002E3221">
        <w:t>, the Committee took note of a revised report by the Secretariat (</w:t>
      </w:r>
      <w:r w:rsidR="00DA17F0" w:rsidRPr="002E3221">
        <w:t>G/MA/W/158/Rev.</w:t>
      </w:r>
      <w:r w:rsidR="00DA17F0">
        <w:t xml:space="preserve">2 and </w:t>
      </w:r>
      <w:r w:rsidRPr="002E3221">
        <w:t>G/MA/W/158/Rev.</w:t>
      </w:r>
      <w:r w:rsidR="00414711">
        <w:t>3</w:t>
      </w:r>
      <w:r w:rsidRPr="002E3221">
        <w:t>) with a broad overview of all HS transposition exercises.</w:t>
      </w:r>
      <w:r w:rsidRPr="002561A7">
        <w:t xml:space="preserve"> </w:t>
      </w:r>
    </w:p>
    <w:p w14:paraId="2FFE74CA" w14:textId="1BF9E7E9" w:rsidR="003A0AEE" w:rsidRPr="00B8125A" w:rsidRDefault="003A0AEE" w:rsidP="00EA361A">
      <w:pPr>
        <w:pStyle w:val="Titre2"/>
        <w:numPr>
          <w:ilvl w:val="1"/>
          <w:numId w:val="18"/>
        </w:numPr>
      </w:pPr>
      <w:r w:rsidRPr="00B8125A">
        <w:t xml:space="preserve">Introduction of Harmonized System 1996 (HS1996) changes to </w:t>
      </w:r>
      <w:r w:rsidR="00A711BA">
        <w:t>Schedule</w:t>
      </w:r>
      <w:r w:rsidRPr="00B8125A">
        <w:t>s of concessions</w:t>
      </w:r>
    </w:p>
    <w:p w14:paraId="4FD327A6" w14:textId="1F7BD00C" w:rsidR="003A0AEE" w:rsidRPr="00B8125A" w:rsidRDefault="003A0AEE" w:rsidP="00F03E1C">
      <w:pPr>
        <w:pStyle w:val="SummaryText"/>
      </w:pPr>
      <w:r w:rsidRPr="00B8125A">
        <w:t xml:space="preserve">At its meetings in </w:t>
      </w:r>
      <w:r w:rsidRPr="00244E7C">
        <w:t>202</w:t>
      </w:r>
      <w:r w:rsidR="00414711">
        <w:t>1</w:t>
      </w:r>
      <w:r w:rsidRPr="00B8125A">
        <w:t xml:space="preserve">, the Committee took note of the status of work concerning the introduction </w:t>
      </w:r>
      <w:r w:rsidR="00356E46">
        <w:t xml:space="preserve">of </w:t>
      </w:r>
      <w:r w:rsidRPr="00B8125A">
        <w:t>HS96</w:t>
      </w:r>
      <w:r>
        <w:t> </w:t>
      </w:r>
      <w:r w:rsidRPr="00B8125A">
        <w:t xml:space="preserve">changes to </w:t>
      </w:r>
      <w:r w:rsidR="00A711BA">
        <w:t>Schedule</w:t>
      </w:r>
      <w:r w:rsidRPr="00B8125A">
        <w:t>s of concessions. The Chairperson informed that the Schedules of concessions of all the 64 Members that were listed in the Annex of the Decision of 27</w:t>
      </w:r>
      <w:r>
        <w:t> </w:t>
      </w:r>
      <w:r w:rsidRPr="00B8125A">
        <w:t>May</w:t>
      </w:r>
      <w:r>
        <w:t> </w:t>
      </w:r>
      <w:r w:rsidRPr="00B8125A">
        <w:t>2009 (WT/L/756) had been successfully transposed into HS96 and certified. Technical work under the previous transposition procedures (GATT</w:t>
      </w:r>
      <w:r>
        <w:t> </w:t>
      </w:r>
      <w:r w:rsidRPr="00B8125A">
        <w:t>document</w:t>
      </w:r>
      <w:r>
        <w:t> </w:t>
      </w:r>
      <w:r w:rsidRPr="00B8125A">
        <w:t>L/6905) remained pending for one Member.</w:t>
      </w:r>
    </w:p>
    <w:p w14:paraId="72A4E2F8" w14:textId="666B74BA" w:rsidR="003A0AEE" w:rsidRPr="00B8125A" w:rsidRDefault="003A0AEE" w:rsidP="00EA361A">
      <w:pPr>
        <w:pStyle w:val="Titre2"/>
        <w:numPr>
          <w:ilvl w:val="1"/>
          <w:numId w:val="18"/>
        </w:numPr>
      </w:pPr>
      <w:r w:rsidRPr="00B8125A">
        <w:t xml:space="preserve">Introduction of Harmonized System 2002 (HS2002) Changes to </w:t>
      </w:r>
      <w:r w:rsidR="00A711BA">
        <w:t>Schedule</w:t>
      </w:r>
      <w:r w:rsidRPr="00B8125A">
        <w:t>s of concessions</w:t>
      </w:r>
    </w:p>
    <w:p w14:paraId="3AA431DD" w14:textId="4343EF6A" w:rsidR="003A0AEE" w:rsidRPr="00726C97" w:rsidRDefault="003A0AEE" w:rsidP="00F03E1C">
      <w:pPr>
        <w:pStyle w:val="SummaryText"/>
      </w:pPr>
      <w:r w:rsidRPr="00B8125A">
        <w:t xml:space="preserve">At its meetings in </w:t>
      </w:r>
      <w:r w:rsidRPr="00244E7C">
        <w:t>202</w:t>
      </w:r>
      <w:r w:rsidR="00414711">
        <w:t>1</w:t>
      </w:r>
      <w:r w:rsidRPr="00B8125A">
        <w:t>, the Committee took note of the status of work concerning the introduction of HS2002</w:t>
      </w:r>
      <w:r>
        <w:t> </w:t>
      </w:r>
      <w:r w:rsidRPr="00B8125A">
        <w:t xml:space="preserve">changes to </w:t>
      </w:r>
      <w:r w:rsidR="00A711BA">
        <w:t>Schedule</w:t>
      </w:r>
      <w:r w:rsidRPr="00B8125A">
        <w:t xml:space="preserve">s of concessions using the CTS database (WT/L/605 and WT/L/807), as well as the outcomes of the informal </w:t>
      </w:r>
      <w:r w:rsidRPr="00726C97">
        <w:t xml:space="preserve">dedicated sessions of the Committee during which the files containing the HS2002 changes of Members had been examined. At the formal meeting of </w:t>
      </w:r>
      <w:r w:rsidR="00414711">
        <w:t>11 October</w:t>
      </w:r>
      <w:r w:rsidRPr="00726C97">
        <w:t xml:space="preserve">, the Chairperson announced that </w:t>
      </w:r>
      <w:r w:rsidRPr="00512EAD">
        <w:t>116</w:t>
      </w:r>
      <w:r w:rsidRPr="00726C97">
        <w:t xml:space="preserve"> Schedules of concessions had been transposed into HS2002 and circulated for certification. Technical work remained pending for </w:t>
      </w:r>
      <w:r w:rsidRPr="00512EAD">
        <w:t>one</w:t>
      </w:r>
      <w:r w:rsidRPr="00726C97">
        <w:t> Member.</w:t>
      </w:r>
    </w:p>
    <w:p w14:paraId="4819C92C" w14:textId="3299ED58" w:rsidR="003A0AEE" w:rsidRPr="00726C97" w:rsidRDefault="003A0AEE" w:rsidP="00EA361A">
      <w:pPr>
        <w:pStyle w:val="Titre2"/>
        <w:numPr>
          <w:ilvl w:val="1"/>
          <w:numId w:val="18"/>
        </w:numPr>
      </w:pPr>
      <w:r w:rsidRPr="00726C97">
        <w:lastRenderedPageBreak/>
        <w:t xml:space="preserve">Introduction of Harmonized System 2007 (HS2007) changes to </w:t>
      </w:r>
      <w:r w:rsidR="00A711BA">
        <w:t>Schedule</w:t>
      </w:r>
      <w:r w:rsidRPr="00726C97">
        <w:t>s of concessions</w:t>
      </w:r>
    </w:p>
    <w:p w14:paraId="20476751" w14:textId="370A78A8" w:rsidR="003A0AEE" w:rsidRPr="00726C97" w:rsidRDefault="003A0AEE" w:rsidP="00F03E1C">
      <w:pPr>
        <w:pStyle w:val="SummaryText"/>
      </w:pPr>
      <w:r w:rsidRPr="00726C97">
        <w:t>At its meetings in 202</w:t>
      </w:r>
      <w:r w:rsidR="00414711">
        <w:t>1</w:t>
      </w:r>
      <w:r w:rsidRPr="00726C97">
        <w:t xml:space="preserve">, the Committee took note of the status of work concerning the introduction of HS2007 changes to </w:t>
      </w:r>
      <w:r w:rsidR="00A711BA">
        <w:t>Schedule</w:t>
      </w:r>
      <w:r w:rsidRPr="00726C97">
        <w:t xml:space="preserve">s of concessions using the CTS database (WT/L/673 and WT/L/830), as well as the outcomes of the informal dedicated sessions of the Committee during which the files containing the HS2007 changes of Members had been examined. At the formal meeting of </w:t>
      </w:r>
      <w:r w:rsidR="00414711">
        <w:t>11 October</w:t>
      </w:r>
      <w:r w:rsidRPr="00726C97">
        <w:t xml:space="preserve">, the Chairperson announced that </w:t>
      </w:r>
      <w:r w:rsidR="00356E46" w:rsidRPr="00512EAD">
        <w:t>111</w:t>
      </w:r>
      <w:r w:rsidR="00356E46" w:rsidRPr="00726C97">
        <w:t> </w:t>
      </w:r>
      <w:r w:rsidRPr="00726C97">
        <w:t>Schedules of concessions had been transposed into HS2007 and circulated for certification.</w:t>
      </w:r>
    </w:p>
    <w:p w14:paraId="6E534918" w14:textId="3F78087C" w:rsidR="003A0AEE" w:rsidRPr="00726C97" w:rsidRDefault="003A0AEE" w:rsidP="00EA361A">
      <w:pPr>
        <w:pStyle w:val="Titre2"/>
        <w:numPr>
          <w:ilvl w:val="1"/>
          <w:numId w:val="18"/>
        </w:numPr>
      </w:pPr>
      <w:r w:rsidRPr="00726C97">
        <w:t xml:space="preserve">Introduction of Harmonized System 2012 (HS2012) changes to </w:t>
      </w:r>
      <w:r w:rsidR="00A711BA">
        <w:t>Schedule</w:t>
      </w:r>
      <w:r w:rsidRPr="00726C97">
        <w:t>s of concessions</w:t>
      </w:r>
    </w:p>
    <w:p w14:paraId="0C28002E" w14:textId="59BDB5AA" w:rsidR="003A0AEE" w:rsidRPr="00726C97" w:rsidRDefault="003A0AEE" w:rsidP="00F03E1C">
      <w:pPr>
        <w:pStyle w:val="SummaryText"/>
        <w:rPr>
          <w:spacing w:val="-2"/>
        </w:rPr>
      </w:pPr>
      <w:r w:rsidRPr="00726C97">
        <w:t>At its meetings in 202</w:t>
      </w:r>
      <w:r w:rsidR="00414711">
        <w:t>1</w:t>
      </w:r>
      <w:r w:rsidRPr="00726C97">
        <w:t xml:space="preserve">, the Committee took note of the status of work concerning the introduction of HS2012 changes to </w:t>
      </w:r>
      <w:r w:rsidR="00A711BA">
        <w:t>Schedule</w:t>
      </w:r>
      <w:r w:rsidRPr="00726C97">
        <w:t xml:space="preserve">s of concessions using the CTS database (WT/L/831), as well as the outcomes of the informal dedicated sessions of the Committee during which the files containing the HS2012 changes of Members had been examined. At the formal meeting of </w:t>
      </w:r>
      <w:r w:rsidR="00414711">
        <w:t>11</w:t>
      </w:r>
      <w:r w:rsidR="004F7CD0">
        <w:t> </w:t>
      </w:r>
      <w:r w:rsidR="00414711">
        <w:t>October</w:t>
      </w:r>
      <w:r w:rsidRPr="00726C97">
        <w:t xml:space="preserve">, the Chairperson announced that </w:t>
      </w:r>
      <w:r w:rsidR="00356E46">
        <w:t>102</w:t>
      </w:r>
      <w:r w:rsidR="00356E46" w:rsidRPr="00726C97">
        <w:t> </w:t>
      </w:r>
      <w:r w:rsidRPr="00726C97">
        <w:t>Schedules of concessions had been transposed into HS2012 and circulated for certification.</w:t>
      </w:r>
    </w:p>
    <w:p w14:paraId="759B8BE5" w14:textId="358DB905" w:rsidR="003A0AEE" w:rsidRPr="00726C97" w:rsidRDefault="003A0AEE" w:rsidP="00EA361A">
      <w:pPr>
        <w:pStyle w:val="Titre2"/>
        <w:numPr>
          <w:ilvl w:val="1"/>
          <w:numId w:val="18"/>
        </w:numPr>
      </w:pPr>
      <w:r w:rsidRPr="00726C97">
        <w:t xml:space="preserve">Introduction of Harmonized System 2017 (HS2017) changes to </w:t>
      </w:r>
      <w:r w:rsidR="00A711BA">
        <w:t>Schedule</w:t>
      </w:r>
      <w:r w:rsidRPr="00726C97">
        <w:t>s of concessions</w:t>
      </w:r>
    </w:p>
    <w:p w14:paraId="6B52D051" w14:textId="019541C6" w:rsidR="003A0AEE" w:rsidRDefault="003A0AEE" w:rsidP="00F03E1C">
      <w:pPr>
        <w:pStyle w:val="SummaryText"/>
      </w:pPr>
      <w:r w:rsidRPr="00726C97">
        <w:t>At its meetings in 202</w:t>
      </w:r>
      <w:r w:rsidR="00414711">
        <w:t>1</w:t>
      </w:r>
      <w:r w:rsidRPr="00726C97">
        <w:t xml:space="preserve">, the Committee took note of the status of work concerning the introduction of HS2017 changes to </w:t>
      </w:r>
      <w:r w:rsidR="00A711BA">
        <w:t>Schedule</w:t>
      </w:r>
      <w:r w:rsidRPr="00726C97">
        <w:t xml:space="preserve">s of concessions using the CTS database (WT/L/995), as well as the outcomes of the informal dedicated sessions of the Committee during which the files containing the HS2017 changes of Members had been examined. At the formal meeting of </w:t>
      </w:r>
      <w:r w:rsidR="00414711">
        <w:t>11</w:t>
      </w:r>
      <w:r w:rsidR="004F7CD0">
        <w:t> </w:t>
      </w:r>
      <w:r w:rsidR="00414711">
        <w:t>October</w:t>
      </w:r>
      <w:r w:rsidRPr="00726C97">
        <w:t xml:space="preserve">, the Chairperson announced that </w:t>
      </w:r>
      <w:r w:rsidR="00DA17F0" w:rsidRPr="00512EAD">
        <w:t>54</w:t>
      </w:r>
      <w:r w:rsidRPr="00726C97">
        <w:t> Schedules of concessions had been transposed into HS2017 and circulated for certification.</w:t>
      </w:r>
    </w:p>
    <w:p w14:paraId="636BF02E" w14:textId="7B7A0680" w:rsidR="00414711" w:rsidRDefault="00414711" w:rsidP="00EA361A">
      <w:pPr>
        <w:pStyle w:val="Titre2"/>
        <w:numPr>
          <w:ilvl w:val="1"/>
          <w:numId w:val="18"/>
        </w:numPr>
      </w:pPr>
      <w:r w:rsidRPr="00414711">
        <w:t xml:space="preserve">Procedure for the introduction of </w:t>
      </w:r>
      <w:r>
        <w:t>H</w:t>
      </w:r>
      <w:r w:rsidRPr="00414711">
        <w:t xml:space="preserve">armonized </w:t>
      </w:r>
      <w:r>
        <w:t>S</w:t>
      </w:r>
      <w:r w:rsidRPr="00414711">
        <w:t xml:space="preserve">ystem 2022 changes to </w:t>
      </w:r>
      <w:r w:rsidR="00A711BA">
        <w:t>Schedule</w:t>
      </w:r>
      <w:r w:rsidRPr="00414711">
        <w:t>s of concessions</w:t>
      </w:r>
      <w:r>
        <w:t xml:space="preserve"> – Draft Decision</w:t>
      </w:r>
    </w:p>
    <w:p w14:paraId="2CC06E5B" w14:textId="5E9553C7" w:rsidR="00766AF1" w:rsidRPr="006930CD" w:rsidRDefault="003A0AEE" w:rsidP="00F03E1C">
      <w:pPr>
        <w:pStyle w:val="SummaryText"/>
      </w:pPr>
      <w:r w:rsidRPr="006930CD">
        <w:t xml:space="preserve">At its meeting of </w:t>
      </w:r>
      <w:r w:rsidR="00766AF1" w:rsidRPr="006930CD">
        <w:t xml:space="preserve">11 October, the Committee agreed to forward the draft decision on the Procedure for the introduction of Harmonized System 2022 changes to </w:t>
      </w:r>
      <w:r w:rsidR="00A711BA">
        <w:t>Schedule</w:t>
      </w:r>
      <w:r w:rsidR="00766AF1" w:rsidRPr="006930CD">
        <w:t>s of concessions (JOB/MA/147/Rev.2)</w:t>
      </w:r>
      <w:r w:rsidR="00766AF1" w:rsidRPr="006930CD">
        <w:rPr>
          <w:rStyle w:val="Appelnotedebasdep"/>
        </w:rPr>
        <w:footnoteReference w:id="2"/>
      </w:r>
      <w:r w:rsidR="00766AF1" w:rsidRPr="006930CD">
        <w:t xml:space="preserve"> to the General Council, through the Council for Trade in Goods, for appropriate action.</w:t>
      </w:r>
    </w:p>
    <w:p w14:paraId="7A1C9905" w14:textId="77777777" w:rsidR="003A0AEE" w:rsidRPr="00726C97" w:rsidRDefault="003A0AEE" w:rsidP="00EA361A">
      <w:pPr>
        <w:pStyle w:val="Titre1"/>
        <w:numPr>
          <w:ilvl w:val="0"/>
          <w:numId w:val="18"/>
        </w:numPr>
      </w:pPr>
      <w:r w:rsidRPr="00726C97">
        <w:t>Decision on notification procedures for quantitative restrictions ("QR Decision")</w:t>
      </w:r>
    </w:p>
    <w:p w14:paraId="36274715" w14:textId="67E55886" w:rsidR="003A0AEE" w:rsidRDefault="003A0AEE" w:rsidP="00F03E1C">
      <w:pPr>
        <w:pStyle w:val="SummaryText"/>
      </w:pPr>
      <w:r w:rsidRPr="00726C97">
        <w:t>At its meetings in 202</w:t>
      </w:r>
      <w:r w:rsidR="005F2B9B">
        <w:t>1</w:t>
      </w:r>
      <w:r w:rsidRPr="00726C97">
        <w:t xml:space="preserve">, the Committee examined </w:t>
      </w:r>
      <w:r w:rsidR="006930CD">
        <w:t>quantitative restrictions (</w:t>
      </w:r>
      <w:r w:rsidRPr="00726C97">
        <w:t>QR</w:t>
      </w:r>
      <w:r w:rsidR="006930CD">
        <w:t>)</w:t>
      </w:r>
      <w:r w:rsidRPr="00726C97">
        <w:t xml:space="preserve"> notifications which had been submitted by </w:t>
      </w:r>
      <w:r w:rsidR="00F7328B" w:rsidRPr="006930CD">
        <w:t>32</w:t>
      </w:r>
      <w:r w:rsidRPr="006930CD">
        <w:t> Members:</w:t>
      </w:r>
      <w:r w:rsidRPr="00726C97">
        <w:t xml:space="preserve"> </w:t>
      </w:r>
      <w:r w:rsidR="00B03891" w:rsidRPr="00B34F65">
        <w:rPr>
          <w:lang w:val="en-US"/>
        </w:rPr>
        <w:t>Afghanistan; Argentina</w:t>
      </w:r>
      <w:r w:rsidR="00B03891">
        <w:rPr>
          <w:lang w:val="en-US"/>
        </w:rPr>
        <w:t xml:space="preserve">; </w:t>
      </w:r>
      <w:r w:rsidR="00B03891" w:rsidRPr="00B34F65">
        <w:rPr>
          <w:lang w:val="en-US"/>
        </w:rPr>
        <w:t>Australia</w:t>
      </w:r>
      <w:r w:rsidR="00B03891">
        <w:rPr>
          <w:lang w:val="en-US"/>
        </w:rPr>
        <w:t xml:space="preserve">; </w:t>
      </w:r>
      <w:r w:rsidR="00F7328B">
        <w:rPr>
          <w:lang w:val="en-US"/>
        </w:rPr>
        <w:t>Kingdom of</w:t>
      </w:r>
      <w:r w:rsidR="00F7328B" w:rsidRPr="00B34F65">
        <w:rPr>
          <w:lang w:val="en-US"/>
        </w:rPr>
        <w:t xml:space="preserve"> </w:t>
      </w:r>
      <w:r w:rsidR="00B03891" w:rsidRPr="00B34F65">
        <w:rPr>
          <w:lang w:val="en-US"/>
        </w:rPr>
        <w:t>Bahrain; Brazil</w:t>
      </w:r>
      <w:r w:rsidR="00B03891">
        <w:rPr>
          <w:lang w:val="en-US"/>
        </w:rPr>
        <w:t xml:space="preserve">; Cambodia; </w:t>
      </w:r>
      <w:r w:rsidR="00B03891" w:rsidRPr="00B34F65">
        <w:rPr>
          <w:lang w:val="en-US"/>
        </w:rPr>
        <w:t>Canada</w:t>
      </w:r>
      <w:r w:rsidR="00B03891">
        <w:rPr>
          <w:lang w:val="en-US"/>
        </w:rPr>
        <w:t xml:space="preserve">; China; </w:t>
      </w:r>
      <w:r w:rsidR="00B03891" w:rsidRPr="00B34F65">
        <w:rPr>
          <w:lang w:val="en-US"/>
        </w:rPr>
        <w:t>Colombia</w:t>
      </w:r>
      <w:r w:rsidR="00B03891">
        <w:rPr>
          <w:lang w:val="en-US"/>
        </w:rPr>
        <w:t xml:space="preserve">; </w:t>
      </w:r>
      <w:r w:rsidR="00B03891" w:rsidRPr="00B34F65">
        <w:rPr>
          <w:lang w:val="en-US"/>
        </w:rPr>
        <w:t>Ecuador; Egypt</w:t>
      </w:r>
      <w:r w:rsidR="00B03891">
        <w:rPr>
          <w:lang w:val="en-US"/>
        </w:rPr>
        <w:t>; El Salvador;</w:t>
      </w:r>
      <w:r w:rsidR="00B03891" w:rsidRPr="00B34F65">
        <w:rPr>
          <w:lang w:val="en-US"/>
        </w:rPr>
        <w:t xml:space="preserve"> European Union;</w:t>
      </w:r>
      <w:r w:rsidR="00B03891">
        <w:rPr>
          <w:lang w:val="en-US"/>
        </w:rPr>
        <w:t xml:space="preserve"> </w:t>
      </w:r>
      <w:r w:rsidR="00F7328B">
        <w:rPr>
          <w:lang w:val="en-US"/>
        </w:rPr>
        <w:t>The</w:t>
      </w:r>
      <w:r w:rsidR="004F7CD0">
        <w:rPr>
          <w:lang w:val="en-US"/>
        </w:rPr>
        <w:t> </w:t>
      </w:r>
      <w:r w:rsidR="00F7328B">
        <w:rPr>
          <w:lang w:val="en-US"/>
        </w:rPr>
        <w:t xml:space="preserve">Gambia; </w:t>
      </w:r>
      <w:r w:rsidR="00B03891">
        <w:rPr>
          <w:lang w:val="en-US"/>
        </w:rPr>
        <w:t xml:space="preserve">India; Kazakhstan; </w:t>
      </w:r>
      <w:r w:rsidR="00B03891" w:rsidRPr="00B34F65">
        <w:rPr>
          <w:lang w:val="en-US"/>
        </w:rPr>
        <w:t xml:space="preserve">Kyrgyz Republic; Republic of Korea; </w:t>
      </w:r>
      <w:r w:rsidR="00F7328B">
        <w:rPr>
          <w:lang w:val="en-US"/>
        </w:rPr>
        <w:t xml:space="preserve">Malaysia; </w:t>
      </w:r>
      <w:r w:rsidR="00B03891" w:rsidRPr="00B34F65">
        <w:rPr>
          <w:lang w:val="en-US"/>
        </w:rPr>
        <w:t>Montenegro; New Zealand; Nicaragua; Norway</w:t>
      </w:r>
      <w:r w:rsidR="00B03891">
        <w:rPr>
          <w:lang w:val="en-US"/>
        </w:rPr>
        <w:t xml:space="preserve">; </w:t>
      </w:r>
      <w:r w:rsidR="00B03891" w:rsidRPr="00B34F65">
        <w:rPr>
          <w:lang w:val="en-US"/>
        </w:rPr>
        <w:t xml:space="preserve">Philippines; Seychelles; Singapore; </w:t>
      </w:r>
      <w:r w:rsidR="00B03891">
        <w:rPr>
          <w:lang w:val="en-US"/>
        </w:rPr>
        <w:t xml:space="preserve">Thailand; </w:t>
      </w:r>
      <w:r w:rsidR="00B03891" w:rsidRPr="00B34F65">
        <w:rPr>
          <w:lang w:val="en-US"/>
        </w:rPr>
        <w:t>Tonga; Turkey;</w:t>
      </w:r>
      <w:r w:rsidR="00B03891">
        <w:rPr>
          <w:lang w:val="en-US"/>
        </w:rPr>
        <w:t xml:space="preserve"> </w:t>
      </w:r>
      <w:r w:rsidR="00F7328B">
        <w:rPr>
          <w:lang w:val="en-US"/>
        </w:rPr>
        <w:t xml:space="preserve">Ukraine; </w:t>
      </w:r>
      <w:r w:rsidR="00B03891" w:rsidRPr="00B34F65">
        <w:rPr>
          <w:lang w:val="en-US"/>
        </w:rPr>
        <w:t>United Kingdom</w:t>
      </w:r>
      <w:r w:rsidR="00B03891">
        <w:rPr>
          <w:lang w:val="en-US"/>
        </w:rPr>
        <w:t>; and United States.</w:t>
      </w:r>
      <w:r w:rsidR="00B03891" w:rsidRPr="00B34F65">
        <w:rPr>
          <w:lang w:val="en-US"/>
        </w:rPr>
        <w:t xml:space="preserve"> Many of these</w:t>
      </w:r>
      <w:r w:rsidR="00B03891">
        <w:rPr>
          <w:lang w:val="en-US"/>
        </w:rPr>
        <w:t xml:space="preserve"> notifications</w:t>
      </w:r>
      <w:r w:rsidR="00B03891" w:rsidRPr="00B34F65">
        <w:rPr>
          <w:lang w:val="en-US"/>
        </w:rPr>
        <w:t xml:space="preserve"> related to prohibitions or restrictions due to the COVID-19 pandemic</w:t>
      </w:r>
      <w:r w:rsidR="00F66023">
        <w:rPr>
          <w:lang w:val="en-US"/>
        </w:rPr>
        <w:t xml:space="preserve"> (</w:t>
      </w:r>
      <w:r w:rsidR="00F66023" w:rsidRPr="006930CD">
        <w:rPr>
          <w:lang w:val="en-US"/>
        </w:rPr>
        <w:t>see para</w:t>
      </w:r>
      <w:r w:rsidR="006930CD">
        <w:rPr>
          <w:lang w:val="en-US"/>
        </w:rPr>
        <w:t>graph</w:t>
      </w:r>
      <w:r w:rsidR="00F66023" w:rsidRPr="006930CD">
        <w:rPr>
          <w:lang w:val="en-US"/>
        </w:rPr>
        <w:t xml:space="preserve"> </w:t>
      </w:r>
      <w:r w:rsidR="004A1E3A">
        <w:rPr>
          <w:lang w:val="en-US"/>
        </w:rPr>
        <w:t>15</w:t>
      </w:r>
      <w:r w:rsidR="00EC4042" w:rsidRPr="006930CD">
        <w:rPr>
          <w:lang w:val="en-US"/>
        </w:rPr>
        <w:t xml:space="preserve"> below</w:t>
      </w:r>
      <w:r w:rsidR="00F66023">
        <w:rPr>
          <w:lang w:val="en-US"/>
        </w:rPr>
        <w:t>)</w:t>
      </w:r>
      <w:r w:rsidR="00B03891" w:rsidRPr="00B34F65">
        <w:rPr>
          <w:lang w:val="en-US"/>
        </w:rPr>
        <w:t xml:space="preserve">, </w:t>
      </w:r>
      <w:r w:rsidR="00F66023">
        <w:rPr>
          <w:lang w:val="en-US"/>
        </w:rPr>
        <w:t>while others were</w:t>
      </w:r>
      <w:r w:rsidR="00F7328B">
        <w:rPr>
          <w:lang w:val="en-US"/>
        </w:rPr>
        <w:t xml:space="preserve"> </w:t>
      </w:r>
      <w:r w:rsidR="00B03891" w:rsidRPr="00B34F65">
        <w:rPr>
          <w:lang w:val="en-US"/>
        </w:rPr>
        <w:t>complete notifications</w:t>
      </w:r>
      <w:r w:rsidR="00B03891">
        <w:rPr>
          <w:lang w:val="en-US"/>
        </w:rPr>
        <w:t xml:space="preserve"> of all QRs in force</w:t>
      </w:r>
      <w:r w:rsidR="00B03891" w:rsidRPr="00B34F65">
        <w:rPr>
          <w:lang w:val="en-US"/>
        </w:rPr>
        <w:t xml:space="preserve"> for the biennial period 2020-2022. The Committee also took note of the Secretariat</w:t>
      </w:r>
      <w:r w:rsidR="00B03891">
        <w:rPr>
          <w:lang w:val="en-US"/>
        </w:rPr>
        <w:t>'s</w:t>
      </w:r>
      <w:r w:rsidR="00B03891" w:rsidRPr="00B34F65">
        <w:rPr>
          <w:lang w:val="en-US"/>
        </w:rPr>
        <w:t xml:space="preserve"> factual analysis of all notified QRs</w:t>
      </w:r>
      <w:r w:rsidR="00EC4042">
        <w:rPr>
          <w:lang w:val="en-US"/>
        </w:rPr>
        <w:t xml:space="preserve"> (</w:t>
      </w:r>
      <w:r w:rsidR="00EC4042" w:rsidRPr="00B34F65">
        <w:rPr>
          <w:lang w:val="en-US"/>
        </w:rPr>
        <w:t>G/MA/W/114/Rev.3</w:t>
      </w:r>
      <w:r w:rsidR="00EC4042">
        <w:rPr>
          <w:lang w:val="en-US"/>
        </w:rPr>
        <w:t xml:space="preserve">) </w:t>
      </w:r>
      <w:r w:rsidR="00B03891" w:rsidRPr="00B34F65">
        <w:rPr>
          <w:lang w:val="en-US"/>
        </w:rPr>
        <w:t>that were recorded in the QR database</w:t>
      </w:r>
      <w:r w:rsidR="00F7328B">
        <w:rPr>
          <w:rStyle w:val="Appelnotedebasdep"/>
          <w:szCs w:val="18"/>
          <w:lang w:val="en-US"/>
        </w:rPr>
        <w:footnoteReference w:id="3"/>
      </w:r>
      <w:r w:rsidR="00B03891">
        <w:rPr>
          <w:lang w:val="en-US"/>
        </w:rPr>
        <w:t xml:space="preserve"> </w:t>
      </w:r>
      <w:r w:rsidR="006930CD">
        <w:rPr>
          <w:lang w:val="en-US"/>
        </w:rPr>
        <w:t xml:space="preserve">and </w:t>
      </w:r>
      <w:r w:rsidR="00F66023">
        <w:t>of the</w:t>
      </w:r>
      <w:r w:rsidRPr="00726C97">
        <w:t xml:space="preserve"> report </w:t>
      </w:r>
      <w:r w:rsidRPr="00726C97">
        <w:rPr>
          <w:color w:val="000000" w:themeColor="text1"/>
        </w:rPr>
        <w:t xml:space="preserve">with the </w:t>
      </w:r>
      <w:r w:rsidRPr="00726C97">
        <w:t>status of QR notification</w:t>
      </w:r>
      <w:r w:rsidR="00F66023">
        <w:t>s</w:t>
      </w:r>
      <w:r w:rsidR="00EC4042">
        <w:t xml:space="preserve"> (</w:t>
      </w:r>
      <w:r w:rsidR="00EC4042" w:rsidRPr="00726C97">
        <w:rPr>
          <w:color w:val="000000" w:themeColor="text1"/>
        </w:rPr>
        <w:t>G/MA/QR/</w:t>
      </w:r>
      <w:r w:rsidR="00EC4042">
        <w:rPr>
          <w:color w:val="000000" w:themeColor="text1"/>
        </w:rPr>
        <w:t>11)</w:t>
      </w:r>
      <w:r w:rsidRPr="00726C97">
        <w:t>.</w:t>
      </w:r>
    </w:p>
    <w:p w14:paraId="65BA4D9D" w14:textId="37952915" w:rsidR="00F7328B" w:rsidRPr="00726C97" w:rsidRDefault="00F7328B" w:rsidP="00EA361A">
      <w:pPr>
        <w:pStyle w:val="Titre1"/>
        <w:numPr>
          <w:ilvl w:val="0"/>
          <w:numId w:val="18"/>
        </w:numPr>
      </w:pPr>
      <w:r>
        <w:t>databases</w:t>
      </w:r>
    </w:p>
    <w:p w14:paraId="7750F0DF" w14:textId="4986A6B0" w:rsidR="003A0AEE" w:rsidRDefault="003A0AEE" w:rsidP="00F03E1C">
      <w:pPr>
        <w:pStyle w:val="SummaryText"/>
      </w:pPr>
      <w:r w:rsidRPr="00726C97">
        <w:t>At its formal meetings in 202</w:t>
      </w:r>
      <w:r w:rsidR="00F66023">
        <w:t>1</w:t>
      </w:r>
      <w:r w:rsidRPr="00726C97">
        <w:t xml:space="preserve">, the Secretariat reported on the status of work concerning the Integrated Data Base (IDB) and the Consolidated Tariff Schedules (CTS) database. The reports provided information on </w:t>
      </w:r>
      <w:r w:rsidRPr="00726C97">
        <w:rPr>
          <w:i/>
        </w:rPr>
        <w:t>inter alia</w:t>
      </w:r>
      <w:r w:rsidRPr="00726C97">
        <w:t xml:space="preserve"> the use of information in the databases, the status of software development and technical assistance. </w:t>
      </w:r>
      <w:r w:rsidR="00AE479A">
        <w:t>The Committee was informed that o</w:t>
      </w:r>
      <w:r w:rsidR="006930CD">
        <w:t>ne</w:t>
      </w:r>
      <w:r w:rsidR="00F66023" w:rsidRPr="006930CD">
        <w:t xml:space="preserve"> Member</w:t>
      </w:r>
      <w:r w:rsidR="00AE479A">
        <w:t xml:space="preserve"> had concluded</w:t>
      </w:r>
      <w:r w:rsidR="00F66023" w:rsidRPr="006930CD">
        <w:t xml:space="preserve"> a bilateral agreement with the Secretariat for the automatic transmission of data pursuant to paragraph 8 of the IDB Decision (G/MA/367)</w:t>
      </w:r>
      <w:r w:rsidR="00AE479A">
        <w:t xml:space="preserve">, and that another Member was in the process of doing </w:t>
      </w:r>
      <w:r w:rsidR="00AE479A">
        <w:lastRenderedPageBreak/>
        <w:t>so</w:t>
      </w:r>
      <w:r w:rsidR="00F66023" w:rsidRPr="006930CD">
        <w:t>.</w:t>
      </w:r>
      <w:r w:rsidR="00F66023">
        <w:t xml:space="preserve"> </w:t>
      </w:r>
      <w:r w:rsidRPr="00726C97">
        <w:t>The Committee also took note of the documents which reflected the status of submissions to the IDB (G/MA/IDB/2/Rev.5</w:t>
      </w:r>
      <w:r w:rsidR="00F66023">
        <w:t>3</w:t>
      </w:r>
      <w:r w:rsidRPr="00726C97">
        <w:t>, and G/MA/IDB/2/Rev.5</w:t>
      </w:r>
      <w:r w:rsidR="00F66023">
        <w:t>4</w:t>
      </w:r>
      <w:r w:rsidRPr="00726C97">
        <w:t>).</w:t>
      </w:r>
      <w:r>
        <w:t xml:space="preserve"> </w:t>
      </w:r>
    </w:p>
    <w:p w14:paraId="10C6A882" w14:textId="50C70563" w:rsidR="00104BD2" w:rsidRPr="006930CD" w:rsidRDefault="00104BD2" w:rsidP="00F03E1C">
      <w:pPr>
        <w:pStyle w:val="SummaryText"/>
      </w:pPr>
      <w:r w:rsidRPr="006930CD">
        <w:t>At its formal meeting on 29-30 April, the Secretariat informed the Committee of a project to</w:t>
      </w:r>
      <w:r w:rsidR="007F596B" w:rsidRPr="006930CD">
        <w:rPr>
          <w:szCs w:val="18"/>
          <w:lang w:val="en-US"/>
        </w:rPr>
        <w:t xml:space="preserve"> issue the CTS database, which contains the latest information on bound commitments by Members, in MS Excel </w:t>
      </w:r>
      <w:r w:rsidR="00F43799" w:rsidRPr="006930CD">
        <w:rPr>
          <w:szCs w:val="18"/>
          <w:lang w:val="en-US"/>
        </w:rPr>
        <w:t>in addition to the</w:t>
      </w:r>
      <w:r w:rsidR="007F596B" w:rsidRPr="006930CD">
        <w:rPr>
          <w:szCs w:val="18"/>
          <w:lang w:val="en-US"/>
        </w:rPr>
        <w:t xml:space="preserve"> MS Access </w:t>
      </w:r>
      <w:r w:rsidR="00F43799" w:rsidRPr="006930CD">
        <w:rPr>
          <w:szCs w:val="18"/>
          <w:lang w:val="en-US"/>
        </w:rPr>
        <w:t xml:space="preserve">version in order </w:t>
      </w:r>
      <w:r w:rsidR="007F596B" w:rsidRPr="006930CD">
        <w:rPr>
          <w:szCs w:val="18"/>
          <w:lang w:val="en-US"/>
        </w:rPr>
        <w:t xml:space="preserve">to </w:t>
      </w:r>
      <w:r w:rsidR="00F43799" w:rsidRPr="006930CD">
        <w:rPr>
          <w:szCs w:val="18"/>
          <w:lang w:val="en-US"/>
        </w:rPr>
        <w:t xml:space="preserve">facilitate </w:t>
      </w:r>
      <w:r w:rsidR="007F596B" w:rsidRPr="006930CD">
        <w:rPr>
          <w:szCs w:val="18"/>
          <w:lang w:val="en-US"/>
        </w:rPr>
        <w:t>access to this important information</w:t>
      </w:r>
      <w:r w:rsidRPr="006930CD">
        <w:t xml:space="preserve">. </w:t>
      </w:r>
      <w:r w:rsidR="00F43799" w:rsidRPr="006930CD">
        <w:t>Following a one-month period for comments by Members, t</w:t>
      </w:r>
      <w:r w:rsidRPr="006930CD">
        <w:t xml:space="preserve">he CTS files in Excel were made available to the public on 26 June 2021 via </w:t>
      </w:r>
      <w:r w:rsidR="001946B6">
        <w:t xml:space="preserve">the </w:t>
      </w:r>
      <w:r w:rsidRPr="006930CD">
        <w:t>T</w:t>
      </w:r>
      <w:r w:rsidR="001946B6">
        <w:t xml:space="preserve">ariff </w:t>
      </w:r>
      <w:r w:rsidRPr="006930CD">
        <w:t>A</w:t>
      </w:r>
      <w:r w:rsidR="001946B6">
        <w:t xml:space="preserve">nalysis </w:t>
      </w:r>
      <w:r w:rsidRPr="006930CD">
        <w:t>O</w:t>
      </w:r>
      <w:r w:rsidR="001946B6">
        <w:t>nline (TAO)</w:t>
      </w:r>
      <w:r w:rsidR="001946B6">
        <w:rPr>
          <w:rStyle w:val="Appelnotedebasdep"/>
        </w:rPr>
        <w:footnoteReference w:id="4"/>
      </w:r>
      <w:r w:rsidRPr="006930CD">
        <w:t xml:space="preserve"> and the Goods Schedules e</w:t>
      </w:r>
      <w:r w:rsidR="007F596B" w:rsidRPr="006930CD">
        <w:t>-</w:t>
      </w:r>
      <w:r w:rsidRPr="006930CD">
        <w:t>Library</w:t>
      </w:r>
      <w:r w:rsidR="001946B6">
        <w:rPr>
          <w:rStyle w:val="Appelnotedebasdep"/>
        </w:rPr>
        <w:footnoteReference w:id="5"/>
      </w:r>
      <w:r w:rsidRPr="006930CD">
        <w:t xml:space="preserve">. </w:t>
      </w:r>
    </w:p>
    <w:p w14:paraId="77359059" w14:textId="473DD971" w:rsidR="003A0AEE" w:rsidRPr="00E15F90" w:rsidRDefault="003A0AEE" w:rsidP="00F03E1C">
      <w:pPr>
        <w:pStyle w:val="SummaryText"/>
      </w:pPr>
      <w:r w:rsidRPr="00B8125A">
        <w:t>At its meeting</w:t>
      </w:r>
      <w:r>
        <w:t>s</w:t>
      </w:r>
      <w:r w:rsidRPr="00B8125A">
        <w:t xml:space="preserve"> of</w:t>
      </w:r>
      <w:r>
        <w:t xml:space="preserve"> 202</w:t>
      </w:r>
      <w:r w:rsidR="00F66023">
        <w:t>1</w:t>
      </w:r>
      <w:r>
        <w:t xml:space="preserve">, the Committee took note of a report prepared by the Secretariat pursuant to paragraph 16 of the </w:t>
      </w:r>
      <w:r w:rsidR="007F596B">
        <w:t>IDB Decision,</w:t>
      </w:r>
      <w:r>
        <w:t xml:space="preserve"> which requires </w:t>
      </w:r>
      <w:r w:rsidR="00A711BA">
        <w:t>the Secretariat</w:t>
      </w:r>
      <w:r>
        <w:t xml:space="preserve"> to maintain a list of </w:t>
      </w:r>
      <w:r w:rsidR="00A711BA">
        <w:t xml:space="preserve">Members' </w:t>
      </w:r>
      <w:r>
        <w:t>official websites in which tariff information or import data are publicly available (</w:t>
      </w:r>
      <w:r w:rsidRPr="00244E7C">
        <w:t>G/MA/IDB/W/13/Rev.</w:t>
      </w:r>
      <w:r w:rsidR="007F596B">
        <w:t xml:space="preserve">4 and </w:t>
      </w:r>
      <w:r w:rsidRPr="00244E7C">
        <w:t>G/MA/IDB/W/13/Rev.</w:t>
      </w:r>
      <w:r w:rsidR="007F596B">
        <w:t>5</w:t>
      </w:r>
      <w:r>
        <w:t>).</w:t>
      </w:r>
    </w:p>
    <w:p w14:paraId="5CEF918E" w14:textId="77777777" w:rsidR="003A0AEE" w:rsidRPr="00B8125A" w:rsidRDefault="003A0AEE" w:rsidP="00EA361A">
      <w:pPr>
        <w:pStyle w:val="Titre1"/>
        <w:numPr>
          <w:ilvl w:val="0"/>
          <w:numId w:val="18"/>
        </w:numPr>
      </w:pPr>
      <w:r w:rsidRPr="00B8125A">
        <w:t>Other Activities</w:t>
      </w:r>
    </w:p>
    <w:p w14:paraId="736F0B3C" w14:textId="5043EA25" w:rsidR="008132DA" w:rsidRPr="001946B6" w:rsidRDefault="003A0AEE" w:rsidP="00F03E1C">
      <w:pPr>
        <w:pStyle w:val="SummaryText"/>
      </w:pPr>
      <w:r>
        <w:t xml:space="preserve">At its </w:t>
      </w:r>
      <w:r w:rsidR="00EC4042">
        <w:t xml:space="preserve">formal </w:t>
      </w:r>
      <w:r>
        <w:t>meeting</w:t>
      </w:r>
      <w:r w:rsidR="007F596B">
        <w:t>s in 2021</w:t>
      </w:r>
      <w:r>
        <w:t xml:space="preserve">, the Committee took note of a report by the Secretariat </w:t>
      </w:r>
      <w:r w:rsidR="008132DA" w:rsidRPr="008132DA">
        <w:t>summar</w:t>
      </w:r>
      <w:r w:rsidR="008132DA">
        <w:t xml:space="preserve">ising </w:t>
      </w:r>
      <w:r w:rsidR="008132DA" w:rsidRPr="008132DA">
        <w:t xml:space="preserve">export restrictions and trade facilitating measures relating to the COVID-19 </w:t>
      </w:r>
      <w:r w:rsidR="008132DA">
        <w:t>P</w:t>
      </w:r>
      <w:r w:rsidR="008132DA" w:rsidRPr="008132DA">
        <w:t>andemic</w:t>
      </w:r>
      <w:r w:rsidR="008132DA">
        <w:t xml:space="preserve"> (G/MA/W/16</w:t>
      </w:r>
      <w:r w:rsidR="00016C47">
        <w:t>8</w:t>
      </w:r>
      <w:r w:rsidR="008132DA">
        <w:t xml:space="preserve">). </w:t>
      </w:r>
      <w:r w:rsidR="006B4585">
        <w:t>At the formal meeting on 29-30 April, t</w:t>
      </w:r>
      <w:r w:rsidR="00016C47">
        <w:t xml:space="preserve">he Secretariat was asked to update the report and take into account </w:t>
      </w:r>
      <w:r w:rsidR="00F43799">
        <w:t xml:space="preserve">additional </w:t>
      </w:r>
      <w:r w:rsidR="00016C47">
        <w:t>information coming from the Trade Morning Exercise</w:t>
      </w:r>
      <w:r w:rsidR="005D21BE">
        <w:rPr>
          <w:rStyle w:val="Appelnotedebasdep"/>
        </w:rPr>
        <w:footnoteReference w:id="6"/>
      </w:r>
      <w:r w:rsidR="00F43799">
        <w:t xml:space="preserve"> that had not yet been notified</w:t>
      </w:r>
      <w:r w:rsidR="00016C47">
        <w:t xml:space="preserve">. </w:t>
      </w:r>
      <w:r w:rsidR="00F43799" w:rsidRPr="001946B6">
        <w:t>At its meeting of 11 October, t</w:t>
      </w:r>
      <w:r w:rsidR="00016C47" w:rsidRPr="001946B6">
        <w:t xml:space="preserve">he </w:t>
      </w:r>
      <w:r w:rsidR="00F43799" w:rsidRPr="001946B6">
        <w:t xml:space="preserve">Committee </w:t>
      </w:r>
      <w:r w:rsidR="00AE479A">
        <w:t>t</w:t>
      </w:r>
      <w:r w:rsidR="00F43799" w:rsidRPr="001946B6">
        <w:t xml:space="preserve">ook note of the </w:t>
      </w:r>
      <w:r w:rsidR="00016C47" w:rsidRPr="001946B6">
        <w:t>revised report (G/MA/W/168/Rev.1).</w:t>
      </w:r>
      <w:r w:rsidR="00016C47">
        <w:t xml:space="preserve"> </w:t>
      </w:r>
      <w:r w:rsidR="008132DA">
        <w:t xml:space="preserve">In addition, </w:t>
      </w:r>
      <w:r w:rsidR="00016C47">
        <w:t xml:space="preserve">the Committee </w:t>
      </w:r>
      <w:r w:rsidR="008132DA">
        <w:t xml:space="preserve">took note of a document </w:t>
      </w:r>
      <w:r>
        <w:t>listing all notifications which had been submitted by Members to the Committee on Market Access relating to COVID-19 (G/MA/W/157</w:t>
      </w:r>
      <w:r w:rsidR="007F596B">
        <w:t>/Rev.2 and G/MA/W/157/Rev.3</w:t>
      </w:r>
      <w:r w:rsidR="00016C47">
        <w:t>)</w:t>
      </w:r>
      <w:r w:rsidR="00F43799">
        <w:t>, as well as of</w:t>
      </w:r>
      <w:r w:rsidR="00016C47">
        <w:t xml:space="preserve"> </w:t>
      </w:r>
      <w:r w:rsidRPr="001946B6">
        <w:t>communication</w:t>
      </w:r>
      <w:r w:rsidR="00016C47" w:rsidRPr="001946B6">
        <w:t>s</w:t>
      </w:r>
      <w:r w:rsidR="008132DA" w:rsidRPr="001946B6">
        <w:t xml:space="preserve"> </w:t>
      </w:r>
      <w:r w:rsidRPr="001946B6">
        <w:t xml:space="preserve">with information on unilateral measures to facilitate trade </w:t>
      </w:r>
      <w:r w:rsidR="00AE479A">
        <w:t>in relation to COVID-19</w:t>
      </w:r>
      <w:r w:rsidR="00B53A6B">
        <w:t>.</w:t>
      </w:r>
    </w:p>
    <w:p w14:paraId="5F838A67" w14:textId="6564CB2E" w:rsidR="00016C47" w:rsidRPr="00184D10" w:rsidRDefault="00016C47" w:rsidP="00F03E1C">
      <w:pPr>
        <w:pStyle w:val="SummaryText"/>
        <w:rPr>
          <w:rStyle w:val="Marquedecommentaire"/>
          <w:sz w:val="18"/>
          <w:szCs w:val="22"/>
        </w:rPr>
      </w:pPr>
      <w:r w:rsidRPr="002E3221">
        <w:t xml:space="preserve">At the meeting of </w:t>
      </w:r>
      <w:r>
        <w:t>29-30 April</w:t>
      </w:r>
      <w:r w:rsidRPr="002E3221">
        <w:t xml:space="preserve">, </w:t>
      </w:r>
      <w:r w:rsidR="00F43799">
        <w:t xml:space="preserve">the Committee took note of a presentation by </w:t>
      </w:r>
      <w:r w:rsidRPr="002E3221">
        <w:t>a representative of the World Customs Organization</w:t>
      </w:r>
      <w:r>
        <w:t xml:space="preserve"> (WCO)</w:t>
      </w:r>
      <w:r w:rsidRPr="002E3221">
        <w:t xml:space="preserve"> </w:t>
      </w:r>
      <w:r>
        <w:t>on</w:t>
      </w:r>
      <w:r w:rsidRPr="002E3221">
        <w:t xml:space="preserve"> the main changes that w</w:t>
      </w:r>
      <w:r w:rsidR="006B4585">
        <w:t>ould</w:t>
      </w:r>
      <w:r w:rsidRPr="002E3221">
        <w:t xml:space="preserve"> result from the introduction of the HS2022 amendment.</w:t>
      </w:r>
      <w:r>
        <w:t xml:space="preserve"> </w:t>
      </w:r>
      <w:r w:rsidRPr="001946B6">
        <w:t>At the meeting of 11 October, the WCO and WTO representatives made a presentation on the Joint Indicative List of Critical Vaccine Inputs</w:t>
      </w:r>
      <w:r w:rsidR="0037214A">
        <w:rPr>
          <w:rStyle w:val="Appelnotedebasdep"/>
        </w:rPr>
        <w:footnoteReference w:id="7"/>
      </w:r>
      <w:r w:rsidRPr="001946B6">
        <w:t>. At the same meeting, the Secretariat informed the Committee that the HS tracker</w:t>
      </w:r>
      <w:r w:rsidRPr="001946B6">
        <w:rPr>
          <w:rStyle w:val="Appelnotedebasdep"/>
        </w:rPr>
        <w:footnoteReference w:id="8"/>
      </w:r>
      <w:r w:rsidRPr="001946B6">
        <w:t>, a new online tool developed in collaboration with the WCO, was officially launched.</w:t>
      </w:r>
    </w:p>
    <w:p w14:paraId="679EF50F" w14:textId="6D7A5A25" w:rsidR="00184D10" w:rsidRPr="001946B6" w:rsidRDefault="00184D10" w:rsidP="00F03E1C">
      <w:pPr>
        <w:pStyle w:val="SummaryText"/>
        <w:rPr>
          <w:rStyle w:val="Marquedecommentaire"/>
          <w:sz w:val="18"/>
          <w:szCs w:val="22"/>
        </w:rPr>
      </w:pPr>
      <w:r w:rsidRPr="001946B6">
        <w:t>At its informal meeting of 26 May, the Secretariat informed the Committee that it could organize training sessions for Geneva-based delegates on technical topics covered by the Committee and launched an online survey with an indicative list of training topics. At its formal meeting of 11</w:t>
      </w:r>
      <w:r w:rsidR="00B53A6B">
        <w:t> </w:t>
      </w:r>
      <w:r w:rsidRPr="001946B6">
        <w:t xml:space="preserve">October, the Committee </w:t>
      </w:r>
      <w:r w:rsidR="00A711BA">
        <w:t>took note of</w:t>
      </w:r>
      <w:r w:rsidRPr="001946B6">
        <w:t xml:space="preserve"> the topic of the first training session, scheduled for 2022, </w:t>
      </w:r>
      <w:r w:rsidR="00A711BA">
        <w:t xml:space="preserve">which </w:t>
      </w:r>
      <w:r w:rsidRPr="001946B6">
        <w:t>was "Introduction to Market Access: Main rules and procedures, including notifications, under the Agreements covered by the Market Access Division"</w:t>
      </w:r>
      <w:r w:rsidR="001946B6">
        <w:t>.</w:t>
      </w:r>
    </w:p>
    <w:p w14:paraId="70BF30E1" w14:textId="629A6B6D" w:rsidR="00184D10" w:rsidRPr="001946B6" w:rsidRDefault="009D707A" w:rsidP="00F03E1C">
      <w:pPr>
        <w:pStyle w:val="SummaryText"/>
        <w:rPr>
          <w:rStyle w:val="Marquedecommentaire"/>
          <w:sz w:val="18"/>
          <w:szCs w:val="18"/>
        </w:rPr>
      </w:pPr>
      <w:r w:rsidRPr="001946B6">
        <w:rPr>
          <w:rStyle w:val="Marquedecommentaire"/>
          <w:sz w:val="18"/>
          <w:szCs w:val="18"/>
        </w:rPr>
        <w:t xml:space="preserve">At its informal meeting of 16 June, </w:t>
      </w:r>
      <w:r w:rsidR="00184D10" w:rsidRPr="001946B6">
        <w:rPr>
          <w:rStyle w:val="Marquedecommentaire"/>
          <w:sz w:val="18"/>
          <w:szCs w:val="18"/>
        </w:rPr>
        <w:t>the Committee held its second informal dedicated session to discuss Members' feedback on the data dissemination and online tools developed by the Secretariat pursuant to paragraph 15 of the IDB Decision. The summary report was circulated in document G/MA/W/144/Add</w:t>
      </w:r>
      <w:r w:rsidR="00EC4042" w:rsidRPr="001946B6">
        <w:rPr>
          <w:rStyle w:val="Marquedecommentaire"/>
          <w:sz w:val="18"/>
          <w:szCs w:val="18"/>
        </w:rPr>
        <w:t>.</w:t>
      </w:r>
      <w:r w:rsidR="00184D10" w:rsidRPr="001946B6">
        <w:rPr>
          <w:rStyle w:val="Marquedecommentaire"/>
          <w:sz w:val="18"/>
          <w:szCs w:val="18"/>
        </w:rPr>
        <w:t>1.</w:t>
      </w:r>
    </w:p>
    <w:p w14:paraId="4F8CC202" w14:textId="7B693960" w:rsidR="00DA17F0" w:rsidRPr="001946B6" w:rsidRDefault="00DA17F0" w:rsidP="00F03E1C">
      <w:pPr>
        <w:pStyle w:val="SummaryText"/>
        <w:rPr>
          <w:rStyle w:val="Marquedecommentaire"/>
          <w:sz w:val="18"/>
          <w:szCs w:val="18"/>
        </w:rPr>
      </w:pPr>
      <w:r w:rsidRPr="001946B6">
        <w:rPr>
          <w:rStyle w:val="Marquedecommentaire"/>
          <w:sz w:val="18"/>
          <w:szCs w:val="18"/>
        </w:rPr>
        <w:t xml:space="preserve">On 21 September, the </w:t>
      </w:r>
      <w:r w:rsidR="00F66525" w:rsidRPr="001946B6">
        <w:rPr>
          <w:rStyle w:val="Marquedecommentaire"/>
          <w:sz w:val="18"/>
          <w:szCs w:val="18"/>
        </w:rPr>
        <w:t>Secretariat</w:t>
      </w:r>
      <w:r w:rsidR="001946B6">
        <w:rPr>
          <w:rStyle w:val="Marquedecommentaire"/>
          <w:sz w:val="18"/>
          <w:szCs w:val="18"/>
        </w:rPr>
        <w:t>,</w:t>
      </w:r>
      <w:r w:rsidR="00F66525" w:rsidRPr="001946B6">
        <w:rPr>
          <w:rStyle w:val="Marquedecommentaire"/>
          <w:sz w:val="18"/>
          <w:szCs w:val="18"/>
        </w:rPr>
        <w:t xml:space="preserve"> at the request of the Committee</w:t>
      </w:r>
      <w:r w:rsidR="001946B6">
        <w:rPr>
          <w:rStyle w:val="Marquedecommentaire"/>
          <w:sz w:val="18"/>
          <w:szCs w:val="18"/>
        </w:rPr>
        <w:t>,</w:t>
      </w:r>
      <w:r w:rsidR="00F66525" w:rsidRPr="001946B6">
        <w:rPr>
          <w:rStyle w:val="Marquedecommentaire"/>
          <w:sz w:val="18"/>
          <w:szCs w:val="18"/>
        </w:rPr>
        <w:t xml:space="preserve"> </w:t>
      </w:r>
      <w:r w:rsidRPr="00A711BA">
        <w:rPr>
          <w:rStyle w:val="Marquedecommentaire"/>
          <w:sz w:val="18"/>
          <w:szCs w:val="18"/>
        </w:rPr>
        <w:t xml:space="preserve">organised </w:t>
      </w:r>
      <w:r w:rsidR="00F66525" w:rsidRPr="00A711BA">
        <w:rPr>
          <w:rStyle w:val="Marquedecommentaire"/>
          <w:sz w:val="18"/>
          <w:szCs w:val="18"/>
        </w:rPr>
        <w:t>an</w:t>
      </w:r>
      <w:r w:rsidR="00F66525" w:rsidRPr="001946B6">
        <w:rPr>
          <w:rStyle w:val="Marquedecommentaire"/>
          <w:sz w:val="18"/>
          <w:szCs w:val="18"/>
        </w:rPr>
        <w:t xml:space="preserve"> </w:t>
      </w:r>
      <w:r w:rsidR="00A711BA">
        <w:rPr>
          <w:rStyle w:val="Marquedecommentaire"/>
          <w:sz w:val="18"/>
          <w:szCs w:val="18"/>
        </w:rPr>
        <w:t>i</w:t>
      </w:r>
      <w:r w:rsidRPr="001946B6">
        <w:rPr>
          <w:rStyle w:val="Marquedecommentaire"/>
          <w:sz w:val="18"/>
          <w:szCs w:val="18"/>
        </w:rPr>
        <w:t xml:space="preserve">nformation </w:t>
      </w:r>
      <w:r w:rsidR="00A711BA">
        <w:rPr>
          <w:rStyle w:val="Marquedecommentaire"/>
          <w:sz w:val="18"/>
          <w:szCs w:val="18"/>
        </w:rPr>
        <w:t>s</w:t>
      </w:r>
      <w:r w:rsidRPr="001946B6">
        <w:rPr>
          <w:rStyle w:val="Marquedecommentaire"/>
          <w:sz w:val="18"/>
          <w:szCs w:val="18"/>
        </w:rPr>
        <w:t xml:space="preserve">ession on </w:t>
      </w:r>
      <w:r w:rsidR="001946B6">
        <w:rPr>
          <w:rStyle w:val="Marquedecommentaire"/>
          <w:sz w:val="18"/>
          <w:szCs w:val="18"/>
        </w:rPr>
        <w:t>"</w:t>
      </w:r>
      <w:r w:rsidRPr="001946B6">
        <w:rPr>
          <w:rStyle w:val="Marquedecommentaire"/>
          <w:sz w:val="18"/>
          <w:szCs w:val="18"/>
        </w:rPr>
        <w:t>Quantitative Restrictions and their relation to Multilateral Environmental Agreement</w:t>
      </w:r>
      <w:r w:rsidR="001946B6">
        <w:rPr>
          <w:rStyle w:val="Marquedecommentaire"/>
          <w:sz w:val="18"/>
          <w:szCs w:val="18"/>
        </w:rPr>
        <w:t>s"</w:t>
      </w:r>
      <w:r w:rsidR="001946B6">
        <w:rPr>
          <w:rStyle w:val="Appelnotedebasdep"/>
          <w:szCs w:val="18"/>
        </w:rPr>
        <w:footnoteReference w:id="9"/>
      </w:r>
      <w:r w:rsidRPr="001946B6">
        <w:rPr>
          <w:rStyle w:val="Marquedecommentaire"/>
          <w:sz w:val="18"/>
          <w:szCs w:val="18"/>
        </w:rPr>
        <w:t xml:space="preserve">. The Chairperson reported about this activity </w:t>
      </w:r>
      <w:r w:rsidR="00A711BA">
        <w:rPr>
          <w:rStyle w:val="Marquedecommentaire"/>
          <w:sz w:val="18"/>
          <w:szCs w:val="18"/>
        </w:rPr>
        <w:t>at</w:t>
      </w:r>
      <w:r w:rsidR="00F66525" w:rsidRPr="001946B6">
        <w:rPr>
          <w:rStyle w:val="Marquedecommentaire"/>
          <w:sz w:val="18"/>
          <w:szCs w:val="18"/>
        </w:rPr>
        <w:t xml:space="preserve"> </w:t>
      </w:r>
      <w:r w:rsidRPr="001946B6">
        <w:rPr>
          <w:rStyle w:val="Marquedecommentaire"/>
          <w:sz w:val="18"/>
          <w:szCs w:val="18"/>
        </w:rPr>
        <w:t>the formal meeting of</w:t>
      </w:r>
      <w:r w:rsidR="00416EBF">
        <w:rPr>
          <w:rStyle w:val="Marquedecommentaire"/>
          <w:sz w:val="18"/>
          <w:szCs w:val="18"/>
        </w:rPr>
        <w:t xml:space="preserve"> 11</w:t>
      </w:r>
      <w:r w:rsidRPr="001946B6">
        <w:rPr>
          <w:rStyle w:val="Marquedecommentaire"/>
          <w:sz w:val="18"/>
          <w:szCs w:val="18"/>
        </w:rPr>
        <w:t xml:space="preserve"> October.</w:t>
      </w:r>
    </w:p>
    <w:p w14:paraId="1D02E42C" w14:textId="2F8E6017" w:rsidR="003A0AEE" w:rsidRPr="00B8125A" w:rsidRDefault="003A0AEE" w:rsidP="00F03E1C">
      <w:pPr>
        <w:pStyle w:val="SummaryText"/>
      </w:pPr>
      <w:r w:rsidRPr="00B8125A">
        <w:t xml:space="preserve">At its meeting of </w:t>
      </w:r>
      <w:r w:rsidR="008132DA">
        <w:t>29-30 April</w:t>
      </w:r>
      <w:r w:rsidRPr="00B8125A">
        <w:t>, the Committee took note of the Secretariat document entitled "Situation of Schedules of WTO</w:t>
      </w:r>
      <w:r>
        <w:t> </w:t>
      </w:r>
      <w:r w:rsidRPr="00726C97">
        <w:t>Members" (G/MA/W/23/Rev.1</w:t>
      </w:r>
      <w:r w:rsidR="008132DA">
        <w:t>7</w:t>
      </w:r>
      <w:r w:rsidRPr="00726C97">
        <w:t xml:space="preserve">), which lists all legal instruments relating to each Member's Schedule of concessions. It also took note of the Secretariat document </w:t>
      </w:r>
      <w:r w:rsidRPr="00726C97">
        <w:lastRenderedPageBreak/>
        <w:t>entitled "Factual Report on the Status of Renegotiations under Article XXVIII of the GATT 1994" (G/MA/W/123/Rev.</w:t>
      </w:r>
      <w:r w:rsidR="008132DA">
        <w:t>8).</w:t>
      </w:r>
      <w:r w:rsidR="00016C47">
        <w:t xml:space="preserve"> </w:t>
      </w:r>
    </w:p>
    <w:p w14:paraId="12F83B30" w14:textId="0FC35CA8" w:rsidR="003A0AEE" w:rsidRDefault="003A0AEE" w:rsidP="00F03E1C">
      <w:pPr>
        <w:pStyle w:val="SummaryText"/>
      </w:pPr>
      <w:r w:rsidRPr="00B8125A">
        <w:t xml:space="preserve">At its </w:t>
      </w:r>
      <w:r w:rsidRPr="00244E7C">
        <w:t>meeting</w:t>
      </w:r>
      <w:r w:rsidR="00D64A19">
        <w:t xml:space="preserve"> of 29-30 April</w:t>
      </w:r>
      <w:r w:rsidR="00016C47">
        <w:t xml:space="preserve">, </w:t>
      </w:r>
      <w:r w:rsidRPr="00244E7C">
        <w:t>the Committee</w:t>
      </w:r>
      <w:r w:rsidRPr="00B8125A">
        <w:t xml:space="preserve"> </w:t>
      </w:r>
      <w:r w:rsidR="00F43799">
        <w:t>took note of a proposal</w:t>
      </w:r>
      <w:r w:rsidRPr="00B8125A">
        <w:t xml:space="preserve"> by the Russian Federation on "Enhancing Transparency in Applied Tariffs" (JOB/MA/138).</w:t>
      </w:r>
      <w:r>
        <w:t xml:space="preserve">  </w:t>
      </w:r>
      <w:r w:rsidRPr="00D64A19">
        <w:t xml:space="preserve">At its meeting of </w:t>
      </w:r>
      <w:r w:rsidR="005D21BE" w:rsidRPr="00D64A19">
        <w:t>11 October</w:t>
      </w:r>
      <w:r w:rsidRPr="00D64A19">
        <w:t xml:space="preserve">, </w:t>
      </w:r>
      <w:r w:rsidR="00D64A19">
        <w:t xml:space="preserve">the Committee </w:t>
      </w:r>
      <w:r w:rsidR="00EA361A">
        <w:t xml:space="preserve">also </w:t>
      </w:r>
      <w:r w:rsidR="00F43799" w:rsidRPr="00D64A19">
        <w:t>took note</w:t>
      </w:r>
      <w:r w:rsidR="00A711BA">
        <w:t xml:space="preserve"> </w:t>
      </w:r>
      <w:r w:rsidR="00F43799" w:rsidRPr="00D64A19">
        <w:t xml:space="preserve">of </w:t>
      </w:r>
      <w:r w:rsidRPr="00D64A19">
        <w:t xml:space="preserve">a </w:t>
      </w:r>
      <w:r w:rsidR="00D64A19">
        <w:t>proposal</w:t>
      </w:r>
      <w:r w:rsidRPr="00D64A19">
        <w:t xml:space="preserve"> by </w:t>
      </w:r>
      <w:r w:rsidR="0037214A" w:rsidRPr="0037214A">
        <w:rPr>
          <w:bCs/>
          <w:lang w:val="en-US"/>
        </w:rPr>
        <w:t>Australia, Brazil,</w:t>
      </w:r>
      <w:r w:rsidR="0037214A">
        <w:rPr>
          <w:bCs/>
          <w:lang w:val="en-US"/>
        </w:rPr>
        <w:t xml:space="preserve"> Canada, the European Union</w:t>
      </w:r>
      <w:r w:rsidR="0037214A" w:rsidRPr="0037214A">
        <w:rPr>
          <w:bCs/>
          <w:lang w:val="en-US"/>
        </w:rPr>
        <w:t xml:space="preserve"> and Ukraine </w:t>
      </w:r>
      <w:r w:rsidR="00D64A19">
        <w:t>on t</w:t>
      </w:r>
      <w:r w:rsidRPr="00D64A19">
        <w:rPr>
          <w:spacing w:val="-2"/>
        </w:rPr>
        <w:t xml:space="preserve">ransparency in </w:t>
      </w:r>
      <w:r w:rsidR="00D64A19">
        <w:rPr>
          <w:spacing w:val="-2"/>
        </w:rPr>
        <w:t>applied t</w:t>
      </w:r>
      <w:r w:rsidRPr="00D64A19">
        <w:rPr>
          <w:spacing w:val="-2"/>
        </w:rPr>
        <w:t xml:space="preserve">ariff </w:t>
      </w:r>
      <w:r w:rsidR="00D64A19">
        <w:rPr>
          <w:spacing w:val="-2"/>
        </w:rPr>
        <w:t>r</w:t>
      </w:r>
      <w:r w:rsidRPr="00D64A19">
        <w:rPr>
          <w:spacing w:val="-2"/>
        </w:rPr>
        <w:t xml:space="preserve">ate </w:t>
      </w:r>
      <w:r w:rsidR="00D64A19">
        <w:rPr>
          <w:spacing w:val="-2"/>
        </w:rPr>
        <w:t>c</w:t>
      </w:r>
      <w:r w:rsidRPr="00D64A19">
        <w:rPr>
          <w:spacing w:val="-2"/>
        </w:rPr>
        <w:t>hange</w:t>
      </w:r>
      <w:r w:rsidR="0037214A">
        <w:rPr>
          <w:spacing w:val="-2"/>
        </w:rPr>
        <w:t xml:space="preserve"> (</w:t>
      </w:r>
      <w:r w:rsidR="0037214A" w:rsidRPr="0037214A">
        <w:rPr>
          <w:bCs/>
          <w:spacing w:val="-2"/>
          <w:lang w:val="en-US"/>
        </w:rPr>
        <w:t>JOB/AG/212</w:t>
      </w:r>
      <w:r w:rsidR="0037214A">
        <w:rPr>
          <w:bCs/>
          <w:spacing w:val="-2"/>
          <w:lang w:val="en-US"/>
        </w:rPr>
        <w:t>/Rev.1)</w:t>
      </w:r>
      <w:r w:rsidR="00D64A19">
        <w:rPr>
          <w:spacing w:val="-2"/>
        </w:rPr>
        <w:t>.</w:t>
      </w:r>
    </w:p>
    <w:p w14:paraId="3946C070" w14:textId="4710F84C" w:rsidR="005D21BE" w:rsidRPr="00D64A19" w:rsidRDefault="003A0AEE" w:rsidP="00F03E1C">
      <w:pPr>
        <w:pStyle w:val="SummaryText"/>
      </w:pPr>
      <w:r w:rsidRPr="00D64A19">
        <w:t xml:space="preserve">At </w:t>
      </w:r>
      <w:r w:rsidR="00016C47" w:rsidRPr="00D64A19">
        <w:t xml:space="preserve">its </w:t>
      </w:r>
      <w:r w:rsidRPr="00D64A19">
        <w:t>formal meeting</w:t>
      </w:r>
      <w:r w:rsidR="00016C47" w:rsidRPr="00D64A19">
        <w:t xml:space="preserve"> of 29-30 April,</w:t>
      </w:r>
      <w:r w:rsidR="007B60AC" w:rsidRPr="00D64A19">
        <w:t xml:space="preserve"> </w:t>
      </w:r>
      <w:r w:rsidR="00016C47" w:rsidRPr="00D64A19">
        <w:t>following a trial period by Members and the organization of a mock session</w:t>
      </w:r>
      <w:r w:rsidR="007B60AC" w:rsidRPr="00D64A19">
        <w:t xml:space="preserve">, the Committee used for the first time </w:t>
      </w:r>
      <w:r w:rsidR="00EA361A">
        <w:t xml:space="preserve">and </w:t>
      </w:r>
      <w:r w:rsidR="00EA361A" w:rsidRPr="00D64A19">
        <w:t xml:space="preserve">on a voluntary basis </w:t>
      </w:r>
      <w:r w:rsidR="00EA361A">
        <w:t xml:space="preserve">the </w:t>
      </w:r>
      <w:proofErr w:type="spellStart"/>
      <w:r w:rsidR="007B60AC" w:rsidRPr="00D64A19">
        <w:t>eAgenda</w:t>
      </w:r>
      <w:proofErr w:type="spellEnd"/>
      <w:r w:rsidR="007B60AC" w:rsidRPr="00D64A19">
        <w:rPr>
          <w:rStyle w:val="Appelnotedebasdep"/>
        </w:rPr>
        <w:footnoteReference w:id="10"/>
      </w:r>
      <w:r w:rsidRPr="00D64A19">
        <w:t xml:space="preserve">. </w:t>
      </w:r>
      <w:r w:rsidR="00EA361A">
        <w:t xml:space="preserve">The Committee also </w:t>
      </w:r>
      <w:r w:rsidR="005D21BE" w:rsidRPr="00D64A19">
        <w:t xml:space="preserve">used </w:t>
      </w:r>
      <w:proofErr w:type="spellStart"/>
      <w:r w:rsidR="00EA361A">
        <w:t>eAgenda</w:t>
      </w:r>
      <w:proofErr w:type="spellEnd"/>
      <w:r w:rsidR="00EA361A">
        <w:t xml:space="preserve"> </w:t>
      </w:r>
      <w:r w:rsidR="005D21BE" w:rsidRPr="00D64A19">
        <w:t xml:space="preserve">for </w:t>
      </w:r>
      <w:r w:rsidR="00EA361A">
        <w:t>its</w:t>
      </w:r>
      <w:r w:rsidR="005D21BE" w:rsidRPr="00D64A19">
        <w:t xml:space="preserve"> formal meeting of 11 October. </w:t>
      </w:r>
      <w:r w:rsidR="006B4585" w:rsidRPr="00D64A19">
        <w:t>At its informal meeting of 26 May, the Committee heard a presentation about the trade concerns database</w:t>
      </w:r>
      <w:r w:rsidR="00EC4042" w:rsidRPr="00D64A19">
        <w:rPr>
          <w:rStyle w:val="Appelnotedebasdep"/>
        </w:rPr>
        <w:footnoteReference w:id="11"/>
      </w:r>
      <w:r w:rsidR="006B4585" w:rsidRPr="00D64A19">
        <w:t xml:space="preserve"> and discussed the possibility of incorporating the trade concerns raised in the Committee on Market Access in the existing database. </w:t>
      </w:r>
    </w:p>
    <w:p w14:paraId="12AE6A12" w14:textId="7D11CCA7" w:rsidR="003A0AEE" w:rsidRPr="00D64A19" w:rsidRDefault="005D21BE" w:rsidP="00F03E1C">
      <w:pPr>
        <w:pStyle w:val="SummaryText"/>
      </w:pPr>
      <w:r w:rsidRPr="00D64A19">
        <w:t>At its informal meeting</w:t>
      </w:r>
      <w:r w:rsidR="00AE1351" w:rsidRPr="00D64A19">
        <w:t xml:space="preserve"> of 28 January, the</w:t>
      </w:r>
      <w:r w:rsidRPr="00D64A19">
        <w:t xml:space="preserve"> Committee </w:t>
      </w:r>
      <w:r w:rsidR="003A0AEE" w:rsidRPr="00D64A19">
        <w:t>considered the possibility of derestricting the Uruguay Round</w:t>
      </w:r>
      <w:r w:rsidR="00AE1351" w:rsidRPr="00D64A19">
        <w:t xml:space="preserve"> (UR)</w:t>
      </w:r>
      <w:r w:rsidR="003A0AEE" w:rsidRPr="00D64A19">
        <w:t xml:space="preserve"> negotiating materials and agreed to </w:t>
      </w:r>
      <w:r w:rsidR="00AE1351" w:rsidRPr="00D64A19">
        <w:t xml:space="preserve">share with </w:t>
      </w:r>
      <w:r w:rsidR="00AE1351" w:rsidRPr="00D64A19">
        <w:rPr>
          <w:rFonts w:cs="Arial"/>
          <w:bCs/>
          <w:szCs w:val="18"/>
        </w:rPr>
        <w:t xml:space="preserve">Members an inventory of all the UR negotiating materials concerned so that Members could review them during a period of six months, ending on 31 October 2021. The Committee </w:t>
      </w:r>
      <w:r w:rsidR="00295832">
        <w:rPr>
          <w:rFonts w:cs="Arial"/>
          <w:bCs/>
          <w:szCs w:val="18"/>
        </w:rPr>
        <w:t>is</w:t>
      </w:r>
      <w:r w:rsidR="00AE1351" w:rsidRPr="00D64A19">
        <w:rPr>
          <w:rFonts w:cs="Arial"/>
          <w:bCs/>
          <w:szCs w:val="18"/>
        </w:rPr>
        <w:t xml:space="preserve"> expected to resume discussion on whether to derestrict the</w:t>
      </w:r>
      <w:r w:rsidR="009D707A" w:rsidRPr="00D64A19">
        <w:rPr>
          <w:rFonts w:cs="Arial"/>
          <w:bCs/>
          <w:szCs w:val="18"/>
        </w:rPr>
        <w:t xml:space="preserve"> UR</w:t>
      </w:r>
      <w:r w:rsidR="00AE1351" w:rsidRPr="00D64A19">
        <w:rPr>
          <w:rFonts w:cs="Arial"/>
          <w:bCs/>
          <w:szCs w:val="18"/>
        </w:rPr>
        <w:t xml:space="preserve"> negotiating materials at its informal meeting on 9 December.</w:t>
      </w:r>
    </w:p>
    <w:p w14:paraId="4827F3EE" w14:textId="26E25DD2" w:rsidR="003A0AEE" w:rsidRDefault="003A0AEE" w:rsidP="00F03E1C">
      <w:pPr>
        <w:pStyle w:val="SummaryText"/>
      </w:pPr>
      <w:r w:rsidRPr="00B8125A">
        <w:t xml:space="preserve">At its </w:t>
      </w:r>
      <w:r w:rsidR="00AE1351">
        <w:t>formal</w:t>
      </w:r>
      <w:r w:rsidRPr="009007FE">
        <w:t xml:space="preserve"> meetings, the Committee took note of the following trade concerns:</w:t>
      </w:r>
    </w:p>
    <w:tbl>
      <w:tblPr>
        <w:tblStyle w:val="WTOTable1"/>
        <w:tblW w:w="0" w:type="auto"/>
        <w:tblLook w:val="04A0" w:firstRow="1" w:lastRow="0" w:firstColumn="1" w:lastColumn="0" w:noHBand="0" w:noVBand="1"/>
      </w:tblPr>
      <w:tblGrid>
        <w:gridCol w:w="4815"/>
        <w:gridCol w:w="4201"/>
      </w:tblGrid>
      <w:tr w:rsidR="003A0AEE" w:rsidRPr="00B8125A" w14:paraId="63E9B3EB" w14:textId="77777777" w:rsidTr="009D707A">
        <w:trPr>
          <w:cnfStyle w:val="100000000000" w:firstRow="1" w:lastRow="0" w:firstColumn="0" w:lastColumn="0" w:oddVBand="0" w:evenVBand="0" w:oddHBand="0" w:evenHBand="0" w:firstRowFirstColumn="0" w:firstRowLastColumn="0" w:lastRowFirstColumn="0" w:lastRowLastColumn="0"/>
          <w:trHeight w:val="20"/>
          <w:tblHeader/>
        </w:trPr>
        <w:tc>
          <w:tcPr>
            <w:tcW w:w="4815" w:type="dxa"/>
          </w:tcPr>
          <w:p w14:paraId="3FC5BE90" w14:textId="77777777" w:rsidR="003A0AEE" w:rsidRPr="00127452" w:rsidRDefault="003A0AEE" w:rsidP="009D707A">
            <w:pPr>
              <w:spacing w:after="60"/>
              <w:jc w:val="center"/>
            </w:pPr>
            <w:r w:rsidRPr="00127452">
              <w:t>Issue</w:t>
            </w:r>
            <w:r w:rsidRPr="00127452">
              <w:rPr>
                <w:rStyle w:val="Appelnotedebasdep"/>
              </w:rPr>
              <w:footnoteReference w:id="12"/>
            </w:r>
          </w:p>
        </w:tc>
        <w:tc>
          <w:tcPr>
            <w:tcW w:w="4201" w:type="dxa"/>
          </w:tcPr>
          <w:p w14:paraId="202C70A2" w14:textId="77777777" w:rsidR="003A0AEE" w:rsidRPr="00127452" w:rsidRDefault="003A0AEE" w:rsidP="009D707A">
            <w:pPr>
              <w:spacing w:after="60"/>
              <w:jc w:val="center"/>
            </w:pPr>
            <w:r w:rsidRPr="00127452">
              <w:t>Raised by</w:t>
            </w:r>
            <w:r w:rsidRPr="00127452">
              <w:rPr>
                <w:rStyle w:val="Appelnotedebasdep"/>
              </w:rPr>
              <w:footnoteReference w:id="13"/>
            </w:r>
            <w:r w:rsidRPr="00127452">
              <w:t>:</w:t>
            </w:r>
          </w:p>
        </w:tc>
      </w:tr>
      <w:tr w:rsidR="003A0AEE" w:rsidRPr="00B8125A" w14:paraId="50334932" w14:textId="77777777" w:rsidTr="009D707A">
        <w:trPr>
          <w:trHeight w:val="20"/>
        </w:trPr>
        <w:tc>
          <w:tcPr>
            <w:tcW w:w="4815" w:type="dxa"/>
          </w:tcPr>
          <w:p w14:paraId="17A819A3" w14:textId="42D57299" w:rsidR="003A0AEE" w:rsidRPr="00127452" w:rsidRDefault="003A0AEE" w:rsidP="007E4561">
            <w:pPr>
              <w:pStyle w:val="Paragraphedeliste"/>
              <w:numPr>
                <w:ilvl w:val="0"/>
                <w:numId w:val="16"/>
              </w:numPr>
              <w:tabs>
                <w:tab w:val="left" w:pos="316"/>
              </w:tabs>
              <w:ind w:left="316" w:hanging="316"/>
              <w:contextualSpacing w:val="0"/>
              <w:jc w:val="left"/>
            </w:pPr>
            <w:r w:rsidRPr="00127452">
              <w:t xml:space="preserve">Angola – </w:t>
            </w:r>
            <w:r w:rsidR="00A711BA">
              <w:t>I</w:t>
            </w:r>
            <w:r w:rsidR="00A711BA" w:rsidRPr="00127452">
              <w:t>mport restricti</w:t>
            </w:r>
            <w:r w:rsidR="00AE1351">
              <w:t>ng</w:t>
            </w:r>
            <w:r w:rsidR="00A711BA" w:rsidRPr="00127452">
              <w:t xml:space="preserve"> practices</w:t>
            </w:r>
          </w:p>
        </w:tc>
        <w:tc>
          <w:tcPr>
            <w:tcW w:w="4201" w:type="dxa"/>
          </w:tcPr>
          <w:p w14:paraId="26EC3ED5" w14:textId="77777777" w:rsidR="003A0AEE" w:rsidRPr="00127452" w:rsidRDefault="003A0AEE" w:rsidP="007E4561">
            <w:pPr>
              <w:jc w:val="left"/>
            </w:pPr>
            <w:r w:rsidRPr="00127452">
              <w:t>Russian Federation and the United States</w:t>
            </w:r>
          </w:p>
        </w:tc>
      </w:tr>
      <w:tr w:rsidR="003A0AEE" w:rsidRPr="00B8125A" w14:paraId="400CFE38"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5A8BD882" w14:textId="6E8DFEA8" w:rsidR="003A0AEE" w:rsidRPr="00127452" w:rsidRDefault="003A0AEE" w:rsidP="007E4561">
            <w:pPr>
              <w:pStyle w:val="Paragraphedeliste"/>
              <w:numPr>
                <w:ilvl w:val="0"/>
                <w:numId w:val="16"/>
              </w:numPr>
              <w:tabs>
                <w:tab w:val="left" w:pos="316"/>
              </w:tabs>
              <w:ind w:left="316" w:hanging="316"/>
              <w:contextualSpacing w:val="0"/>
              <w:jc w:val="left"/>
              <w:rPr>
                <w:noProof/>
              </w:rPr>
            </w:pPr>
            <w:r w:rsidRPr="00127452">
              <w:t xml:space="preserve">China - </w:t>
            </w:r>
            <w:r w:rsidR="00A711BA">
              <w:t>C</w:t>
            </w:r>
            <w:r w:rsidR="00A711BA" w:rsidRPr="00127452">
              <w:t>ustoms duties on certain integrated circuits</w:t>
            </w:r>
          </w:p>
        </w:tc>
        <w:tc>
          <w:tcPr>
            <w:tcW w:w="4201" w:type="dxa"/>
          </w:tcPr>
          <w:p w14:paraId="41FDC8CB" w14:textId="77777777" w:rsidR="003A0AEE" w:rsidRPr="00127452" w:rsidRDefault="003A0AEE" w:rsidP="007E4561">
            <w:pPr>
              <w:jc w:val="left"/>
              <w:rPr>
                <w:noProof/>
              </w:rPr>
            </w:pPr>
            <w:r w:rsidRPr="00127452">
              <w:t xml:space="preserve">European Union, Japan, and </w:t>
            </w:r>
            <w:r w:rsidRPr="00127452">
              <w:rPr>
                <w:noProof/>
              </w:rPr>
              <w:t>Chinese Taipei</w:t>
            </w:r>
          </w:p>
        </w:tc>
      </w:tr>
      <w:tr w:rsidR="00B94A1F" w:rsidRPr="00B8125A" w14:paraId="414FC303" w14:textId="77777777" w:rsidTr="009D707A">
        <w:trPr>
          <w:trHeight w:val="20"/>
        </w:trPr>
        <w:tc>
          <w:tcPr>
            <w:tcW w:w="4815" w:type="dxa"/>
          </w:tcPr>
          <w:p w14:paraId="37CEAFB0" w14:textId="3A7714F6" w:rsidR="00B94A1F" w:rsidRPr="00127452" w:rsidRDefault="00B94A1F" w:rsidP="007E4561">
            <w:pPr>
              <w:pStyle w:val="Paragraphedeliste"/>
              <w:numPr>
                <w:ilvl w:val="0"/>
                <w:numId w:val="16"/>
              </w:numPr>
              <w:tabs>
                <w:tab w:val="left" w:pos="316"/>
              </w:tabs>
              <w:ind w:left="316" w:hanging="316"/>
              <w:contextualSpacing w:val="0"/>
              <w:jc w:val="left"/>
            </w:pPr>
            <w:r w:rsidRPr="00B94A1F">
              <w:t xml:space="preserve">China — </w:t>
            </w:r>
            <w:r w:rsidR="00A711BA">
              <w:t>T</w:t>
            </w:r>
            <w:r w:rsidR="00A711BA" w:rsidRPr="00B94A1F">
              <w:t>rade disruptive and restrictive measures</w:t>
            </w:r>
          </w:p>
        </w:tc>
        <w:tc>
          <w:tcPr>
            <w:tcW w:w="4201" w:type="dxa"/>
          </w:tcPr>
          <w:p w14:paraId="0F36B879" w14:textId="211E800E" w:rsidR="00B94A1F" w:rsidRPr="00127452" w:rsidRDefault="00B94A1F" w:rsidP="007E4561">
            <w:pPr>
              <w:jc w:val="left"/>
            </w:pPr>
            <w:r>
              <w:t>Australia</w:t>
            </w:r>
          </w:p>
        </w:tc>
      </w:tr>
      <w:tr w:rsidR="00D83563" w:rsidRPr="00B8125A" w14:paraId="20FEECF8"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00E35074" w14:textId="025A0E17" w:rsidR="00D83563" w:rsidRPr="00D83563" w:rsidRDefault="00D83563" w:rsidP="007E4561">
            <w:pPr>
              <w:pStyle w:val="Paragraphedeliste"/>
              <w:numPr>
                <w:ilvl w:val="0"/>
                <w:numId w:val="16"/>
              </w:numPr>
              <w:tabs>
                <w:tab w:val="left" w:pos="316"/>
              </w:tabs>
              <w:ind w:left="316" w:hanging="316"/>
              <w:contextualSpacing w:val="0"/>
              <w:jc w:val="left"/>
            </w:pPr>
            <w:r w:rsidRPr="00D83563">
              <w:rPr>
                <w:szCs w:val="18"/>
                <w:lang w:val="en-US"/>
              </w:rPr>
              <w:t xml:space="preserve">Egypt – </w:t>
            </w:r>
            <w:r w:rsidR="00A711BA">
              <w:rPr>
                <w:szCs w:val="18"/>
                <w:lang w:val="en-US"/>
              </w:rPr>
              <w:t>M</w:t>
            </w:r>
            <w:r w:rsidR="00A711BA" w:rsidRPr="00D83563">
              <w:rPr>
                <w:szCs w:val="18"/>
                <w:lang w:val="en-US"/>
              </w:rPr>
              <w:t>anufacturer registration system (decree n° 43/2016)</w:t>
            </w:r>
          </w:p>
        </w:tc>
        <w:tc>
          <w:tcPr>
            <w:tcW w:w="4201" w:type="dxa"/>
          </w:tcPr>
          <w:p w14:paraId="2B92276B" w14:textId="499B11E8" w:rsidR="00D83563" w:rsidRPr="00127452" w:rsidRDefault="00D83563" w:rsidP="007E4561">
            <w:pPr>
              <w:jc w:val="left"/>
            </w:pPr>
            <w:r>
              <w:t>Russian Federation</w:t>
            </w:r>
          </w:p>
        </w:tc>
      </w:tr>
      <w:tr w:rsidR="003A0AEE" w:rsidRPr="00B8125A" w14:paraId="66DA9C8B" w14:textId="77777777" w:rsidTr="009D707A">
        <w:trPr>
          <w:trHeight w:val="20"/>
        </w:trPr>
        <w:tc>
          <w:tcPr>
            <w:tcW w:w="4815" w:type="dxa"/>
          </w:tcPr>
          <w:p w14:paraId="4D818874" w14:textId="77777777" w:rsidR="003A0AEE" w:rsidRPr="00127452" w:rsidRDefault="003A0AEE" w:rsidP="007E4561">
            <w:pPr>
              <w:pStyle w:val="Paragraphedeliste"/>
              <w:numPr>
                <w:ilvl w:val="0"/>
                <w:numId w:val="16"/>
              </w:numPr>
              <w:tabs>
                <w:tab w:val="left" w:pos="316"/>
              </w:tabs>
              <w:ind w:left="316" w:hanging="316"/>
              <w:contextualSpacing w:val="0"/>
              <w:jc w:val="left"/>
            </w:pPr>
            <w:r w:rsidRPr="00127452">
              <w:t>European Union - Carbon Border Adjustment Mechanism (The European Green Deal of December 2019)</w:t>
            </w:r>
          </w:p>
        </w:tc>
        <w:tc>
          <w:tcPr>
            <w:tcW w:w="4201" w:type="dxa"/>
          </w:tcPr>
          <w:p w14:paraId="7D5CA95F" w14:textId="44F619A3" w:rsidR="003A0AEE" w:rsidRPr="00127452" w:rsidRDefault="00AE1351" w:rsidP="007E4561">
            <w:pPr>
              <w:jc w:val="left"/>
            </w:pPr>
            <w:r>
              <w:t xml:space="preserve">Armenia, Kingdom of </w:t>
            </w:r>
            <w:r w:rsidR="00D83563">
              <w:t>Bahrain</w:t>
            </w:r>
            <w:r>
              <w:t xml:space="preserve">, </w:t>
            </w:r>
            <w:r w:rsidR="00D83563" w:rsidRPr="00127452">
              <w:t>China</w:t>
            </w:r>
            <w:r w:rsidR="00D83563">
              <w:t xml:space="preserve"> </w:t>
            </w:r>
            <w:r>
              <w:t xml:space="preserve">Kazakhstan, Kyrgyz Republic, Qatar, </w:t>
            </w:r>
            <w:r w:rsidR="00D83563" w:rsidRPr="00127452">
              <w:t>Russian Federation</w:t>
            </w:r>
            <w:r w:rsidR="00D83563">
              <w:t>, and Kingdom of Saudi Arabia</w:t>
            </w:r>
          </w:p>
        </w:tc>
      </w:tr>
      <w:tr w:rsidR="00D83563" w:rsidRPr="00B8125A" w14:paraId="262D9E50"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772A6789" w14:textId="6B226441" w:rsidR="00D83563" w:rsidRPr="00127452" w:rsidRDefault="00D83563" w:rsidP="007E4561">
            <w:pPr>
              <w:pStyle w:val="Paragraphedeliste"/>
              <w:numPr>
                <w:ilvl w:val="0"/>
                <w:numId w:val="16"/>
              </w:numPr>
              <w:tabs>
                <w:tab w:val="left" w:pos="316"/>
              </w:tabs>
              <w:ind w:left="316" w:hanging="316"/>
              <w:contextualSpacing w:val="0"/>
              <w:jc w:val="left"/>
            </w:pPr>
            <w:r w:rsidRPr="00D83563">
              <w:t xml:space="preserve">European Union - </w:t>
            </w:r>
            <w:r w:rsidR="00A711BA">
              <w:t>V</w:t>
            </w:r>
            <w:r w:rsidR="00A711BA" w:rsidRPr="00D83563">
              <w:t xml:space="preserve">accine export transparency mechanism </w:t>
            </w:r>
          </w:p>
        </w:tc>
        <w:tc>
          <w:tcPr>
            <w:tcW w:w="4201" w:type="dxa"/>
          </w:tcPr>
          <w:p w14:paraId="30D2E87C" w14:textId="7B6F2819" w:rsidR="00D83563" w:rsidRDefault="00D83563" w:rsidP="007E4561">
            <w:pPr>
              <w:jc w:val="left"/>
            </w:pPr>
            <w:r>
              <w:t>Australia</w:t>
            </w:r>
          </w:p>
        </w:tc>
      </w:tr>
      <w:tr w:rsidR="003A0AEE" w:rsidRPr="00B8125A" w14:paraId="28293FC9" w14:textId="77777777" w:rsidTr="009D707A">
        <w:trPr>
          <w:trHeight w:val="20"/>
        </w:trPr>
        <w:tc>
          <w:tcPr>
            <w:tcW w:w="4815" w:type="dxa"/>
          </w:tcPr>
          <w:p w14:paraId="612FE418" w14:textId="6B9010CF" w:rsidR="003A0AEE" w:rsidRPr="00127452" w:rsidRDefault="003A0AEE" w:rsidP="007E4561">
            <w:pPr>
              <w:pStyle w:val="Paragraphedeliste"/>
              <w:numPr>
                <w:ilvl w:val="0"/>
                <w:numId w:val="16"/>
              </w:numPr>
              <w:tabs>
                <w:tab w:val="left" w:pos="316"/>
              </w:tabs>
              <w:ind w:left="316" w:hanging="316"/>
              <w:contextualSpacing w:val="0"/>
              <w:jc w:val="left"/>
            </w:pPr>
            <w:r w:rsidRPr="00127452">
              <w:rPr>
                <w:noProof/>
              </w:rPr>
              <w:t xml:space="preserve">India – </w:t>
            </w:r>
            <w:r w:rsidR="00B10D38">
              <w:rPr>
                <w:noProof/>
              </w:rPr>
              <w:t>C</w:t>
            </w:r>
            <w:r w:rsidR="00B10D38" w:rsidRPr="00127452">
              <w:rPr>
                <w:noProof/>
              </w:rPr>
              <w:t>ustoms duties on telecommunication and other products</w:t>
            </w:r>
          </w:p>
        </w:tc>
        <w:tc>
          <w:tcPr>
            <w:tcW w:w="4201" w:type="dxa"/>
          </w:tcPr>
          <w:p w14:paraId="054E4E94" w14:textId="03FF576A" w:rsidR="003A0AEE" w:rsidRPr="00127452" w:rsidRDefault="003A0AEE" w:rsidP="007E4561">
            <w:pPr>
              <w:jc w:val="left"/>
            </w:pPr>
            <w:r w:rsidRPr="00127452">
              <w:rPr>
                <w:noProof/>
              </w:rPr>
              <w:t xml:space="preserve">China </w:t>
            </w:r>
          </w:p>
        </w:tc>
      </w:tr>
      <w:tr w:rsidR="003A0AEE" w:rsidRPr="00B8125A" w14:paraId="3A3976ED"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5180C874" w14:textId="169DAA97" w:rsidR="003A0AEE" w:rsidRPr="00127452" w:rsidRDefault="003A0AEE" w:rsidP="007E4561">
            <w:pPr>
              <w:pStyle w:val="Paragraphedeliste"/>
              <w:numPr>
                <w:ilvl w:val="0"/>
                <w:numId w:val="16"/>
              </w:numPr>
              <w:tabs>
                <w:tab w:val="left" w:pos="316"/>
              </w:tabs>
              <w:ind w:left="316" w:hanging="316"/>
              <w:contextualSpacing w:val="0"/>
              <w:jc w:val="left"/>
              <w:rPr>
                <w:noProof/>
              </w:rPr>
            </w:pPr>
            <w:r w:rsidRPr="00127452">
              <w:rPr>
                <w:lang w:val="en-US"/>
              </w:rPr>
              <w:t xml:space="preserve">India - </w:t>
            </w:r>
            <w:r w:rsidR="00B10D38">
              <w:rPr>
                <w:lang w:val="en-US"/>
              </w:rPr>
              <w:t>I</w:t>
            </w:r>
            <w:r w:rsidR="00B10D38" w:rsidRPr="00127452">
              <w:rPr>
                <w:lang w:val="en-US"/>
              </w:rPr>
              <w:t xml:space="preserve">mport policies on </w:t>
            </w:r>
            <w:proofErr w:type="spellStart"/>
            <w:r w:rsidR="00B10D38" w:rsidRPr="00127452">
              <w:rPr>
                <w:lang w:val="en-US"/>
              </w:rPr>
              <w:t>tyres</w:t>
            </w:r>
            <w:proofErr w:type="spellEnd"/>
          </w:p>
        </w:tc>
        <w:tc>
          <w:tcPr>
            <w:tcW w:w="4201" w:type="dxa"/>
          </w:tcPr>
          <w:p w14:paraId="5496DA17" w14:textId="17CE2266" w:rsidR="003A0AEE" w:rsidRPr="00127452" w:rsidRDefault="003A0AEE" w:rsidP="007E4561">
            <w:pPr>
              <w:jc w:val="left"/>
              <w:rPr>
                <w:noProof/>
              </w:rPr>
            </w:pPr>
            <w:r w:rsidRPr="00127452">
              <w:rPr>
                <w:noProof/>
              </w:rPr>
              <w:t xml:space="preserve">European Union </w:t>
            </w:r>
          </w:p>
        </w:tc>
      </w:tr>
      <w:tr w:rsidR="00D83563" w:rsidRPr="00B8125A" w14:paraId="43C9E490" w14:textId="77777777" w:rsidTr="009D707A">
        <w:trPr>
          <w:trHeight w:val="20"/>
        </w:trPr>
        <w:tc>
          <w:tcPr>
            <w:tcW w:w="4815" w:type="dxa"/>
          </w:tcPr>
          <w:p w14:paraId="59731B2F" w14:textId="318EDCE3" w:rsidR="00D83563" w:rsidRPr="00127452" w:rsidRDefault="00D83563" w:rsidP="007E4561">
            <w:pPr>
              <w:pStyle w:val="Paragraphedeliste"/>
              <w:numPr>
                <w:ilvl w:val="0"/>
                <w:numId w:val="16"/>
              </w:numPr>
              <w:tabs>
                <w:tab w:val="left" w:pos="316"/>
              </w:tabs>
              <w:ind w:left="316" w:hanging="316"/>
              <w:contextualSpacing w:val="0"/>
              <w:jc w:val="left"/>
              <w:rPr>
                <w:lang w:val="en-US"/>
              </w:rPr>
            </w:pPr>
            <w:r>
              <w:rPr>
                <w:lang w:val="en-US"/>
              </w:rPr>
              <w:t xml:space="preserve">India - </w:t>
            </w:r>
            <w:r w:rsidR="00B10D38">
              <w:rPr>
                <w:lang w:val="en-US"/>
              </w:rPr>
              <w:t>I</w:t>
            </w:r>
            <w:proofErr w:type="spellStart"/>
            <w:r w:rsidR="00B10D38" w:rsidRPr="00D83563">
              <w:t>mport</w:t>
            </w:r>
            <w:proofErr w:type="spellEnd"/>
            <w:r w:rsidR="00B10D38" w:rsidRPr="00D83563">
              <w:t xml:space="preserve"> restriction </w:t>
            </w:r>
            <w:r w:rsidR="00B10D38">
              <w:t>o</w:t>
            </w:r>
            <w:r w:rsidR="00B10D38" w:rsidRPr="00D83563">
              <w:t>n air conditioners</w:t>
            </w:r>
          </w:p>
        </w:tc>
        <w:tc>
          <w:tcPr>
            <w:tcW w:w="4201" w:type="dxa"/>
          </w:tcPr>
          <w:p w14:paraId="2FE6C96B" w14:textId="2934F19C" w:rsidR="00D83563" w:rsidRPr="00127452" w:rsidRDefault="00D83563" w:rsidP="007E4561">
            <w:pPr>
              <w:jc w:val="left"/>
              <w:rPr>
                <w:noProof/>
              </w:rPr>
            </w:pPr>
            <w:r>
              <w:rPr>
                <w:noProof/>
              </w:rPr>
              <w:t>Japan</w:t>
            </w:r>
          </w:p>
        </w:tc>
      </w:tr>
      <w:tr w:rsidR="00521CB1" w:rsidRPr="00B8125A" w14:paraId="4C1CF351"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3B1423F9" w14:textId="1075E1C3" w:rsidR="00521CB1" w:rsidRDefault="00521CB1" w:rsidP="007E4561">
            <w:pPr>
              <w:pStyle w:val="Paragraphedeliste"/>
              <w:numPr>
                <w:ilvl w:val="0"/>
                <w:numId w:val="16"/>
              </w:numPr>
              <w:tabs>
                <w:tab w:val="left" w:pos="316"/>
              </w:tabs>
              <w:ind w:left="316" w:hanging="316"/>
              <w:contextualSpacing w:val="0"/>
              <w:jc w:val="left"/>
              <w:rPr>
                <w:lang w:val="en-US"/>
              </w:rPr>
            </w:pPr>
            <w:r w:rsidRPr="00521CB1">
              <w:rPr>
                <w:lang w:val="en-US"/>
              </w:rPr>
              <w:t xml:space="preserve">India – </w:t>
            </w:r>
            <w:r w:rsidR="00B10D38">
              <w:rPr>
                <w:lang w:val="en-US"/>
              </w:rPr>
              <w:t>I</w:t>
            </w:r>
            <w:r w:rsidR="00B10D38" w:rsidRPr="00521CB1">
              <w:rPr>
                <w:lang w:val="en-US"/>
              </w:rPr>
              <w:t xml:space="preserve">mport policies </w:t>
            </w:r>
            <w:r w:rsidR="00B10D38">
              <w:rPr>
                <w:lang w:val="en-US"/>
              </w:rPr>
              <w:t>o</w:t>
            </w:r>
            <w:r w:rsidR="00B10D38" w:rsidRPr="00521CB1">
              <w:rPr>
                <w:lang w:val="en-US"/>
              </w:rPr>
              <w:t xml:space="preserve">n </w:t>
            </w:r>
            <w:proofErr w:type="spellStart"/>
            <w:r w:rsidR="00B10D38" w:rsidRPr="00521CB1">
              <w:rPr>
                <w:lang w:val="en-US"/>
              </w:rPr>
              <w:t>tyres</w:t>
            </w:r>
            <w:proofErr w:type="spellEnd"/>
            <w:r w:rsidR="00B10D38" w:rsidRPr="00521CB1">
              <w:rPr>
                <w:lang w:val="en-US"/>
              </w:rPr>
              <w:t xml:space="preserve">, television sets, </w:t>
            </w:r>
            <w:r w:rsidR="00B10D38">
              <w:rPr>
                <w:lang w:val="en-US"/>
              </w:rPr>
              <w:t>a</w:t>
            </w:r>
            <w:r w:rsidR="00B10D38" w:rsidRPr="00521CB1">
              <w:rPr>
                <w:lang w:val="en-US"/>
              </w:rPr>
              <w:t xml:space="preserve">nd air conditioners </w:t>
            </w:r>
          </w:p>
        </w:tc>
        <w:tc>
          <w:tcPr>
            <w:tcW w:w="4201" w:type="dxa"/>
          </w:tcPr>
          <w:p w14:paraId="0EB4E0B3" w14:textId="4623C111" w:rsidR="00521CB1" w:rsidRDefault="00521CB1" w:rsidP="007E4561">
            <w:pPr>
              <w:jc w:val="left"/>
              <w:rPr>
                <w:noProof/>
              </w:rPr>
            </w:pPr>
            <w:r>
              <w:rPr>
                <w:noProof/>
              </w:rPr>
              <w:t>Thailand</w:t>
            </w:r>
          </w:p>
        </w:tc>
      </w:tr>
      <w:tr w:rsidR="003A0AEE" w:rsidRPr="00B8125A" w14:paraId="7F2F5EE8" w14:textId="77777777" w:rsidTr="009D707A">
        <w:trPr>
          <w:trHeight w:val="20"/>
        </w:trPr>
        <w:tc>
          <w:tcPr>
            <w:tcW w:w="4815" w:type="dxa"/>
          </w:tcPr>
          <w:p w14:paraId="49944261" w14:textId="38C79929" w:rsidR="003A0AEE" w:rsidRPr="00127452" w:rsidRDefault="003A0AEE" w:rsidP="007E4561">
            <w:pPr>
              <w:pStyle w:val="Paragraphedeliste"/>
              <w:numPr>
                <w:ilvl w:val="0"/>
                <w:numId w:val="16"/>
              </w:numPr>
              <w:tabs>
                <w:tab w:val="left" w:pos="316"/>
              </w:tabs>
              <w:ind w:left="316" w:hanging="316"/>
              <w:contextualSpacing w:val="0"/>
              <w:jc w:val="left"/>
              <w:rPr>
                <w:noProof/>
                <w:lang w:val="fr-CH"/>
              </w:rPr>
            </w:pPr>
            <w:proofErr w:type="spellStart"/>
            <w:r w:rsidRPr="00127452">
              <w:rPr>
                <w:lang w:val="fr-CH"/>
              </w:rPr>
              <w:t>India</w:t>
            </w:r>
            <w:proofErr w:type="spellEnd"/>
            <w:r w:rsidRPr="00127452">
              <w:rPr>
                <w:lang w:val="fr-CH"/>
              </w:rPr>
              <w:t xml:space="preserve"> – </w:t>
            </w:r>
            <w:r w:rsidR="00B10D38">
              <w:rPr>
                <w:lang w:val="fr-CH"/>
              </w:rPr>
              <w:t>Q</w:t>
            </w:r>
            <w:r w:rsidR="00B10D38" w:rsidRPr="00127452">
              <w:rPr>
                <w:lang w:val="fr-CH"/>
              </w:rPr>
              <w:t>uantitative restrictions on imports of certain pulses</w:t>
            </w:r>
          </w:p>
        </w:tc>
        <w:tc>
          <w:tcPr>
            <w:tcW w:w="4201" w:type="dxa"/>
          </w:tcPr>
          <w:p w14:paraId="57C36CBC" w14:textId="77777777" w:rsidR="003A0AEE" w:rsidRPr="00127452" w:rsidRDefault="003A0AEE" w:rsidP="007E4561">
            <w:pPr>
              <w:jc w:val="left"/>
              <w:rPr>
                <w:noProof/>
              </w:rPr>
            </w:pPr>
            <w:r w:rsidRPr="00127452">
              <w:rPr>
                <w:noProof/>
              </w:rPr>
              <w:t>Australia, Canada, the European Union, Russian Federation, and the United States</w:t>
            </w:r>
          </w:p>
        </w:tc>
      </w:tr>
      <w:tr w:rsidR="00B94A1F" w:rsidRPr="00B8125A" w14:paraId="7D13D740"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118020DD" w14:textId="76C02C88" w:rsidR="00B94A1F" w:rsidRPr="00B94A1F" w:rsidRDefault="00B94A1F" w:rsidP="007E4561">
            <w:pPr>
              <w:pStyle w:val="Paragraphedeliste"/>
              <w:numPr>
                <w:ilvl w:val="0"/>
                <w:numId w:val="16"/>
              </w:numPr>
              <w:tabs>
                <w:tab w:val="left" w:pos="316"/>
              </w:tabs>
              <w:ind w:left="316" w:hanging="316"/>
              <w:contextualSpacing w:val="0"/>
              <w:jc w:val="left"/>
            </w:pPr>
            <w:r w:rsidRPr="00B94A1F">
              <w:t xml:space="preserve">India - </w:t>
            </w:r>
            <w:r w:rsidR="00B10D38">
              <w:t>I</w:t>
            </w:r>
            <w:r w:rsidR="00B10D38" w:rsidRPr="00B94A1F">
              <w:t xml:space="preserve">ndian standards and import restrictions in the automotive sector </w:t>
            </w:r>
            <w:r w:rsidRPr="00B94A1F">
              <w:t xml:space="preserve">(Quality Orders): </w:t>
            </w:r>
            <w:r w:rsidR="00B10D38" w:rsidRPr="00B94A1F">
              <w:t>wheel rims, safety glass, helmets</w:t>
            </w:r>
          </w:p>
        </w:tc>
        <w:tc>
          <w:tcPr>
            <w:tcW w:w="4201" w:type="dxa"/>
          </w:tcPr>
          <w:p w14:paraId="7B7971E8" w14:textId="0F3FDC09" w:rsidR="00B94A1F" w:rsidRPr="00127452" w:rsidRDefault="00B94A1F" w:rsidP="007E4561">
            <w:pPr>
              <w:jc w:val="left"/>
              <w:rPr>
                <w:noProof/>
              </w:rPr>
            </w:pPr>
            <w:r>
              <w:rPr>
                <w:noProof/>
              </w:rPr>
              <w:t>Indonesia</w:t>
            </w:r>
          </w:p>
        </w:tc>
      </w:tr>
      <w:tr w:rsidR="00B94A1F" w:rsidRPr="00B8125A" w14:paraId="0643068B" w14:textId="77777777" w:rsidTr="009D707A">
        <w:trPr>
          <w:trHeight w:val="20"/>
        </w:trPr>
        <w:tc>
          <w:tcPr>
            <w:tcW w:w="4815" w:type="dxa"/>
          </w:tcPr>
          <w:p w14:paraId="6A31BD45" w14:textId="3B046A62" w:rsidR="00B94A1F" w:rsidRPr="00B94A1F" w:rsidRDefault="00B94A1F" w:rsidP="007E4561">
            <w:pPr>
              <w:pStyle w:val="Paragraphedeliste"/>
              <w:numPr>
                <w:ilvl w:val="0"/>
                <w:numId w:val="16"/>
              </w:numPr>
              <w:tabs>
                <w:tab w:val="left" w:pos="316"/>
              </w:tabs>
              <w:ind w:left="316" w:hanging="316"/>
              <w:contextualSpacing w:val="0"/>
              <w:jc w:val="left"/>
            </w:pPr>
            <w:r w:rsidRPr="00B94A1F">
              <w:t>India - Plain Copier Paper Quality Order 2020</w:t>
            </w:r>
          </w:p>
        </w:tc>
        <w:tc>
          <w:tcPr>
            <w:tcW w:w="4201" w:type="dxa"/>
          </w:tcPr>
          <w:p w14:paraId="1137018C" w14:textId="402896C0" w:rsidR="00B94A1F" w:rsidRDefault="00B94A1F" w:rsidP="007E4561">
            <w:pPr>
              <w:jc w:val="left"/>
              <w:rPr>
                <w:noProof/>
              </w:rPr>
            </w:pPr>
            <w:r>
              <w:rPr>
                <w:noProof/>
              </w:rPr>
              <w:t>Indonesia</w:t>
            </w:r>
          </w:p>
        </w:tc>
      </w:tr>
      <w:tr w:rsidR="003A0AEE" w:rsidRPr="00B8125A" w14:paraId="571BEBE3"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5758D8B9" w14:textId="08430BC1" w:rsidR="003A0AEE" w:rsidRPr="00127452" w:rsidRDefault="003A0AEE" w:rsidP="007E4561">
            <w:pPr>
              <w:pStyle w:val="Paragraphedeliste"/>
              <w:numPr>
                <w:ilvl w:val="0"/>
                <w:numId w:val="16"/>
              </w:numPr>
              <w:tabs>
                <w:tab w:val="left" w:pos="316"/>
              </w:tabs>
              <w:ind w:left="316" w:hanging="316"/>
              <w:contextualSpacing w:val="0"/>
              <w:jc w:val="left"/>
            </w:pPr>
            <w:r w:rsidRPr="00127452">
              <w:t xml:space="preserve">Indonesia - </w:t>
            </w:r>
            <w:r w:rsidR="00B10D38">
              <w:t>C</w:t>
            </w:r>
            <w:r w:rsidR="00B10D38" w:rsidRPr="00127452">
              <w:t xml:space="preserve">ustoms duties on certain telecommunication products </w:t>
            </w:r>
          </w:p>
        </w:tc>
        <w:tc>
          <w:tcPr>
            <w:tcW w:w="4201" w:type="dxa"/>
          </w:tcPr>
          <w:p w14:paraId="067F2786" w14:textId="77777777" w:rsidR="003A0AEE" w:rsidRPr="00127452" w:rsidRDefault="003A0AEE" w:rsidP="007E4561">
            <w:pPr>
              <w:jc w:val="left"/>
            </w:pPr>
            <w:r w:rsidRPr="00127452">
              <w:t>United States</w:t>
            </w:r>
          </w:p>
        </w:tc>
      </w:tr>
      <w:tr w:rsidR="00D83563" w:rsidRPr="00B8125A" w14:paraId="7401F055" w14:textId="77777777" w:rsidTr="009D707A">
        <w:trPr>
          <w:trHeight w:val="20"/>
        </w:trPr>
        <w:tc>
          <w:tcPr>
            <w:tcW w:w="4815" w:type="dxa"/>
          </w:tcPr>
          <w:p w14:paraId="3820D876" w14:textId="55B2D096" w:rsidR="00D83563" w:rsidRPr="00127452" w:rsidRDefault="00D83563" w:rsidP="007E4561">
            <w:pPr>
              <w:pStyle w:val="Paragraphedeliste"/>
              <w:numPr>
                <w:ilvl w:val="0"/>
                <w:numId w:val="16"/>
              </w:numPr>
              <w:tabs>
                <w:tab w:val="left" w:pos="316"/>
              </w:tabs>
              <w:ind w:left="316" w:hanging="316"/>
              <w:contextualSpacing w:val="0"/>
              <w:jc w:val="left"/>
            </w:pPr>
            <w:r>
              <w:t xml:space="preserve">Indonesia - </w:t>
            </w:r>
            <w:r w:rsidR="00B10D38">
              <w:t>Import restriction on air conditioners</w:t>
            </w:r>
          </w:p>
        </w:tc>
        <w:tc>
          <w:tcPr>
            <w:tcW w:w="4201" w:type="dxa"/>
          </w:tcPr>
          <w:p w14:paraId="5F1CEECC" w14:textId="579B4E0C" w:rsidR="00D83563" w:rsidRPr="00127452" w:rsidRDefault="00D83563" w:rsidP="007E4561">
            <w:pPr>
              <w:jc w:val="left"/>
            </w:pPr>
            <w:r>
              <w:t>Japan</w:t>
            </w:r>
          </w:p>
        </w:tc>
      </w:tr>
      <w:tr w:rsidR="00B94A1F" w:rsidRPr="00B8125A" w14:paraId="1EF6FDD3"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1D6A80E2" w14:textId="6CF582E9" w:rsidR="00B94A1F" w:rsidRDefault="00B94A1F" w:rsidP="007E4561">
            <w:pPr>
              <w:pStyle w:val="Paragraphedeliste"/>
              <w:numPr>
                <w:ilvl w:val="0"/>
                <w:numId w:val="16"/>
              </w:numPr>
              <w:tabs>
                <w:tab w:val="left" w:pos="316"/>
              </w:tabs>
              <w:ind w:left="316" w:hanging="316"/>
              <w:contextualSpacing w:val="0"/>
              <w:jc w:val="left"/>
            </w:pPr>
            <w:r w:rsidRPr="00B94A1F">
              <w:t>Indonesia -</w:t>
            </w:r>
            <w:r>
              <w:t xml:space="preserve"> I</w:t>
            </w:r>
            <w:r w:rsidRPr="00B94A1F">
              <w:t>mport substitution programme</w:t>
            </w:r>
          </w:p>
        </w:tc>
        <w:tc>
          <w:tcPr>
            <w:tcW w:w="4201" w:type="dxa"/>
          </w:tcPr>
          <w:p w14:paraId="19DF1A0C" w14:textId="37445DE0" w:rsidR="00B94A1F" w:rsidRDefault="00B94A1F" w:rsidP="007E4561">
            <w:pPr>
              <w:jc w:val="left"/>
            </w:pPr>
            <w:r>
              <w:t>European Union</w:t>
            </w:r>
          </w:p>
        </w:tc>
      </w:tr>
      <w:tr w:rsidR="00D83563" w:rsidRPr="00B8125A" w14:paraId="6732F39A" w14:textId="77777777" w:rsidTr="009D707A">
        <w:trPr>
          <w:trHeight w:val="20"/>
        </w:trPr>
        <w:tc>
          <w:tcPr>
            <w:tcW w:w="4815" w:type="dxa"/>
          </w:tcPr>
          <w:p w14:paraId="1318962E" w14:textId="2BD90675" w:rsidR="00D83563" w:rsidRDefault="00D83563" w:rsidP="007E4561">
            <w:pPr>
              <w:pStyle w:val="Paragraphedeliste"/>
              <w:numPr>
                <w:ilvl w:val="0"/>
                <w:numId w:val="16"/>
              </w:numPr>
              <w:tabs>
                <w:tab w:val="left" w:pos="316"/>
              </w:tabs>
              <w:ind w:left="316" w:hanging="316"/>
              <w:contextualSpacing w:val="0"/>
              <w:jc w:val="left"/>
            </w:pPr>
            <w:r>
              <w:t xml:space="preserve">Mexico - </w:t>
            </w:r>
            <w:r w:rsidR="00B10D38">
              <w:t>I</w:t>
            </w:r>
            <w:r w:rsidR="00B10D38" w:rsidRPr="00D83563">
              <w:t xml:space="preserve">mport quota </w:t>
            </w:r>
            <w:r w:rsidR="00B10D38">
              <w:t>o</w:t>
            </w:r>
            <w:r w:rsidR="00B10D38" w:rsidRPr="00D83563">
              <w:t>n glyphosate</w:t>
            </w:r>
          </w:p>
        </w:tc>
        <w:tc>
          <w:tcPr>
            <w:tcW w:w="4201" w:type="dxa"/>
          </w:tcPr>
          <w:p w14:paraId="31460B79" w14:textId="448CCE91" w:rsidR="00D83563" w:rsidRDefault="00D83563" w:rsidP="007E4561">
            <w:pPr>
              <w:jc w:val="left"/>
            </w:pPr>
            <w:r>
              <w:t>United States</w:t>
            </w:r>
          </w:p>
        </w:tc>
      </w:tr>
      <w:tr w:rsidR="003A0AEE" w:rsidRPr="00B8125A" w14:paraId="69BDD7B6"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653543BF" w14:textId="3BC64D4C" w:rsidR="003A0AEE" w:rsidRPr="00127452" w:rsidRDefault="003A0AEE" w:rsidP="007E4561">
            <w:pPr>
              <w:pStyle w:val="Paragraphedeliste"/>
              <w:numPr>
                <w:ilvl w:val="0"/>
                <w:numId w:val="16"/>
              </w:numPr>
              <w:tabs>
                <w:tab w:val="left" w:pos="316"/>
              </w:tabs>
              <w:ind w:left="316" w:hanging="316"/>
              <w:contextualSpacing w:val="0"/>
              <w:jc w:val="left"/>
              <w:rPr>
                <w:szCs w:val="18"/>
              </w:rPr>
            </w:pPr>
            <w:r w:rsidRPr="00127452">
              <w:rPr>
                <w:lang w:val="en-US"/>
              </w:rPr>
              <w:lastRenderedPageBreak/>
              <w:t>Mongolia –</w:t>
            </w:r>
            <w:r w:rsidR="00B10D38">
              <w:rPr>
                <w:lang w:val="en-US"/>
              </w:rPr>
              <w:t>Q</w:t>
            </w:r>
            <w:r w:rsidR="00B10D38" w:rsidRPr="00127452">
              <w:rPr>
                <w:lang w:val="en-US"/>
              </w:rPr>
              <w:t>uantitative restrictions on the importation of certain agricultural products</w:t>
            </w:r>
          </w:p>
        </w:tc>
        <w:tc>
          <w:tcPr>
            <w:tcW w:w="4201" w:type="dxa"/>
          </w:tcPr>
          <w:p w14:paraId="4774DFE3" w14:textId="77777777" w:rsidR="003A0AEE" w:rsidRPr="00127452" w:rsidRDefault="003A0AEE" w:rsidP="007E4561">
            <w:pPr>
              <w:jc w:val="left"/>
            </w:pPr>
            <w:r w:rsidRPr="00127452">
              <w:t>Russian Federation</w:t>
            </w:r>
          </w:p>
        </w:tc>
      </w:tr>
      <w:tr w:rsidR="00A711BA" w:rsidRPr="00A711BA" w14:paraId="115A3E10" w14:textId="77777777" w:rsidTr="009D707A">
        <w:trPr>
          <w:trHeight w:val="20"/>
        </w:trPr>
        <w:tc>
          <w:tcPr>
            <w:tcW w:w="4815" w:type="dxa"/>
          </w:tcPr>
          <w:p w14:paraId="6A4DB368" w14:textId="4D35819A" w:rsidR="00A711BA" w:rsidRPr="00A711BA" w:rsidRDefault="00A711BA" w:rsidP="007E4561">
            <w:pPr>
              <w:pStyle w:val="Paragraphedeliste"/>
              <w:numPr>
                <w:ilvl w:val="0"/>
                <w:numId w:val="16"/>
              </w:numPr>
              <w:tabs>
                <w:tab w:val="left" w:pos="316"/>
              </w:tabs>
              <w:ind w:left="316" w:hanging="316"/>
              <w:contextualSpacing w:val="0"/>
              <w:jc w:val="left"/>
            </w:pPr>
            <w:r w:rsidRPr="00A711BA">
              <w:t>Nepal – Import ban on ene</w:t>
            </w:r>
            <w:r>
              <w:t>rgy drinks</w:t>
            </w:r>
          </w:p>
        </w:tc>
        <w:tc>
          <w:tcPr>
            <w:tcW w:w="4201" w:type="dxa"/>
          </w:tcPr>
          <w:p w14:paraId="41E88C46" w14:textId="53D69F2C" w:rsidR="00A711BA" w:rsidRPr="00A711BA" w:rsidRDefault="00A711BA" w:rsidP="007E4561">
            <w:pPr>
              <w:jc w:val="left"/>
            </w:pPr>
            <w:r>
              <w:t>Thailand</w:t>
            </w:r>
          </w:p>
        </w:tc>
      </w:tr>
      <w:tr w:rsidR="00D83563" w:rsidRPr="00B8125A" w14:paraId="3A7F1AAF"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5B6C69A6" w14:textId="414AB685" w:rsidR="00D83563" w:rsidRPr="00127452" w:rsidRDefault="00D83563" w:rsidP="007E4561">
            <w:pPr>
              <w:pStyle w:val="Paragraphedeliste"/>
              <w:numPr>
                <w:ilvl w:val="0"/>
                <w:numId w:val="16"/>
              </w:numPr>
              <w:tabs>
                <w:tab w:val="left" w:pos="316"/>
              </w:tabs>
              <w:ind w:left="316" w:hanging="316"/>
              <w:contextualSpacing w:val="0"/>
              <w:jc w:val="left"/>
              <w:rPr>
                <w:lang w:val="en-US"/>
              </w:rPr>
            </w:pPr>
            <w:r>
              <w:t xml:space="preserve">Russian Federation - </w:t>
            </w:r>
            <w:r w:rsidR="00B10D38">
              <w:t>Export prohibition on timber products</w:t>
            </w:r>
          </w:p>
        </w:tc>
        <w:tc>
          <w:tcPr>
            <w:tcW w:w="4201" w:type="dxa"/>
          </w:tcPr>
          <w:p w14:paraId="691DE24A" w14:textId="0859B665" w:rsidR="00D83563" w:rsidRPr="00D83563" w:rsidRDefault="00D83563" w:rsidP="007E4561">
            <w:pPr>
              <w:jc w:val="left"/>
              <w:rPr>
                <w:lang w:val="en-US"/>
              </w:rPr>
            </w:pPr>
            <w:r>
              <w:rPr>
                <w:lang w:val="en-US"/>
              </w:rPr>
              <w:t>European Union</w:t>
            </w:r>
          </w:p>
        </w:tc>
      </w:tr>
      <w:tr w:rsidR="003A0AEE" w:rsidRPr="00B8125A" w14:paraId="3C5B5C1D" w14:textId="77777777" w:rsidTr="009D707A">
        <w:trPr>
          <w:trHeight w:val="20"/>
        </w:trPr>
        <w:tc>
          <w:tcPr>
            <w:tcW w:w="4815" w:type="dxa"/>
          </w:tcPr>
          <w:p w14:paraId="244A8A3F" w14:textId="77777777" w:rsidR="003A0AEE" w:rsidRPr="00127452" w:rsidRDefault="003A0AEE" w:rsidP="007E4561">
            <w:pPr>
              <w:pStyle w:val="Paragraphedeliste"/>
              <w:numPr>
                <w:ilvl w:val="0"/>
                <w:numId w:val="16"/>
              </w:numPr>
              <w:tabs>
                <w:tab w:val="left" w:pos="316"/>
              </w:tabs>
              <w:ind w:left="316" w:hanging="316"/>
              <w:contextualSpacing w:val="0"/>
              <w:jc w:val="left"/>
            </w:pPr>
            <w:r w:rsidRPr="00127452">
              <w:t xml:space="preserve">Russian Federation - </w:t>
            </w:r>
            <w:r w:rsidRPr="00127452">
              <w:rPr>
                <w:rFonts w:eastAsia="Times New Roman"/>
                <w:lang w:val="en-US"/>
              </w:rPr>
              <w:t>Track and Trace Regime</w:t>
            </w:r>
          </w:p>
        </w:tc>
        <w:tc>
          <w:tcPr>
            <w:tcW w:w="4201" w:type="dxa"/>
          </w:tcPr>
          <w:p w14:paraId="5AA6641C" w14:textId="77777777" w:rsidR="003A0AEE" w:rsidRPr="00127452" w:rsidRDefault="003A0AEE" w:rsidP="007E4561">
            <w:pPr>
              <w:jc w:val="left"/>
              <w:rPr>
                <w:snapToGrid w:val="0"/>
              </w:rPr>
            </w:pPr>
            <w:r w:rsidRPr="00127452">
              <w:rPr>
                <w:snapToGrid w:val="0"/>
              </w:rPr>
              <w:t>United States</w:t>
            </w:r>
          </w:p>
        </w:tc>
      </w:tr>
      <w:tr w:rsidR="00B94A1F" w:rsidRPr="00B8125A" w14:paraId="34EF0BA0"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495EC688" w14:textId="038AA3B2" w:rsidR="00B94A1F" w:rsidRPr="00127452" w:rsidRDefault="00B94A1F" w:rsidP="007E4561">
            <w:pPr>
              <w:pStyle w:val="Paragraphedeliste"/>
              <w:numPr>
                <w:ilvl w:val="0"/>
                <w:numId w:val="16"/>
              </w:numPr>
              <w:tabs>
                <w:tab w:val="left" w:pos="316"/>
              </w:tabs>
              <w:ind w:left="316" w:hanging="316"/>
              <w:contextualSpacing w:val="0"/>
              <w:jc w:val="left"/>
            </w:pPr>
            <w:r w:rsidRPr="00B94A1F">
              <w:t xml:space="preserve">Russian Federation – </w:t>
            </w:r>
            <w:r w:rsidR="00B10D38">
              <w:t>D</w:t>
            </w:r>
            <w:r w:rsidR="00B10D38" w:rsidRPr="00B94A1F">
              <w:t>iscriminatory application of value-added taxes</w:t>
            </w:r>
          </w:p>
        </w:tc>
        <w:tc>
          <w:tcPr>
            <w:tcW w:w="4201" w:type="dxa"/>
          </w:tcPr>
          <w:p w14:paraId="53F3396E" w14:textId="263E0AD6" w:rsidR="00B94A1F" w:rsidRPr="00127452" w:rsidRDefault="00B94A1F" w:rsidP="007E4561">
            <w:pPr>
              <w:jc w:val="left"/>
              <w:rPr>
                <w:snapToGrid w:val="0"/>
              </w:rPr>
            </w:pPr>
            <w:r>
              <w:rPr>
                <w:snapToGrid w:val="0"/>
              </w:rPr>
              <w:t>United States</w:t>
            </w:r>
          </w:p>
        </w:tc>
      </w:tr>
      <w:tr w:rsidR="003A0AEE" w:rsidRPr="00B8125A" w14:paraId="01F1291E" w14:textId="77777777" w:rsidTr="009D707A">
        <w:trPr>
          <w:trHeight w:val="20"/>
        </w:trPr>
        <w:tc>
          <w:tcPr>
            <w:tcW w:w="4815" w:type="dxa"/>
          </w:tcPr>
          <w:p w14:paraId="17E9AB7D" w14:textId="5FC4078F" w:rsidR="003A0AEE" w:rsidRPr="00127452" w:rsidRDefault="003A0AEE" w:rsidP="007E4561">
            <w:pPr>
              <w:pStyle w:val="Paragraphedeliste"/>
              <w:numPr>
                <w:ilvl w:val="0"/>
                <w:numId w:val="16"/>
              </w:numPr>
              <w:tabs>
                <w:tab w:val="left" w:pos="316"/>
              </w:tabs>
              <w:ind w:left="316" w:hanging="316"/>
              <w:contextualSpacing w:val="0"/>
              <w:jc w:val="left"/>
              <w:rPr>
                <w:snapToGrid w:val="0"/>
              </w:rPr>
            </w:pPr>
            <w:bookmarkStart w:id="0" w:name="_Hlk525722782"/>
            <w:r w:rsidRPr="00127452">
              <w:rPr>
                <w:snapToGrid w:val="0"/>
              </w:rPr>
              <w:t>Kingdom of Saudi Arabia, Kingdom of Bahrain,</w:t>
            </w:r>
            <w:r w:rsidR="00D83563">
              <w:rPr>
                <w:snapToGrid w:val="0"/>
              </w:rPr>
              <w:t xml:space="preserve"> </w:t>
            </w:r>
            <w:r w:rsidRPr="00127452">
              <w:rPr>
                <w:snapToGrid w:val="0"/>
              </w:rPr>
              <w:t>the United Arab Emirates</w:t>
            </w:r>
            <w:r w:rsidR="00D83563">
              <w:rPr>
                <w:snapToGrid w:val="0"/>
              </w:rPr>
              <w:t xml:space="preserve">, </w:t>
            </w:r>
            <w:r w:rsidR="00D83563">
              <w:t>the State of Kuwait, Oman, and Qatar</w:t>
            </w:r>
            <w:r w:rsidR="00D83563" w:rsidRPr="00127452">
              <w:rPr>
                <w:snapToGrid w:val="0"/>
              </w:rPr>
              <w:t xml:space="preserve"> </w:t>
            </w:r>
            <w:r w:rsidRPr="00127452">
              <w:rPr>
                <w:snapToGrid w:val="0"/>
              </w:rPr>
              <w:t xml:space="preserve">– </w:t>
            </w:r>
            <w:r w:rsidR="00B10D38">
              <w:rPr>
                <w:snapToGrid w:val="0"/>
              </w:rPr>
              <w:t>S</w:t>
            </w:r>
            <w:r w:rsidR="00B10D38" w:rsidRPr="00127452">
              <w:rPr>
                <w:snapToGrid w:val="0"/>
              </w:rPr>
              <w:t>elective tax on certain imported products</w:t>
            </w:r>
            <w:bookmarkEnd w:id="0"/>
          </w:p>
        </w:tc>
        <w:tc>
          <w:tcPr>
            <w:tcW w:w="4201" w:type="dxa"/>
          </w:tcPr>
          <w:p w14:paraId="7A64A3E9" w14:textId="1C768075" w:rsidR="003A0AEE" w:rsidRPr="00127452" w:rsidRDefault="003A0AEE" w:rsidP="007E4561">
            <w:pPr>
              <w:jc w:val="left"/>
              <w:rPr>
                <w:snapToGrid w:val="0"/>
              </w:rPr>
            </w:pPr>
            <w:r w:rsidRPr="00127452">
              <w:rPr>
                <w:snapToGrid w:val="0"/>
              </w:rPr>
              <w:t xml:space="preserve">European Union, </w:t>
            </w:r>
            <w:r w:rsidR="00D83563">
              <w:rPr>
                <w:snapToGrid w:val="0"/>
              </w:rPr>
              <w:t xml:space="preserve">Japan, </w:t>
            </w:r>
            <w:r w:rsidRPr="00127452">
              <w:rPr>
                <w:snapToGrid w:val="0"/>
              </w:rPr>
              <w:t>Switzerland, and the United States</w:t>
            </w:r>
          </w:p>
        </w:tc>
      </w:tr>
      <w:tr w:rsidR="003A0AEE" w:rsidRPr="00B8125A" w14:paraId="1419E783"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1BC326F6" w14:textId="524CC2F2" w:rsidR="003A0AEE" w:rsidRPr="00127452" w:rsidRDefault="003A0AEE" w:rsidP="007E4561">
            <w:pPr>
              <w:pStyle w:val="Paragraphedeliste"/>
              <w:numPr>
                <w:ilvl w:val="0"/>
                <w:numId w:val="16"/>
              </w:numPr>
              <w:tabs>
                <w:tab w:val="left" w:pos="316"/>
              </w:tabs>
              <w:ind w:left="316" w:hanging="316"/>
              <w:contextualSpacing w:val="0"/>
              <w:jc w:val="left"/>
              <w:rPr>
                <w:snapToGrid w:val="0"/>
              </w:rPr>
            </w:pPr>
            <w:r w:rsidRPr="00127452">
              <w:rPr>
                <w:spacing w:val="-2"/>
              </w:rPr>
              <w:t xml:space="preserve">Sri Lanka – </w:t>
            </w:r>
            <w:r w:rsidR="00B10D38">
              <w:rPr>
                <w:spacing w:val="-2"/>
              </w:rPr>
              <w:t>I</w:t>
            </w:r>
            <w:r w:rsidR="00B10D38" w:rsidRPr="00127452">
              <w:rPr>
                <w:spacing w:val="-2"/>
              </w:rPr>
              <w:t>mport ban on various products</w:t>
            </w:r>
          </w:p>
        </w:tc>
        <w:tc>
          <w:tcPr>
            <w:tcW w:w="4201" w:type="dxa"/>
          </w:tcPr>
          <w:p w14:paraId="28BA74A7" w14:textId="1E3504A4" w:rsidR="003A0AEE" w:rsidRPr="00127452" w:rsidRDefault="00D83563" w:rsidP="007E4561">
            <w:pPr>
              <w:jc w:val="left"/>
              <w:rPr>
                <w:snapToGrid w:val="0"/>
              </w:rPr>
            </w:pPr>
            <w:r>
              <w:rPr>
                <w:snapToGrid w:val="0"/>
              </w:rPr>
              <w:t xml:space="preserve">Australia, </w:t>
            </w:r>
            <w:r w:rsidR="003A0AEE" w:rsidRPr="00127452">
              <w:rPr>
                <w:snapToGrid w:val="0"/>
              </w:rPr>
              <w:t>European Union</w:t>
            </w:r>
          </w:p>
        </w:tc>
      </w:tr>
      <w:tr w:rsidR="00D83563" w:rsidRPr="00B8125A" w14:paraId="6F004EB2" w14:textId="77777777" w:rsidTr="009D707A">
        <w:trPr>
          <w:trHeight w:val="20"/>
        </w:trPr>
        <w:tc>
          <w:tcPr>
            <w:tcW w:w="4815" w:type="dxa"/>
          </w:tcPr>
          <w:p w14:paraId="65591225" w14:textId="065ED046" w:rsidR="00D83563" w:rsidRPr="00127452" w:rsidRDefault="00D83563" w:rsidP="007E4561">
            <w:pPr>
              <w:pStyle w:val="Paragraphedeliste"/>
              <w:numPr>
                <w:ilvl w:val="0"/>
                <w:numId w:val="16"/>
              </w:numPr>
              <w:tabs>
                <w:tab w:val="left" w:pos="316"/>
              </w:tabs>
              <w:ind w:left="316" w:hanging="316"/>
              <w:contextualSpacing w:val="0"/>
              <w:jc w:val="left"/>
              <w:rPr>
                <w:spacing w:val="-2"/>
              </w:rPr>
            </w:pPr>
            <w:r>
              <w:t xml:space="preserve">Sri Lanka - </w:t>
            </w:r>
            <w:r w:rsidR="00B10D38">
              <w:t>Import ban on palm oil</w:t>
            </w:r>
          </w:p>
        </w:tc>
        <w:tc>
          <w:tcPr>
            <w:tcW w:w="4201" w:type="dxa"/>
          </w:tcPr>
          <w:p w14:paraId="2519EF5B" w14:textId="743BA5F9" w:rsidR="00D83563" w:rsidRPr="00127452" w:rsidRDefault="00D83563" w:rsidP="007E4561">
            <w:pPr>
              <w:jc w:val="left"/>
              <w:rPr>
                <w:snapToGrid w:val="0"/>
              </w:rPr>
            </w:pPr>
            <w:r>
              <w:rPr>
                <w:snapToGrid w:val="0"/>
              </w:rPr>
              <w:t>Indonesia</w:t>
            </w:r>
          </w:p>
        </w:tc>
      </w:tr>
      <w:tr w:rsidR="003A0AEE" w:rsidRPr="00B8125A" w14:paraId="60FDA3AB" w14:textId="77777777" w:rsidTr="009D707A">
        <w:trPr>
          <w:cnfStyle w:val="000000010000" w:firstRow="0" w:lastRow="0" w:firstColumn="0" w:lastColumn="0" w:oddVBand="0" w:evenVBand="0" w:oddHBand="0" w:evenHBand="1" w:firstRowFirstColumn="0" w:firstRowLastColumn="0" w:lastRowFirstColumn="0" w:lastRowLastColumn="0"/>
          <w:trHeight w:val="20"/>
        </w:trPr>
        <w:tc>
          <w:tcPr>
            <w:tcW w:w="4815" w:type="dxa"/>
          </w:tcPr>
          <w:p w14:paraId="40D352F3" w14:textId="293EE2AD" w:rsidR="003A0AEE" w:rsidRPr="00127452" w:rsidRDefault="003A0AEE" w:rsidP="007E4561">
            <w:pPr>
              <w:pStyle w:val="Paragraphedeliste"/>
              <w:numPr>
                <w:ilvl w:val="0"/>
                <w:numId w:val="16"/>
              </w:numPr>
              <w:tabs>
                <w:tab w:val="left" w:pos="316"/>
              </w:tabs>
              <w:ind w:left="316" w:hanging="316"/>
              <w:contextualSpacing w:val="0"/>
              <w:jc w:val="left"/>
              <w:rPr>
                <w:snapToGrid w:val="0"/>
              </w:rPr>
            </w:pPr>
            <w:r w:rsidRPr="00127452">
              <w:rPr>
                <w:snapToGrid w:val="0"/>
              </w:rPr>
              <w:t xml:space="preserve">United Kingdom - Rectifications and </w:t>
            </w:r>
            <w:r w:rsidR="00B10D38">
              <w:rPr>
                <w:snapToGrid w:val="0"/>
              </w:rPr>
              <w:t>m</w:t>
            </w:r>
            <w:r w:rsidRPr="00127452">
              <w:rPr>
                <w:snapToGrid w:val="0"/>
              </w:rPr>
              <w:t>odifications of Schedule XIX</w:t>
            </w:r>
          </w:p>
        </w:tc>
        <w:tc>
          <w:tcPr>
            <w:tcW w:w="4201" w:type="dxa"/>
          </w:tcPr>
          <w:p w14:paraId="0621FD43" w14:textId="77777777" w:rsidR="003A0AEE" w:rsidRPr="00127452" w:rsidRDefault="003A0AEE" w:rsidP="007E4561">
            <w:pPr>
              <w:jc w:val="left"/>
            </w:pPr>
            <w:r w:rsidRPr="00127452">
              <w:t>Russian Federation</w:t>
            </w:r>
          </w:p>
        </w:tc>
      </w:tr>
      <w:tr w:rsidR="00B94A1F" w:rsidRPr="00B8125A" w14:paraId="25329D3E" w14:textId="77777777" w:rsidTr="009D707A">
        <w:trPr>
          <w:trHeight w:val="20"/>
        </w:trPr>
        <w:tc>
          <w:tcPr>
            <w:tcW w:w="4815" w:type="dxa"/>
          </w:tcPr>
          <w:p w14:paraId="7D7CB707" w14:textId="77777777" w:rsidR="003A0AEE" w:rsidRPr="00127452" w:rsidRDefault="003A0AEE" w:rsidP="007E4561">
            <w:pPr>
              <w:pStyle w:val="Paragraphedeliste"/>
              <w:numPr>
                <w:ilvl w:val="0"/>
                <w:numId w:val="16"/>
              </w:numPr>
              <w:tabs>
                <w:tab w:val="left" w:pos="316"/>
              </w:tabs>
              <w:ind w:left="316" w:hanging="316"/>
              <w:contextualSpacing w:val="0"/>
              <w:jc w:val="left"/>
              <w:rPr>
                <w:snapToGrid w:val="0"/>
              </w:rPr>
            </w:pPr>
            <w:r w:rsidRPr="00127452">
              <w:rPr>
                <w:snapToGrid w:val="0"/>
              </w:rPr>
              <w:t>United Kingdom - Renegotiation of Tariff Rate Quotas under Article XXVIII of the GATT 1994</w:t>
            </w:r>
          </w:p>
        </w:tc>
        <w:tc>
          <w:tcPr>
            <w:tcW w:w="4201" w:type="dxa"/>
          </w:tcPr>
          <w:p w14:paraId="34867491" w14:textId="77777777" w:rsidR="003A0AEE" w:rsidRPr="00127452" w:rsidRDefault="003A0AEE" w:rsidP="007E4561">
            <w:pPr>
              <w:jc w:val="left"/>
            </w:pPr>
            <w:r w:rsidRPr="00127452">
              <w:t>Russian Federation</w:t>
            </w:r>
          </w:p>
        </w:tc>
      </w:tr>
    </w:tbl>
    <w:p w14:paraId="481D9BFF" w14:textId="77777777" w:rsidR="003A0AEE" w:rsidRDefault="003A0AEE" w:rsidP="003A0AEE"/>
    <w:p w14:paraId="21C720B4" w14:textId="40BDB034" w:rsidR="003A0AEE" w:rsidRPr="00B8125A" w:rsidRDefault="003A0AEE" w:rsidP="003A0AEE">
      <w:pPr>
        <w:spacing w:after="240"/>
        <w:jc w:val="center"/>
        <w:rPr>
          <w:b/>
        </w:rPr>
      </w:pPr>
      <w:r w:rsidRPr="00B8125A">
        <w:rPr>
          <w:b/>
        </w:rPr>
        <w:t>__________</w:t>
      </w:r>
    </w:p>
    <w:p w14:paraId="5D09B58E" w14:textId="77777777" w:rsidR="003A0AEE" w:rsidRPr="003A0AEE" w:rsidRDefault="003A0AEE" w:rsidP="003A0AEE">
      <w:pPr>
        <w:rPr>
          <w:lang w:eastAsia="en-GB"/>
        </w:rPr>
      </w:pPr>
    </w:p>
    <w:sectPr w:rsidR="003A0AEE" w:rsidRPr="003A0AEE" w:rsidSect="00E35E87">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3165" w14:textId="77777777" w:rsidR="00667599" w:rsidRDefault="00667599" w:rsidP="00ED54E0">
      <w:r>
        <w:separator/>
      </w:r>
    </w:p>
  </w:endnote>
  <w:endnote w:type="continuationSeparator" w:id="0">
    <w:p w14:paraId="6D562786" w14:textId="77777777" w:rsidR="00667599" w:rsidRDefault="0066759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F518" w14:textId="56460E28" w:rsidR="009D707A" w:rsidRPr="00E35E87" w:rsidRDefault="00E35E87" w:rsidP="00E35E8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0CC5" w14:textId="44DC10CA" w:rsidR="009D707A" w:rsidRPr="00E35E87" w:rsidRDefault="00E35E87" w:rsidP="00E35E8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3D34" w14:textId="77777777" w:rsidR="00667599" w:rsidRDefault="00667599" w:rsidP="00ED54E0">
      <w:r>
        <w:separator/>
      </w:r>
    </w:p>
  </w:footnote>
  <w:footnote w:type="continuationSeparator" w:id="0">
    <w:p w14:paraId="4E89C092" w14:textId="77777777" w:rsidR="00667599" w:rsidRDefault="00667599" w:rsidP="00ED54E0">
      <w:r>
        <w:continuationSeparator/>
      </w:r>
    </w:p>
  </w:footnote>
  <w:footnote w:id="1">
    <w:p w14:paraId="6F3E504F" w14:textId="039F5272" w:rsidR="009D707A" w:rsidRDefault="009D707A" w:rsidP="003A0AEE">
      <w:pPr>
        <w:pStyle w:val="Notedebasdepage"/>
        <w:jc w:val="both"/>
      </w:pPr>
      <w:r w:rsidRPr="00515145">
        <w:rPr>
          <w:rStyle w:val="Appelnotedebasdep"/>
        </w:rPr>
        <w:footnoteRef/>
      </w:r>
      <w:r w:rsidRPr="00515145">
        <w:t xml:space="preserve"> </w:t>
      </w:r>
      <w:r w:rsidRPr="00515145">
        <w:rPr>
          <w:szCs w:val="16"/>
        </w:rPr>
        <w:t>G/L/</w:t>
      </w:r>
      <w:r>
        <w:rPr>
          <w:szCs w:val="16"/>
        </w:rPr>
        <w:t>1377</w:t>
      </w:r>
      <w:r w:rsidRPr="00515145">
        <w:t xml:space="preserve">, dated </w:t>
      </w:r>
      <w:r>
        <w:t>19 November 2020</w:t>
      </w:r>
      <w:r w:rsidRPr="00515145">
        <w:t>.</w:t>
      </w:r>
    </w:p>
  </w:footnote>
  <w:footnote w:id="2">
    <w:p w14:paraId="1018D0BD" w14:textId="47711339" w:rsidR="009D707A" w:rsidRPr="006930CD" w:rsidRDefault="009D707A">
      <w:pPr>
        <w:pStyle w:val="Notedebasdepage"/>
      </w:pPr>
      <w:r>
        <w:rPr>
          <w:rStyle w:val="Appelnotedebasdep"/>
        </w:rPr>
        <w:footnoteRef/>
      </w:r>
      <w:r w:rsidRPr="006930CD">
        <w:t xml:space="preserve"> </w:t>
      </w:r>
      <w:r w:rsidRPr="00512EAD">
        <w:t>G/C/W</w:t>
      </w:r>
      <w:r w:rsidR="00AE479A">
        <w:t xml:space="preserve">/802. </w:t>
      </w:r>
    </w:p>
  </w:footnote>
  <w:footnote w:id="3">
    <w:p w14:paraId="1A5D9059" w14:textId="3CC2A54C" w:rsidR="009D707A" w:rsidRPr="001946B6" w:rsidRDefault="009D707A" w:rsidP="00F7328B">
      <w:pPr>
        <w:pStyle w:val="Notedebasdepage"/>
      </w:pPr>
      <w:r>
        <w:rPr>
          <w:rStyle w:val="Appelnotedebasdep"/>
        </w:rPr>
        <w:footnoteRef/>
      </w:r>
      <w:r w:rsidRPr="001946B6">
        <w:t xml:space="preserve"> </w:t>
      </w:r>
      <w:hyperlink r:id="rId1" w:history="1">
        <w:r w:rsidRPr="001946B6">
          <w:rPr>
            <w:rStyle w:val="Lienhypertexte"/>
          </w:rPr>
          <w:t>https://QR.wto.org/</w:t>
        </w:r>
      </w:hyperlink>
      <w:r w:rsidRPr="001946B6">
        <w:t xml:space="preserve">  </w:t>
      </w:r>
    </w:p>
  </w:footnote>
  <w:footnote w:id="4">
    <w:p w14:paraId="791E9BF6" w14:textId="77138313" w:rsidR="001946B6" w:rsidRDefault="001946B6">
      <w:pPr>
        <w:pStyle w:val="Notedebasdepage"/>
      </w:pPr>
      <w:r>
        <w:rPr>
          <w:rStyle w:val="Appelnotedebasdep"/>
        </w:rPr>
        <w:footnoteRef/>
      </w:r>
      <w:r>
        <w:t xml:space="preserve"> </w:t>
      </w:r>
      <w:hyperlink r:id="rId2" w:history="1">
        <w:r w:rsidRPr="00E757F9">
          <w:rPr>
            <w:rStyle w:val="Lienhypertexte"/>
          </w:rPr>
          <w:t>https://tao.wto.org/</w:t>
        </w:r>
      </w:hyperlink>
      <w:r>
        <w:t xml:space="preserve"> </w:t>
      </w:r>
    </w:p>
  </w:footnote>
  <w:footnote w:id="5">
    <w:p w14:paraId="48C5CCEA" w14:textId="315D3CBF" w:rsidR="001946B6" w:rsidRDefault="001946B6">
      <w:pPr>
        <w:pStyle w:val="Notedebasdepage"/>
      </w:pPr>
      <w:r>
        <w:rPr>
          <w:rStyle w:val="Appelnotedebasdep"/>
        </w:rPr>
        <w:footnoteRef/>
      </w:r>
      <w:r>
        <w:t xml:space="preserve"> </w:t>
      </w:r>
      <w:hyperlink r:id="rId3" w:history="1">
        <w:r w:rsidRPr="00E757F9">
          <w:rPr>
            <w:rStyle w:val="Lienhypertexte"/>
          </w:rPr>
          <w:t>https://goods-schedules.wto.org/</w:t>
        </w:r>
      </w:hyperlink>
      <w:r>
        <w:t xml:space="preserve"> </w:t>
      </w:r>
    </w:p>
  </w:footnote>
  <w:footnote w:id="6">
    <w:p w14:paraId="18CA25B1" w14:textId="56EEBCAB" w:rsidR="009D707A" w:rsidRPr="005D21BE" w:rsidRDefault="009D707A">
      <w:pPr>
        <w:pStyle w:val="Notedebasdepage"/>
      </w:pPr>
      <w:r>
        <w:rPr>
          <w:rStyle w:val="Appelnotedebasdep"/>
        </w:rPr>
        <w:footnoteRef/>
      </w:r>
      <w:r w:rsidRPr="005D21BE">
        <w:t xml:space="preserve"> </w:t>
      </w:r>
      <w:hyperlink r:id="rId4" w:history="1">
        <w:r w:rsidRPr="005D21BE">
          <w:rPr>
            <w:rStyle w:val="Lienhypertexte"/>
          </w:rPr>
          <w:t>https://www.wto.org/english/tratop_e/covid19_e/trade_related_goods_measure_e.htm</w:t>
        </w:r>
      </w:hyperlink>
      <w:r w:rsidRPr="005D21BE">
        <w:t xml:space="preserve"> </w:t>
      </w:r>
    </w:p>
  </w:footnote>
  <w:footnote w:id="7">
    <w:p w14:paraId="4438FF86" w14:textId="054B5492" w:rsidR="0037214A" w:rsidRDefault="0037214A">
      <w:pPr>
        <w:pStyle w:val="Notedebasdepage"/>
      </w:pPr>
      <w:r>
        <w:rPr>
          <w:rStyle w:val="Appelnotedebasdep"/>
        </w:rPr>
        <w:footnoteRef/>
      </w:r>
      <w:r>
        <w:t xml:space="preserve"> </w:t>
      </w:r>
      <w:r w:rsidRPr="0037214A">
        <w:t>https://www.wto.org/english/tratop_e/covid19_e/vaccine_inputs_report_e.pdf</w:t>
      </w:r>
    </w:p>
  </w:footnote>
  <w:footnote w:id="8">
    <w:p w14:paraId="3D645AB6" w14:textId="24490E04" w:rsidR="009D707A" w:rsidRPr="00EA361A" w:rsidRDefault="009D707A" w:rsidP="00016C47">
      <w:pPr>
        <w:pStyle w:val="Notedebasdepage"/>
        <w:rPr>
          <w:lang w:val="de-DE"/>
        </w:rPr>
      </w:pPr>
      <w:r>
        <w:rPr>
          <w:rStyle w:val="Appelnotedebasdep"/>
        </w:rPr>
        <w:footnoteRef/>
      </w:r>
      <w:r w:rsidRPr="00EA361A">
        <w:rPr>
          <w:lang w:val="de-DE"/>
        </w:rPr>
        <w:t xml:space="preserve"> </w:t>
      </w:r>
      <w:hyperlink w:history="1"/>
      <w:r w:rsidRPr="00EA361A">
        <w:rPr>
          <w:lang w:val="de-DE"/>
        </w:rPr>
        <w:t xml:space="preserve"> </w:t>
      </w:r>
      <w:hyperlink r:id="rId5" w:history="1">
        <w:r w:rsidR="00512EAD" w:rsidRPr="00510A2B">
          <w:rPr>
            <w:rStyle w:val="Lienhypertexte"/>
            <w:lang w:val="de-DE"/>
          </w:rPr>
          <w:t>https://hstracker.wto.org/</w:t>
        </w:r>
      </w:hyperlink>
      <w:r w:rsidR="00512EAD">
        <w:rPr>
          <w:lang w:val="de-DE"/>
        </w:rPr>
        <w:t xml:space="preserve"> </w:t>
      </w:r>
    </w:p>
  </w:footnote>
  <w:footnote w:id="9">
    <w:p w14:paraId="283CE0E4" w14:textId="1139EBB1" w:rsidR="001946B6" w:rsidRPr="00CA4D0E" w:rsidRDefault="001946B6">
      <w:pPr>
        <w:pStyle w:val="Notedebasdepage"/>
        <w:rPr>
          <w:lang w:val="de-DE"/>
        </w:rPr>
      </w:pPr>
      <w:r>
        <w:rPr>
          <w:rStyle w:val="Appelnotedebasdep"/>
        </w:rPr>
        <w:footnoteRef/>
      </w:r>
      <w:r w:rsidRPr="00CA4D0E">
        <w:rPr>
          <w:lang w:val="de-DE"/>
        </w:rPr>
        <w:t xml:space="preserve"> </w:t>
      </w:r>
      <w:r w:rsidR="0037214A" w:rsidRPr="00CA4D0E">
        <w:rPr>
          <w:lang w:val="de-DE"/>
        </w:rPr>
        <w:t>https://www.wto.org/english/tratop_e/markacc_e/qr_e.htm</w:t>
      </w:r>
    </w:p>
  </w:footnote>
  <w:footnote w:id="10">
    <w:p w14:paraId="15A7C075" w14:textId="77777777" w:rsidR="007B60AC" w:rsidRPr="00A935E0" w:rsidRDefault="007B60AC" w:rsidP="007B60AC">
      <w:pPr>
        <w:pStyle w:val="Notedebasdepage"/>
        <w:rPr>
          <w:lang w:val="de-DE"/>
        </w:rPr>
      </w:pPr>
      <w:r>
        <w:rPr>
          <w:rStyle w:val="Appelnotedebasdep"/>
        </w:rPr>
        <w:footnoteRef/>
      </w:r>
      <w:r w:rsidRPr="00A935E0">
        <w:rPr>
          <w:lang w:val="de-DE"/>
        </w:rPr>
        <w:t xml:space="preserve"> </w:t>
      </w:r>
      <w:hyperlink r:id="rId6" w:history="1">
        <w:r w:rsidRPr="00A935E0">
          <w:rPr>
            <w:rStyle w:val="Lienhypertexte"/>
            <w:lang w:val="de-DE"/>
          </w:rPr>
          <w:t>https://agenda.wto.org/en/cma</w:t>
        </w:r>
      </w:hyperlink>
      <w:r w:rsidRPr="00A935E0">
        <w:rPr>
          <w:lang w:val="de-DE"/>
        </w:rPr>
        <w:t xml:space="preserve"> </w:t>
      </w:r>
    </w:p>
  </w:footnote>
  <w:footnote w:id="11">
    <w:p w14:paraId="4C03B900" w14:textId="1FDBE788" w:rsidR="00EC4042" w:rsidRPr="00F43799" w:rsidRDefault="00EC4042">
      <w:pPr>
        <w:pStyle w:val="Notedebasdepage"/>
      </w:pPr>
      <w:r>
        <w:rPr>
          <w:rStyle w:val="Appelnotedebasdep"/>
        </w:rPr>
        <w:footnoteRef/>
      </w:r>
      <w:r w:rsidRPr="00F43799">
        <w:t xml:space="preserve"> </w:t>
      </w:r>
      <w:hyperlink r:id="rId7" w:history="1">
        <w:r w:rsidRPr="00F43799">
          <w:rPr>
            <w:rStyle w:val="Lienhypertexte"/>
          </w:rPr>
          <w:t>https://tradeconcerns.wto.org/en</w:t>
        </w:r>
      </w:hyperlink>
      <w:r w:rsidRPr="00F43799">
        <w:t xml:space="preserve"> </w:t>
      </w:r>
    </w:p>
  </w:footnote>
  <w:footnote w:id="12">
    <w:p w14:paraId="50B66AF1" w14:textId="77777777" w:rsidR="009D707A" w:rsidRPr="00C00A31" w:rsidRDefault="009D707A" w:rsidP="003A0AEE">
      <w:pPr>
        <w:pStyle w:val="Notedebasdepage"/>
        <w:jc w:val="both"/>
      </w:pPr>
      <w:r>
        <w:rPr>
          <w:rStyle w:val="Appelnotedebasdep"/>
        </w:rPr>
        <w:footnoteRef/>
      </w:r>
      <w:r>
        <w:t xml:space="preserve"> Includes items raised under "other business". </w:t>
      </w:r>
    </w:p>
  </w:footnote>
  <w:footnote w:id="13">
    <w:p w14:paraId="01318A2E" w14:textId="77777777" w:rsidR="009D707A" w:rsidRPr="0010721A" w:rsidRDefault="009D707A" w:rsidP="003A0AEE">
      <w:pPr>
        <w:pStyle w:val="Notedebasdepage"/>
        <w:jc w:val="both"/>
      </w:pPr>
      <w:r>
        <w:rPr>
          <w:rStyle w:val="Appelnotedebasdep"/>
        </w:rPr>
        <w:footnoteRef/>
      </w:r>
      <w:r>
        <w:t xml:space="preserve"> </w:t>
      </w:r>
      <w:r w:rsidRPr="0010721A">
        <w:t>The column lists the Member</w:t>
      </w:r>
      <w:r>
        <w:t>(</w:t>
      </w:r>
      <w:r w:rsidRPr="0010721A">
        <w:t>s</w:t>
      </w:r>
      <w:r>
        <w:t>)</w:t>
      </w:r>
      <w:r w:rsidRPr="0010721A">
        <w:t xml:space="preserve"> </w:t>
      </w:r>
      <w:r>
        <w:t>that raised the issue in any or all the formal meetings that are covered by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8BAA" w14:textId="77777777" w:rsidR="00E35E87" w:rsidRPr="00E35E87" w:rsidRDefault="00E35E87" w:rsidP="00E35E87">
    <w:pPr>
      <w:pStyle w:val="En-tte"/>
      <w:pBdr>
        <w:bottom w:val="single" w:sz="4" w:space="1" w:color="auto"/>
      </w:pBdr>
      <w:tabs>
        <w:tab w:val="clear" w:pos="4513"/>
        <w:tab w:val="clear" w:pos="9027"/>
      </w:tabs>
      <w:jc w:val="center"/>
    </w:pPr>
    <w:r w:rsidRPr="00E35E87">
      <w:t>G/L/1407</w:t>
    </w:r>
  </w:p>
  <w:p w14:paraId="0D7C6A83" w14:textId="77777777" w:rsidR="00E35E87" w:rsidRPr="00E35E87" w:rsidRDefault="00E35E87" w:rsidP="00E35E87">
    <w:pPr>
      <w:pStyle w:val="En-tte"/>
      <w:pBdr>
        <w:bottom w:val="single" w:sz="4" w:space="1" w:color="auto"/>
      </w:pBdr>
      <w:tabs>
        <w:tab w:val="clear" w:pos="4513"/>
        <w:tab w:val="clear" w:pos="9027"/>
      </w:tabs>
      <w:jc w:val="center"/>
    </w:pPr>
  </w:p>
  <w:p w14:paraId="110E7307" w14:textId="2F7A9A41" w:rsidR="00E35E87" w:rsidRPr="00E35E87" w:rsidRDefault="00E35E87" w:rsidP="00E35E87">
    <w:pPr>
      <w:pStyle w:val="En-tte"/>
      <w:pBdr>
        <w:bottom w:val="single" w:sz="4" w:space="1" w:color="auto"/>
      </w:pBdr>
      <w:tabs>
        <w:tab w:val="clear" w:pos="4513"/>
        <w:tab w:val="clear" w:pos="9027"/>
      </w:tabs>
      <w:jc w:val="center"/>
    </w:pPr>
    <w:r w:rsidRPr="00E35E87">
      <w:t xml:space="preserve">- </w:t>
    </w:r>
    <w:r w:rsidRPr="00E35E87">
      <w:fldChar w:fldCharType="begin"/>
    </w:r>
    <w:r w:rsidRPr="00E35E87">
      <w:instrText xml:space="preserve"> PAGE </w:instrText>
    </w:r>
    <w:r w:rsidRPr="00E35E87">
      <w:fldChar w:fldCharType="separate"/>
    </w:r>
    <w:r w:rsidRPr="00E35E87">
      <w:rPr>
        <w:noProof/>
      </w:rPr>
      <w:t>2</w:t>
    </w:r>
    <w:r w:rsidRPr="00E35E87">
      <w:fldChar w:fldCharType="end"/>
    </w:r>
    <w:r w:rsidRPr="00E35E87">
      <w:t xml:space="preserve"> -</w:t>
    </w:r>
  </w:p>
  <w:p w14:paraId="5CCB8657" w14:textId="274EB1F9" w:rsidR="009D707A" w:rsidRPr="00E35E87" w:rsidRDefault="009D707A" w:rsidP="00E35E8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59ED" w14:textId="77777777" w:rsidR="00E35E87" w:rsidRPr="00E35E87" w:rsidRDefault="00E35E87" w:rsidP="00E35E87">
    <w:pPr>
      <w:pStyle w:val="En-tte"/>
      <w:pBdr>
        <w:bottom w:val="single" w:sz="4" w:space="1" w:color="auto"/>
      </w:pBdr>
      <w:tabs>
        <w:tab w:val="clear" w:pos="4513"/>
        <w:tab w:val="clear" w:pos="9027"/>
      </w:tabs>
      <w:jc w:val="center"/>
    </w:pPr>
    <w:r w:rsidRPr="00E35E87">
      <w:t>G/L/1407</w:t>
    </w:r>
  </w:p>
  <w:p w14:paraId="33002315" w14:textId="77777777" w:rsidR="00E35E87" w:rsidRPr="00E35E87" w:rsidRDefault="00E35E87" w:rsidP="00E35E87">
    <w:pPr>
      <w:pStyle w:val="En-tte"/>
      <w:pBdr>
        <w:bottom w:val="single" w:sz="4" w:space="1" w:color="auto"/>
      </w:pBdr>
      <w:tabs>
        <w:tab w:val="clear" w:pos="4513"/>
        <w:tab w:val="clear" w:pos="9027"/>
      </w:tabs>
      <w:jc w:val="center"/>
    </w:pPr>
  </w:p>
  <w:p w14:paraId="278ADF75" w14:textId="2694BC14" w:rsidR="00E35E87" w:rsidRPr="00E35E87" w:rsidRDefault="00E35E87" w:rsidP="00E35E87">
    <w:pPr>
      <w:pStyle w:val="En-tte"/>
      <w:pBdr>
        <w:bottom w:val="single" w:sz="4" w:space="1" w:color="auto"/>
      </w:pBdr>
      <w:tabs>
        <w:tab w:val="clear" w:pos="4513"/>
        <w:tab w:val="clear" w:pos="9027"/>
      </w:tabs>
      <w:jc w:val="center"/>
    </w:pPr>
    <w:r w:rsidRPr="00E35E87">
      <w:t xml:space="preserve">- </w:t>
    </w:r>
    <w:r w:rsidRPr="00E35E87">
      <w:fldChar w:fldCharType="begin"/>
    </w:r>
    <w:r w:rsidRPr="00E35E87">
      <w:instrText xml:space="preserve"> PAGE </w:instrText>
    </w:r>
    <w:r w:rsidRPr="00E35E87">
      <w:fldChar w:fldCharType="separate"/>
    </w:r>
    <w:r w:rsidRPr="00E35E87">
      <w:rPr>
        <w:noProof/>
      </w:rPr>
      <w:t>3</w:t>
    </w:r>
    <w:r w:rsidRPr="00E35E87">
      <w:fldChar w:fldCharType="end"/>
    </w:r>
    <w:r w:rsidRPr="00E35E87">
      <w:t xml:space="preserve"> -</w:t>
    </w:r>
  </w:p>
  <w:p w14:paraId="199385CF" w14:textId="589A03A6" w:rsidR="009D707A" w:rsidRPr="00E35E87" w:rsidRDefault="009D707A" w:rsidP="00E35E8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707A" w:rsidRPr="00182B84" w14:paraId="2BFDDAFE" w14:textId="77777777" w:rsidTr="00544326">
      <w:trPr>
        <w:trHeight w:val="240"/>
        <w:jc w:val="center"/>
      </w:trPr>
      <w:tc>
        <w:tcPr>
          <w:tcW w:w="3794" w:type="dxa"/>
          <w:shd w:val="clear" w:color="auto" w:fill="FFFFFF"/>
          <w:tcMar>
            <w:left w:w="108" w:type="dxa"/>
            <w:right w:w="108" w:type="dxa"/>
          </w:tcMar>
          <w:vAlign w:val="center"/>
        </w:tcPr>
        <w:p w14:paraId="0EEAC995" w14:textId="77777777" w:rsidR="009D707A" w:rsidRPr="00182B84" w:rsidRDefault="009D707A" w:rsidP="009D707A">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60440197" w14:textId="215842EC" w:rsidR="009D707A" w:rsidRPr="00182B84" w:rsidRDefault="00E35E87" w:rsidP="009D707A">
          <w:pPr>
            <w:jc w:val="right"/>
            <w:rPr>
              <w:b/>
              <w:color w:val="FF0000"/>
              <w:szCs w:val="16"/>
            </w:rPr>
          </w:pPr>
          <w:r>
            <w:rPr>
              <w:b/>
              <w:color w:val="FF0000"/>
              <w:szCs w:val="16"/>
            </w:rPr>
            <w:t xml:space="preserve"> </w:t>
          </w:r>
        </w:p>
      </w:tc>
    </w:tr>
    <w:bookmarkEnd w:id="1"/>
    <w:tr w:rsidR="009D707A" w:rsidRPr="00182B84" w14:paraId="33794B00" w14:textId="77777777" w:rsidTr="00544326">
      <w:trPr>
        <w:trHeight w:val="213"/>
        <w:jc w:val="center"/>
      </w:trPr>
      <w:tc>
        <w:tcPr>
          <w:tcW w:w="3794" w:type="dxa"/>
          <w:vMerge w:val="restart"/>
          <w:shd w:val="clear" w:color="auto" w:fill="FFFFFF"/>
          <w:tcMar>
            <w:left w:w="0" w:type="dxa"/>
            <w:right w:w="0" w:type="dxa"/>
          </w:tcMar>
        </w:tcPr>
        <w:p w14:paraId="44C713A5" w14:textId="77777777" w:rsidR="009D707A" w:rsidRPr="00182B84" w:rsidRDefault="009D707A" w:rsidP="009D707A">
          <w:pPr>
            <w:jc w:val="left"/>
          </w:pPr>
          <w:r w:rsidRPr="00182B84">
            <w:rPr>
              <w:noProof/>
              <w:lang w:val="en-US"/>
            </w:rPr>
            <w:drawing>
              <wp:inline distT="0" distB="0" distL="0" distR="0" wp14:anchorId="12A5D8CB" wp14:editId="7F7AB065">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4984D3" w14:textId="77777777" w:rsidR="009D707A" w:rsidRPr="00182B84" w:rsidRDefault="009D707A" w:rsidP="009D707A">
          <w:pPr>
            <w:jc w:val="right"/>
            <w:rPr>
              <w:b/>
              <w:szCs w:val="16"/>
            </w:rPr>
          </w:pPr>
        </w:p>
      </w:tc>
    </w:tr>
    <w:tr w:rsidR="009D707A" w:rsidRPr="00182B84" w14:paraId="0D0485A1" w14:textId="77777777" w:rsidTr="00544326">
      <w:trPr>
        <w:trHeight w:val="868"/>
        <w:jc w:val="center"/>
      </w:trPr>
      <w:tc>
        <w:tcPr>
          <w:tcW w:w="3794" w:type="dxa"/>
          <w:vMerge/>
          <w:shd w:val="clear" w:color="auto" w:fill="FFFFFF"/>
          <w:tcMar>
            <w:left w:w="108" w:type="dxa"/>
            <w:right w:w="108" w:type="dxa"/>
          </w:tcMar>
        </w:tcPr>
        <w:p w14:paraId="4F3F0941" w14:textId="77777777" w:rsidR="009D707A" w:rsidRPr="00182B84" w:rsidRDefault="009D707A" w:rsidP="009D707A">
          <w:pPr>
            <w:jc w:val="left"/>
            <w:rPr>
              <w:noProof/>
              <w:lang w:eastAsia="en-GB"/>
            </w:rPr>
          </w:pPr>
        </w:p>
      </w:tc>
      <w:tc>
        <w:tcPr>
          <w:tcW w:w="5448" w:type="dxa"/>
          <w:gridSpan w:val="2"/>
          <w:shd w:val="clear" w:color="auto" w:fill="FFFFFF"/>
          <w:tcMar>
            <w:left w:w="108" w:type="dxa"/>
            <w:right w:w="108" w:type="dxa"/>
          </w:tcMar>
        </w:tcPr>
        <w:p w14:paraId="42CECC18" w14:textId="77777777" w:rsidR="00E35E87" w:rsidRDefault="00E35E87" w:rsidP="009D707A">
          <w:pPr>
            <w:jc w:val="right"/>
            <w:rPr>
              <w:b/>
              <w:szCs w:val="16"/>
            </w:rPr>
          </w:pPr>
          <w:bookmarkStart w:id="2" w:name="bmkSymbols"/>
          <w:r>
            <w:rPr>
              <w:b/>
              <w:szCs w:val="16"/>
            </w:rPr>
            <w:t>G/L/1407</w:t>
          </w:r>
        </w:p>
        <w:bookmarkEnd w:id="2"/>
        <w:p w14:paraId="45E8BF6D" w14:textId="3DD8D777" w:rsidR="009D707A" w:rsidRPr="00182B84" w:rsidRDefault="009D707A" w:rsidP="009D707A">
          <w:pPr>
            <w:jc w:val="right"/>
            <w:rPr>
              <w:b/>
              <w:szCs w:val="16"/>
            </w:rPr>
          </w:pPr>
        </w:p>
      </w:tc>
    </w:tr>
    <w:tr w:rsidR="009D707A" w:rsidRPr="00182B84" w14:paraId="6802051D" w14:textId="77777777" w:rsidTr="00544326">
      <w:trPr>
        <w:trHeight w:val="240"/>
        <w:jc w:val="center"/>
      </w:trPr>
      <w:tc>
        <w:tcPr>
          <w:tcW w:w="3794" w:type="dxa"/>
          <w:vMerge/>
          <w:shd w:val="clear" w:color="auto" w:fill="FFFFFF"/>
          <w:tcMar>
            <w:left w:w="108" w:type="dxa"/>
            <w:right w:w="108" w:type="dxa"/>
          </w:tcMar>
          <w:vAlign w:val="center"/>
        </w:tcPr>
        <w:p w14:paraId="01871A7A" w14:textId="77777777" w:rsidR="009D707A" w:rsidRPr="00182B84" w:rsidRDefault="009D707A" w:rsidP="009D707A"/>
      </w:tc>
      <w:tc>
        <w:tcPr>
          <w:tcW w:w="5448" w:type="dxa"/>
          <w:gridSpan w:val="2"/>
          <w:shd w:val="clear" w:color="auto" w:fill="FFFFFF"/>
          <w:tcMar>
            <w:left w:w="108" w:type="dxa"/>
            <w:right w:w="108" w:type="dxa"/>
          </w:tcMar>
          <w:vAlign w:val="center"/>
        </w:tcPr>
        <w:p w14:paraId="370F7B82" w14:textId="1960212E" w:rsidR="009D707A" w:rsidRPr="00182B84" w:rsidRDefault="00264BAD" w:rsidP="009D707A">
          <w:pPr>
            <w:jc w:val="right"/>
            <w:rPr>
              <w:szCs w:val="16"/>
            </w:rPr>
          </w:pPr>
          <w:r>
            <w:rPr>
              <w:szCs w:val="16"/>
            </w:rPr>
            <w:t xml:space="preserve">18 </w:t>
          </w:r>
          <w:r w:rsidR="007947AF">
            <w:rPr>
              <w:szCs w:val="16"/>
            </w:rPr>
            <w:t>October</w:t>
          </w:r>
          <w:r w:rsidR="009D707A">
            <w:rPr>
              <w:szCs w:val="16"/>
            </w:rPr>
            <w:t xml:space="preserve"> 2021</w:t>
          </w:r>
        </w:p>
      </w:tc>
    </w:tr>
    <w:tr w:rsidR="009D707A" w:rsidRPr="00182B84" w14:paraId="2DA9440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8B1B81" w14:textId="62355E2F" w:rsidR="009D707A" w:rsidRPr="00182B84" w:rsidRDefault="009D707A" w:rsidP="009D707A">
          <w:pPr>
            <w:jc w:val="left"/>
            <w:rPr>
              <w:b/>
            </w:rPr>
          </w:pPr>
          <w:bookmarkStart w:id="3" w:name="bmkSerial" w:colFirst="0" w:colLast="0"/>
          <w:r w:rsidRPr="00182B84">
            <w:rPr>
              <w:color w:val="FF0000"/>
              <w:szCs w:val="16"/>
            </w:rPr>
            <w:t>(</w:t>
          </w:r>
          <w:r w:rsidR="00A67DF4">
            <w:rPr>
              <w:color w:val="FF0000"/>
              <w:szCs w:val="16"/>
            </w:rPr>
            <w:t>21</w:t>
          </w:r>
          <w:r w:rsidRPr="00182B84">
            <w:rPr>
              <w:color w:val="FF0000"/>
              <w:szCs w:val="16"/>
            </w:rPr>
            <w:t>-</w:t>
          </w:r>
          <w:r w:rsidR="00511F41">
            <w:rPr>
              <w:color w:val="FF0000"/>
              <w:szCs w:val="16"/>
            </w:rPr>
            <w:t>7870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3AAE1E7" w14:textId="77777777" w:rsidR="009D707A" w:rsidRPr="00182B84" w:rsidRDefault="009D707A" w:rsidP="009D707A">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4"/>
        </w:p>
      </w:tc>
    </w:tr>
    <w:tr w:rsidR="009D707A" w:rsidRPr="00182B84" w14:paraId="2068BCC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A42DC4" w14:textId="57765F96" w:rsidR="009D707A" w:rsidRPr="00182B84" w:rsidRDefault="00E35E87" w:rsidP="009D707A">
          <w:pPr>
            <w:jc w:val="left"/>
            <w:rPr>
              <w:sz w:val="14"/>
              <w:szCs w:val="16"/>
            </w:rPr>
          </w:pPr>
          <w:bookmarkStart w:id="5" w:name="bmkCommittee"/>
          <w:bookmarkStart w:id="6" w:name="bmkLanguage" w:colFirst="1" w:colLast="1"/>
          <w:bookmarkEnd w:id="3"/>
          <w:r>
            <w:rPr>
              <w:b/>
            </w:rPr>
            <w:t>Committee on Market Access</w:t>
          </w:r>
          <w:bookmarkEnd w:id="5"/>
        </w:p>
      </w:tc>
      <w:tc>
        <w:tcPr>
          <w:tcW w:w="3325" w:type="dxa"/>
          <w:tcBorders>
            <w:top w:val="single" w:sz="4" w:space="0" w:color="auto"/>
          </w:tcBorders>
          <w:tcMar>
            <w:top w:w="113" w:type="dxa"/>
            <w:left w:w="108" w:type="dxa"/>
            <w:bottom w:w="57" w:type="dxa"/>
            <w:right w:w="108" w:type="dxa"/>
          </w:tcMar>
          <w:vAlign w:val="center"/>
        </w:tcPr>
        <w:p w14:paraId="227C94E4" w14:textId="4F2889D0" w:rsidR="009D707A" w:rsidRPr="00182B84" w:rsidRDefault="00E35E87" w:rsidP="009D707A">
          <w:pPr>
            <w:jc w:val="right"/>
            <w:rPr>
              <w:bCs/>
              <w:szCs w:val="18"/>
            </w:rPr>
          </w:pPr>
          <w:r>
            <w:rPr>
              <w:szCs w:val="18"/>
            </w:rPr>
            <w:t>Original: English</w:t>
          </w:r>
        </w:p>
      </w:tc>
    </w:tr>
    <w:bookmarkEnd w:id="6"/>
  </w:tbl>
  <w:p w14:paraId="6D1E0E5A" w14:textId="77777777" w:rsidR="009D707A" w:rsidRDefault="009D70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25AE3"/>
    <w:multiLevelType w:val="hybridMultilevel"/>
    <w:tmpl w:val="BF36EC6A"/>
    <w:lvl w:ilvl="0" w:tplc="1BB689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530057"/>
    <w:multiLevelType w:val="hybridMultilevel"/>
    <w:tmpl w:val="6FFEE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D6C6022"/>
    <w:lvl w:ilvl="0" w:tplc="78A0F458">
      <w:start w:val="1"/>
      <w:numFmt w:val="decimal"/>
      <w:pStyle w:val="SummaryTex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3"/>
    <w:lvlOverride w:ilvl="0">
      <w:startOverride w:val="1"/>
      <w:lvl w:ilvl="0">
        <w:start w:val="1"/>
        <w:numFmt w:val="decimal"/>
        <w:pStyle w:val="Titre1"/>
        <w:lvlText w:val=""/>
        <w:lvlJc w:val="left"/>
      </w:lvl>
    </w:lvlOverride>
    <w:lvlOverride w:ilvl="1">
      <w:startOverride w:val="1"/>
      <w:lvl w:ilvl="1">
        <w:start w:val="1"/>
        <w:numFmt w:val="decimal"/>
        <w:pStyle w:val="Titre2"/>
        <w:lvlText w:val=""/>
        <w:lvlJc w:val="left"/>
      </w:lvl>
    </w:lvlOverride>
    <w:lvlOverride w:ilvl="2">
      <w:startOverride w:val="1"/>
      <w:lvl w:ilvl="2">
        <w:start w:val="1"/>
        <w:numFmt w:val="decimal"/>
        <w:pStyle w:val="Titre3"/>
        <w:lvlText w:val=""/>
        <w:lvlJc w:val="left"/>
      </w:lvl>
    </w:lvlOverride>
    <w:lvlOverride w:ilvl="3">
      <w:startOverride w:val="1"/>
      <w:lvl w:ilvl="3">
        <w:start w:val="1"/>
        <w:numFmt w:val="decimal"/>
        <w:pStyle w:val="Titre4"/>
        <w:lvlText w:val=""/>
        <w:lvlJc w:val="left"/>
      </w:lvl>
    </w:lvlOverride>
    <w:lvlOverride w:ilvl="4">
      <w:startOverride w:val="1"/>
      <w:lvl w:ilvl="4">
        <w:start w:val="1"/>
        <w:numFmt w:val="decimal"/>
        <w:pStyle w:val="Titre5"/>
        <w:lvlText w:val=""/>
        <w:lvlJc w:val="left"/>
      </w:lvl>
    </w:lvlOverride>
    <w:lvlOverride w:ilvl="5">
      <w:startOverride w:val="1"/>
      <w:lvl w:ilvl="5">
        <w:start w:val="1"/>
        <w:numFmt w:val="decimal"/>
        <w:pStyle w:val="Titre6"/>
        <w:lvlText w:val=""/>
        <w:lvlJc w:val="left"/>
      </w:lvl>
    </w:lvlOverride>
    <w:lvlOverride w:ilvl="6">
      <w:startOverride w:val="1"/>
      <w:lvl w:ilvl="6">
        <w:start w:val="1"/>
        <w:numFmt w:val="decimal"/>
        <w:lvlRestart w:val="1"/>
        <w:pStyle w:val="Corpsdetexte"/>
        <w:isLgl/>
        <w:suff w:val="nothing"/>
        <w:lvlText w:val="%1.%7.  "/>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EE"/>
    <w:rsid w:val="00012C0A"/>
    <w:rsid w:val="00016C47"/>
    <w:rsid w:val="000272F6"/>
    <w:rsid w:val="00037AC4"/>
    <w:rsid w:val="000423BF"/>
    <w:rsid w:val="00062F2D"/>
    <w:rsid w:val="000A4945"/>
    <w:rsid w:val="000B31E1"/>
    <w:rsid w:val="000C0894"/>
    <w:rsid w:val="00104BD2"/>
    <w:rsid w:val="0011356B"/>
    <w:rsid w:val="0013337F"/>
    <w:rsid w:val="001665CB"/>
    <w:rsid w:val="00182B84"/>
    <w:rsid w:val="00184D10"/>
    <w:rsid w:val="001946B6"/>
    <w:rsid w:val="001E291F"/>
    <w:rsid w:val="00207764"/>
    <w:rsid w:val="00233408"/>
    <w:rsid w:val="0023351B"/>
    <w:rsid w:val="00264BAD"/>
    <w:rsid w:val="0027067B"/>
    <w:rsid w:val="00295832"/>
    <w:rsid w:val="002F059D"/>
    <w:rsid w:val="003156C6"/>
    <w:rsid w:val="00356E46"/>
    <w:rsid w:val="003572B4"/>
    <w:rsid w:val="0037214A"/>
    <w:rsid w:val="003A0AEE"/>
    <w:rsid w:val="003B0786"/>
    <w:rsid w:val="003F0B59"/>
    <w:rsid w:val="00414711"/>
    <w:rsid w:val="00416EBF"/>
    <w:rsid w:val="00424735"/>
    <w:rsid w:val="00426832"/>
    <w:rsid w:val="00467032"/>
    <w:rsid w:val="0046754A"/>
    <w:rsid w:val="004A1E3A"/>
    <w:rsid w:val="004F203A"/>
    <w:rsid w:val="004F7CD0"/>
    <w:rsid w:val="00511F41"/>
    <w:rsid w:val="00512EAD"/>
    <w:rsid w:val="00521CB1"/>
    <w:rsid w:val="005336B8"/>
    <w:rsid w:val="00544326"/>
    <w:rsid w:val="00547B5F"/>
    <w:rsid w:val="005A1A22"/>
    <w:rsid w:val="005B04B9"/>
    <w:rsid w:val="005B68C7"/>
    <w:rsid w:val="005B7054"/>
    <w:rsid w:val="005D21BE"/>
    <w:rsid w:val="005D5981"/>
    <w:rsid w:val="005F2B9B"/>
    <w:rsid w:val="005F30CB"/>
    <w:rsid w:val="005F6DC6"/>
    <w:rsid w:val="00612644"/>
    <w:rsid w:val="00646283"/>
    <w:rsid w:val="00667371"/>
    <w:rsid w:val="00667599"/>
    <w:rsid w:val="00674CCD"/>
    <w:rsid w:val="00692BA0"/>
    <w:rsid w:val="006930CD"/>
    <w:rsid w:val="006B4585"/>
    <w:rsid w:val="006C2CF8"/>
    <w:rsid w:val="006F5826"/>
    <w:rsid w:val="00700181"/>
    <w:rsid w:val="007141CF"/>
    <w:rsid w:val="00745146"/>
    <w:rsid w:val="007577E3"/>
    <w:rsid w:val="00760DB3"/>
    <w:rsid w:val="00766AF1"/>
    <w:rsid w:val="00784E74"/>
    <w:rsid w:val="007947AF"/>
    <w:rsid w:val="007B60AC"/>
    <w:rsid w:val="007E3EB4"/>
    <w:rsid w:val="007E4561"/>
    <w:rsid w:val="007E6507"/>
    <w:rsid w:val="007F2B8E"/>
    <w:rsid w:val="007F32D1"/>
    <w:rsid w:val="007F596B"/>
    <w:rsid w:val="00800999"/>
    <w:rsid w:val="008017AE"/>
    <w:rsid w:val="00807247"/>
    <w:rsid w:val="008132DA"/>
    <w:rsid w:val="00840C2B"/>
    <w:rsid w:val="008739FD"/>
    <w:rsid w:val="00893E85"/>
    <w:rsid w:val="008A67F3"/>
    <w:rsid w:val="008E372C"/>
    <w:rsid w:val="009167DF"/>
    <w:rsid w:val="009A6F54"/>
    <w:rsid w:val="009D707A"/>
    <w:rsid w:val="00A6057A"/>
    <w:rsid w:val="00A67DF4"/>
    <w:rsid w:val="00A711BA"/>
    <w:rsid w:val="00A74017"/>
    <w:rsid w:val="00A935E0"/>
    <w:rsid w:val="00AA332C"/>
    <w:rsid w:val="00AB3538"/>
    <w:rsid w:val="00AC27F8"/>
    <w:rsid w:val="00AC7770"/>
    <w:rsid w:val="00AD4C72"/>
    <w:rsid w:val="00AE1351"/>
    <w:rsid w:val="00AE2AEE"/>
    <w:rsid w:val="00AE479A"/>
    <w:rsid w:val="00B00276"/>
    <w:rsid w:val="00B03891"/>
    <w:rsid w:val="00B10D38"/>
    <w:rsid w:val="00B230EC"/>
    <w:rsid w:val="00B42A48"/>
    <w:rsid w:val="00B52738"/>
    <w:rsid w:val="00B53A6B"/>
    <w:rsid w:val="00B56EDC"/>
    <w:rsid w:val="00B94A1F"/>
    <w:rsid w:val="00BB1F84"/>
    <w:rsid w:val="00BE5468"/>
    <w:rsid w:val="00C0536F"/>
    <w:rsid w:val="00C11EAC"/>
    <w:rsid w:val="00C15F6D"/>
    <w:rsid w:val="00C305D7"/>
    <w:rsid w:val="00C30F2A"/>
    <w:rsid w:val="00C43456"/>
    <w:rsid w:val="00C655F1"/>
    <w:rsid w:val="00C65C0C"/>
    <w:rsid w:val="00C808FC"/>
    <w:rsid w:val="00CA4D0E"/>
    <w:rsid w:val="00CD7D97"/>
    <w:rsid w:val="00CE3EE6"/>
    <w:rsid w:val="00CE4BA1"/>
    <w:rsid w:val="00D000C7"/>
    <w:rsid w:val="00D221B8"/>
    <w:rsid w:val="00D47AFC"/>
    <w:rsid w:val="00D52A9D"/>
    <w:rsid w:val="00D55AAD"/>
    <w:rsid w:val="00D64A19"/>
    <w:rsid w:val="00D747AE"/>
    <w:rsid w:val="00D83563"/>
    <w:rsid w:val="00D9226C"/>
    <w:rsid w:val="00DA17F0"/>
    <w:rsid w:val="00DA20BD"/>
    <w:rsid w:val="00DE50DB"/>
    <w:rsid w:val="00DF6AE1"/>
    <w:rsid w:val="00E35E87"/>
    <w:rsid w:val="00E46FD5"/>
    <w:rsid w:val="00E544BB"/>
    <w:rsid w:val="00E56545"/>
    <w:rsid w:val="00EA361A"/>
    <w:rsid w:val="00EA5D4F"/>
    <w:rsid w:val="00EB6C56"/>
    <w:rsid w:val="00EC4042"/>
    <w:rsid w:val="00ED1D47"/>
    <w:rsid w:val="00ED54E0"/>
    <w:rsid w:val="00EE7E08"/>
    <w:rsid w:val="00EF2CDF"/>
    <w:rsid w:val="00F03E1C"/>
    <w:rsid w:val="00F04A9D"/>
    <w:rsid w:val="00F07B71"/>
    <w:rsid w:val="00F32397"/>
    <w:rsid w:val="00F40595"/>
    <w:rsid w:val="00F43799"/>
    <w:rsid w:val="00F54572"/>
    <w:rsid w:val="00F5483F"/>
    <w:rsid w:val="00F66023"/>
    <w:rsid w:val="00F66525"/>
    <w:rsid w:val="00F7328B"/>
    <w:rsid w:val="00FA5EBC"/>
    <w:rsid w:val="00FD224A"/>
    <w:rsid w:val="00FE30A7"/>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C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34"/>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Mentionnonrsolue">
    <w:name w:val="Unresolved Mention"/>
    <w:basedOn w:val="Policepardfaut"/>
    <w:uiPriority w:val="99"/>
    <w:semiHidden/>
    <w:unhideWhenUsed/>
    <w:rsid w:val="00766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oods-schedules.wto.org/" TargetMode="External"/><Relationship Id="rId7" Type="http://schemas.openxmlformats.org/officeDocument/2006/relationships/hyperlink" Target="https://tradeconcerns.wto.org/en" TargetMode="External"/><Relationship Id="rId2" Type="http://schemas.openxmlformats.org/officeDocument/2006/relationships/hyperlink" Target="https://tao.wto.org/" TargetMode="External"/><Relationship Id="rId1" Type="http://schemas.openxmlformats.org/officeDocument/2006/relationships/hyperlink" Target="https://QR.wto.org/" TargetMode="External"/><Relationship Id="rId6" Type="http://schemas.openxmlformats.org/officeDocument/2006/relationships/hyperlink" Target="https://agenda.wto.org/en/cma" TargetMode="External"/><Relationship Id="rId5" Type="http://schemas.openxmlformats.org/officeDocument/2006/relationships/hyperlink" Target="https://hstracker.wto.org/" TargetMode="External"/><Relationship Id="rId4" Type="http://schemas.openxmlformats.org/officeDocument/2006/relationships/hyperlink" Target="https://www.wto.org/english/tratop_e/covid19_e/trade_related_goods_measure_e.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D42E-E547-47D3-984B-48BA97A4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Pages>
  <Words>2154</Words>
  <Characters>12001</Characters>
  <Application>Microsoft Office Word</Application>
  <DocSecurity>0</DocSecurity>
  <Lines>227</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2021-10-04T10:55:00Z</cp:lastPrinted>
  <dcterms:created xsi:type="dcterms:W3CDTF">2021-10-18T08:37:00Z</dcterms:created>
  <dcterms:modified xsi:type="dcterms:W3CDTF">2021-10-18T12:06:00Z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G/L/1407</vt:lpwstr>
  </property>
  <property fmtid="{D5CDD505-2E9C-101B-9397-08002B2CF9AE}" pid="3" name="TitusGUID">
    <vt:lpwstr>a9cb756a-a85c-42c9-a045-fb2a62c8b7b5</vt:lpwstr>
  </property>
  <property fmtid="{D5CDD505-2E9C-101B-9397-08002B2CF9AE}" pid="4" name="WTOCLASSIFICATION">
    <vt:lpwstr>WTO OFFICIAL</vt:lpwstr>
  </property>
</Properties>
</file>