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280C" w14:textId="77777777" w:rsidR="00E9734E" w:rsidRDefault="00E9734E" w:rsidP="00E9734E">
      <w:pPr>
        <w:pStyle w:val="Title"/>
      </w:pPr>
      <w:r>
        <w:t>MINUTES OF THE MEETING HELD ON 20 APRIL 2018</w:t>
      </w:r>
    </w:p>
    <w:p w14:paraId="087E060A" w14:textId="77777777" w:rsidR="00E9734E" w:rsidRDefault="00E9734E" w:rsidP="00E9734E">
      <w:pPr>
        <w:pStyle w:val="Title2"/>
      </w:pPr>
      <w:r>
        <w:t>CHAIRPERSON: MR FAWAZ ALMUBALLI (KINGDOM OF SAUDI ARABIA)</w:t>
      </w:r>
    </w:p>
    <w:p w14:paraId="65BA7184" w14:textId="6B1BC883" w:rsidR="007141CF" w:rsidRDefault="00E9734E" w:rsidP="00E9734E">
      <w:r>
        <w:t>The Committee on Import Licensing held its forty-eighth meeting on 20</w:t>
      </w:r>
      <w:r w:rsidR="00B261C0">
        <w:t> </w:t>
      </w:r>
      <w:r>
        <w:t>April</w:t>
      </w:r>
      <w:r w:rsidR="00B261C0">
        <w:t> </w:t>
      </w:r>
      <w:r>
        <w:t xml:space="preserve">2018 under the </w:t>
      </w:r>
      <w:r w:rsidR="0084755F">
        <w:t xml:space="preserve">chairpersonship </w:t>
      </w:r>
      <w:r>
        <w:t>of Mr</w:t>
      </w:r>
      <w:r w:rsidR="00A03F00">
        <w:t> </w:t>
      </w:r>
      <w:r>
        <w:t xml:space="preserve">Fawaz </w:t>
      </w:r>
      <w:proofErr w:type="spellStart"/>
      <w:r>
        <w:t>Almuballi</w:t>
      </w:r>
      <w:proofErr w:type="spellEnd"/>
      <w:r>
        <w:t xml:space="preserve"> (Kingdom of Saudi Arabia). The agenda proposed for the meeting was circulated in document</w:t>
      </w:r>
      <w:r w:rsidR="00A03F00">
        <w:t> </w:t>
      </w:r>
      <w:r>
        <w:t>WTO/AIR/LIC/7.</w:t>
      </w:r>
    </w:p>
    <w:p w14:paraId="3CA1C486" w14:textId="77777777" w:rsidR="00E9734E" w:rsidRDefault="00E9734E" w:rsidP="00B52738"/>
    <w:p w14:paraId="08FA3832" w14:textId="38A96D15" w:rsidR="00B93C6B" w:rsidRDefault="00B93C6B" w:rsidP="00D35716">
      <w:pPr>
        <w:pStyle w:val="TOC1"/>
        <w:ind w:right="-46"/>
        <w:rPr>
          <w:rFonts w:asciiTheme="minorHAnsi" w:eastAsiaTheme="minorEastAsia" w:hAnsiTheme="minorHAnsi" w:cstheme="minorBidi"/>
          <w:b w:val="0"/>
          <w:caps w:val="0"/>
          <w:noProof/>
          <w:sz w:val="22"/>
          <w:szCs w:val="22"/>
          <w:lang w:val="en-US" w:eastAsia="en-US"/>
        </w:rPr>
      </w:pPr>
      <w:r>
        <w:fldChar w:fldCharType="begin"/>
      </w:r>
      <w:r>
        <w:instrText xml:space="preserve"> TOC \o "1-3" \h \z \u \t "Title" </w:instrText>
      </w:r>
      <w:r>
        <w:fldChar w:fldCharType="separate"/>
      </w:r>
      <w:hyperlink w:anchor="_Toc525116403" w:history="1">
        <w:r w:rsidRPr="00A72EF1">
          <w:rPr>
            <w:rStyle w:val="Hyperlink"/>
            <w:noProof/>
          </w:rPr>
          <w:t>1   MEMBERS' COMPLIANCE WITH NOTIFICATION OBLIGATIONS – DEVELOPMENTS SINCE THE LAST MEETING</w:t>
        </w:r>
        <w:r>
          <w:rPr>
            <w:noProof/>
            <w:webHidden/>
          </w:rPr>
          <w:tab/>
        </w:r>
        <w:r>
          <w:rPr>
            <w:noProof/>
            <w:webHidden/>
          </w:rPr>
          <w:fldChar w:fldCharType="begin"/>
        </w:r>
        <w:r>
          <w:rPr>
            <w:noProof/>
            <w:webHidden/>
          </w:rPr>
          <w:instrText xml:space="preserve"> PAGEREF _Toc525116403 \h </w:instrText>
        </w:r>
        <w:r>
          <w:rPr>
            <w:noProof/>
            <w:webHidden/>
          </w:rPr>
        </w:r>
        <w:r>
          <w:rPr>
            <w:noProof/>
            <w:webHidden/>
          </w:rPr>
          <w:fldChar w:fldCharType="separate"/>
        </w:r>
        <w:r w:rsidR="000519FC">
          <w:rPr>
            <w:noProof/>
            <w:webHidden/>
          </w:rPr>
          <w:t>2</w:t>
        </w:r>
        <w:r>
          <w:rPr>
            <w:noProof/>
            <w:webHidden/>
          </w:rPr>
          <w:fldChar w:fldCharType="end"/>
        </w:r>
      </w:hyperlink>
    </w:p>
    <w:p w14:paraId="024A7D22" w14:textId="42E984DE"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04" w:history="1">
        <w:r w:rsidR="00B93C6B" w:rsidRPr="00A72EF1">
          <w:rPr>
            <w:rStyle w:val="Hyperlink"/>
            <w:noProof/>
          </w:rPr>
          <w:t>2   WRITTEN QUESTIONS AND REPLIES FROM MEMBERS ON SPECIFIC</w:t>
        </w:r>
        <w:bookmarkStart w:id="0" w:name="_GoBack"/>
        <w:bookmarkEnd w:id="0"/>
        <w:r>
          <w:rPr>
            <w:rStyle w:val="Hyperlink"/>
            <w:noProof/>
          </w:rPr>
          <w:br/>
        </w:r>
        <w:r w:rsidR="00B93C6B" w:rsidRPr="00A72EF1">
          <w:rPr>
            <w:rStyle w:val="Hyperlink"/>
            <w:noProof/>
          </w:rPr>
          <w:t xml:space="preserve"> TRADE CONCERNS</w:t>
        </w:r>
        <w:r w:rsidR="00B93C6B">
          <w:rPr>
            <w:noProof/>
            <w:webHidden/>
          </w:rPr>
          <w:tab/>
        </w:r>
        <w:r w:rsidR="00B93C6B">
          <w:rPr>
            <w:noProof/>
            <w:webHidden/>
          </w:rPr>
          <w:fldChar w:fldCharType="begin"/>
        </w:r>
        <w:r w:rsidR="00B93C6B">
          <w:rPr>
            <w:noProof/>
            <w:webHidden/>
          </w:rPr>
          <w:instrText xml:space="preserve"> PAGEREF _Toc525116404 \h </w:instrText>
        </w:r>
        <w:r w:rsidR="00B93C6B">
          <w:rPr>
            <w:noProof/>
            <w:webHidden/>
          </w:rPr>
        </w:r>
        <w:r w:rsidR="00B93C6B">
          <w:rPr>
            <w:noProof/>
            <w:webHidden/>
          </w:rPr>
          <w:fldChar w:fldCharType="separate"/>
        </w:r>
        <w:r w:rsidR="000519FC">
          <w:rPr>
            <w:noProof/>
            <w:webHidden/>
          </w:rPr>
          <w:t>2</w:t>
        </w:r>
        <w:r w:rsidR="00B93C6B">
          <w:rPr>
            <w:noProof/>
            <w:webHidden/>
          </w:rPr>
          <w:fldChar w:fldCharType="end"/>
        </w:r>
      </w:hyperlink>
    </w:p>
    <w:p w14:paraId="7EAF1FD8" w14:textId="6131045F"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05" w:history="1">
        <w:r w:rsidR="00B93C6B" w:rsidRPr="00A72EF1">
          <w:rPr>
            <w:rStyle w:val="Hyperlink"/>
            <w:noProof/>
            <w:lang w:val="fr-CH"/>
          </w:rPr>
          <w:t>2.1   Document G/LIC/Q/ARG/16</w:t>
        </w:r>
        <w:r w:rsidR="00B93C6B">
          <w:rPr>
            <w:noProof/>
            <w:webHidden/>
          </w:rPr>
          <w:tab/>
        </w:r>
        <w:r w:rsidR="00B93C6B">
          <w:rPr>
            <w:noProof/>
            <w:webHidden/>
          </w:rPr>
          <w:fldChar w:fldCharType="begin"/>
        </w:r>
        <w:r w:rsidR="00B93C6B">
          <w:rPr>
            <w:noProof/>
            <w:webHidden/>
          </w:rPr>
          <w:instrText xml:space="preserve"> PAGEREF _Toc525116405 \h </w:instrText>
        </w:r>
        <w:r w:rsidR="00B93C6B">
          <w:rPr>
            <w:noProof/>
            <w:webHidden/>
          </w:rPr>
        </w:r>
        <w:r w:rsidR="00B93C6B">
          <w:rPr>
            <w:noProof/>
            <w:webHidden/>
          </w:rPr>
          <w:fldChar w:fldCharType="separate"/>
        </w:r>
        <w:r w:rsidR="000519FC">
          <w:rPr>
            <w:noProof/>
            <w:webHidden/>
          </w:rPr>
          <w:t>2</w:t>
        </w:r>
        <w:r w:rsidR="00B93C6B">
          <w:rPr>
            <w:noProof/>
            <w:webHidden/>
          </w:rPr>
          <w:fldChar w:fldCharType="end"/>
        </w:r>
      </w:hyperlink>
    </w:p>
    <w:p w14:paraId="1F659EE7" w14:textId="7803D508"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06" w:history="1">
        <w:r w:rsidR="00B93C6B" w:rsidRPr="00A72EF1">
          <w:rPr>
            <w:rStyle w:val="Hyperlink"/>
            <w:noProof/>
            <w:lang w:val="fr-CH"/>
          </w:rPr>
          <w:t>2.2   Document G/LIC/Q/CHN/27</w:t>
        </w:r>
        <w:r w:rsidR="00B93C6B">
          <w:rPr>
            <w:noProof/>
            <w:webHidden/>
          </w:rPr>
          <w:tab/>
        </w:r>
        <w:r w:rsidR="00B93C6B">
          <w:rPr>
            <w:noProof/>
            <w:webHidden/>
          </w:rPr>
          <w:fldChar w:fldCharType="begin"/>
        </w:r>
        <w:r w:rsidR="00B93C6B">
          <w:rPr>
            <w:noProof/>
            <w:webHidden/>
          </w:rPr>
          <w:instrText xml:space="preserve"> PAGEREF _Toc525116406 \h </w:instrText>
        </w:r>
        <w:r w:rsidR="00B93C6B">
          <w:rPr>
            <w:noProof/>
            <w:webHidden/>
          </w:rPr>
        </w:r>
        <w:r w:rsidR="00B93C6B">
          <w:rPr>
            <w:noProof/>
            <w:webHidden/>
          </w:rPr>
          <w:fldChar w:fldCharType="separate"/>
        </w:r>
        <w:r w:rsidR="000519FC">
          <w:rPr>
            <w:noProof/>
            <w:webHidden/>
          </w:rPr>
          <w:t>3</w:t>
        </w:r>
        <w:r w:rsidR="00B93C6B">
          <w:rPr>
            <w:noProof/>
            <w:webHidden/>
          </w:rPr>
          <w:fldChar w:fldCharType="end"/>
        </w:r>
      </w:hyperlink>
    </w:p>
    <w:p w14:paraId="188DD106" w14:textId="027C859D"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07" w:history="1">
        <w:r w:rsidR="00B93C6B" w:rsidRPr="00A72EF1">
          <w:rPr>
            <w:rStyle w:val="Hyperlink"/>
            <w:noProof/>
            <w:lang w:val="fr-CH"/>
          </w:rPr>
          <w:t>2.3   Document G/LIC/Q/EGY/1</w:t>
        </w:r>
        <w:r w:rsidR="00B93C6B">
          <w:rPr>
            <w:noProof/>
            <w:webHidden/>
          </w:rPr>
          <w:tab/>
        </w:r>
        <w:r w:rsidR="00B93C6B">
          <w:rPr>
            <w:noProof/>
            <w:webHidden/>
          </w:rPr>
          <w:fldChar w:fldCharType="begin"/>
        </w:r>
        <w:r w:rsidR="00B93C6B">
          <w:rPr>
            <w:noProof/>
            <w:webHidden/>
          </w:rPr>
          <w:instrText xml:space="preserve"> PAGEREF _Toc525116407 \h </w:instrText>
        </w:r>
        <w:r w:rsidR="00B93C6B">
          <w:rPr>
            <w:noProof/>
            <w:webHidden/>
          </w:rPr>
        </w:r>
        <w:r w:rsidR="00B93C6B">
          <w:rPr>
            <w:noProof/>
            <w:webHidden/>
          </w:rPr>
          <w:fldChar w:fldCharType="separate"/>
        </w:r>
        <w:r w:rsidR="000519FC">
          <w:rPr>
            <w:noProof/>
            <w:webHidden/>
          </w:rPr>
          <w:t>5</w:t>
        </w:r>
        <w:r w:rsidR="00B93C6B">
          <w:rPr>
            <w:noProof/>
            <w:webHidden/>
          </w:rPr>
          <w:fldChar w:fldCharType="end"/>
        </w:r>
      </w:hyperlink>
    </w:p>
    <w:p w14:paraId="13988323" w14:textId="7493157F"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08" w:history="1">
        <w:r w:rsidR="00B93C6B" w:rsidRPr="00A72EF1">
          <w:rPr>
            <w:rStyle w:val="Hyperlink"/>
            <w:noProof/>
            <w:lang w:val="fr-CH"/>
          </w:rPr>
          <w:t>2.4   Document G/LIC/Q/RUS/4</w:t>
        </w:r>
        <w:r w:rsidR="00B93C6B">
          <w:rPr>
            <w:noProof/>
            <w:webHidden/>
          </w:rPr>
          <w:tab/>
        </w:r>
        <w:r w:rsidR="00B93C6B">
          <w:rPr>
            <w:noProof/>
            <w:webHidden/>
          </w:rPr>
          <w:fldChar w:fldCharType="begin"/>
        </w:r>
        <w:r w:rsidR="00B93C6B">
          <w:rPr>
            <w:noProof/>
            <w:webHidden/>
          </w:rPr>
          <w:instrText xml:space="preserve"> PAGEREF _Toc525116408 \h </w:instrText>
        </w:r>
        <w:r w:rsidR="00B93C6B">
          <w:rPr>
            <w:noProof/>
            <w:webHidden/>
          </w:rPr>
        </w:r>
        <w:r w:rsidR="00B93C6B">
          <w:rPr>
            <w:noProof/>
            <w:webHidden/>
          </w:rPr>
          <w:fldChar w:fldCharType="separate"/>
        </w:r>
        <w:r w:rsidR="000519FC">
          <w:rPr>
            <w:noProof/>
            <w:webHidden/>
          </w:rPr>
          <w:t>6</w:t>
        </w:r>
        <w:r w:rsidR="00B93C6B">
          <w:rPr>
            <w:noProof/>
            <w:webHidden/>
          </w:rPr>
          <w:fldChar w:fldCharType="end"/>
        </w:r>
      </w:hyperlink>
    </w:p>
    <w:p w14:paraId="5CEB92C8" w14:textId="7BBBF075"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09" w:history="1">
        <w:r w:rsidR="00B93C6B" w:rsidRPr="00A72EF1">
          <w:rPr>
            <w:rStyle w:val="Hyperlink"/>
            <w:noProof/>
            <w:lang w:val="fr-CH"/>
          </w:rPr>
          <w:t>2.5   Document G/LIC/Q/VNM/7</w:t>
        </w:r>
        <w:r w:rsidR="00B93C6B">
          <w:rPr>
            <w:noProof/>
            <w:webHidden/>
          </w:rPr>
          <w:tab/>
        </w:r>
        <w:r w:rsidR="00B93C6B">
          <w:rPr>
            <w:noProof/>
            <w:webHidden/>
          </w:rPr>
          <w:fldChar w:fldCharType="begin"/>
        </w:r>
        <w:r w:rsidR="00B93C6B">
          <w:rPr>
            <w:noProof/>
            <w:webHidden/>
          </w:rPr>
          <w:instrText xml:space="preserve"> PAGEREF _Toc525116409 \h </w:instrText>
        </w:r>
        <w:r w:rsidR="00B93C6B">
          <w:rPr>
            <w:noProof/>
            <w:webHidden/>
          </w:rPr>
        </w:r>
        <w:r w:rsidR="00B93C6B">
          <w:rPr>
            <w:noProof/>
            <w:webHidden/>
          </w:rPr>
          <w:fldChar w:fldCharType="separate"/>
        </w:r>
        <w:r w:rsidR="000519FC">
          <w:rPr>
            <w:noProof/>
            <w:webHidden/>
          </w:rPr>
          <w:t>7</w:t>
        </w:r>
        <w:r w:rsidR="00B93C6B">
          <w:rPr>
            <w:noProof/>
            <w:webHidden/>
          </w:rPr>
          <w:fldChar w:fldCharType="end"/>
        </w:r>
      </w:hyperlink>
    </w:p>
    <w:p w14:paraId="546ADDEB" w14:textId="74EF60E8"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10" w:history="1">
        <w:r w:rsidR="00B93C6B" w:rsidRPr="00A72EF1">
          <w:rPr>
            <w:rStyle w:val="Hyperlink"/>
            <w:noProof/>
            <w:lang w:val="fr-CH"/>
          </w:rPr>
          <w:t>2.6   Document G/LIC/Q/BRA/22</w:t>
        </w:r>
        <w:r w:rsidR="00B93C6B">
          <w:rPr>
            <w:noProof/>
            <w:webHidden/>
          </w:rPr>
          <w:tab/>
        </w:r>
        <w:r w:rsidR="00B93C6B">
          <w:rPr>
            <w:noProof/>
            <w:webHidden/>
          </w:rPr>
          <w:fldChar w:fldCharType="begin"/>
        </w:r>
        <w:r w:rsidR="00B93C6B">
          <w:rPr>
            <w:noProof/>
            <w:webHidden/>
          </w:rPr>
          <w:instrText xml:space="preserve"> PAGEREF _Toc525116410 \h </w:instrText>
        </w:r>
        <w:r w:rsidR="00B93C6B">
          <w:rPr>
            <w:noProof/>
            <w:webHidden/>
          </w:rPr>
        </w:r>
        <w:r w:rsidR="00B93C6B">
          <w:rPr>
            <w:noProof/>
            <w:webHidden/>
          </w:rPr>
          <w:fldChar w:fldCharType="separate"/>
        </w:r>
        <w:r w:rsidR="000519FC">
          <w:rPr>
            <w:noProof/>
            <w:webHidden/>
          </w:rPr>
          <w:t>7</w:t>
        </w:r>
        <w:r w:rsidR="00B93C6B">
          <w:rPr>
            <w:noProof/>
            <w:webHidden/>
          </w:rPr>
          <w:fldChar w:fldCharType="end"/>
        </w:r>
      </w:hyperlink>
    </w:p>
    <w:p w14:paraId="22D0635A" w14:textId="3D49F073"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11" w:history="1">
        <w:r w:rsidR="00B93C6B" w:rsidRPr="00A72EF1">
          <w:rPr>
            <w:rStyle w:val="Hyperlink"/>
            <w:noProof/>
            <w:lang w:val="fr-CH"/>
          </w:rPr>
          <w:t>2.7   Document G/LIC/Q/THA/4</w:t>
        </w:r>
        <w:r w:rsidR="00B93C6B">
          <w:rPr>
            <w:noProof/>
            <w:webHidden/>
          </w:rPr>
          <w:tab/>
        </w:r>
        <w:r w:rsidR="00B93C6B">
          <w:rPr>
            <w:noProof/>
            <w:webHidden/>
          </w:rPr>
          <w:fldChar w:fldCharType="begin"/>
        </w:r>
        <w:r w:rsidR="00B93C6B">
          <w:rPr>
            <w:noProof/>
            <w:webHidden/>
          </w:rPr>
          <w:instrText xml:space="preserve"> PAGEREF _Toc525116411 \h </w:instrText>
        </w:r>
        <w:r w:rsidR="00B93C6B">
          <w:rPr>
            <w:noProof/>
            <w:webHidden/>
          </w:rPr>
        </w:r>
        <w:r w:rsidR="00B93C6B">
          <w:rPr>
            <w:noProof/>
            <w:webHidden/>
          </w:rPr>
          <w:fldChar w:fldCharType="separate"/>
        </w:r>
        <w:r w:rsidR="000519FC">
          <w:rPr>
            <w:noProof/>
            <w:webHidden/>
          </w:rPr>
          <w:t>8</w:t>
        </w:r>
        <w:r w:rsidR="00B93C6B">
          <w:rPr>
            <w:noProof/>
            <w:webHidden/>
          </w:rPr>
          <w:fldChar w:fldCharType="end"/>
        </w:r>
      </w:hyperlink>
    </w:p>
    <w:p w14:paraId="2F804B83" w14:textId="2EFDCC23"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12" w:history="1">
        <w:r w:rsidR="00B93C6B" w:rsidRPr="00A72EF1">
          <w:rPr>
            <w:rStyle w:val="Hyperlink"/>
            <w:noProof/>
          </w:rPr>
          <w:t>3   NOTIFICATIONS</w:t>
        </w:r>
        <w:r w:rsidR="00B93C6B">
          <w:rPr>
            <w:noProof/>
            <w:webHidden/>
          </w:rPr>
          <w:tab/>
        </w:r>
        <w:r w:rsidR="00B93C6B">
          <w:rPr>
            <w:noProof/>
            <w:webHidden/>
          </w:rPr>
          <w:fldChar w:fldCharType="begin"/>
        </w:r>
        <w:r w:rsidR="00B93C6B">
          <w:rPr>
            <w:noProof/>
            <w:webHidden/>
          </w:rPr>
          <w:instrText xml:space="preserve"> PAGEREF _Toc525116412 \h </w:instrText>
        </w:r>
        <w:r w:rsidR="00B93C6B">
          <w:rPr>
            <w:noProof/>
            <w:webHidden/>
          </w:rPr>
        </w:r>
        <w:r w:rsidR="00B93C6B">
          <w:rPr>
            <w:noProof/>
            <w:webHidden/>
          </w:rPr>
          <w:fldChar w:fldCharType="separate"/>
        </w:r>
        <w:r w:rsidR="000519FC">
          <w:rPr>
            <w:noProof/>
            <w:webHidden/>
          </w:rPr>
          <w:t>8</w:t>
        </w:r>
        <w:r w:rsidR="00B93C6B">
          <w:rPr>
            <w:noProof/>
            <w:webHidden/>
          </w:rPr>
          <w:fldChar w:fldCharType="end"/>
        </w:r>
      </w:hyperlink>
    </w:p>
    <w:p w14:paraId="67DDB5EE" w14:textId="151E0BB0"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13" w:history="1">
        <w:r w:rsidR="00B93C6B" w:rsidRPr="00A72EF1">
          <w:rPr>
            <w:rStyle w:val="Hyperlink"/>
            <w:noProof/>
          </w:rPr>
          <w:t>3.1   Notifications under Articles 1.4(a)/8.2(b) of the Agreement</w:t>
        </w:r>
        <w:r w:rsidR="00B93C6B">
          <w:rPr>
            <w:noProof/>
            <w:webHidden/>
          </w:rPr>
          <w:tab/>
        </w:r>
        <w:r w:rsidR="00B93C6B">
          <w:rPr>
            <w:noProof/>
            <w:webHidden/>
          </w:rPr>
          <w:fldChar w:fldCharType="begin"/>
        </w:r>
        <w:r w:rsidR="00B93C6B">
          <w:rPr>
            <w:noProof/>
            <w:webHidden/>
          </w:rPr>
          <w:instrText xml:space="preserve"> PAGEREF _Toc525116413 \h </w:instrText>
        </w:r>
        <w:r w:rsidR="00B93C6B">
          <w:rPr>
            <w:noProof/>
            <w:webHidden/>
          </w:rPr>
        </w:r>
        <w:r w:rsidR="00B93C6B">
          <w:rPr>
            <w:noProof/>
            <w:webHidden/>
          </w:rPr>
          <w:fldChar w:fldCharType="separate"/>
        </w:r>
        <w:r w:rsidR="000519FC">
          <w:rPr>
            <w:noProof/>
            <w:webHidden/>
          </w:rPr>
          <w:t>8</w:t>
        </w:r>
        <w:r w:rsidR="00B93C6B">
          <w:rPr>
            <w:noProof/>
            <w:webHidden/>
          </w:rPr>
          <w:fldChar w:fldCharType="end"/>
        </w:r>
      </w:hyperlink>
    </w:p>
    <w:p w14:paraId="3F996765" w14:textId="4003B995"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14" w:history="1">
        <w:r w:rsidR="00B93C6B" w:rsidRPr="00A72EF1">
          <w:rPr>
            <w:rStyle w:val="Hyperlink"/>
            <w:noProof/>
          </w:rPr>
          <w:t>3.2   Notifications under Article 5 of the Agreement</w:t>
        </w:r>
        <w:r w:rsidR="00B93C6B">
          <w:rPr>
            <w:noProof/>
            <w:webHidden/>
          </w:rPr>
          <w:tab/>
        </w:r>
        <w:r w:rsidR="00B93C6B">
          <w:rPr>
            <w:noProof/>
            <w:webHidden/>
          </w:rPr>
          <w:fldChar w:fldCharType="begin"/>
        </w:r>
        <w:r w:rsidR="00B93C6B">
          <w:rPr>
            <w:noProof/>
            <w:webHidden/>
          </w:rPr>
          <w:instrText xml:space="preserve"> PAGEREF _Toc525116414 \h </w:instrText>
        </w:r>
        <w:r w:rsidR="00B93C6B">
          <w:rPr>
            <w:noProof/>
            <w:webHidden/>
          </w:rPr>
        </w:r>
        <w:r w:rsidR="00B93C6B">
          <w:rPr>
            <w:noProof/>
            <w:webHidden/>
          </w:rPr>
          <w:fldChar w:fldCharType="separate"/>
        </w:r>
        <w:r w:rsidR="000519FC">
          <w:rPr>
            <w:noProof/>
            <w:webHidden/>
          </w:rPr>
          <w:t>9</w:t>
        </w:r>
        <w:r w:rsidR="00B93C6B">
          <w:rPr>
            <w:noProof/>
            <w:webHidden/>
          </w:rPr>
          <w:fldChar w:fldCharType="end"/>
        </w:r>
      </w:hyperlink>
    </w:p>
    <w:p w14:paraId="7B2051CC" w14:textId="36CA110E" w:rsidR="00B93C6B" w:rsidRDefault="00FA1D74" w:rsidP="00D35716">
      <w:pPr>
        <w:pStyle w:val="TOC2"/>
        <w:ind w:right="-46"/>
        <w:rPr>
          <w:rFonts w:asciiTheme="minorHAnsi" w:eastAsiaTheme="minorEastAsia" w:hAnsiTheme="minorHAnsi" w:cstheme="minorBidi"/>
          <w:noProof/>
          <w:sz w:val="22"/>
          <w:szCs w:val="22"/>
          <w:lang w:val="en-US" w:eastAsia="en-US"/>
        </w:rPr>
      </w:pPr>
      <w:hyperlink w:anchor="_Toc525116415" w:history="1">
        <w:r w:rsidR="00B93C6B" w:rsidRPr="00A72EF1">
          <w:rPr>
            <w:rStyle w:val="Hyperlink"/>
            <w:noProof/>
          </w:rPr>
          <w:t>3.3   Notifications under Article 7.3 of the Agreement</w:t>
        </w:r>
        <w:r w:rsidR="00B93C6B">
          <w:rPr>
            <w:noProof/>
            <w:webHidden/>
          </w:rPr>
          <w:tab/>
        </w:r>
        <w:r w:rsidR="00B93C6B">
          <w:rPr>
            <w:noProof/>
            <w:webHidden/>
          </w:rPr>
          <w:fldChar w:fldCharType="begin"/>
        </w:r>
        <w:r w:rsidR="00B93C6B">
          <w:rPr>
            <w:noProof/>
            <w:webHidden/>
          </w:rPr>
          <w:instrText xml:space="preserve"> PAGEREF _Toc525116415 \h </w:instrText>
        </w:r>
        <w:r w:rsidR="00B93C6B">
          <w:rPr>
            <w:noProof/>
            <w:webHidden/>
          </w:rPr>
        </w:r>
        <w:r w:rsidR="00B93C6B">
          <w:rPr>
            <w:noProof/>
            <w:webHidden/>
          </w:rPr>
          <w:fldChar w:fldCharType="separate"/>
        </w:r>
        <w:r w:rsidR="000519FC">
          <w:rPr>
            <w:noProof/>
            <w:webHidden/>
          </w:rPr>
          <w:t>9</w:t>
        </w:r>
        <w:r w:rsidR="00B93C6B">
          <w:rPr>
            <w:noProof/>
            <w:webHidden/>
          </w:rPr>
          <w:fldChar w:fldCharType="end"/>
        </w:r>
      </w:hyperlink>
    </w:p>
    <w:p w14:paraId="21EF0396" w14:textId="07C1CFAA"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16" w:history="1">
        <w:r w:rsidR="00B93C6B" w:rsidRPr="00A72EF1">
          <w:rPr>
            <w:rStyle w:val="Hyperlink"/>
            <w:noProof/>
          </w:rPr>
          <w:t>4   INDONESIA – IMPORT LICENSING REGIME FOR CELLPHONES, HANDHELD COMPUTERS AND TABLETS - STATEMENT BY THE UNITED STATES</w:t>
        </w:r>
        <w:r w:rsidR="00B93C6B">
          <w:rPr>
            <w:noProof/>
            <w:webHidden/>
          </w:rPr>
          <w:tab/>
        </w:r>
        <w:r w:rsidR="00B93C6B">
          <w:rPr>
            <w:noProof/>
            <w:webHidden/>
          </w:rPr>
          <w:fldChar w:fldCharType="begin"/>
        </w:r>
        <w:r w:rsidR="00B93C6B">
          <w:rPr>
            <w:noProof/>
            <w:webHidden/>
          </w:rPr>
          <w:instrText xml:space="preserve"> PAGEREF _Toc525116416 \h </w:instrText>
        </w:r>
        <w:r w:rsidR="00B93C6B">
          <w:rPr>
            <w:noProof/>
            <w:webHidden/>
          </w:rPr>
        </w:r>
        <w:r w:rsidR="00B93C6B">
          <w:rPr>
            <w:noProof/>
            <w:webHidden/>
          </w:rPr>
          <w:fldChar w:fldCharType="separate"/>
        </w:r>
        <w:r w:rsidR="000519FC">
          <w:rPr>
            <w:noProof/>
            <w:webHidden/>
          </w:rPr>
          <w:t>9</w:t>
        </w:r>
        <w:r w:rsidR="00B93C6B">
          <w:rPr>
            <w:noProof/>
            <w:webHidden/>
          </w:rPr>
          <w:fldChar w:fldCharType="end"/>
        </w:r>
      </w:hyperlink>
    </w:p>
    <w:p w14:paraId="69694A5C" w14:textId="40A39AD7"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17" w:history="1">
        <w:r w:rsidR="00B93C6B" w:rsidRPr="00A72EF1">
          <w:rPr>
            <w:rStyle w:val="Hyperlink"/>
            <w:noProof/>
          </w:rPr>
          <w:t>5   INDONESIA – IMPORT LICENSING REQUIREMENTS RELATED TO MILK SUPPLY AND CIRCULATION – STATEMENT BY THE UNITED STATES</w:t>
        </w:r>
        <w:r w:rsidR="00B93C6B">
          <w:rPr>
            <w:noProof/>
            <w:webHidden/>
          </w:rPr>
          <w:tab/>
        </w:r>
        <w:r w:rsidR="00B93C6B">
          <w:rPr>
            <w:noProof/>
            <w:webHidden/>
          </w:rPr>
          <w:fldChar w:fldCharType="begin"/>
        </w:r>
        <w:r w:rsidR="00B93C6B">
          <w:rPr>
            <w:noProof/>
            <w:webHidden/>
          </w:rPr>
          <w:instrText xml:space="preserve"> PAGEREF _Toc525116417 \h </w:instrText>
        </w:r>
        <w:r w:rsidR="00B93C6B">
          <w:rPr>
            <w:noProof/>
            <w:webHidden/>
          </w:rPr>
        </w:r>
        <w:r w:rsidR="00B93C6B">
          <w:rPr>
            <w:noProof/>
            <w:webHidden/>
          </w:rPr>
          <w:fldChar w:fldCharType="separate"/>
        </w:r>
        <w:r w:rsidR="000519FC">
          <w:rPr>
            <w:noProof/>
            <w:webHidden/>
          </w:rPr>
          <w:t>10</w:t>
        </w:r>
        <w:r w:rsidR="00B93C6B">
          <w:rPr>
            <w:noProof/>
            <w:webHidden/>
          </w:rPr>
          <w:fldChar w:fldCharType="end"/>
        </w:r>
      </w:hyperlink>
    </w:p>
    <w:p w14:paraId="0756A675" w14:textId="1BBECB28"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18" w:history="1">
        <w:r w:rsidR="00B93C6B" w:rsidRPr="00A72EF1">
          <w:rPr>
            <w:rStyle w:val="Hyperlink"/>
            <w:noProof/>
          </w:rPr>
          <w:t>6   INDIA – IMPORT LICENSING REQUIREMENTS FOR BORIC ACID – STATEMENT BY THE UNITED STATES</w:t>
        </w:r>
        <w:r w:rsidR="00B93C6B">
          <w:rPr>
            <w:noProof/>
            <w:webHidden/>
          </w:rPr>
          <w:tab/>
        </w:r>
        <w:r w:rsidR="00B93C6B">
          <w:rPr>
            <w:noProof/>
            <w:webHidden/>
          </w:rPr>
          <w:fldChar w:fldCharType="begin"/>
        </w:r>
        <w:r w:rsidR="00B93C6B">
          <w:rPr>
            <w:noProof/>
            <w:webHidden/>
          </w:rPr>
          <w:instrText xml:space="preserve"> PAGEREF _Toc525116418 \h </w:instrText>
        </w:r>
        <w:r w:rsidR="00B93C6B">
          <w:rPr>
            <w:noProof/>
            <w:webHidden/>
          </w:rPr>
        </w:r>
        <w:r w:rsidR="00B93C6B">
          <w:rPr>
            <w:noProof/>
            <w:webHidden/>
          </w:rPr>
          <w:fldChar w:fldCharType="separate"/>
        </w:r>
        <w:r w:rsidR="000519FC">
          <w:rPr>
            <w:noProof/>
            <w:webHidden/>
          </w:rPr>
          <w:t>12</w:t>
        </w:r>
        <w:r w:rsidR="00B93C6B">
          <w:rPr>
            <w:noProof/>
            <w:webHidden/>
          </w:rPr>
          <w:fldChar w:fldCharType="end"/>
        </w:r>
      </w:hyperlink>
    </w:p>
    <w:p w14:paraId="223C93B9" w14:textId="53854DA7"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19" w:history="1">
        <w:r w:rsidR="00B93C6B" w:rsidRPr="00A72EF1">
          <w:rPr>
            <w:rStyle w:val="Hyperlink"/>
            <w:noProof/>
          </w:rPr>
          <w:t>7   INDIA – IMPORT REQUIREMENTS FOR BEANS OF THE SPECIES VIGNA MUNGO HEPPER OR VIGNA RADIATA WILCZEK AND PIGEON PEAS (CAJANUS CAJAN) – STATEMENT BY AUSTRALIA</w:t>
        </w:r>
        <w:r w:rsidR="00B93C6B">
          <w:rPr>
            <w:noProof/>
            <w:webHidden/>
          </w:rPr>
          <w:tab/>
        </w:r>
        <w:r w:rsidR="00B93C6B">
          <w:rPr>
            <w:noProof/>
            <w:webHidden/>
          </w:rPr>
          <w:fldChar w:fldCharType="begin"/>
        </w:r>
        <w:r w:rsidR="00B93C6B">
          <w:rPr>
            <w:noProof/>
            <w:webHidden/>
          </w:rPr>
          <w:instrText xml:space="preserve"> PAGEREF _Toc525116419 \h </w:instrText>
        </w:r>
        <w:r w:rsidR="00B93C6B">
          <w:rPr>
            <w:noProof/>
            <w:webHidden/>
          </w:rPr>
        </w:r>
        <w:r w:rsidR="00B93C6B">
          <w:rPr>
            <w:noProof/>
            <w:webHidden/>
          </w:rPr>
          <w:fldChar w:fldCharType="separate"/>
        </w:r>
        <w:r w:rsidR="000519FC">
          <w:rPr>
            <w:noProof/>
            <w:webHidden/>
          </w:rPr>
          <w:t>13</w:t>
        </w:r>
        <w:r w:rsidR="00B93C6B">
          <w:rPr>
            <w:noProof/>
            <w:webHidden/>
          </w:rPr>
          <w:fldChar w:fldCharType="end"/>
        </w:r>
      </w:hyperlink>
    </w:p>
    <w:p w14:paraId="08FBE30C" w14:textId="09431ABE"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20" w:history="1">
        <w:r w:rsidR="00B93C6B" w:rsidRPr="00A72EF1">
          <w:rPr>
            <w:rStyle w:val="Hyperlink"/>
            <w:noProof/>
          </w:rPr>
          <w:t>8   IMPROVING TRANSPARENCY IN NOTIFICATION PROCEDURES OF THE AGREEMENT – REPORT OF THE CHAIRPERSON</w:t>
        </w:r>
        <w:r w:rsidR="00B93C6B">
          <w:rPr>
            <w:noProof/>
            <w:webHidden/>
          </w:rPr>
          <w:tab/>
        </w:r>
        <w:r w:rsidR="00B93C6B">
          <w:rPr>
            <w:noProof/>
            <w:webHidden/>
          </w:rPr>
          <w:fldChar w:fldCharType="begin"/>
        </w:r>
        <w:r w:rsidR="00B93C6B">
          <w:rPr>
            <w:noProof/>
            <w:webHidden/>
          </w:rPr>
          <w:instrText xml:space="preserve"> PAGEREF _Toc525116420 \h </w:instrText>
        </w:r>
        <w:r w:rsidR="00B93C6B">
          <w:rPr>
            <w:noProof/>
            <w:webHidden/>
          </w:rPr>
        </w:r>
        <w:r w:rsidR="00B93C6B">
          <w:rPr>
            <w:noProof/>
            <w:webHidden/>
          </w:rPr>
          <w:fldChar w:fldCharType="separate"/>
        </w:r>
        <w:r w:rsidR="000519FC">
          <w:rPr>
            <w:noProof/>
            <w:webHidden/>
          </w:rPr>
          <w:t>15</w:t>
        </w:r>
        <w:r w:rsidR="00B93C6B">
          <w:rPr>
            <w:noProof/>
            <w:webHidden/>
          </w:rPr>
          <w:fldChar w:fldCharType="end"/>
        </w:r>
      </w:hyperlink>
    </w:p>
    <w:p w14:paraId="4241F7BC" w14:textId="4D47719C"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21" w:history="1">
        <w:r w:rsidR="00B93C6B" w:rsidRPr="00A72EF1">
          <w:rPr>
            <w:rStyle w:val="Hyperlink"/>
            <w:noProof/>
          </w:rPr>
          <w:t>9   DATE OF THE NEXT MEETING</w:t>
        </w:r>
        <w:r w:rsidR="00B93C6B">
          <w:rPr>
            <w:noProof/>
            <w:webHidden/>
          </w:rPr>
          <w:tab/>
        </w:r>
        <w:r w:rsidR="00B93C6B">
          <w:rPr>
            <w:noProof/>
            <w:webHidden/>
          </w:rPr>
          <w:fldChar w:fldCharType="begin"/>
        </w:r>
        <w:r w:rsidR="00B93C6B">
          <w:rPr>
            <w:noProof/>
            <w:webHidden/>
          </w:rPr>
          <w:instrText xml:space="preserve"> PAGEREF _Toc525116421 \h </w:instrText>
        </w:r>
        <w:r w:rsidR="00B93C6B">
          <w:rPr>
            <w:noProof/>
            <w:webHidden/>
          </w:rPr>
        </w:r>
        <w:r w:rsidR="00B93C6B">
          <w:rPr>
            <w:noProof/>
            <w:webHidden/>
          </w:rPr>
          <w:fldChar w:fldCharType="separate"/>
        </w:r>
        <w:r w:rsidR="000519FC">
          <w:rPr>
            <w:noProof/>
            <w:webHidden/>
          </w:rPr>
          <w:t>17</w:t>
        </w:r>
        <w:r w:rsidR="00B93C6B">
          <w:rPr>
            <w:noProof/>
            <w:webHidden/>
          </w:rPr>
          <w:fldChar w:fldCharType="end"/>
        </w:r>
      </w:hyperlink>
    </w:p>
    <w:p w14:paraId="77C9BFDC" w14:textId="11E60437" w:rsidR="00B93C6B" w:rsidRDefault="00FA1D74" w:rsidP="00D35716">
      <w:pPr>
        <w:pStyle w:val="TOC1"/>
        <w:ind w:right="-46"/>
        <w:rPr>
          <w:rFonts w:asciiTheme="minorHAnsi" w:eastAsiaTheme="minorEastAsia" w:hAnsiTheme="minorHAnsi" w:cstheme="minorBidi"/>
          <w:b w:val="0"/>
          <w:caps w:val="0"/>
          <w:noProof/>
          <w:sz w:val="22"/>
          <w:szCs w:val="22"/>
          <w:lang w:val="en-US" w:eastAsia="en-US"/>
        </w:rPr>
      </w:pPr>
      <w:hyperlink w:anchor="_Toc525116422" w:history="1">
        <w:r w:rsidR="00B93C6B" w:rsidRPr="00A72EF1">
          <w:rPr>
            <w:rStyle w:val="Hyperlink"/>
            <w:noProof/>
          </w:rPr>
          <w:t>10   ELECTION OF OFFICERS</w:t>
        </w:r>
        <w:r w:rsidR="00B93C6B">
          <w:rPr>
            <w:noProof/>
            <w:webHidden/>
          </w:rPr>
          <w:tab/>
        </w:r>
        <w:r w:rsidR="00B93C6B">
          <w:rPr>
            <w:noProof/>
            <w:webHidden/>
          </w:rPr>
          <w:fldChar w:fldCharType="begin"/>
        </w:r>
        <w:r w:rsidR="00B93C6B">
          <w:rPr>
            <w:noProof/>
            <w:webHidden/>
          </w:rPr>
          <w:instrText xml:space="preserve"> PAGEREF _Toc525116422 \h </w:instrText>
        </w:r>
        <w:r w:rsidR="00B93C6B">
          <w:rPr>
            <w:noProof/>
            <w:webHidden/>
          </w:rPr>
        </w:r>
        <w:r w:rsidR="00B93C6B">
          <w:rPr>
            <w:noProof/>
            <w:webHidden/>
          </w:rPr>
          <w:fldChar w:fldCharType="separate"/>
        </w:r>
        <w:r w:rsidR="000519FC">
          <w:rPr>
            <w:noProof/>
            <w:webHidden/>
          </w:rPr>
          <w:t>17</w:t>
        </w:r>
        <w:r w:rsidR="00B93C6B">
          <w:rPr>
            <w:noProof/>
            <w:webHidden/>
          </w:rPr>
          <w:fldChar w:fldCharType="end"/>
        </w:r>
      </w:hyperlink>
    </w:p>
    <w:p w14:paraId="24FD0DEA" w14:textId="2CA81665" w:rsidR="00E9734E" w:rsidRDefault="00B93C6B" w:rsidP="00B52738">
      <w:r>
        <w:fldChar w:fldCharType="end"/>
      </w:r>
    </w:p>
    <w:p w14:paraId="1B0B9D8E" w14:textId="77777777" w:rsidR="00E9734E" w:rsidRDefault="00E9734E" w:rsidP="00B52738"/>
    <w:p w14:paraId="27A8185E" w14:textId="77777777" w:rsidR="00E9734E" w:rsidRDefault="00E9734E" w:rsidP="00187760">
      <w:pPr>
        <w:pStyle w:val="Heading1"/>
      </w:pPr>
      <w:bookmarkStart w:id="1" w:name="_Toc525116403"/>
      <w:r>
        <w:lastRenderedPageBreak/>
        <w:t>MEMBERS</w:t>
      </w:r>
      <w:r w:rsidR="00A03F00">
        <w:t>'</w:t>
      </w:r>
      <w:r>
        <w:t xml:space="preserve"> COMPLIANCE WITH NOTIFICATION OBLIGATIONS – DEVELOPMENTS SINCE THE LAST MEETING</w:t>
      </w:r>
      <w:bookmarkEnd w:id="1"/>
    </w:p>
    <w:p w14:paraId="76BBA86F" w14:textId="6A7AB934" w:rsidR="00E9734E" w:rsidRDefault="00E9734E" w:rsidP="00187760">
      <w:pPr>
        <w:pStyle w:val="BodyText"/>
      </w:pPr>
      <w:r>
        <w:t xml:space="preserve">The </w:t>
      </w:r>
      <w:r w:rsidR="0084755F" w:rsidRPr="0084755F">
        <w:rPr>
          <w:u w:val="single"/>
        </w:rPr>
        <w:t>Chair</w:t>
      </w:r>
      <w:r w:rsidR="0084755F">
        <w:rPr>
          <w:u w:val="single"/>
        </w:rPr>
        <w:t>person</w:t>
      </w:r>
      <w:r w:rsidR="0084755F">
        <w:t xml:space="preserve"> </w:t>
      </w:r>
      <w:r>
        <w:t>informed the Committee that a total of 39</w:t>
      </w:r>
      <w:r w:rsidR="0084755F">
        <w:t> </w:t>
      </w:r>
      <w:r>
        <w:t>notifications had been received since the last meeting, of which 33 were li</w:t>
      </w:r>
      <w:r w:rsidR="00773F2B">
        <w:t xml:space="preserve">sted for consideration. </w:t>
      </w:r>
      <w:r w:rsidR="0084755F">
        <w:t xml:space="preserve">The following new notifications would be reviewed at the Committee's subsequent meeting: new </w:t>
      </w:r>
      <w:r w:rsidR="00773F2B">
        <w:t>N/1 </w:t>
      </w:r>
      <w:r>
        <w:t>n</w:t>
      </w:r>
      <w:r w:rsidR="00773F2B">
        <w:t>otification from India</w:t>
      </w:r>
      <w:r w:rsidR="0084755F">
        <w:t xml:space="preserve">; </w:t>
      </w:r>
      <w:r w:rsidR="00773F2B">
        <w:t>new N/3 </w:t>
      </w:r>
      <w:r>
        <w:t xml:space="preserve">notifications from India, </w:t>
      </w:r>
      <w:r w:rsidR="0084755F">
        <w:t xml:space="preserve">Mali, and </w:t>
      </w:r>
      <w:r>
        <w:t xml:space="preserve">the </w:t>
      </w:r>
      <w:r w:rsidR="0084755F">
        <w:t>Russian Federation;</w:t>
      </w:r>
      <w:r w:rsidR="00773F2B">
        <w:t xml:space="preserve"> new N/2 </w:t>
      </w:r>
      <w:r>
        <w:t>notifications from Japan and Seychelles</w:t>
      </w:r>
      <w:r w:rsidR="0084755F">
        <w:t xml:space="preserve">; </w:t>
      </w:r>
      <w:r>
        <w:t>as well as Brazil</w:t>
      </w:r>
      <w:r w:rsidR="00A03F00">
        <w:t>'</w:t>
      </w:r>
      <w:r>
        <w:t>s written reply to the European Union.</w:t>
      </w:r>
    </w:p>
    <w:p w14:paraId="1839A5CF" w14:textId="34BA7CF8" w:rsidR="00E9734E" w:rsidRDefault="00E9734E" w:rsidP="00187760">
      <w:pPr>
        <w:pStyle w:val="BodyText"/>
      </w:pPr>
      <w:r>
        <w:t>The Chair pointed out that, as of 20</w:t>
      </w:r>
      <w:r w:rsidR="0084755F">
        <w:t> </w:t>
      </w:r>
      <w:r>
        <w:t>April</w:t>
      </w:r>
      <w:r w:rsidR="0084755F">
        <w:t> </w:t>
      </w:r>
      <w:r>
        <w:t>2018, 15</w:t>
      </w:r>
      <w:r w:rsidR="0084755F">
        <w:t> </w:t>
      </w:r>
      <w:r>
        <w:t xml:space="preserve">Members had not yet submitted </w:t>
      </w:r>
      <w:r w:rsidRPr="00B93C6B">
        <w:t>any</w:t>
      </w:r>
      <w:r w:rsidRPr="0084755F">
        <w:t xml:space="preserve"> </w:t>
      </w:r>
      <w:r>
        <w:t xml:space="preserve">notification under any provision of the Agreement since joining </w:t>
      </w:r>
      <w:r w:rsidR="00915886">
        <w:t xml:space="preserve">the WTO. </w:t>
      </w:r>
      <w:proofErr w:type="gramStart"/>
      <w:r w:rsidR="00915886">
        <w:t>With regard to</w:t>
      </w:r>
      <w:proofErr w:type="gramEnd"/>
      <w:r w:rsidR="00915886">
        <w:t xml:space="preserve"> the N/1 </w:t>
      </w:r>
      <w:r>
        <w:t>notification concerning Members</w:t>
      </w:r>
      <w:r w:rsidR="00A03F00">
        <w:t>'</w:t>
      </w:r>
      <w:r>
        <w:t xml:space="preserve"> laws and regulations, as wel</w:t>
      </w:r>
      <w:r w:rsidR="00915886">
        <w:t xml:space="preserve">l as </w:t>
      </w:r>
      <w:r w:rsidR="0084755F">
        <w:t xml:space="preserve">where to find </w:t>
      </w:r>
      <w:r w:rsidR="00915886">
        <w:t xml:space="preserve">sources of </w:t>
      </w:r>
      <w:r w:rsidR="0084755F">
        <w:t xml:space="preserve">relevant </w:t>
      </w:r>
      <w:r w:rsidR="00915886">
        <w:t>information, 25 </w:t>
      </w:r>
      <w:r>
        <w:t>Members had still not submitted any such</w:t>
      </w:r>
      <w:r w:rsidR="00915886">
        <w:t xml:space="preserve"> notification. In addition, 24 </w:t>
      </w:r>
      <w:r>
        <w:t xml:space="preserve">Members had not yet submitted any </w:t>
      </w:r>
      <w:r w:rsidR="0084755F">
        <w:t xml:space="preserve">replies </w:t>
      </w:r>
      <w:r>
        <w:t>to the Q</w:t>
      </w:r>
      <w:r w:rsidR="00915886">
        <w:t>uestionnaire under Article </w:t>
      </w:r>
      <w:r w:rsidR="000E3C47">
        <w:t>7.3.</w:t>
      </w:r>
    </w:p>
    <w:p w14:paraId="769AB6DC" w14:textId="1BFC275C" w:rsidR="00E9734E" w:rsidRDefault="00E9734E" w:rsidP="00187760">
      <w:pPr>
        <w:pStyle w:val="BodyText"/>
      </w:pPr>
      <w:r>
        <w:t>He</w:t>
      </w:r>
      <w:r w:rsidR="00915886">
        <w:t xml:space="preserve"> also pointed out that only 22 </w:t>
      </w:r>
      <w:r>
        <w:t xml:space="preserve">Members </w:t>
      </w:r>
      <w:r w:rsidR="0084755F">
        <w:t xml:space="preserve">had </w:t>
      </w:r>
      <w:r>
        <w:t>submitted their replies to the Quest</w:t>
      </w:r>
      <w:r w:rsidR="00915886">
        <w:t xml:space="preserve">ionnaire for 2017. Among </w:t>
      </w:r>
      <w:r w:rsidR="0084755F">
        <w:t xml:space="preserve">those </w:t>
      </w:r>
      <w:r w:rsidR="00915886">
        <w:t>22 </w:t>
      </w:r>
      <w:r>
        <w:t xml:space="preserve">Members, only </w:t>
      </w:r>
      <w:r w:rsidR="0084755F">
        <w:t>ten </w:t>
      </w:r>
      <w:r>
        <w:t xml:space="preserve">Members </w:t>
      </w:r>
      <w:r w:rsidR="0084755F">
        <w:t>had submitted their replies either before or immediately after 30 September 2017, namely</w:t>
      </w:r>
      <w:r>
        <w:t xml:space="preserve"> Argentina; the European Union; Hong Kong, China; Japan; Mali; Mauritius; Panama; Switzerland; Chinese Taipei; and Ukraine</w:t>
      </w:r>
      <w:r w:rsidR="00855EBF">
        <w:t xml:space="preserve">. Australia, </w:t>
      </w:r>
      <w:r>
        <w:t xml:space="preserve">Canada, </w:t>
      </w:r>
      <w:r w:rsidR="00855EBF">
        <w:t xml:space="preserve">and </w:t>
      </w:r>
      <w:r>
        <w:t xml:space="preserve">China </w:t>
      </w:r>
      <w:r w:rsidR="00855EBF">
        <w:t xml:space="preserve">had </w:t>
      </w:r>
      <w:r>
        <w:t>submitted their N/3</w:t>
      </w:r>
      <w:r w:rsidR="00915886">
        <w:t> </w:t>
      </w:r>
      <w:r>
        <w:t xml:space="preserve">notifications for year 2016. For the sake of transparency, he urged other Members to </w:t>
      </w:r>
      <w:r w:rsidR="00855EBF">
        <w:t xml:space="preserve">submit their replies to the Questionnaire </w:t>
      </w:r>
      <w:r>
        <w:t>as soon as possible.</w:t>
      </w:r>
    </w:p>
    <w:p w14:paraId="28660CC3" w14:textId="337EC0C6" w:rsidR="00E9734E" w:rsidRDefault="00E9734E" w:rsidP="00187760">
      <w:pPr>
        <w:pStyle w:val="BodyText"/>
      </w:pPr>
      <w:r>
        <w:t xml:space="preserve">The Committee </w:t>
      </w:r>
      <w:r w:rsidRPr="00011018">
        <w:rPr>
          <w:u w:val="single"/>
        </w:rPr>
        <w:t>took note</w:t>
      </w:r>
      <w:r>
        <w:t xml:space="preserve"> of the Chair</w:t>
      </w:r>
      <w:r w:rsidR="00A03F00">
        <w:t>'</w:t>
      </w:r>
      <w:r>
        <w:t>s report.</w:t>
      </w:r>
    </w:p>
    <w:p w14:paraId="6E044B9C" w14:textId="77777777" w:rsidR="00E9734E" w:rsidRDefault="00E9734E" w:rsidP="00187760">
      <w:pPr>
        <w:pStyle w:val="Heading1"/>
      </w:pPr>
      <w:bookmarkStart w:id="2" w:name="_Toc525116404"/>
      <w:r>
        <w:t>WRITTEN QUESTIONS AND REPLIES FROM MEMBERS ON SPECIFIC TRADE CONCERNS</w:t>
      </w:r>
      <w:bookmarkEnd w:id="2"/>
    </w:p>
    <w:p w14:paraId="35D59769" w14:textId="77777777" w:rsidR="00E9734E" w:rsidRPr="00E9734E" w:rsidRDefault="00E9734E" w:rsidP="00187760">
      <w:pPr>
        <w:pStyle w:val="Heading2"/>
        <w:rPr>
          <w:lang w:val="fr-CH"/>
        </w:rPr>
      </w:pPr>
      <w:bookmarkStart w:id="3" w:name="_Toc525116405"/>
      <w:r w:rsidRPr="00E9734E">
        <w:rPr>
          <w:lang w:val="fr-CH"/>
        </w:rPr>
        <w:t>Document G/LIC/Q/ARG/16</w:t>
      </w:r>
      <w:bookmarkEnd w:id="3"/>
    </w:p>
    <w:p w14:paraId="5E1E54CF" w14:textId="20F89289" w:rsidR="00E9734E" w:rsidRDefault="00E9734E" w:rsidP="00187760">
      <w:pPr>
        <w:pStyle w:val="BodyText"/>
      </w:pPr>
      <w:r>
        <w:t xml:space="preserve">The representative of the </w:t>
      </w:r>
      <w:r w:rsidRPr="00B93C6B">
        <w:rPr>
          <w:u w:val="single"/>
        </w:rPr>
        <w:t>European Union</w:t>
      </w:r>
      <w:r>
        <w:t xml:space="preserve"> thanked Argentina for its notification of Trade Resolution No</w:t>
      </w:r>
      <w:r w:rsidR="00FB41C5">
        <w:t>. </w:t>
      </w:r>
      <w:r>
        <w:t xml:space="preserve">523/2017 and its implementing rules, on the </w:t>
      </w:r>
      <w:r w:rsidR="00FB41C5">
        <w:t xml:space="preserve">meeting's </w:t>
      </w:r>
      <w:r>
        <w:t>agenda under item</w:t>
      </w:r>
      <w:r w:rsidR="00FB41C5">
        <w:t> 3.2</w:t>
      </w:r>
      <w:r>
        <w:t xml:space="preserve">. She noted that the EU had submitted a set of detailed questions </w:t>
      </w:r>
      <w:r w:rsidR="00FB41C5">
        <w:t>in the hope of</w:t>
      </w:r>
      <w:r>
        <w:t xml:space="preserve"> receiving further clarification </w:t>
      </w:r>
      <w:r w:rsidR="00FB41C5">
        <w:t xml:space="preserve">of </w:t>
      </w:r>
      <w:r>
        <w:t xml:space="preserve">certain aspects of </w:t>
      </w:r>
      <w:r w:rsidR="00FB41C5">
        <w:t xml:space="preserve">Argentina's </w:t>
      </w:r>
      <w:r>
        <w:t xml:space="preserve">import </w:t>
      </w:r>
      <w:r w:rsidR="00FB41C5">
        <w:t xml:space="preserve">licensing </w:t>
      </w:r>
      <w:r>
        <w:t xml:space="preserve">procedures </w:t>
      </w:r>
      <w:r w:rsidR="00FB41C5">
        <w:t xml:space="preserve">currently </w:t>
      </w:r>
      <w:r>
        <w:t xml:space="preserve">in place and, in particular, </w:t>
      </w:r>
      <w:proofErr w:type="gramStart"/>
      <w:r w:rsidR="00FB41C5">
        <w:t>with regard to</w:t>
      </w:r>
      <w:proofErr w:type="gramEnd"/>
      <w:r w:rsidR="00FB41C5">
        <w:t xml:space="preserve"> </w:t>
      </w:r>
      <w:r>
        <w:t>the amendments introduced by Trade Resolution No</w:t>
      </w:r>
      <w:r w:rsidR="00FB41C5">
        <w:t>. </w:t>
      </w:r>
      <w:r>
        <w:t>523/2017 and its implementing rules.</w:t>
      </w:r>
    </w:p>
    <w:p w14:paraId="4CA875D8" w14:textId="3B0D25FB" w:rsidR="00E9734E" w:rsidRDefault="00E9734E" w:rsidP="00187760">
      <w:pPr>
        <w:pStyle w:val="BodyText"/>
      </w:pPr>
      <w:r>
        <w:t xml:space="preserve">More specifically, she underlined the following main </w:t>
      </w:r>
      <w:r w:rsidR="00681054">
        <w:t>areas where</w:t>
      </w:r>
      <w:r>
        <w:t xml:space="preserve"> the EU </w:t>
      </w:r>
      <w:r w:rsidR="00681054">
        <w:t xml:space="preserve">sought </w:t>
      </w:r>
      <w:r>
        <w:t>further information:</w:t>
      </w:r>
    </w:p>
    <w:p w14:paraId="75BDC7D7" w14:textId="3CF81B48" w:rsidR="00E9734E" w:rsidRDefault="00E9734E" w:rsidP="00915886">
      <w:pPr>
        <w:ind w:left="1134" w:hanging="567"/>
      </w:pPr>
      <w:r>
        <w:t>-</w:t>
      </w:r>
      <w:r>
        <w:tab/>
        <w:t xml:space="preserve">The EU </w:t>
      </w:r>
      <w:r w:rsidR="00681054">
        <w:t>wished</w:t>
      </w:r>
      <w:r>
        <w:t xml:space="preserve"> to receive a detailed list of products </w:t>
      </w:r>
      <w:proofErr w:type="gramStart"/>
      <w:r>
        <w:t>subject</w:t>
      </w:r>
      <w:proofErr w:type="gramEnd"/>
      <w:r>
        <w:t xml:space="preserve"> </w:t>
      </w:r>
      <w:r w:rsidR="0027596C">
        <w:t xml:space="preserve">in Argentina </w:t>
      </w:r>
      <w:r>
        <w:t>to import licensing procedures</w:t>
      </w:r>
      <w:r w:rsidR="0027596C">
        <w:t>,</w:t>
      </w:r>
      <w:r>
        <w:t xml:space="preserve"> with a clear indication </w:t>
      </w:r>
      <w:r w:rsidR="0027596C">
        <w:t xml:space="preserve">of </w:t>
      </w:r>
      <w:r>
        <w:t xml:space="preserve">how the amendments introduced by </w:t>
      </w:r>
      <w:r w:rsidR="0027596C">
        <w:t xml:space="preserve">Resolution </w:t>
      </w:r>
      <w:r>
        <w:t>No</w:t>
      </w:r>
      <w:r w:rsidR="00BE5F67">
        <w:t>. </w:t>
      </w:r>
      <w:r>
        <w:t xml:space="preserve">523/2017 had affected each product </w:t>
      </w:r>
      <w:r w:rsidR="000E3C47">
        <w:t>concerned</w:t>
      </w:r>
      <w:r w:rsidR="0027596C">
        <w:t>;</w:t>
      </w:r>
    </w:p>
    <w:p w14:paraId="0CA88449" w14:textId="77777777" w:rsidR="00915886" w:rsidRDefault="00915886" w:rsidP="00915886"/>
    <w:p w14:paraId="37E79DB1" w14:textId="7C7CC678" w:rsidR="00E9734E" w:rsidRDefault="00E9734E" w:rsidP="00915886">
      <w:pPr>
        <w:ind w:left="1134" w:hanging="567"/>
      </w:pPr>
      <w:r>
        <w:t>-</w:t>
      </w:r>
      <w:r>
        <w:tab/>
      </w:r>
      <w:r w:rsidR="0027596C">
        <w:t xml:space="preserve">the </w:t>
      </w:r>
      <w:r>
        <w:t xml:space="preserve">EU </w:t>
      </w:r>
      <w:r w:rsidR="00752467">
        <w:t>wished also</w:t>
      </w:r>
      <w:r>
        <w:t xml:space="preserve"> to receive further clarification </w:t>
      </w:r>
      <w:r w:rsidR="00752467">
        <w:t xml:space="preserve">of </w:t>
      </w:r>
      <w:r>
        <w:t xml:space="preserve">the amendments introduced </w:t>
      </w:r>
      <w:r w:rsidR="00752467">
        <w:t xml:space="preserve">in </w:t>
      </w:r>
      <w:r>
        <w:t>Resolution No</w:t>
      </w:r>
      <w:r w:rsidR="00F62836">
        <w:t>. </w:t>
      </w:r>
      <w:r>
        <w:t>5/2018</w:t>
      </w:r>
      <w:r w:rsidR="00752467">
        <w:t>,</w:t>
      </w:r>
      <w:r>
        <w:t xml:space="preserve"> of 8</w:t>
      </w:r>
      <w:r w:rsidR="00F62836">
        <w:t> </w:t>
      </w:r>
      <w:r>
        <w:t>January</w:t>
      </w:r>
      <w:r w:rsidR="00F62836">
        <w:t> </w:t>
      </w:r>
      <w:r>
        <w:t xml:space="preserve">2018. In this </w:t>
      </w:r>
      <w:r w:rsidR="00234778">
        <w:t>regard</w:t>
      </w:r>
      <w:r>
        <w:t xml:space="preserve">, while the EU acknowledged that </w:t>
      </w:r>
      <w:r w:rsidR="00752467">
        <w:t xml:space="preserve">this resolution </w:t>
      </w:r>
      <w:r>
        <w:t>had been notified and circulated</w:t>
      </w:r>
      <w:r w:rsidR="00752467">
        <w:t>,</w:t>
      </w:r>
      <w:r>
        <w:t xml:space="preserve"> </w:t>
      </w:r>
      <w:r w:rsidR="00752467">
        <w:t>in document </w:t>
      </w:r>
      <w:r>
        <w:t>G/LIC/N/2/ARG/</w:t>
      </w:r>
      <w:r w:rsidR="00752467">
        <w:t>Add.2</w:t>
      </w:r>
      <w:r>
        <w:t xml:space="preserve"> (agenda </w:t>
      </w:r>
      <w:r w:rsidR="00234778">
        <w:t>item 3.2</w:t>
      </w:r>
      <w:r>
        <w:t xml:space="preserve">), it was </w:t>
      </w:r>
      <w:r w:rsidR="00234778">
        <w:t xml:space="preserve">still </w:t>
      </w:r>
      <w:r>
        <w:t xml:space="preserve">not sufficiently clear, </w:t>
      </w:r>
      <w:proofErr w:type="gramStart"/>
      <w:r>
        <w:t>on the basis of</w:t>
      </w:r>
      <w:proofErr w:type="gramEnd"/>
      <w:r>
        <w:t xml:space="preserve"> that notification, what were the products </w:t>
      </w:r>
      <w:r w:rsidR="00234778">
        <w:t xml:space="preserve">affected and what </w:t>
      </w:r>
      <w:r>
        <w:t>the import licensing procedures</w:t>
      </w:r>
      <w:r w:rsidR="00234778">
        <w:t xml:space="preserve"> to be applied</w:t>
      </w:r>
      <w:r>
        <w:t xml:space="preserve">. Therefore, the EU </w:t>
      </w:r>
      <w:r w:rsidR="00234778">
        <w:t>requested</w:t>
      </w:r>
      <w:r>
        <w:t xml:space="preserve"> Argentina to </w:t>
      </w:r>
      <w:r w:rsidR="00234778">
        <w:t xml:space="preserve">further </w:t>
      </w:r>
      <w:r>
        <w:t xml:space="preserve">develop the procedures described under point </w:t>
      </w:r>
      <w:r w:rsidR="00234778">
        <w:t>(</w:t>
      </w:r>
      <w:r>
        <w:t xml:space="preserve">c) </w:t>
      </w:r>
      <w:r w:rsidR="00234778">
        <w:t xml:space="preserve">of </w:t>
      </w:r>
      <w:r>
        <w:t>page</w:t>
      </w:r>
      <w:r w:rsidR="00F62836">
        <w:t> </w:t>
      </w:r>
      <w:r>
        <w:t>2 of its notification</w:t>
      </w:r>
      <w:r w:rsidR="00234778">
        <w:t>;</w:t>
      </w:r>
    </w:p>
    <w:p w14:paraId="4B99597B" w14:textId="77777777" w:rsidR="00915886" w:rsidRDefault="00915886" w:rsidP="00915886"/>
    <w:p w14:paraId="550A96C7" w14:textId="2172DE19" w:rsidR="00E9734E" w:rsidRDefault="00E9734E" w:rsidP="00915886">
      <w:pPr>
        <w:ind w:left="1134" w:hanging="567"/>
      </w:pPr>
      <w:r>
        <w:t>-</w:t>
      </w:r>
      <w:r>
        <w:tab/>
      </w:r>
      <w:r w:rsidR="00234778">
        <w:t xml:space="preserve">the EU noted that </w:t>
      </w:r>
      <w:r>
        <w:t xml:space="preserve">Argentina </w:t>
      </w:r>
      <w:r w:rsidR="00234778">
        <w:t xml:space="preserve">had </w:t>
      </w:r>
      <w:r>
        <w:t xml:space="preserve">declared that the system used both automatic and non-automatic import licensing procedures and </w:t>
      </w:r>
      <w:r w:rsidR="00234778">
        <w:t xml:space="preserve">had </w:t>
      </w:r>
      <w:r>
        <w:t>stated that "the aim of the non-automatic licensing system was to establish an appropriate prior verification system for ensuring compliance with the conditions governing the importation of the goods, in accordance with the provisions of Annexes II to XV to Ministry of Production Resolution No.</w:t>
      </w:r>
      <w:r w:rsidR="00F62836">
        <w:t> </w:t>
      </w:r>
      <w:r>
        <w:t>523/2017 and the amendments thereto, Secret</w:t>
      </w:r>
      <w:r w:rsidR="00F62836">
        <w:t>ariat for Trade Resolutions No. 898/2017 and No. </w:t>
      </w:r>
      <w:r>
        <w:t xml:space="preserve">5-E/2018". </w:t>
      </w:r>
      <w:r w:rsidR="00234778">
        <w:t xml:space="preserve">The EU requested </w:t>
      </w:r>
      <w:r>
        <w:t xml:space="preserve">Argentina </w:t>
      </w:r>
      <w:r w:rsidR="00234778">
        <w:t xml:space="preserve">to </w:t>
      </w:r>
      <w:r>
        <w:t xml:space="preserve">describe how the prior verification system </w:t>
      </w:r>
      <w:r w:rsidR="00234778">
        <w:t>functioned in practice;</w:t>
      </w:r>
    </w:p>
    <w:p w14:paraId="12473AFE" w14:textId="77777777" w:rsidR="00E9734E" w:rsidRDefault="00E9734E" w:rsidP="00E9734E"/>
    <w:p w14:paraId="51AEEEED" w14:textId="13E08B5F" w:rsidR="00E9734E" w:rsidRDefault="00E9734E" w:rsidP="00915886">
      <w:pPr>
        <w:ind w:left="1134" w:hanging="567"/>
      </w:pPr>
      <w:r>
        <w:t>-</w:t>
      </w:r>
      <w:r>
        <w:tab/>
      </w:r>
      <w:r w:rsidR="00234778">
        <w:t>lastly, it was unclear to the EU</w:t>
      </w:r>
      <w:r>
        <w:t xml:space="preserve"> </w:t>
      </w:r>
      <w:proofErr w:type="gramStart"/>
      <w:r>
        <w:t xml:space="preserve">whether </w:t>
      </w:r>
      <w:r w:rsidR="00234778">
        <w:t>or not</w:t>
      </w:r>
      <w:proofErr w:type="gramEnd"/>
      <w:r w:rsidR="00234778">
        <w:t xml:space="preserve"> </w:t>
      </w:r>
      <w:r>
        <w:t xml:space="preserve">Argentina was moving towards </w:t>
      </w:r>
      <w:r w:rsidR="00234778">
        <w:t xml:space="preserve">a greater reliance on </w:t>
      </w:r>
      <w:r>
        <w:t>non-automatic licensing procedures</w:t>
      </w:r>
      <w:r w:rsidR="00234778">
        <w:t>,</w:t>
      </w:r>
      <w:r>
        <w:t xml:space="preserve"> </w:t>
      </w:r>
      <w:r w:rsidR="00234778">
        <w:t xml:space="preserve">or rather if </w:t>
      </w:r>
      <w:r>
        <w:t xml:space="preserve">Argentina </w:t>
      </w:r>
      <w:r w:rsidR="00234778">
        <w:t xml:space="preserve">intended to </w:t>
      </w:r>
      <w:r>
        <w:lastRenderedPageBreak/>
        <w:t xml:space="preserve">replace non-automatic </w:t>
      </w:r>
      <w:r w:rsidR="00234778">
        <w:t xml:space="preserve">licence </w:t>
      </w:r>
      <w:r>
        <w:t xml:space="preserve">procedures by a scheme of technical regulations. </w:t>
      </w:r>
      <w:r w:rsidR="00234778">
        <w:t xml:space="preserve">The EU requested </w:t>
      </w:r>
      <w:r>
        <w:t xml:space="preserve">Argentina </w:t>
      </w:r>
      <w:r w:rsidR="00234778">
        <w:t xml:space="preserve">to provide </w:t>
      </w:r>
      <w:r>
        <w:t xml:space="preserve">further information </w:t>
      </w:r>
      <w:r w:rsidR="00234778">
        <w:t>in this regard.</w:t>
      </w:r>
    </w:p>
    <w:p w14:paraId="3F10CCF8" w14:textId="77777777" w:rsidR="00915886" w:rsidRDefault="00915886" w:rsidP="00915886"/>
    <w:p w14:paraId="02941BE4" w14:textId="739A3FC4" w:rsidR="00E9734E" w:rsidRDefault="00E9734E" w:rsidP="00187760">
      <w:pPr>
        <w:pStyle w:val="BodyText"/>
      </w:pPr>
      <w:r>
        <w:t xml:space="preserve">In response, the representative of </w:t>
      </w:r>
      <w:r w:rsidRPr="00B93C6B">
        <w:rPr>
          <w:u w:val="single"/>
        </w:rPr>
        <w:t>Argentina</w:t>
      </w:r>
      <w:r>
        <w:t xml:space="preserve"> welcomed the </w:t>
      </w:r>
      <w:r w:rsidR="00772E47">
        <w:t xml:space="preserve">EU's </w:t>
      </w:r>
      <w:r>
        <w:t xml:space="preserve">interest in </w:t>
      </w:r>
      <w:r w:rsidR="00772E47">
        <w:t xml:space="preserve">Argentina's </w:t>
      </w:r>
      <w:r>
        <w:t xml:space="preserve">licensing system </w:t>
      </w:r>
      <w:r w:rsidR="00772E47">
        <w:t xml:space="preserve">as </w:t>
      </w:r>
      <w:r>
        <w:t xml:space="preserve">applied to the different items </w:t>
      </w:r>
      <w:r w:rsidR="00772E47">
        <w:t xml:space="preserve">of concern to </w:t>
      </w:r>
      <w:r>
        <w:t xml:space="preserve">the EU. He </w:t>
      </w:r>
      <w:r w:rsidR="00772E47">
        <w:t xml:space="preserve">noted </w:t>
      </w:r>
      <w:r>
        <w:t>that</w:t>
      </w:r>
      <w:r w:rsidR="00772E47">
        <w:t>,</w:t>
      </w:r>
      <w:r>
        <w:t xml:space="preserve"> regarding the annual questionnaire, Argentina had answered all questions in accordance with the established</w:t>
      </w:r>
      <w:r w:rsidR="00772E47">
        <w:t xml:space="preserve"> template</w:t>
      </w:r>
      <w:r>
        <w:t xml:space="preserve">. </w:t>
      </w:r>
      <w:r w:rsidR="00772E47">
        <w:t>Concerning document </w:t>
      </w:r>
      <w:r>
        <w:t xml:space="preserve">G/LIC/N/2/ARG/28, he clarified that one of the objectives </w:t>
      </w:r>
      <w:r w:rsidR="00772E47">
        <w:t xml:space="preserve">of </w:t>
      </w:r>
      <w:r>
        <w:t>the economic policy implemented by the Government since December</w:t>
      </w:r>
      <w:r w:rsidR="00772E47">
        <w:t> </w:t>
      </w:r>
      <w:r>
        <w:t xml:space="preserve">2015 was the establishment of a transparent and predictable </w:t>
      </w:r>
      <w:r w:rsidR="00772E47">
        <w:t xml:space="preserve">foreign trade system </w:t>
      </w:r>
      <w:r>
        <w:t>with a view to facilitating international trade</w:t>
      </w:r>
      <w:r w:rsidR="00B93C6B">
        <w:noBreakHyphen/>
      </w:r>
      <w:r w:rsidR="00772E47">
        <w:t>related operations</w:t>
      </w:r>
      <w:r>
        <w:t xml:space="preserve">. In that context, a review of trade </w:t>
      </w:r>
      <w:r w:rsidR="00772E47">
        <w:t xml:space="preserve">policy was ongoing, and Argentina's </w:t>
      </w:r>
      <w:r>
        <w:t xml:space="preserve">policy direction had </w:t>
      </w:r>
      <w:r w:rsidR="00772E47">
        <w:t xml:space="preserve">indeed </w:t>
      </w:r>
      <w:r>
        <w:t xml:space="preserve">been </w:t>
      </w:r>
      <w:r w:rsidR="00772E47">
        <w:t xml:space="preserve">evolving away </w:t>
      </w:r>
      <w:r>
        <w:t xml:space="preserve">from </w:t>
      </w:r>
      <w:r w:rsidR="00772E47">
        <w:t xml:space="preserve">a largely </w:t>
      </w:r>
      <w:r>
        <w:t xml:space="preserve">non-automatic licensing system </w:t>
      </w:r>
      <w:r w:rsidR="00772E47">
        <w:t xml:space="preserve">and </w:t>
      </w:r>
      <w:r>
        <w:t>to</w:t>
      </w:r>
      <w:r w:rsidR="00772E47">
        <w:t>wards</w:t>
      </w:r>
      <w:r>
        <w:t xml:space="preserve"> a system </w:t>
      </w:r>
      <w:r w:rsidR="00772E47">
        <w:t xml:space="preserve">based increasingly on </w:t>
      </w:r>
      <w:r>
        <w:t xml:space="preserve">automatic licensing procedures. He confirmed that his delegation would provide </w:t>
      </w:r>
      <w:r w:rsidR="00772E47">
        <w:t xml:space="preserve">its </w:t>
      </w:r>
      <w:r>
        <w:t xml:space="preserve">answers to </w:t>
      </w:r>
      <w:r w:rsidR="00772E47">
        <w:t xml:space="preserve">the </w:t>
      </w:r>
      <w:r>
        <w:t>EU</w:t>
      </w:r>
      <w:r w:rsidR="00772E47">
        <w:t>'s</w:t>
      </w:r>
      <w:r>
        <w:t xml:space="preserve"> questions in writing.</w:t>
      </w:r>
    </w:p>
    <w:p w14:paraId="06FEAC7C" w14:textId="1F439275" w:rsidR="00E9734E" w:rsidRPr="00B93C6B" w:rsidRDefault="00772E47" w:rsidP="00187760">
      <w:pPr>
        <w:pStyle w:val="Heading2"/>
        <w:rPr>
          <w:lang w:val="fr-CH"/>
        </w:rPr>
      </w:pPr>
      <w:bookmarkStart w:id="4" w:name="_Toc525116406"/>
      <w:r w:rsidRPr="00B93C6B">
        <w:rPr>
          <w:lang w:val="fr-CH"/>
        </w:rPr>
        <w:t>Document </w:t>
      </w:r>
      <w:r w:rsidR="00E9734E" w:rsidRPr="00B93C6B">
        <w:rPr>
          <w:lang w:val="fr-CH"/>
        </w:rPr>
        <w:t>G/LIC/Q/CHN/27</w:t>
      </w:r>
      <w:bookmarkEnd w:id="4"/>
    </w:p>
    <w:p w14:paraId="732BBC6E" w14:textId="0B1CDB1D" w:rsidR="00E9734E" w:rsidRDefault="00E9734E" w:rsidP="00187760">
      <w:pPr>
        <w:pStyle w:val="BodyText"/>
      </w:pPr>
      <w:r>
        <w:t xml:space="preserve">The representative of the </w:t>
      </w:r>
      <w:r w:rsidRPr="00B93C6B">
        <w:rPr>
          <w:u w:val="single"/>
        </w:rPr>
        <w:t>European Union</w:t>
      </w:r>
      <w:r>
        <w:t xml:space="preserve"> indicated that the EU had submitted a set of detailed questions to China </w:t>
      </w:r>
      <w:r w:rsidR="00B13F0E">
        <w:t>that sought</w:t>
      </w:r>
      <w:r>
        <w:t xml:space="preserve"> clarification regarding </w:t>
      </w:r>
      <w:r w:rsidR="00D92573">
        <w:t xml:space="preserve">China's replies </w:t>
      </w:r>
      <w:r>
        <w:t xml:space="preserve">to the </w:t>
      </w:r>
      <w:r w:rsidR="00D92573">
        <w:t>2016 </w:t>
      </w:r>
      <w:r>
        <w:t xml:space="preserve">annual questionnaire. The EU looked forward to receiving </w:t>
      </w:r>
      <w:r w:rsidR="00D92573">
        <w:t xml:space="preserve">China's equally </w:t>
      </w:r>
      <w:r>
        <w:t>detailed responses to its questions.</w:t>
      </w:r>
    </w:p>
    <w:p w14:paraId="6FE8BF4F" w14:textId="2C4C59E9" w:rsidR="00E9734E" w:rsidRDefault="00E9734E" w:rsidP="00187760">
      <w:pPr>
        <w:pStyle w:val="BodyText"/>
      </w:pPr>
      <w:r>
        <w:t xml:space="preserve">The EU </w:t>
      </w:r>
      <w:r w:rsidR="00D92573">
        <w:t>wished</w:t>
      </w:r>
      <w:r>
        <w:t xml:space="preserve"> to </w:t>
      </w:r>
      <w:r w:rsidR="00D92573">
        <w:t xml:space="preserve">underscore </w:t>
      </w:r>
      <w:r>
        <w:t xml:space="preserve">the </w:t>
      </w:r>
      <w:r w:rsidR="00D92573">
        <w:t xml:space="preserve">following </w:t>
      </w:r>
      <w:r>
        <w:t xml:space="preserve">main </w:t>
      </w:r>
      <w:r w:rsidR="00D92573">
        <w:t xml:space="preserve">points, as </w:t>
      </w:r>
      <w:r>
        <w:t>r</w:t>
      </w:r>
      <w:r w:rsidR="000E3C47">
        <w:t>aised in its written questions:</w:t>
      </w:r>
    </w:p>
    <w:p w14:paraId="4F003841" w14:textId="0085A3EE" w:rsidR="00E9734E" w:rsidRDefault="00CA385D" w:rsidP="00D92573">
      <w:pPr>
        <w:ind w:left="1134" w:hanging="567"/>
      </w:pPr>
      <w:r>
        <w:t>(</w:t>
      </w:r>
      <w:proofErr w:type="spellStart"/>
      <w:r>
        <w:t>i</w:t>
      </w:r>
      <w:proofErr w:type="spellEnd"/>
      <w:r>
        <w:t>)</w:t>
      </w:r>
      <w:r w:rsidR="00E9734E">
        <w:tab/>
        <w:t xml:space="preserve">The EU regretted that China had not yet submitted its annual notification for 2017 and </w:t>
      </w:r>
      <w:r w:rsidR="00D92573">
        <w:t>wished</w:t>
      </w:r>
      <w:r w:rsidR="00E9734E">
        <w:t xml:space="preserve"> to know when </w:t>
      </w:r>
      <w:r w:rsidR="00D92573">
        <w:t>China intended to do so;</w:t>
      </w:r>
    </w:p>
    <w:p w14:paraId="567AE782" w14:textId="77777777" w:rsidR="00E9734E" w:rsidRDefault="00E9734E" w:rsidP="00E9734E"/>
    <w:p w14:paraId="44105485" w14:textId="632E2061" w:rsidR="00E9734E" w:rsidRDefault="00CA385D" w:rsidP="00D92573">
      <w:pPr>
        <w:ind w:left="1134" w:hanging="567"/>
      </w:pPr>
      <w:r>
        <w:t>(ii)</w:t>
      </w:r>
      <w:r w:rsidR="00E9734E">
        <w:tab/>
      </w:r>
      <w:r w:rsidR="0008468E">
        <w:t xml:space="preserve">the </w:t>
      </w:r>
      <w:r w:rsidR="00E9734E">
        <w:t xml:space="preserve">EU </w:t>
      </w:r>
      <w:r w:rsidR="0008468E">
        <w:t>wished</w:t>
      </w:r>
      <w:r w:rsidR="00E9734E">
        <w:t xml:space="preserve"> to receive a complete list of products </w:t>
      </w:r>
      <w:proofErr w:type="gramStart"/>
      <w:r w:rsidR="00E9734E">
        <w:t>subject</w:t>
      </w:r>
      <w:proofErr w:type="gramEnd"/>
      <w:r w:rsidR="00E9734E">
        <w:t xml:space="preserve"> </w:t>
      </w:r>
      <w:r w:rsidR="0008468E">
        <w:t xml:space="preserve">in China </w:t>
      </w:r>
      <w:r w:rsidR="00E9734E">
        <w:t>to non-automatic import licences</w:t>
      </w:r>
      <w:r w:rsidR="0008468E">
        <w:t>,</w:t>
      </w:r>
      <w:r w:rsidR="00E9734E">
        <w:t xml:space="preserve"> as well as a complete list of products subjec</w:t>
      </w:r>
      <w:r w:rsidR="00D92573">
        <w:t>t to automatic import licences</w:t>
      </w:r>
      <w:r w:rsidR="0008468E">
        <w:t>;</w:t>
      </w:r>
    </w:p>
    <w:p w14:paraId="41875A8B" w14:textId="77777777" w:rsidR="00E9734E" w:rsidRDefault="00E9734E" w:rsidP="00E9734E"/>
    <w:p w14:paraId="00A95360" w14:textId="6AD0EF5E" w:rsidR="00E9734E" w:rsidRDefault="00CA385D" w:rsidP="00D92573">
      <w:pPr>
        <w:ind w:left="1134" w:hanging="567"/>
      </w:pPr>
      <w:r>
        <w:t>(iii)</w:t>
      </w:r>
      <w:r w:rsidR="00E9734E">
        <w:tab/>
      </w:r>
      <w:r w:rsidR="0008468E">
        <w:t xml:space="preserve">the </w:t>
      </w:r>
      <w:r w:rsidR="00E9734E">
        <w:t xml:space="preserve">EU </w:t>
      </w:r>
      <w:r w:rsidR="0008468E">
        <w:t xml:space="preserve">wished also to receive </w:t>
      </w:r>
      <w:r w:rsidR="00E9734E">
        <w:t>a detailed description of the procedures applicable to waste products</w:t>
      </w:r>
      <w:r w:rsidR="0008468E">
        <w:t>,</w:t>
      </w:r>
      <w:r w:rsidR="00E9734E">
        <w:t xml:space="preserve"> and to know </w:t>
      </w:r>
      <w:proofErr w:type="gramStart"/>
      <w:r w:rsidR="00E9734E">
        <w:t xml:space="preserve">whether </w:t>
      </w:r>
      <w:r w:rsidR="0008468E">
        <w:t>or not</w:t>
      </w:r>
      <w:proofErr w:type="gramEnd"/>
      <w:r w:rsidR="0008468E">
        <w:t xml:space="preserve"> </w:t>
      </w:r>
      <w:r w:rsidR="00E9734E">
        <w:t xml:space="preserve">China </w:t>
      </w:r>
      <w:r w:rsidR="0008468E">
        <w:t xml:space="preserve">envisaged making </w:t>
      </w:r>
      <w:r w:rsidR="00E9734E">
        <w:t>any amendments to the current procedures</w:t>
      </w:r>
      <w:r w:rsidR="0008468E">
        <w:t>;</w:t>
      </w:r>
    </w:p>
    <w:p w14:paraId="7AF04B49" w14:textId="77777777" w:rsidR="00E9734E" w:rsidRDefault="00E9734E" w:rsidP="00E9734E"/>
    <w:p w14:paraId="6F851F50" w14:textId="120A32B6" w:rsidR="00E9734E" w:rsidRDefault="00CA385D" w:rsidP="00D92573">
      <w:pPr>
        <w:ind w:left="1134" w:hanging="567"/>
      </w:pPr>
      <w:r>
        <w:t>(iv)</w:t>
      </w:r>
      <w:r w:rsidR="00E9734E">
        <w:tab/>
      </w:r>
      <w:r w:rsidR="0008468E">
        <w:t xml:space="preserve">the </w:t>
      </w:r>
      <w:r w:rsidR="00E9734E">
        <w:t xml:space="preserve">EU reiterated the need </w:t>
      </w:r>
      <w:r w:rsidR="0008468E">
        <w:t xml:space="preserve">for China </w:t>
      </w:r>
      <w:r w:rsidR="00E9734E">
        <w:t xml:space="preserve">to notify </w:t>
      </w:r>
      <w:r w:rsidR="0008468E">
        <w:t xml:space="preserve">its </w:t>
      </w:r>
      <w:r w:rsidR="00E9734E">
        <w:t xml:space="preserve">procedures applicable to waste products and, in the </w:t>
      </w:r>
      <w:r w:rsidR="0008468E">
        <w:t xml:space="preserve">absence </w:t>
      </w:r>
      <w:r w:rsidR="00E9734E">
        <w:t xml:space="preserve">of </w:t>
      </w:r>
      <w:r w:rsidR="0008468E">
        <w:t xml:space="preserve">such </w:t>
      </w:r>
      <w:r w:rsidR="00E9734E">
        <w:t xml:space="preserve">notification, the EU </w:t>
      </w:r>
      <w:r w:rsidR="0008468E">
        <w:t>requested China to provide the following information</w:t>
      </w:r>
      <w:r w:rsidR="00E9734E">
        <w:t>:</w:t>
      </w:r>
    </w:p>
    <w:p w14:paraId="610F25BD" w14:textId="77777777" w:rsidR="00E9734E" w:rsidRDefault="00E9734E" w:rsidP="00E9734E"/>
    <w:p w14:paraId="1D27B03C" w14:textId="4D813BE0" w:rsidR="00E9734E" w:rsidRDefault="00D92573" w:rsidP="00D92573">
      <w:pPr>
        <w:ind w:left="1134"/>
      </w:pPr>
      <w:r>
        <w:t>–</w:t>
      </w:r>
      <w:r w:rsidR="00E9734E">
        <w:tab/>
      </w:r>
      <w:r w:rsidR="00CA385D">
        <w:t xml:space="preserve">detailed </w:t>
      </w:r>
      <w:r w:rsidR="00E9734E">
        <w:t>information on products subject to ban from 1</w:t>
      </w:r>
      <w:r w:rsidR="0062360A">
        <w:t> </w:t>
      </w:r>
      <w:r w:rsidR="00E9734E">
        <w:t>January</w:t>
      </w:r>
      <w:r w:rsidR="0062360A">
        <w:t> </w:t>
      </w:r>
      <w:r w:rsidR="00E9734E">
        <w:t>2018;</w:t>
      </w:r>
    </w:p>
    <w:p w14:paraId="16A0A8D8" w14:textId="77777777" w:rsidR="00E9734E" w:rsidRDefault="00E9734E" w:rsidP="00D92573"/>
    <w:p w14:paraId="2C7A1F0B" w14:textId="31CD3273" w:rsidR="00E9734E" w:rsidRDefault="00D92573" w:rsidP="00D92573">
      <w:pPr>
        <w:ind w:left="1701" w:hanging="567"/>
      </w:pPr>
      <w:r>
        <w:t>–</w:t>
      </w:r>
      <w:r w:rsidR="00E9734E">
        <w:tab/>
      </w:r>
      <w:r w:rsidR="0062360A">
        <w:t xml:space="preserve">detailed information on changes </w:t>
      </w:r>
      <w:r w:rsidR="00E9734E">
        <w:t xml:space="preserve">in the list of products </w:t>
      </w:r>
      <w:proofErr w:type="gramStart"/>
      <w:r w:rsidR="00E9734E">
        <w:t>subject</w:t>
      </w:r>
      <w:proofErr w:type="gramEnd"/>
      <w:r w:rsidR="00E9734E">
        <w:t xml:space="preserve"> to non-automatic import licences (restricted solid waste) and</w:t>
      </w:r>
      <w:r w:rsidR="00B93C6B">
        <w:t xml:space="preserve"> automatic import licences (non</w:t>
      </w:r>
      <w:r w:rsidR="00B93C6B">
        <w:noBreakHyphen/>
      </w:r>
      <w:r w:rsidR="00E9734E">
        <w:t>restricted solid waste) from 1</w:t>
      </w:r>
      <w:r w:rsidR="0062360A">
        <w:t> </w:t>
      </w:r>
      <w:r w:rsidR="00E9734E">
        <w:t>January</w:t>
      </w:r>
      <w:r w:rsidR="0062360A">
        <w:t> </w:t>
      </w:r>
      <w:r w:rsidR="00E9734E">
        <w:t>2018</w:t>
      </w:r>
      <w:r>
        <w:t>;</w:t>
      </w:r>
    </w:p>
    <w:p w14:paraId="6405A1CA" w14:textId="77777777" w:rsidR="00E9734E" w:rsidRDefault="00E9734E" w:rsidP="00D92573"/>
    <w:p w14:paraId="471CB672" w14:textId="637C0269" w:rsidR="00E9734E" w:rsidRDefault="00E9734E" w:rsidP="00D92573">
      <w:pPr>
        <w:ind w:left="1701" w:hanging="567"/>
      </w:pPr>
      <w:r>
        <w:t>-</w:t>
      </w:r>
      <w:r>
        <w:tab/>
      </w:r>
      <w:r w:rsidR="0062360A">
        <w:t xml:space="preserve">detailed information on changes </w:t>
      </w:r>
      <w:r>
        <w:t>on the conditions for the issuance of import licences</w:t>
      </w:r>
      <w:r w:rsidR="0062360A">
        <w:t xml:space="preserve">; that is, </w:t>
      </w:r>
      <w:r>
        <w:t xml:space="preserve">import licences no </w:t>
      </w:r>
      <w:r w:rsidR="00C6753F">
        <w:t xml:space="preserve">longer </w:t>
      </w:r>
      <w:r>
        <w:t>issued to traders but only to processors in China.</w:t>
      </w:r>
    </w:p>
    <w:p w14:paraId="33901B1E" w14:textId="77777777" w:rsidR="00E9734E" w:rsidRDefault="00E9734E" w:rsidP="00E9734E"/>
    <w:p w14:paraId="3A6D105C" w14:textId="0F925EF1" w:rsidR="00E9734E" w:rsidRDefault="00E9734E" w:rsidP="000E3C47">
      <w:pPr>
        <w:pStyle w:val="BodyText"/>
      </w:pPr>
      <w:r>
        <w:t xml:space="preserve">The representative of </w:t>
      </w:r>
      <w:r w:rsidRPr="00B93C6B">
        <w:rPr>
          <w:u w:val="single"/>
        </w:rPr>
        <w:t>Japan</w:t>
      </w:r>
      <w:r>
        <w:t xml:space="preserve"> stated that Japan </w:t>
      </w:r>
      <w:r w:rsidR="00410B97">
        <w:t xml:space="preserve">held </w:t>
      </w:r>
      <w:r>
        <w:t xml:space="preserve">a </w:t>
      </w:r>
      <w:r w:rsidR="00410B97">
        <w:t xml:space="preserve">significant </w:t>
      </w:r>
      <w:r>
        <w:t>interest in the restrictions imposed by China on the import of scrap materials</w:t>
      </w:r>
      <w:r w:rsidR="00410B97">
        <w:t>,</w:t>
      </w:r>
      <w:r>
        <w:t xml:space="preserve"> and </w:t>
      </w:r>
      <w:r w:rsidR="00410B97">
        <w:t xml:space="preserve">that </w:t>
      </w:r>
      <w:r>
        <w:t xml:space="preserve">his delegation had already expressed concerns </w:t>
      </w:r>
      <w:proofErr w:type="gramStart"/>
      <w:r w:rsidR="00410B97">
        <w:t>similar to</w:t>
      </w:r>
      <w:proofErr w:type="gramEnd"/>
      <w:r w:rsidR="00410B97">
        <w:t xml:space="preserve"> those of the EU at </w:t>
      </w:r>
      <w:r>
        <w:t xml:space="preserve">the </w:t>
      </w:r>
      <w:r w:rsidR="00F744E9">
        <w:t xml:space="preserve">most recent </w:t>
      </w:r>
      <w:r w:rsidR="00410B97">
        <w:t>meetings of the CTG and the TBT </w:t>
      </w:r>
      <w:r>
        <w:t xml:space="preserve">Committee. </w:t>
      </w:r>
      <w:r w:rsidR="00F744E9">
        <w:t>Japan's</w:t>
      </w:r>
      <w:r>
        <w:t xml:space="preserve"> </w:t>
      </w:r>
      <w:r w:rsidR="00F744E9">
        <w:t xml:space="preserve">understanding was </w:t>
      </w:r>
      <w:r>
        <w:t xml:space="preserve">that these restrictions had already </w:t>
      </w:r>
      <w:r w:rsidR="00F744E9">
        <w:t xml:space="preserve">had a </w:t>
      </w:r>
      <w:r>
        <w:t xml:space="preserve">significant impact on the exports </w:t>
      </w:r>
      <w:r w:rsidR="00F744E9">
        <w:t xml:space="preserve">to China of </w:t>
      </w:r>
      <w:r>
        <w:t>many Members</w:t>
      </w:r>
      <w:r w:rsidR="00F744E9">
        <w:t>,</w:t>
      </w:r>
      <w:r>
        <w:t xml:space="preserve"> and </w:t>
      </w:r>
      <w:r w:rsidR="00F744E9">
        <w:t xml:space="preserve">wished </w:t>
      </w:r>
      <w:r>
        <w:t>to continue discussion</w:t>
      </w:r>
      <w:r w:rsidR="00F744E9">
        <w:t>s</w:t>
      </w:r>
      <w:r>
        <w:t xml:space="preserve"> with China and other Members on this issue.</w:t>
      </w:r>
    </w:p>
    <w:p w14:paraId="051977B0" w14:textId="3B7D4B00" w:rsidR="00E9734E" w:rsidRDefault="00E9734E" w:rsidP="000E3C47">
      <w:pPr>
        <w:pStyle w:val="BodyText"/>
      </w:pPr>
      <w:r>
        <w:t xml:space="preserve">The representative of </w:t>
      </w:r>
      <w:r w:rsidR="00F744E9">
        <w:t xml:space="preserve">the </w:t>
      </w:r>
      <w:r w:rsidR="00F744E9" w:rsidRPr="00B93C6B">
        <w:rPr>
          <w:u w:val="single"/>
        </w:rPr>
        <w:t xml:space="preserve">Republic of </w:t>
      </w:r>
      <w:r w:rsidRPr="00B93C6B">
        <w:rPr>
          <w:u w:val="single"/>
        </w:rPr>
        <w:t>Korea</w:t>
      </w:r>
      <w:r>
        <w:t xml:space="preserve"> thanked the EU for raising this important issue. He </w:t>
      </w:r>
      <w:r w:rsidR="00F744E9">
        <w:t xml:space="preserve">indicated </w:t>
      </w:r>
      <w:r>
        <w:t xml:space="preserve">that </w:t>
      </w:r>
      <w:r w:rsidR="00F744E9">
        <w:t>Korea, too,</w:t>
      </w:r>
      <w:r>
        <w:t xml:space="preserve"> had concerns and interests regarding changes </w:t>
      </w:r>
      <w:r w:rsidR="00F744E9">
        <w:t xml:space="preserve">in </w:t>
      </w:r>
      <w:r>
        <w:t>China</w:t>
      </w:r>
      <w:r w:rsidR="00A03F00">
        <w:t>'</w:t>
      </w:r>
      <w:r>
        <w:t xml:space="preserve">s import licensing regulations on waste materials. He argued that, </w:t>
      </w:r>
      <w:r w:rsidR="00F744E9">
        <w:t xml:space="preserve">given </w:t>
      </w:r>
      <w:r>
        <w:t xml:space="preserve">the huge </w:t>
      </w:r>
      <w:r w:rsidR="00F744E9">
        <w:t xml:space="preserve">impact </w:t>
      </w:r>
      <w:r>
        <w:t xml:space="preserve">on the global </w:t>
      </w:r>
      <w:r w:rsidR="00F744E9">
        <w:t xml:space="preserve">recycling </w:t>
      </w:r>
      <w:r>
        <w:t xml:space="preserve">chain and environment, </w:t>
      </w:r>
      <w:r w:rsidR="00F744E9">
        <w:t xml:space="preserve">large </w:t>
      </w:r>
      <w:r>
        <w:t>economies</w:t>
      </w:r>
      <w:r w:rsidR="00F744E9">
        <w:t>,</w:t>
      </w:r>
      <w:r>
        <w:t xml:space="preserve"> such as </w:t>
      </w:r>
      <w:r w:rsidR="00F744E9">
        <w:t>in the case of China,</w:t>
      </w:r>
      <w:r>
        <w:t xml:space="preserve"> should ensure that </w:t>
      </w:r>
      <w:r w:rsidR="00F744E9">
        <w:t xml:space="preserve">such </w:t>
      </w:r>
      <w:r>
        <w:t xml:space="preserve">measures were </w:t>
      </w:r>
      <w:r w:rsidR="00F744E9">
        <w:t xml:space="preserve">applied </w:t>
      </w:r>
      <w:r>
        <w:t>in a c</w:t>
      </w:r>
      <w:r w:rsidR="00212829">
        <w:t>autious and transparent manner.</w:t>
      </w:r>
    </w:p>
    <w:p w14:paraId="3D113B62" w14:textId="53AE4D07" w:rsidR="00E9734E" w:rsidRDefault="00E9734E" w:rsidP="000E3C47">
      <w:pPr>
        <w:pStyle w:val="BodyText"/>
      </w:pPr>
      <w:r>
        <w:t>To clarify the</w:t>
      </w:r>
      <w:r w:rsidR="004F2E80">
        <w:t>se</w:t>
      </w:r>
      <w:r>
        <w:t xml:space="preserve"> measures, Korea </w:t>
      </w:r>
      <w:r w:rsidR="00B15979">
        <w:t xml:space="preserve">wished China to reply to the following </w:t>
      </w:r>
      <w:r>
        <w:t>questions: (1)</w:t>
      </w:r>
      <w:r w:rsidR="00B15979">
        <w:t xml:space="preserve"> at </w:t>
      </w:r>
      <w:r>
        <w:t>the CTG</w:t>
      </w:r>
      <w:r w:rsidR="00B15979">
        <w:t>'s most recent</w:t>
      </w:r>
      <w:r>
        <w:t xml:space="preserve"> meeting, </w:t>
      </w:r>
      <w:r w:rsidR="00B15979">
        <w:t xml:space="preserve">the </w:t>
      </w:r>
      <w:r>
        <w:t xml:space="preserve">Chinese delegation </w:t>
      </w:r>
      <w:r w:rsidR="00B15979">
        <w:t xml:space="preserve">had </w:t>
      </w:r>
      <w:r>
        <w:t xml:space="preserve">indicated that these measures had been </w:t>
      </w:r>
      <w:r w:rsidR="00B15979">
        <w:lastRenderedPageBreak/>
        <w:t xml:space="preserve">notified </w:t>
      </w:r>
      <w:r>
        <w:t>to the TBT</w:t>
      </w:r>
      <w:r w:rsidR="00B15979">
        <w:t> </w:t>
      </w:r>
      <w:r>
        <w:t>Committee</w:t>
      </w:r>
      <w:r w:rsidR="006B5ECD">
        <w:t xml:space="preserve">; was </w:t>
      </w:r>
      <w:r>
        <w:t>China referring to a series of TBT</w:t>
      </w:r>
      <w:r w:rsidR="006B5ECD">
        <w:t> </w:t>
      </w:r>
      <w:r w:rsidR="00B577A2">
        <w:t xml:space="preserve">notifications </w:t>
      </w:r>
      <w:r w:rsidR="006B5ECD">
        <w:t xml:space="preserve">that had been </w:t>
      </w:r>
      <w:r w:rsidR="00B577A2">
        <w:t>circulated on 15 November </w:t>
      </w:r>
      <w:r>
        <w:t>2017? (2)</w:t>
      </w:r>
      <w:r w:rsidR="006B5ECD">
        <w:t xml:space="preserve"> regardless </w:t>
      </w:r>
      <w:r>
        <w:t xml:space="preserve">of </w:t>
      </w:r>
      <w:r w:rsidR="006B5ECD">
        <w:t xml:space="preserve">any </w:t>
      </w:r>
      <w:r>
        <w:t xml:space="preserve">notifications </w:t>
      </w:r>
      <w:r w:rsidR="006B5ECD">
        <w:t xml:space="preserve">made </w:t>
      </w:r>
      <w:r>
        <w:t xml:space="preserve">to </w:t>
      </w:r>
      <w:r w:rsidR="006B5ECD">
        <w:t xml:space="preserve">the </w:t>
      </w:r>
      <w:r>
        <w:t>TBT</w:t>
      </w:r>
      <w:r w:rsidR="006B5ECD">
        <w:t> Committee</w:t>
      </w:r>
      <w:r>
        <w:t xml:space="preserve">, Korea believed that China </w:t>
      </w:r>
      <w:r w:rsidR="006B5ECD">
        <w:t xml:space="preserve">still needed </w:t>
      </w:r>
      <w:r>
        <w:t xml:space="preserve">to </w:t>
      </w:r>
      <w:r w:rsidR="006B5ECD">
        <w:t xml:space="preserve">notify </w:t>
      </w:r>
      <w:r>
        <w:t>these measures under Article</w:t>
      </w:r>
      <w:r w:rsidR="006B5ECD">
        <w:t> </w:t>
      </w:r>
      <w:r>
        <w:t>5 of the Import Licen</w:t>
      </w:r>
      <w:r w:rsidR="00B577A2">
        <w:t>sing Agreement</w:t>
      </w:r>
      <w:r w:rsidR="006B5ECD">
        <w:t xml:space="preserve">; </w:t>
      </w:r>
      <w:r w:rsidR="00B577A2">
        <w:t>(3)</w:t>
      </w:r>
      <w:r w:rsidR="006B5ECD">
        <w:t xml:space="preserve"> on </w:t>
      </w:r>
      <w:r w:rsidR="00B577A2">
        <w:t>19 April </w:t>
      </w:r>
      <w:r>
        <w:t xml:space="preserve">2018, China announced a plan </w:t>
      </w:r>
      <w:r w:rsidR="006B5ECD">
        <w:t xml:space="preserve">to </w:t>
      </w:r>
      <w:r>
        <w:t xml:space="preserve">further restrict </w:t>
      </w:r>
      <w:r w:rsidR="006B5ECD">
        <w:t xml:space="preserve">imports </w:t>
      </w:r>
      <w:r>
        <w:t>of 32</w:t>
      </w:r>
      <w:r w:rsidR="006B5ECD">
        <w:t> </w:t>
      </w:r>
      <w:r>
        <w:t>kinds of waste</w:t>
      </w:r>
      <w:r w:rsidR="006B5ECD">
        <w:t xml:space="preserve"> material</w:t>
      </w:r>
      <w:r>
        <w:t>. Korea request</w:t>
      </w:r>
      <w:r w:rsidR="006B5ECD">
        <w:t>ed</w:t>
      </w:r>
      <w:r>
        <w:t xml:space="preserve"> China </w:t>
      </w:r>
      <w:r w:rsidR="006B5ECD">
        <w:t xml:space="preserve">to clarify its </w:t>
      </w:r>
      <w:r>
        <w:t>reason</w:t>
      </w:r>
      <w:r w:rsidR="006B5ECD">
        <w:t>ing</w:t>
      </w:r>
      <w:r>
        <w:t xml:space="preserve"> and criteria for selecting these 32</w:t>
      </w:r>
      <w:r w:rsidR="006B5ECD">
        <w:t> </w:t>
      </w:r>
      <w:r>
        <w:t xml:space="preserve">kinds of waste </w:t>
      </w:r>
      <w:r w:rsidR="006B5ECD">
        <w:t xml:space="preserve">material, </w:t>
      </w:r>
      <w:r>
        <w:t xml:space="preserve">and when the new restrictions would be notified. In conclusion, </w:t>
      </w:r>
      <w:r w:rsidR="006B5ECD">
        <w:t xml:space="preserve">Korea </w:t>
      </w:r>
      <w:r>
        <w:t xml:space="preserve">urged China to notify new </w:t>
      </w:r>
      <w:r w:rsidR="006B5ECD">
        <w:t>import-</w:t>
      </w:r>
      <w:r>
        <w:t>related measure</w:t>
      </w:r>
      <w:r w:rsidR="006B5ECD">
        <w:t>s</w:t>
      </w:r>
      <w:r>
        <w:t xml:space="preserve"> in a more transparent and timely manner </w:t>
      </w:r>
      <w:proofErr w:type="gramStart"/>
      <w:r w:rsidR="006B5ECD">
        <w:t>so as to</w:t>
      </w:r>
      <w:proofErr w:type="gramEnd"/>
      <w:r w:rsidR="006B5ECD">
        <w:t xml:space="preserve"> be then </w:t>
      </w:r>
      <w:r>
        <w:t xml:space="preserve">in </w:t>
      </w:r>
      <w:r w:rsidR="006B5ECD">
        <w:t xml:space="preserve">full </w:t>
      </w:r>
      <w:r>
        <w:t xml:space="preserve">compliance with the Import Licensing Agreement, </w:t>
      </w:r>
      <w:r w:rsidR="006B5ECD">
        <w:t xml:space="preserve">and so as </w:t>
      </w:r>
      <w:r>
        <w:t>to avoid unnecessary negative impact on trade and the environment</w:t>
      </w:r>
      <w:r w:rsidR="006B5ECD">
        <w:t>.</w:t>
      </w:r>
      <w:r>
        <w:t xml:space="preserve"> Korea would keep a close eye on any fu</w:t>
      </w:r>
      <w:r w:rsidR="00212829">
        <w:t>ture development</w:t>
      </w:r>
      <w:r w:rsidR="006B5ECD">
        <w:t>s</w:t>
      </w:r>
      <w:r w:rsidR="00212829">
        <w:t>.</w:t>
      </w:r>
    </w:p>
    <w:p w14:paraId="591FEB07" w14:textId="60CDD81D" w:rsidR="00E9734E" w:rsidRDefault="00E9734E" w:rsidP="000E3C47">
      <w:pPr>
        <w:pStyle w:val="BodyText"/>
      </w:pPr>
      <w:r>
        <w:t xml:space="preserve">The representative of the </w:t>
      </w:r>
      <w:r w:rsidRPr="00B93C6B">
        <w:rPr>
          <w:u w:val="single"/>
        </w:rPr>
        <w:t>United States</w:t>
      </w:r>
      <w:r>
        <w:t xml:space="preserve"> highlighted that the US supported the EU</w:t>
      </w:r>
      <w:r w:rsidR="00A03F00">
        <w:t>'</w:t>
      </w:r>
      <w:r>
        <w:t>s request for more clarity with regard to changes in China</w:t>
      </w:r>
      <w:r w:rsidR="00A03F00">
        <w:t>'</w:t>
      </w:r>
      <w:r>
        <w:t xml:space="preserve">s import licensing regime, </w:t>
      </w:r>
      <w:r w:rsidR="006B5ECD">
        <w:t xml:space="preserve">and </w:t>
      </w:r>
      <w:r>
        <w:t xml:space="preserve">specifically </w:t>
      </w:r>
      <w:r w:rsidR="006B5ECD">
        <w:t xml:space="preserve">the EU's </w:t>
      </w:r>
      <w:r>
        <w:t xml:space="preserve">request for a detailed list of products </w:t>
      </w:r>
      <w:proofErr w:type="gramStart"/>
      <w:r>
        <w:t>subject</w:t>
      </w:r>
      <w:proofErr w:type="gramEnd"/>
      <w:r>
        <w:t xml:space="preserve"> to non-automatic import licenses.</w:t>
      </w:r>
    </w:p>
    <w:p w14:paraId="38884FDF" w14:textId="6A0FB81A" w:rsidR="00E9734E" w:rsidRDefault="00E9734E" w:rsidP="000E3C47">
      <w:pPr>
        <w:pStyle w:val="BodyText"/>
      </w:pPr>
      <w:r>
        <w:t xml:space="preserve">The US still had significant concerns </w:t>
      </w:r>
      <w:r w:rsidR="006B5ECD">
        <w:t xml:space="preserve">over </w:t>
      </w:r>
      <w:r>
        <w:t xml:space="preserve">the uncertainty, non-transparency, and </w:t>
      </w:r>
      <w:r w:rsidR="00B93C6B">
        <w:t>trade</w:t>
      </w:r>
      <w:r w:rsidR="00B93C6B">
        <w:noBreakHyphen/>
      </w:r>
      <w:r>
        <w:t xml:space="preserve">restrictiveness </w:t>
      </w:r>
      <w:r w:rsidR="006B5ECD">
        <w:t xml:space="preserve">in </w:t>
      </w:r>
      <w:r>
        <w:t>China</w:t>
      </w:r>
      <w:r w:rsidR="00A03F00">
        <w:t>'</w:t>
      </w:r>
      <w:r>
        <w:t xml:space="preserve">s implementation of </w:t>
      </w:r>
      <w:r w:rsidR="006B5ECD">
        <w:t xml:space="preserve">its </w:t>
      </w:r>
      <w:r>
        <w:t xml:space="preserve">measures </w:t>
      </w:r>
      <w:r w:rsidR="006B5ECD">
        <w:t xml:space="preserve">applying </w:t>
      </w:r>
      <w:r>
        <w:t xml:space="preserve">to the import of certain recoverable commodities and recovered materials. She recalled that her delegation had </w:t>
      </w:r>
      <w:r w:rsidR="006B5ECD">
        <w:t xml:space="preserve">already </w:t>
      </w:r>
      <w:r>
        <w:t>raised the issue of certain recoverable commodities and materials at the October</w:t>
      </w:r>
      <w:r w:rsidR="006B5ECD">
        <w:t> </w:t>
      </w:r>
      <w:r>
        <w:t xml:space="preserve">2017 meeting of the Committee, and </w:t>
      </w:r>
      <w:r w:rsidR="006B5ECD">
        <w:t xml:space="preserve">on that </w:t>
      </w:r>
      <w:proofErr w:type="gramStart"/>
      <w:r w:rsidR="006B5ECD">
        <w:t>occasion</w:t>
      </w:r>
      <w:proofErr w:type="gramEnd"/>
      <w:r w:rsidR="006B5ECD">
        <w:t xml:space="preserve"> had requested </w:t>
      </w:r>
      <w:r>
        <w:t xml:space="preserve">China to notify </w:t>
      </w:r>
      <w:r w:rsidR="006B5ECD">
        <w:t xml:space="preserve">to the Committee </w:t>
      </w:r>
      <w:r>
        <w:t xml:space="preserve">any changes </w:t>
      </w:r>
      <w:r w:rsidR="00AB298D">
        <w:t xml:space="preserve">it might make </w:t>
      </w:r>
      <w:r>
        <w:t>to its import licensing</w:t>
      </w:r>
      <w:r w:rsidR="00CA385D">
        <w:t xml:space="preserve"> </w:t>
      </w:r>
      <w:r w:rsidR="00AB298D">
        <w:t>regime</w:t>
      </w:r>
      <w:r>
        <w:t xml:space="preserve">. The US </w:t>
      </w:r>
      <w:r w:rsidR="00AB298D">
        <w:t xml:space="preserve">had </w:t>
      </w:r>
      <w:r>
        <w:t>also requested more detail</w:t>
      </w:r>
      <w:r w:rsidR="00AB298D">
        <w:t>ed</w:t>
      </w:r>
      <w:r>
        <w:t xml:space="preserve"> </w:t>
      </w:r>
      <w:r w:rsidR="00AB298D">
        <w:t xml:space="preserve">information concerning </w:t>
      </w:r>
      <w:proofErr w:type="gramStart"/>
      <w:r>
        <w:t xml:space="preserve">whether </w:t>
      </w:r>
      <w:r w:rsidR="00AB298D">
        <w:t>or not</w:t>
      </w:r>
      <w:proofErr w:type="gramEnd"/>
      <w:r w:rsidR="00AB298D">
        <w:t xml:space="preserve"> </w:t>
      </w:r>
      <w:r>
        <w:t xml:space="preserve">China </w:t>
      </w:r>
      <w:r w:rsidR="00AB298D">
        <w:t xml:space="preserve">intended </w:t>
      </w:r>
      <w:r>
        <w:t>to ban or further restrict the import of ferrous and non-ferrous scrap.</w:t>
      </w:r>
    </w:p>
    <w:p w14:paraId="606D002B" w14:textId="17F62102" w:rsidR="00E9734E" w:rsidRDefault="00E9734E" w:rsidP="000E3C47">
      <w:pPr>
        <w:pStyle w:val="BodyText"/>
      </w:pPr>
      <w:r>
        <w:t xml:space="preserve">She continued that the US </w:t>
      </w:r>
      <w:r w:rsidR="00AB298D">
        <w:t xml:space="preserve">had been </w:t>
      </w:r>
      <w:r>
        <w:t>troubled to learn of China</w:t>
      </w:r>
      <w:r w:rsidR="00A03F00">
        <w:t>'</w:t>
      </w:r>
      <w:r>
        <w:t>s planned addition of 32</w:t>
      </w:r>
      <w:r w:rsidR="00AB298D">
        <w:t> </w:t>
      </w:r>
      <w:r>
        <w:t>types of scrap materials</w:t>
      </w:r>
      <w:r w:rsidR="00AB298D" w:rsidRPr="00AB298D">
        <w:t xml:space="preserve"> </w:t>
      </w:r>
      <w:r w:rsidR="00AB298D">
        <w:t>to the Catalogue of Banned Import Solid Waste</w:t>
      </w:r>
      <w:r>
        <w:t xml:space="preserve">, including various types of ferrous and non-ferrous scrap. The US was </w:t>
      </w:r>
      <w:r w:rsidR="00AB298D">
        <w:t xml:space="preserve">also </w:t>
      </w:r>
      <w:r>
        <w:t xml:space="preserve">disappointed that China had not provided sufficient information about its current </w:t>
      </w:r>
      <w:r w:rsidR="00E146D0">
        <w:t xml:space="preserve">import </w:t>
      </w:r>
      <w:r>
        <w:t xml:space="preserve">licensing procedures, </w:t>
      </w:r>
      <w:r w:rsidR="00CB346A">
        <w:t xml:space="preserve">nor </w:t>
      </w:r>
      <w:r>
        <w:t xml:space="preserve">any planned changes </w:t>
      </w:r>
      <w:r w:rsidR="00CB346A">
        <w:t xml:space="preserve">in that regard, </w:t>
      </w:r>
      <w:r>
        <w:t xml:space="preserve">to alleviate </w:t>
      </w:r>
      <w:r w:rsidR="00CB346A">
        <w:t xml:space="preserve">Members' </w:t>
      </w:r>
      <w:r>
        <w:t xml:space="preserve">concerns. In this regard, she respectfully </w:t>
      </w:r>
      <w:r w:rsidR="00CB346A">
        <w:t>requested</w:t>
      </w:r>
      <w:r>
        <w:t xml:space="preserve"> China </w:t>
      </w:r>
      <w:r w:rsidR="00CB346A">
        <w:t xml:space="preserve">to </w:t>
      </w:r>
      <w:r>
        <w:t xml:space="preserve">adhere </w:t>
      </w:r>
      <w:r w:rsidR="00CB346A">
        <w:t xml:space="preserve">in a timely manner </w:t>
      </w:r>
      <w:r>
        <w:t xml:space="preserve">to its notification obligations under the Agreement on Import Licensing Procedures </w:t>
      </w:r>
      <w:r w:rsidR="00CB346A">
        <w:t xml:space="preserve">in </w:t>
      </w:r>
      <w:r>
        <w:t xml:space="preserve">respect </w:t>
      </w:r>
      <w:r w:rsidR="00CB346A">
        <w:t xml:space="preserve">of </w:t>
      </w:r>
      <w:r>
        <w:t xml:space="preserve">any new import licensing measures, </w:t>
      </w:r>
      <w:proofErr w:type="gramStart"/>
      <w:r w:rsidR="00CB346A">
        <w:t xml:space="preserve">in </w:t>
      </w:r>
      <w:r>
        <w:t>particular for</w:t>
      </w:r>
      <w:proofErr w:type="gramEnd"/>
      <w:r>
        <w:t xml:space="preserve"> ferrous and non-ferrous metals. The US also requested China to halt its implementation of existing measures</w:t>
      </w:r>
      <w:r w:rsidR="00A202A3">
        <w:t>,</w:t>
      </w:r>
      <w:r>
        <w:t xml:space="preserve"> </w:t>
      </w:r>
      <w:r w:rsidR="00A202A3">
        <w:t xml:space="preserve">and any </w:t>
      </w:r>
      <w:r>
        <w:t xml:space="preserve">new proposed measures, and consider less </w:t>
      </w:r>
      <w:r w:rsidR="00212829">
        <w:t>trade-restrictive alternatives</w:t>
      </w:r>
      <w:r w:rsidR="00A202A3">
        <w:t xml:space="preserve"> instead</w:t>
      </w:r>
      <w:r w:rsidR="00212829">
        <w:t>.</w:t>
      </w:r>
    </w:p>
    <w:p w14:paraId="50AC4983" w14:textId="37E1338E" w:rsidR="00E9734E" w:rsidRDefault="00E9734E" w:rsidP="000E3C47">
      <w:pPr>
        <w:pStyle w:val="BodyText"/>
      </w:pPr>
      <w:r>
        <w:t xml:space="preserve">The delegation of </w:t>
      </w:r>
      <w:r w:rsidRPr="00B93C6B">
        <w:rPr>
          <w:u w:val="single"/>
        </w:rPr>
        <w:t>Australia</w:t>
      </w:r>
      <w:r>
        <w:t xml:space="preserve"> appreciated China</w:t>
      </w:r>
      <w:r w:rsidR="00A03F00">
        <w:t>'</w:t>
      </w:r>
      <w:r>
        <w:t xml:space="preserve">s efforts to reduce pollution. However, the Australian Government </w:t>
      </w:r>
      <w:r w:rsidR="00495E11">
        <w:t>was</w:t>
      </w:r>
      <w:r>
        <w:t xml:space="preserve"> </w:t>
      </w:r>
      <w:r w:rsidR="00495E11">
        <w:t xml:space="preserve">concerned by </w:t>
      </w:r>
      <w:r>
        <w:t>China</w:t>
      </w:r>
      <w:r w:rsidR="00A03F00">
        <w:t>'</w:t>
      </w:r>
      <w:r>
        <w:t>s licensing arrangements for waste and scrap imports</w:t>
      </w:r>
      <w:r w:rsidR="00495E11">
        <w:t>;</w:t>
      </w:r>
      <w:r>
        <w:t xml:space="preserve"> </w:t>
      </w:r>
      <w:r w:rsidR="00495E11">
        <w:t xml:space="preserve">Australia also </w:t>
      </w:r>
      <w:r>
        <w:t xml:space="preserve">shared the concerns raised by other Members. He pointed out that the </w:t>
      </w:r>
      <w:r w:rsidR="00495E11">
        <w:t xml:space="preserve">impact of the </w:t>
      </w:r>
      <w:r>
        <w:t xml:space="preserve">measures </w:t>
      </w:r>
      <w:r w:rsidR="00495E11">
        <w:t xml:space="preserve">on Australian exporters </w:t>
      </w:r>
      <w:r>
        <w:t xml:space="preserve">would </w:t>
      </w:r>
      <w:r w:rsidR="00495E11">
        <w:t>be</w:t>
      </w:r>
      <w:r>
        <w:t xml:space="preserve"> significant</w:t>
      </w:r>
      <w:r w:rsidR="00495E11">
        <w:t>,</w:t>
      </w:r>
      <w:r>
        <w:t xml:space="preserve"> and might cause a large amount of waste to go to landfill instead of being recycled in China and recovered for intermediate materials. He requested further clarification </w:t>
      </w:r>
      <w:r w:rsidR="00495E11">
        <w:t xml:space="preserve">of China's </w:t>
      </w:r>
      <w:r>
        <w:t xml:space="preserve">specific public health, animal or plant, and environmental protection objectives, and how </w:t>
      </w:r>
      <w:r w:rsidR="00495E11">
        <w:t>these objectives would</w:t>
      </w:r>
      <w:r>
        <w:t xml:space="preserve"> be fulfilled by the measure?</w:t>
      </w:r>
    </w:p>
    <w:p w14:paraId="7C8D02E6" w14:textId="38641493" w:rsidR="00E9734E" w:rsidRDefault="00E9734E" w:rsidP="000E3C47">
      <w:pPr>
        <w:pStyle w:val="BodyText"/>
      </w:pPr>
      <w:r>
        <w:t xml:space="preserve">His delegation questioned </w:t>
      </w:r>
      <w:r w:rsidR="000F45ED">
        <w:t xml:space="preserve">if </w:t>
      </w:r>
      <w:r>
        <w:t xml:space="preserve">the measure was </w:t>
      </w:r>
      <w:r w:rsidR="000F45ED">
        <w:t xml:space="preserve">not </w:t>
      </w:r>
      <w:r>
        <w:t>more trade restrictive than necessary to achieve the objectives</w:t>
      </w:r>
      <w:r w:rsidR="000F45ED" w:rsidRPr="000F45ED">
        <w:t xml:space="preserve"> </w:t>
      </w:r>
      <w:r w:rsidR="000F45ED">
        <w:t>desired</w:t>
      </w:r>
      <w:r>
        <w:t xml:space="preserve">. </w:t>
      </w:r>
      <w:r w:rsidR="000F45ED">
        <w:t xml:space="preserve">In addition, Australia noted </w:t>
      </w:r>
      <w:r>
        <w:t>that</w:t>
      </w:r>
      <w:r w:rsidR="000F45ED">
        <w:t>,</w:t>
      </w:r>
      <w:r>
        <w:t xml:space="preserve"> </w:t>
      </w:r>
      <w:r w:rsidR="000F45ED">
        <w:t>just that week</w:t>
      </w:r>
      <w:r w:rsidR="00E51958">
        <w:t>,</w:t>
      </w:r>
      <w:r w:rsidR="000F45ED">
        <w:t xml:space="preserve"> </w:t>
      </w:r>
      <w:r>
        <w:t>China had imposed new restrictions on additional categories of waste and scrap</w:t>
      </w:r>
      <w:r w:rsidR="00E51958">
        <w:t>;</w:t>
      </w:r>
      <w:r>
        <w:t xml:space="preserve"> </w:t>
      </w:r>
      <w:r w:rsidR="00E51958">
        <w:t xml:space="preserve">Australia wished </w:t>
      </w:r>
      <w:r>
        <w:t xml:space="preserve">to receive an explanation as to </w:t>
      </w:r>
      <w:proofErr w:type="gramStart"/>
      <w:r>
        <w:t xml:space="preserve">whether </w:t>
      </w:r>
      <w:r w:rsidR="00E51958">
        <w:t>or not</w:t>
      </w:r>
      <w:proofErr w:type="gramEnd"/>
      <w:r w:rsidR="00E51958">
        <w:t xml:space="preserve"> </w:t>
      </w:r>
      <w:r>
        <w:t>these changes had been notified to the WTO and</w:t>
      </w:r>
      <w:r w:rsidR="00E51958">
        <w:t>, if so,</w:t>
      </w:r>
      <w:r>
        <w:t xml:space="preserve"> </w:t>
      </w:r>
      <w:r w:rsidR="00E51958">
        <w:t xml:space="preserve">if </w:t>
      </w:r>
      <w:r>
        <w:t>a period for comments from Members</w:t>
      </w:r>
      <w:r w:rsidR="00E51958">
        <w:t xml:space="preserve"> had also been indicated</w:t>
      </w:r>
      <w:r>
        <w:t xml:space="preserve">. Finally, he </w:t>
      </w:r>
      <w:r w:rsidR="00E51958">
        <w:t xml:space="preserve">again </w:t>
      </w:r>
      <w:r>
        <w:t>urge</w:t>
      </w:r>
      <w:r w:rsidR="00E51958">
        <w:t>d</w:t>
      </w:r>
      <w:r>
        <w:t xml:space="preserve"> China to reconsider the</w:t>
      </w:r>
      <w:r w:rsidR="00E51958">
        <w:t>se</w:t>
      </w:r>
      <w:r>
        <w:t xml:space="preserve"> standards and </w:t>
      </w:r>
      <w:r w:rsidR="00E51958">
        <w:t xml:space="preserve">to </w:t>
      </w:r>
      <w:r>
        <w:t>allow for a comp</w:t>
      </w:r>
      <w:r w:rsidR="00212829">
        <w:t>rehensive consultation process.</w:t>
      </w:r>
    </w:p>
    <w:p w14:paraId="48B5295D" w14:textId="06388B5A" w:rsidR="00E9734E" w:rsidRDefault="00E9734E" w:rsidP="000E3C47">
      <w:pPr>
        <w:pStyle w:val="BodyText"/>
      </w:pPr>
      <w:r>
        <w:t xml:space="preserve">The representative of </w:t>
      </w:r>
      <w:r w:rsidRPr="00B93C6B">
        <w:rPr>
          <w:u w:val="single"/>
        </w:rPr>
        <w:t>Canada</w:t>
      </w:r>
      <w:r>
        <w:t xml:space="preserve"> shared the concerns raised by other </w:t>
      </w:r>
      <w:r w:rsidR="00E51958">
        <w:t xml:space="preserve">Members over </w:t>
      </w:r>
      <w:r>
        <w:t>China</w:t>
      </w:r>
      <w:r w:rsidR="00A03F00">
        <w:t>'</w:t>
      </w:r>
      <w:r>
        <w:t>s waste and scrap policy</w:t>
      </w:r>
      <w:r w:rsidR="00E51958">
        <w:t>,</w:t>
      </w:r>
      <w:r>
        <w:t xml:space="preserve"> as well as the concerns </w:t>
      </w:r>
      <w:r w:rsidR="00E51958">
        <w:t xml:space="preserve">raised </w:t>
      </w:r>
      <w:r>
        <w:t xml:space="preserve">in </w:t>
      </w:r>
      <w:r w:rsidR="00E51958">
        <w:t xml:space="preserve">the </w:t>
      </w:r>
      <w:r>
        <w:t>EU</w:t>
      </w:r>
      <w:r w:rsidR="00A03F00">
        <w:t>'</w:t>
      </w:r>
      <w:r>
        <w:t>s written questions to China regarding China</w:t>
      </w:r>
      <w:r w:rsidR="00A03F00">
        <w:t>'</w:t>
      </w:r>
      <w:r>
        <w:t xml:space="preserve">s import licensing regime. Canada encouraged China to clarify </w:t>
      </w:r>
      <w:r w:rsidR="00E51958">
        <w:t xml:space="preserve">which </w:t>
      </w:r>
      <w:r>
        <w:t xml:space="preserve">specific goods </w:t>
      </w:r>
      <w:r w:rsidR="00E51958">
        <w:t xml:space="preserve">were </w:t>
      </w:r>
      <w:r>
        <w:t xml:space="preserve">subject to </w:t>
      </w:r>
      <w:r w:rsidR="00E51958">
        <w:t xml:space="preserve">its </w:t>
      </w:r>
      <w:r>
        <w:t>automatic and non-automatic import licensing regime</w:t>
      </w:r>
      <w:r w:rsidR="00E51958">
        <w:t>,</w:t>
      </w:r>
      <w:r>
        <w:t xml:space="preserve"> as well as the procedures applicable to the import of goods listed </w:t>
      </w:r>
      <w:r w:rsidR="00E51958">
        <w:t xml:space="preserve">under </w:t>
      </w:r>
      <w:r>
        <w:t xml:space="preserve">the </w:t>
      </w:r>
      <w:r w:rsidR="00E51958">
        <w:t xml:space="preserve">category </w:t>
      </w:r>
      <w:r>
        <w:t>of solid waste. Finally</w:t>
      </w:r>
      <w:r w:rsidR="00E51958">
        <w:t>,</w:t>
      </w:r>
      <w:r>
        <w:t xml:space="preserve"> he encouraged China to notify </w:t>
      </w:r>
      <w:proofErr w:type="gramStart"/>
      <w:r>
        <w:t xml:space="preserve">all </w:t>
      </w:r>
      <w:r w:rsidR="00E51958">
        <w:t>of</w:t>
      </w:r>
      <w:proofErr w:type="gramEnd"/>
      <w:r w:rsidR="00E51958">
        <w:t xml:space="preserve"> </w:t>
      </w:r>
      <w:r>
        <w:t xml:space="preserve">its measures to </w:t>
      </w:r>
      <w:r w:rsidR="00E51958">
        <w:t xml:space="preserve">the </w:t>
      </w:r>
      <w:r>
        <w:t>WTO as soon as possible</w:t>
      </w:r>
      <w:r w:rsidR="00E51958">
        <w:t>,</w:t>
      </w:r>
      <w:r>
        <w:t xml:space="preserve"> </w:t>
      </w:r>
      <w:r w:rsidR="00E51958">
        <w:t xml:space="preserve">and </w:t>
      </w:r>
      <w:r>
        <w:t xml:space="preserve">in accordance </w:t>
      </w:r>
      <w:r w:rsidR="00E51958">
        <w:t xml:space="preserve">with </w:t>
      </w:r>
      <w:r>
        <w:t>the Import Licensing Agreement.</w:t>
      </w:r>
    </w:p>
    <w:p w14:paraId="6900BFB5" w14:textId="323F4E54" w:rsidR="00E9734E" w:rsidRDefault="00E9734E" w:rsidP="000E3C47">
      <w:pPr>
        <w:pStyle w:val="BodyText"/>
      </w:pPr>
      <w:r>
        <w:t xml:space="preserve">In response, the representative of </w:t>
      </w:r>
      <w:r w:rsidRPr="00B93C6B">
        <w:rPr>
          <w:u w:val="single"/>
        </w:rPr>
        <w:t>China</w:t>
      </w:r>
      <w:r>
        <w:t xml:space="preserve"> thanked the EU </w:t>
      </w:r>
      <w:r w:rsidR="00981D4D">
        <w:t xml:space="preserve">and other Members </w:t>
      </w:r>
      <w:r>
        <w:t xml:space="preserve">for raising </w:t>
      </w:r>
      <w:r w:rsidR="00981D4D">
        <w:t xml:space="preserve">their </w:t>
      </w:r>
      <w:r>
        <w:t xml:space="preserve">questions on </w:t>
      </w:r>
      <w:r w:rsidR="00981D4D">
        <w:t xml:space="preserve">China's </w:t>
      </w:r>
      <w:r>
        <w:t xml:space="preserve">import licensing </w:t>
      </w:r>
      <w:r w:rsidR="00981D4D">
        <w:t>regime</w:t>
      </w:r>
      <w:r>
        <w:t>. He indicated that his delegation had forwarded the</w:t>
      </w:r>
      <w:r w:rsidR="00981D4D">
        <w:t>se</w:t>
      </w:r>
      <w:r>
        <w:t xml:space="preserve"> questions back to Capital</w:t>
      </w:r>
      <w:r w:rsidR="00981D4D">
        <w:t>,</w:t>
      </w:r>
      <w:r>
        <w:t xml:space="preserve"> where </w:t>
      </w:r>
      <w:r w:rsidR="00981D4D">
        <w:t xml:space="preserve">they </w:t>
      </w:r>
      <w:r>
        <w:t xml:space="preserve">were being carefully reviewed. He reiterated that China was </w:t>
      </w:r>
      <w:r>
        <w:lastRenderedPageBreak/>
        <w:t xml:space="preserve">fully committed to implementing </w:t>
      </w:r>
      <w:proofErr w:type="gramStart"/>
      <w:r w:rsidR="00981D4D">
        <w:t>all of</w:t>
      </w:r>
      <w:proofErr w:type="gramEnd"/>
      <w:r w:rsidR="00981D4D">
        <w:t xml:space="preserve"> </w:t>
      </w:r>
      <w:r>
        <w:t>the WTO</w:t>
      </w:r>
      <w:r w:rsidR="00981D4D">
        <w:t> </w:t>
      </w:r>
      <w:r>
        <w:t>Agreements</w:t>
      </w:r>
      <w:r w:rsidR="00981D4D">
        <w:t>,</w:t>
      </w:r>
      <w:r>
        <w:t xml:space="preserve"> including </w:t>
      </w:r>
      <w:r w:rsidR="00981D4D">
        <w:t xml:space="preserve">the </w:t>
      </w:r>
      <w:r>
        <w:t>Agreement on Import Licensing Procedures</w:t>
      </w:r>
      <w:r w:rsidR="00981D4D">
        <w:t>,</w:t>
      </w:r>
      <w:r>
        <w:t xml:space="preserve"> and </w:t>
      </w:r>
      <w:r w:rsidR="00981D4D">
        <w:t xml:space="preserve">that </w:t>
      </w:r>
      <w:r>
        <w:t xml:space="preserve">written replies </w:t>
      </w:r>
      <w:r w:rsidR="00981D4D">
        <w:t xml:space="preserve">would be provided </w:t>
      </w:r>
      <w:r>
        <w:t>as soon as possible.</w:t>
      </w:r>
    </w:p>
    <w:p w14:paraId="5CC7644F" w14:textId="661B67A3" w:rsidR="00E9734E" w:rsidRPr="00B93C6B" w:rsidRDefault="00E51958" w:rsidP="00187760">
      <w:pPr>
        <w:pStyle w:val="Heading2"/>
        <w:rPr>
          <w:lang w:val="fr-CH"/>
        </w:rPr>
      </w:pPr>
      <w:bookmarkStart w:id="5" w:name="_Toc525116407"/>
      <w:r w:rsidRPr="00B93C6B">
        <w:rPr>
          <w:lang w:val="fr-CH"/>
        </w:rPr>
        <w:t>Document </w:t>
      </w:r>
      <w:r w:rsidR="00E9734E" w:rsidRPr="00B93C6B">
        <w:rPr>
          <w:lang w:val="fr-CH"/>
        </w:rPr>
        <w:t>G/LIC/Q/EGY/1</w:t>
      </w:r>
      <w:bookmarkEnd w:id="5"/>
    </w:p>
    <w:p w14:paraId="68601791" w14:textId="7160528A" w:rsidR="00E9734E" w:rsidRDefault="00E9734E" w:rsidP="00212829">
      <w:pPr>
        <w:pStyle w:val="BodyText"/>
      </w:pPr>
      <w:r>
        <w:t xml:space="preserve">The representative of the </w:t>
      </w:r>
      <w:r w:rsidRPr="00B93C6B">
        <w:rPr>
          <w:u w:val="single"/>
        </w:rPr>
        <w:t>European Union</w:t>
      </w:r>
      <w:r>
        <w:t xml:space="preserve"> regretted that Egypt had never submitted any notification under the Import Licensing Agreement – </w:t>
      </w:r>
      <w:r w:rsidR="00981D4D">
        <w:t xml:space="preserve">neither </w:t>
      </w:r>
      <w:r>
        <w:t>under Article</w:t>
      </w:r>
      <w:r w:rsidR="00981D4D">
        <w:t> </w:t>
      </w:r>
      <w:r>
        <w:t xml:space="preserve">7.3, </w:t>
      </w:r>
      <w:r w:rsidR="00981D4D">
        <w:t>n</w:t>
      </w:r>
      <w:r>
        <w:t>or Article</w:t>
      </w:r>
      <w:r w:rsidR="00981D4D">
        <w:t> </w:t>
      </w:r>
      <w:r>
        <w:t>5</w:t>
      </w:r>
      <w:r w:rsidR="00981D4D">
        <w:t>,</w:t>
      </w:r>
      <w:r>
        <w:t xml:space="preserve"> </w:t>
      </w:r>
      <w:r w:rsidR="00981D4D">
        <w:t xml:space="preserve">nor </w:t>
      </w:r>
      <w:r>
        <w:t>Article</w:t>
      </w:r>
      <w:r w:rsidR="00981D4D">
        <w:t> </w:t>
      </w:r>
      <w:r>
        <w:t xml:space="preserve">1.4. The EU urged Egypt to fulfil its notification obligations and asked Egypt </w:t>
      </w:r>
      <w:r w:rsidR="00981D4D">
        <w:t xml:space="preserve">if its </w:t>
      </w:r>
      <w:r>
        <w:t xml:space="preserve">annual notification was </w:t>
      </w:r>
      <w:r w:rsidR="00981D4D">
        <w:t xml:space="preserve">currently </w:t>
      </w:r>
      <w:r>
        <w:t xml:space="preserve">under preparation. If not, the EU </w:t>
      </w:r>
      <w:r w:rsidR="00981D4D">
        <w:t>wished to know Egypt's reasons for failing</w:t>
      </w:r>
      <w:r>
        <w:t xml:space="preserve"> to do so.</w:t>
      </w:r>
    </w:p>
    <w:p w14:paraId="497512F5" w14:textId="4A57EE05" w:rsidR="00E9734E" w:rsidRDefault="00E9734E" w:rsidP="00212829">
      <w:pPr>
        <w:pStyle w:val="BodyText"/>
      </w:pPr>
      <w:r>
        <w:t>She noted that</w:t>
      </w:r>
      <w:r w:rsidR="00981D4D">
        <w:t>,</w:t>
      </w:r>
      <w:r>
        <w:t xml:space="preserve"> </w:t>
      </w:r>
      <w:r w:rsidR="00981D4D">
        <w:t xml:space="preserve">in </w:t>
      </w:r>
      <w:r>
        <w:t xml:space="preserve">past years, imports had been rationalized </w:t>
      </w:r>
      <w:proofErr w:type="gramStart"/>
      <w:r w:rsidR="00C61511">
        <w:t>on the basis of</w:t>
      </w:r>
      <w:proofErr w:type="gramEnd"/>
      <w:r w:rsidR="00C61511">
        <w:t xml:space="preserve"> complicated</w:t>
      </w:r>
      <w:r>
        <w:t xml:space="preserve"> import procedures. </w:t>
      </w:r>
      <w:proofErr w:type="gramStart"/>
      <w:r>
        <w:t>In particular, a</w:t>
      </w:r>
      <w:proofErr w:type="gramEnd"/>
      <w:r>
        <w:t xml:space="preserve"> number of </w:t>
      </w:r>
      <w:r w:rsidR="00C61511">
        <w:t xml:space="preserve">new </w:t>
      </w:r>
      <w:r>
        <w:t>laws, decrees</w:t>
      </w:r>
      <w:r w:rsidR="00C61511">
        <w:t>,</w:t>
      </w:r>
      <w:r>
        <w:t xml:space="preserve"> and procedures</w:t>
      </w:r>
      <w:r w:rsidR="00C61511">
        <w:t>,</w:t>
      </w:r>
      <w:r>
        <w:t xml:space="preserve"> </w:t>
      </w:r>
      <w:r w:rsidR="009A5015">
        <w:t xml:space="preserve">had been </w:t>
      </w:r>
      <w:r>
        <w:t xml:space="preserve">issued and implemented in 2017. However, </w:t>
      </w:r>
      <w:r w:rsidR="009A5015">
        <w:t xml:space="preserve">none of this </w:t>
      </w:r>
      <w:r>
        <w:t>legislation had been notified to the WTO.</w:t>
      </w:r>
    </w:p>
    <w:p w14:paraId="2B650F75" w14:textId="4739A95A" w:rsidR="00E9734E" w:rsidRDefault="00E9734E" w:rsidP="00212829">
      <w:pPr>
        <w:pStyle w:val="BodyText"/>
      </w:pPr>
      <w:r>
        <w:t xml:space="preserve">In the </w:t>
      </w:r>
      <w:r w:rsidR="009A5015">
        <w:t xml:space="preserve">absence </w:t>
      </w:r>
      <w:r>
        <w:t xml:space="preserve">of any notification, the EU had submitted a set of detailed questions </w:t>
      </w:r>
      <w:r w:rsidR="00B5223B">
        <w:t>in the hope of</w:t>
      </w:r>
      <w:r>
        <w:t xml:space="preserve"> receiving </w:t>
      </w:r>
      <w:r w:rsidR="00B5223B">
        <w:t xml:space="preserve">from Egypt </w:t>
      </w:r>
      <w:r>
        <w:t xml:space="preserve">further clarification </w:t>
      </w:r>
      <w:r w:rsidR="002D3E13">
        <w:t xml:space="preserve">regarding Egypt's </w:t>
      </w:r>
      <w:r>
        <w:t xml:space="preserve">import licensing procedures currently in place. More specifically, the EU </w:t>
      </w:r>
      <w:r w:rsidR="002D3E13">
        <w:t xml:space="preserve">wished to know </w:t>
      </w:r>
      <w:r>
        <w:t xml:space="preserve">the full picture of the relevant legislation in place, </w:t>
      </w:r>
      <w:r w:rsidR="002D3E13">
        <w:t xml:space="preserve">including </w:t>
      </w:r>
      <w:proofErr w:type="gramStart"/>
      <w:r w:rsidR="002D3E13">
        <w:t>with regard to</w:t>
      </w:r>
      <w:proofErr w:type="gramEnd"/>
      <w:r w:rsidR="002D3E13">
        <w:t xml:space="preserve"> </w:t>
      </w:r>
      <w:r>
        <w:t>the products that were subject to import procedures (both automatic and non-automatic)</w:t>
      </w:r>
      <w:r w:rsidR="002D3E13">
        <w:t>,</w:t>
      </w:r>
      <w:r>
        <w:t xml:space="preserve"> and the specific procedures applicable </w:t>
      </w:r>
      <w:r w:rsidR="002D3E13">
        <w:t xml:space="preserve">on </w:t>
      </w:r>
      <w:r>
        <w:t xml:space="preserve">each of </w:t>
      </w:r>
      <w:r w:rsidR="002D3E13">
        <w:t xml:space="preserve">those </w:t>
      </w:r>
      <w:r>
        <w:t>products, in accordance with Article</w:t>
      </w:r>
      <w:r w:rsidR="002D3E13">
        <w:t> </w:t>
      </w:r>
      <w:r>
        <w:t xml:space="preserve">5.2 of the Import Licensing Agreement. In addition, the EU wished to receive further clarification </w:t>
      </w:r>
      <w:r w:rsidR="002D3E13">
        <w:t xml:space="preserve">from Egypt of </w:t>
      </w:r>
      <w:r>
        <w:t>the mandatory registration requirements set by Decree No</w:t>
      </w:r>
      <w:r w:rsidR="002D3E13">
        <w:t>. </w:t>
      </w:r>
      <w:r>
        <w:t>43/2016</w:t>
      </w:r>
      <w:r w:rsidR="002D3E13">
        <w:t>,</w:t>
      </w:r>
      <w:r>
        <w:t xml:space="preserve"> which</w:t>
      </w:r>
      <w:r w:rsidR="002D3E13">
        <w:t xml:space="preserve"> entered into force on 16 March </w:t>
      </w:r>
      <w:r>
        <w:t>2016</w:t>
      </w:r>
      <w:r w:rsidR="002D3E13">
        <w:t>,</w:t>
      </w:r>
      <w:r>
        <w:t xml:space="preserve"> and </w:t>
      </w:r>
      <w:r w:rsidR="002D3E13">
        <w:t xml:space="preserve">of </w:t>
      </w:r>
      <w:r>
        <w:t xml:space="preserve">how </w:t>
      </w:r>
      <w:r w:rsidR="002D3E13">
        <w:t xml:space="preserve">those </w:t>
      </w:r>
      <w:r>
        <w:t xml:space="preserve">requirements </w:t>
      </w:r>
      <w:r w:rsidR="002D3E13">
        <w:t xml:space="preserve">complied </w:t>
      </w:r>
      <w:r>
        <w:t xml:space="preserve">with </w:t>
      </w:r>
      <w:r w:rsidR="002D3E13">
        <w:t>Articles </w:t>
      </w:r>
      <w:r>
        <w:t>1, 2</w:t>
      </w:r>
      <w:r w:rsidR="002D3E13">
        <w:t>,</w:t>
      </w:r>
      <w:r>
        <w:t xml:space="preserve"> and 3 of </w:t>
      </w:r>
      <w:r w:rsidR="00212829">
        <w:t>the Import Licensing Agreement.</w:t>
      </w:r>
    </w:p>
    <w:p w14:paraId="5F0EB5CC" w14:textId="4C6D8427" w:rsidR="00E9734E" w:rsidRDefault="00E9734E" w:rsidP="00212829">
      <w:pPr>
        <w:pStyle w:val="BodyText"/>
      </w:pPr>
      <w:r>
        <w:t xml:space="preserve">In response, the representative of </w:t>
      </w:r>
      <w:r w:rsidRPr="00B93C6B">
        <w:rPr>
          <w:u w:val="single"/>
        </w:rPr>
        <w:t>Egypt</w:t>
      </w:r>
      <w:r>
        <w:t xml:space="preserve"> thanked the European Union for </w:t>
      </w:r>
      <w:r w:rsidR="002D3E13">
        <w:t xml:space="preserve">its </w:t>
      </w:r>
      <w:r>
        <w:t>questions in document</w:t>
      </w:r>
      <w:r w:rsidR="002D3E13">
        <w:t> </w:t>
      </w:r>
      <w:r>
        <w:t xml:space="preserve">G/LIC/Q/EGY/1. He noted that the questions were </w:t>
      </w:r>
      <w:r w:rsidR="002D3E13">
        <w:t xml:space="preserve">currently </w:t>
      </w:r>
      <w:r>
        <w:t xml:space="preserve">being </w:t>
      </w:r>
      <w:r w:rsidR="002D3E13">
        <w:t xml:space="preserve">considered </w:t>
      </w:r>
      <w:r>
        <w:t xml:space="preserve">in </w:t>
      </w:r>
      <w:r w:rsidR="002D3E13">
        <w:t>Capital</w:t>
      </w:r>
      <w:r>
        <w:t xml:space="preserve">, </w:t>
      </w:r>
      <w:r w:rsidR="002D3E13">
        <w:t xml:space="preserve">but that </w:t>
      </w:r>
      <w:r>
        <w:t xml:space="preserve">he would </w:t>
      </w:r>
      <w:r w:rsidR="002D3E13">
        <w:t xml:space="preserve">nevertheless </w:t>
      </w:r>
      <w:r>
        <w:t xml:space="preserve">address </w:t>
      </w:r>
      <w:r w:rsidR="002D3E13">
        <w:t xml:space="preserve">briefly several of </w:t>
      </w:r>
      <w:r>
        <w:t xml:space="preserve">the </w:t>
      </w:r>
      <w:r w:rsidR="00212829">
        <w:t>points</w:t>
      </w:r>
      <w:r w:rsidR="002D3E13">
        <w:t xml:space="preserve"> that had been raised.</w:t>
      </w:r>
    </w:p>
    <w:p w14:paraId="52613916" w14:textId="5BE19D4C" w:rsidR="00E9734E" w:rsidRDefault="00E9734E" w:rsidP="00212829">
      <w:pPr>
        <w:pStyle w:val="BodyText"/>
      </w:pPr>
      <w:r>
        <w:t xml:space="preserve">On transparency and notifications, he reiterated that </w:t>
      </w:r>
      <w:r w:rsidR="001F23DE">
        <w:t>Egypt,</w:t>
      </w:r>
      <w:r>
        <w:t xml:space="preserve"> </w:t>
      </w:r>
      <w:r w:rsidR="001F23DE">
        <w:t xml:space="preserve">as clearly stated during its most recent trade policy review, </w:t>
      </w:r>
      <w:r>
        <w:t>was fully committed to fulfil</w:t>
      </w:r>
      <w:r w:rsidR="001F23DE">
        <w:t>ling</w:t>
      </w:r>
      <w:r>
        <w:t xml:space="preserve"> its notification obligations. Recognizing the importance of transparency, Egypt was currently taking stock of all </w:t>
      </w:r>
      <w:r w:rsidR="001F23DE">
        <w:t>its trade-</w:t>
      </w:r>
      <w:r>
        <w:t>related regulations</w:t>
      </w:r>
      <w:r w:rsidR="001F23DE">
        <w:t>,</w:t>
      </w:r>
      <w:r>
        <w:t xml:space="preserve"> including import licensing procedures</w:t>
      </w:r>
      <w:r w:rsidR="001F23DE">
        <w:t>,</w:t>
      </w:r>
      <w:r>
        <w:t xml:space="preserve"> </w:t>
      </w:r>
      <w:r w:rsidR="001F23DE">
        <w:t xml:space="preserve">which </w:t>
      </w:r>
      <w:r>
        <w:t xml:space="preserve">had not previously </w:t>
      </w:r>
      <w:r w:rsidR="001F23DE">
        <w:t xml:space="preserve">been </w:t>
      </w:r>
      <w:r>
        <w:t xml:space="preserve">notified </w:t>
      </w:r>
      <w:proofErr w:type="gramStart"/>
      <w:r>
        <w:t>in order to</w:t>
      </w:r>
      <w:proofErr w:type="gramEnd"/>
      <w:r>
        <w:t xml:space="preserve"> prepare and submit the appropriate notifications in the context of the relevant WTO</w:t>
      </w:r>
      <w:r w:rsidR="001F23DE">
        <w:t> </w:t>
      </w:r>
      <w:r>
        <w:t xml:space="preserve">Committees. He pointed out that this task required </w:t>
      </w:r>
      <w:r w:rsidR="006B62C7">
        <w:t xml:space="preserve">enormous </w:t>
      </w:r>
      <w:r>
        <w:t xml:space="preserve">human and technical </w:t>
      </w:r>
      <w:r w:rsidR="006B62C7">
        <w:t xml:space="preserve">capacity, </w:t>
      </w:r>
      <w:r>
        <w:t xml:space="preserve">especially </w:t>
      </w:r>
      <w:proofErr w:type="gramStart"/>
      <w:r>
        <w:t>in light of</w:t>
      </w:r>
      <w:proofErr w:type="gramEnd"/>
      <w:r>
        <w:t xml:space="preserve"> the </w:t>
      </w:r>
      <w:r w:rsidR="006B62C7">
        <w:t xml:space="preserve">often </w:t>
      </w:r>
      <w:r>
        <w:t xml:space="preserve">complex and detailed structure of notification requirements. As a developing country, Egypt </w:t>
      </w:r>
      <w:r w:rsidR="006B62C7">
        <w:t xml:space="preserve">intended </w:t>
      </w:r>
      <w:r>
        <w:t>to seek technical assistance from the WTO.</w:t>
      </w:r>
    </w:p>
    <w:p w14:paraId="76D7E2FF" w14:textId="469B2A71" w:rsidR="00E9734E" w:rsidRDefault="00E9734E" w:rsidP="00212829">
      <w:pPr>
        <w:pStyle w:val="BodyText"/>
      </w:pPr>
      <w:r>
        <w:t xml:space="preserve">Regarding </w:t>
      </w:r>
      <w:r w:rsidR="006B62C7">
        <w:t xml:space="preserve">Egypt's </w:t>
      </w:r>
      <w:r>
        <w:t>laws governing import licensing procedures, he explained that</w:t>
      </w:r>
      <w:r w:rsidR="006B62C7">
        <w:t>,</w:t>
      </w:r>
      <w:r>
        <w:t xml:space="preserve"> in general, the Import and Export Law </w:t>
      </w:r>
      <w:r w:rsidR="006B62C7">
        <w:t>No</w:t>
      </w:r>
      <w:r>
        <w:t>.</w:t>
      </w:r>
      <w:r w:rsidR="006B62C7">
        <w:t> </w:t>
      </w:r>
      <w:r>
        <w:t>118/1975</w:t>
      </w:r>
      <w:r w:rsidR="006B62C7">
        <w:t>,</w:t>
      </w:r>
      <w:r>
        <w:t xml:space="preserve"> and its executive regul</w:t>
      </w:r>
      <w:r w:rsidR="006B62C7">
        <w:t>ation in Ministerial Decree No. </w:t>
      </w:r>
      <w:r>
        <w:t>770/2005</w:t>
      </w:r>
      <w:r w:rsidR="006B62C7">
        <w:t>,</w:t>
      </w:r>
      <w:r>
        <w:t xml:space="preserve"> including their amendments and complementary decisions</w:t>
      </w:r>
      <w:r w:rsidR="00305117">
        <w:t>,</w:t>
      </w:r>
      <w:r>
        <w:t xml:space="preserve"> were the main regulations governing import licensing procedures in Egypt, notwithstanding that the administration and application of the procedures included in the decree </w:t>
      </w:r>
      <w:r w:rsidR="00C22C7C">
        <w:t xml:space="preserve">were </w:t>
      </w:r>
      <w:r>
        <w:t xml:space="preserve">conducted by </w:t>
      </w:r>
      <w:proofErr w:type="gramStart"/>
      <w:r>
        <w:t>a number of</w:t>
      </w:r>
      <w:proofErr w:type="gramEnd"/>
      <w:r>
        <w:t xml:space="preserve"> different authorities. He </w:t>
      </w:r>
      <w:r w:rsidR="00C22C7C">
        <w:t xml:space="preserve">added </w:t>
      </w:r>
      <w:r>
        <w:t xml:space="preserve">that </w:t>
      </w:r>
      <w:r w:rsidR="00C22C7C">
        <w:t xml:space="preserve">certain </w:t>
      </w:r>
      <w:r>
        <w:t>products were subject to other regulations</w:t>
      </w:r>
      <w:r w:rsidR="00C22C7C">
        <w:t>, as</w:t>
      </w:r>
      <w:r>
        <w:t xml:space="preserve"> set by the </w:t>
      </w:r>
      <w:r w:rsidR="00C22C7C">
        <w:t xml:space="preserve">relevant </w:t>
      </w:r>
      <w:r>
        <w:t xml:space="preserve">regulatory </w:t>
      </w:r>
      <w:r w:rsidR="00C22C7C">
        <w:t xml:space="preserve">authority, </w:t>
      </w:r>
      <w:r>
        <w:t>such as wireless telecommunication devices</w:t>
      </w:r>
      <w:r w:rsidR="00C22C7C">
        <w:t>, for example,</w:t>
      </w:r>
      <w:r>
        <w:t xml:space="preserve"> which were subject to the National Telecommunications Regulatory Authority.</w:t>
      </w:r>
    </w:p>
    <w:p w14:paraId="532C40F4" w14:textId="7B29D61B" w:rsidR="00E9734E" w:rsidRDefault="00E9734E" w:rsidP="00212829">
      <w:pPr>
        <w:pStyle w:val="BodyText"/>
      </w:pPr>
      <w:r>
        <w:t>On imports of products listed in Annex</w:t>
      </w:r>
      <w:r w:rsidR="00052B05">
        <w:t> </w:t>
      </w:r>
      <w:r>
        <w:t xml:space="preserve">1 of Decree </w:t>
      </w:r>
      <w:r w:rsidR="00C22C7C">
        <w:t>No. </w:t>
      </w:r>
      <w:r>
        <w:t>770/2005</w:t>
      </w:r>
      <w:r w:rsidR="00C22C7C">
        <w:t>,</w:t>
      </w:r>
      <w:r>
        <w:t xml:space="preserve"> and its amendments</w:t>
      </w:r>
      <w:r w:rsidR="00C22C7C">
        <w:t xml:space="preserve">, he noted that </w:t>
      </w:r>
      <w:r>
        <w:t>the importation of those listed products was suspended for SPS, national security, relig</w:t>
      </w:r>
      <w:r w:rsidR="00212829">
        <w:t>ious</w:t>
      </w:r>
      <w:r w:rsidR="00C22C7C">
        <w:t>,</w:t>
      </w:r>
      <w:r w:rsidR="00212829">
        <w:t xml:space="preserve"> or environmental </w:t>
      </w:r>
      <w:r w:rsidR="00C22C7C">
        <w:t>reasons</w:t>
      </w:r>
      <w:r w:rsidR="00212829">
        <w:t>.</w:t>
      </w:r>
    </w:p>
    <w:p w14:paraId="30119891" w14:textId="71C0AA42" w:rsidR="00124CFB" w:rsidRDefault="00E9734E" w:rsidP="00212829">
      <w:pPr>
        <w:pStyle w:val="BodyText"/>
      </w:pPr>
      <w:r>
        <w:t xml:space="preserve">Regarding import licensing procedures for importation of </w:t>
      </w:r>
      <w:r w:rsidR="001B6976">
        <w:t xml:space="preserve">certain </w:t>
      </w:r>
      <w:r>
        <w:t>agricultural commodities, he indicated that Prime Minister</w:t>
      </w:r>
      <w:r w:rsidR="001B6976">
        <w:t>'s</w:t>
      </w:r>
      <w:r>
        <w:t xml:space="preserve"> Decree No.</w:t>
      </w:r>
      <w:r w:rsidR="001B6976">
        <w:t> </w:t>
      </w:r>
      <w:r>
        <w:t>2992/2016</w:t>
      </w:r>
      <w:r w:rsidR="001B6976">
        <w:t>,</w:t>
      </w:r>
      <w:r>
        <w:t xml:space="preserve"> and Ministerial Decree No.</w:t>
      </w:r>
      <w:r w:rsidR="001B6976">
        <w:t> </w:t>
      </w:r>
      <w:r>
        <w:t>24/2017</w:t>
      </w:r>
      <w:r w:rsidR="001B6976">
        <w:t>,</w:t>
      </w:r>
      <w:r>
        <w:t xml:space="preserve"> set out the import permit requirements for wheat grains</w:t>
      </w:r>
      <w:r w:rsidR="001B6976">
        <w:t xml:space="preserve">, </w:t>
      </w:r>
      <w:r>
        <w:t>corn used for the feed industry</w:t>
      </w:r>
      <w:r w:rsidR="001B6976">
        <w:t xml:space="preserve">, </w:t>
      </w:r>
      <w:r>
        <w:t xml:space="preserve">and soya bean seeds. The General Organization for Export and Import Control (GOEIC), was the sole Egyptian authority in charge of inspecting consignments upon their arrival to ensure compliance with Egyptian </w:t>
      </w:r>
      <w:r w:rsidR="001B6976">
        <w:t xml:space="preserve">standards </w:t>
      </w:r>
      <w:r>
        <w:t>and requirements. In this vein, it was worth underscoring that the purpose of such procedure</w:t>
      </w:r>
      <w:r w:rsidR="00124CFB">
        <w:t>s</w:t>
      </w:r>
      <w:r>
        <w:t xml:space="preserve"> was to facilitate trade by </w:t>
      </w:r>
      <w:r w:rsidR="00124CFB">
        <w:t xml:space="preserve">appointing </w:t>
      </w:r>
      <w:r>
        <w:t>a single entity to be responsible for the process.</w:t>
      </w:r>
    </w:p>
    <w:p w14:paraId="63C4B544" w14:textId="38E3CCB2" w:rsidR="00E9734E" w:rsidRDefault="00124CFB" w:rsidP="00212829">
      <w:pPr>
        <w:pStyle w:val="BodyText"/>
      </w:pPr>
      <w:r>
        <w:t xml:space="preserve">On </w:t>
      </w:r>
      <w:r w:rsidR="00E9734E">
        <w:t>importing into free zones</w:t>
      </w:r>
      <w:r w:rsidR="008C6259">
        <w:t>, he noted that f</w:t>
      </w:r>
      <w:r w:rsidR="00E9734E">
        <w:t xml:space="preserve">ree zones </w:t>
      </w:r>
      <w:r w:rsidR="008C6259">
        <w:t xml:space="preserve">were considered </w:t>
      </w:r>
      <w:r w:rsidR="00E9734E">
        <w:t xml:space="preserve">a special regime where dealings </w:t>
      </w:r>
      <w:r w:rsidR="008C6259">
        <w:t xml:space="preserve">were </w:t>
      </w:r>
      <w:r w:rsidR="00E9734E">
        <w:t>conducted in accordance with special customs and tax provisions</w:t>
      </w:r>
      <w:r w:rsidR="00781AC5">
        <w:t>; specifically,</w:t>
      </w:r>
      <w:r w:rsidR="00E9734E">
        <w:t xml:space="preserve"> </w:t>
      </w:r>
      <w:r w:rsidR="00E9734E">
        <w:lastRenderedPageBreak/>
        <w:t xml:space="preserve">procedures for importing into free zones were governed by </w:t>
      </w:r>
      <w:r w:rsidR="00781AC5">
        <w:t xml:space="preserve">Investment </w:t>
      </w:r>
      <w:r w:rsidR="00E9734E">
        <w:t>Law No.</w:t>
      </w:r>
      <w:r w:rsidR="00781AC5">
        <w:t> </w:t>
      </w:r>
      <w:r w:rsidR="00E9734E">
        <w:t>72/2017</w:t>
      </w:r>
      <w:r w:rsidR="00781AC5">
        <w:t>,</w:t>
      </w:r>
      <w:r w:rsidR="00E9734E">
        <w:t xml:space="preserve"> and its executive regulation in Prime Minister</w:t>
      </w:r>
      <w:r w:rsidR="00781AC5">
        <w:t>'s</w:t>
      </w:r>
      <w:r w:rsidR="00E9734E">
        <w:t xml:space="preserve"> Decree </w:t>
      </w:r>
      <w:r w:rsidR="00781AC5">
        <w:t>No. </w:t>
      </w:r>
      <w:r w:rsidR="00E9734E">
        <w:t>2310/2017.</w:t>
      </w:r>
    </w:p>
    <w:p w14:paraId="0C6AEFBC" w14:textId="19C9530F" w:rsidR="00E9734E" w:rsidRDefault="00856E03" w:rsidP="00212829">
      <w:pPr>
        <w:pStyle w:val="BodyText"/>
      </w:pPr>
      <w:r>
        <w:t>In addition, he</w:t>
      </w:r>
      <w:r w:rsidR="00E9734E">
        <w:t xml:space="preserve"> indicated that Egypt did not consider </w:t>
      </w:r>
      <w:r w:rsidR="004A5D8E">
        <w:t xml:space="preserve">Decree No. 43/2016 to be </w:t>
      </w:r>
      <w:r w:rsidR="00E9734E">
        <w:t xml:space="preserve">an import licensing procedure as per the definition stipulated in </w:t>
      </w:r>
      <w:r w:rsidR="004A5D8E">
        <w:t>Article </w:t>
      </w:r>
      <w:r w:rsidR="00E9734E">
        <w:t>1.1 of the Agreement on Import Licensing Procedures, arguing that the decree only required the registration of manufacturing plants or companies owning trademarks, with no requirement to renew the registration process as long as the documents submitted were valid</w:t>
      </w:r>
      <w:r w:rsidR="004A5D8E">
        <w:t>; there were</w:t>
      </w:r>
      <w:r w:rsidR="00E9734E">
        <w:t xml:space="preserve"> no further requirements on new importers of the products of the registered company. </w:t>
      </w:r>
      <w:r w:rsidR="004A5D8E">
        <w:t>Further</w:t>
      </w:r>
      <w:r w:rsidR="00E9734E">
        <w:t>, the Decree had been notified to the TBT</w:t>
      </w:r>
      <w:r w:rsidR="004A5D8E">
        <w:t> </w:t>
      </w:r>
      <w:r w:rsidR="00E9734E">
        <w:t xml:space="preserve">Committee before its entry into force, and since then Egypt had held </w:t>
      </w:r>
      <w:proofErr w:type="gramStart"/>
      <w:r w:rsidR="00E9734E">
        <w:t>a number of</w:t>
      </w:r>
      <w:proofErr w:type="gramEnd"/>
      <w:r w:rsidR="00E9734E">
        <w:t xml:space="preserve"> bilateral meetings with interested Members, including </w:t>
      </w:r>
      <w:r w:rsidR="004A5D8E">
        <w:t xml:space="preserve">the </w:t>
      </w:r>
      <w:r w:rsidR="00E9734E">
        <w:t xml:space="preserve">EU, </w:t>
      </w:r>
      <w:r w:rsidR="004A5D8E">
        <w:t xml:space="preserve">on </w:t>
      </w:r>
      <w:r w:rsidR="00E9734E">
        <w:t>the fringe</w:t>
      </w:r>
      <w:r w:rsidR="004A5D8E">
        <w:t>s</w:t>
      </w:r>
      <w:r w:rsidR="00E9734E">
        <w:t xml:space="preserve"> of the TBT</w:t>
      </w:r>
      <w:r w:rsidR="004A5D8E">
        <w:t> </w:t>
      </w:r>
      <w:r w:rsidR="00E9734E">
        <w:t xml:space="preserve">Committee, which </w:t>
      </w:r>
      <w:r w:rsidR="004A5D8E">
        <w:t xml:space="preserve">Egypt </w:t>
      </w:r>
      <w:r w:rsidR="00E9734E">
        <w:t>believe</w:t>
      </w:r>
      <w:r w:rsidR="004A5D8E">
        <w:t>d</w:t>
      </w:r>
      <w:r w:rsidR="00E9734E">
        <w:t xml:space="preserve"> </w:t>
      </w:r>
      <w:r w:rsidR="004A5D8E">
        <w:t xml:space="preserve">to have been </w:t>
      </w:r>
      <w:r w:rsidR="00E9734E">
        <w:t>very constructive</w:t>
      </w:r>
      <w:r w:rsidR="004A5D8E">
        <w:t>,</w:t>
      </w:r>
      <w:r w:rsidR="00E9734E">
        <w:t xml:space="preserve"> and </w:t>
      </w:r>
      <w:r w:rsidR="004A5D8E">
        <w:t xml:space="preserve">which </w:t>
      </w:r>
      <w:r w:rsidR="00E9734E">
        <w:t>reflected positively on the application of the Decree. Therefore, Egypt remained ready to engage with interested Members on this issue within the framework of the TBT</w:t>
      </w:r>
      <w:r w:rsidR="004A5D8E">
        <w:t> Committee</w:t>
      </w:r>
      <w:r w:rsidR="00E9734E">
        <w:t>.</w:t>
      </w:r>
    </w:p>
    <w:p w14:paraId="7D7BC6B3" w14:textId="4B96C933" w:rsidR="00E9734E" w:rsidRDefault="00E9734E" w:rsidP="00212829">
      <w:pPr>
        <w:pStyle w:val="BodyText"/>
      </w:pPr>
      <w:r>
        <w:t xml:space="preserve">In this context, regarding </w:t>
      </w:r>
      <w:r w:rsidR="002A0BB0">
        <w:t xml:space="preserve">the </w:t>
      </w:r>
      <w:r>
        <w:t>EU</w:t>
      </w:r>
      <w:r w:rsidR="00A03F00">
        <w:t>'</w:t>
      </w:r>
      <w:r>
        <w:t xml:space="preserve">s </w:t>
      </w:r>
      <w:r w:rsidR="002A0BB0">
        <w:t xml:space="preserve">Question </w:t>
      </w:r>
      <w:r>
        <w:t>No.</w:t>
      </w:r>
      <w:r w:rsidR="002A0BB0">
        <w:t> </w:t>
      </w:r>
      <w:r>
        <w:t>6 in document</w:t>
      </w:r>
      <w:r w:rsidR="002A0BB0">
        <w:t> </w:t>
      </w:r>
      <w:r>
        <w:t xml:space="preserve">G/LIC/Q/EGY/1, Egypt would like to seek more clarification from the EU </w:t>
      </w:r>
      <w:proofErr w:type="gramStart"/>
      <w:r w:rsidR="003E097A">
        <w:t>with regard to</w:t>
      </w:r>
      <w:proofErr w:type="gramEnd"/>
      <w:r w:rsidR="003E097A">
        <w:t xml:space="preserve"> the </w:t>
      </w:r>
      <w:r>
        <w:t xml:space="preserve">relevance </w:t>
      </w:r>
      <w:r w:rsidR="003E097A">
        <w:t xml:space="preserve">of that question </w:t>
      </w:r>
      <w:r>
        <w:t>to import licensing procedures.</w:t>
      </w:r>
    </w:p>
    <w:p w14:paraId="1082C534" w14:textId="21853B53" w:rsidR="00E9734E" w:rsidRPr="00B93C6B" w:rsidRDefault="00F34116" w:rsidP="00187760">
      <w:pPr>
        <w:pStyle w:val="Heading2"/>
        <w:rPr>
          <w:lang w:val="fr-CH"/>
        </w:rPr>
      </w:pPr>
      <w:bookmarkStart w:id="6" w:name="_Toc525116408"/>
      <w:r w:rsidRPr="00B93C6B">
        <w:rPr>
          <w:lang w:val="fr-CH"/>
        </w:rPr>
        <w:t>Document </w:t>
      </w:r>
      <w:r w:rsidR="00E9734E" w:rsidRPr="00B93C6B">
        <w:rPr>
          <w:lang w:val="fr-CH"/>
        </w:rPr>
        <w:t>G/LIC/Q/RUS/4</w:t>
      </w:r>
      <w:bookmarkEnd w:id="6"/>
    </w:p>
    <w:p w14:paraId="03D41F41" w14:textId="4942DA0D" w:rsidR="00E9734E" w:rsidRDefault="00E9734E" w:rsidP="00212829">
      <w:pPr>
        <w:pStyle w:val="BodyText"/>
      </w:pPr>
      <w:r>
        <w:t xml:space="preserve">The representative of the </w:t>
      </w:r>
      <w:r w:rsidRPr="00B93C6B">
        <w:rPr>
          <w:u w:val="single"/>
        </w:rPr>
        <w:t>European Union</w:t>
      </w:r>
      <w:r>
        <w:t xml:space="preserve"> stated that the EU regretted that the Russian Federation had not yet submitted its annual notifica</w:t>
      </w:r>
      <w:r w:rsidR="003B4089">
        <w:t>tion in accordance with Article </w:t>
      </w:r>
      <w:r>
        <w:t xml:space="preserve">7.3 of the Import Licensing Agreement and asked Russia when it </w:t>
      </w:r>
      <w:r w:rsidR="003B4089">
        <w:t>would do so</w:t>
      </w:r>
      <w:r>
        <w:t xml:space="preserve">. </w:t>
      </w:r>
      <w:r w:rsidR="003B4089">
        <w:t xml:space="preserve">Turning its focus to </w:t>
      </w:r>
      <w:r>
        <w:t xml:space="preserve">the advance questions on the </w:t>
      </w:r>
      <w:r w:rsidR="003B4089">
        <w:t xml:space="preserve">meeting's </w:t>
      </w:r>
      <w:r>
        <w:t xml:space="preserve">agenda, </w:t>
      </w:r>
      <w:r w:rsidR="003B4089">
        <w:t xml:space="preserve">the EU hoped to receive </w:t>
      </w:r>
      <w:r>
        <w:t xml:space="preserve">further clarification </w:t>
      </w:r>
      <w:r w:rsidR="003B4089">
        <w:t xml:space="preserve">from Russia of </w:t>
      </w:r>
      <w:r>
        <w:t xml:space="preserve">the procedures to be followed for the importation of </w:t>
      </w:r>
      <w:r w:rsidR="003B4089">
        <w:t xml:space="preserve">certain </w:t>
      </w:r>
      <w:r>
        <w:t>specified medicines and pharmaceutical products.</w:t>
      </w:r>
    </w:p>
    <w:p w14:paraId="7BBFBF66" w14:textId="4E5F7D55" w:rsidR="00E9734E" w:rsidRDefault="00E9734E" w:rsidP="00212829">
      <w:pPr>
        <w:pStyle w:val="BodyText"/>
      </w:pPr>
      <w:r>
        <w:t>The EU noted that</w:t>
      </w:r>
      <w:r w:rsidR="003B4089">
        <w:t>,</w:t>
      </w:r>
      <w:r>
        <w:t xml:space="preserve"> since the introduction of the Good Manufacturing Practice (GMP) certificate requirements, </w:t>
      </w:r>
      <w:r w:rsidR="003B4089">
        <w:t xml:space="preserve">in </w:t>
      </w:r>
      <w:r>
        <w:t>January</w:t>
      </w:r>
      <w:r w:rsidR="003B4089">
        <w:t> </w:t>
      </w:r>
      <w:r>
        <w:t>2016, the importations of pharmaceutical products were subject to complicated, burdensome</w:t>
      </w:r>
      <w:r w:rsidR="003B4089">
        <w:t>,</w:t>
      </w:r>
      <w:r>
        <w:t xml:space="preserve"> </w:t>
      </w:r>
      <w:r w:rsidR="003B4089">
        <w:t>and discriminatory procedures. She argued that the GMP </w:t>
      </w:r>
      <w:r>
        <w:t xml:space="preserve">certification, as currently implemented in Russia, raised concerns </w:t>
      </w:r>
      <w:r w:rsidR="003B4089">
        <w:t xml:space="preserve">not only </w:t>
      </w:r>
      <w:r>
        <w:t>regarding the WTO</w:t>
      </w:r>
      <w:r w:rsidR="003B4089">
        <w:t> </w:t>
      </w:r>
      <w:r>
        <w:t>National Treatment principle</w:t>
      </w:r>
      <w:r w:rsidR="003B4089">
        <w:t>,</w:t>
      </w:r>
      <w:r>
        <w:t xml:space="preserve"> but </w:t>
      </w:r>
      <w:r w:rsidR="003B4089">
        <w:t xml:space="preserve">also as concerned </w:t>
      </w:r>
      <w:r>
        <w:t xml:space="preserve">its </w:t>
      </w:r>
      <w:r w:rsidR="003B4089">
        <w:t xml:space="preserve">undeniable </w:t>
      </w:r>
      <w:r>
        <w:t>import licensing</w:t>
      </w:r>
      <w:r w:rsidR="00212829">
        <w:t xml:space="preserve"> dimension.</w:t>
      </w:r>
    </w:p>
    <w:p w14:paraId="061EB481" w14:textId="6CF7DBC6" w:rsidR="00E9734E" w:rsidRDefault="00E9734E" w:rsidP="00212829">
      <w:pPr>
        <w:pStyle w:val="BodyText"/>
      </w:pPr>
      <w:r>
        <w:t xml:space="preserve">The EU was interested in understanding the different procedures applied to importers </w:t>
      </w:r>
      <w:r w:rsidR="0024279C">
        <w:t xml:space="preserve">wishing to </w:t>
      </w:r>
      <w:r>
        <w:t>obtain GMP</w:t>
      </w:r>
      <w:r w:rsidR="0024279C">
        <w:t> </w:t>
      </w:r>
      <w:r>
        <w:t>certifications</w:t>
      </w:r>
      <w:r w:rsidR="0024279C">
        <w:t>,</w:t>
      </w:r>
      <w:r>
        <w:t xml:space="preserve"> and what justification </w:t>
      </w:r>
      <w:r w:rsidR="0024279C">
        <w:t xml:space="preserve">existed </w:t>
      </w:r>
      <w:r>
        <w:t xml:space="preserve">for applying </w:t>
      </w:r>
      <w:r w:rsidR="0024279C">
        <w:t xml:space="preserve">a </w:t>
      </w:r>
      <w:r>
        <w:t xml:space="preserve">different </w:t>
      </w:r>
      <w:r w:rsidR="0024279C">
        <w:t xml:space="preserve">set of </w:t>
      </w:r>
      <w:r>
        <w:t xml:space="preserve">procedures to importers </w:t>
      </w:r>
      <w:r w:rsidR="0024279C">
        <w:t xml:space="preserve">compared </w:t>
      </w:r>
      <w:r>
        <w:t xml:space="preserve">to domestic producers. </w:t>
      </w:r>
      <w:proofErr w:type="gramStart"/>
      <w:r>
        <w:t>In particular, the</w:t>
      </w:r>
      <w:proofErr w:type="gramEnd"/>
      <w:r>
        <w:t xml:space="preserve"> </w:t>
      </w:r>
      <w:r w:rsidR="0024279C">
        <w:t xml:space="preserve">EU </w:t>
      </w:r>
      <w:r>
        <w:t>invited</w:t>
      </w:r>
      <w:r w:rsidR="0024279C">
        <w:t xml:space="preserve"> the</w:t>
      </w:r>
      <w:r>
        <w:t xml:space="preserve"> </w:t>
      </w:r>
      <w:r w:rsidR="0024279C">
        <w:t xml:space="preserve">Russian Federation </w:t>
      </w:r>
      <w:r>
        <w:t xml:space="preserve">to explain why a domestic applicant could obtain </w:t>
      </w:r>
      <w:r w:rsidR="0024279C">
        <w:t xml:space="preserve">a </w:t>
      </w:r>
      <w:r>
        <w:t>GMP</w:t>
      </w:r>
      <w:r w:rsidR="0024279C">
        <w:t> </w:t>
      </w:r>
      <w:r>
        <w:t>certificate</w:t>
      </w:r>
      <w:r w:rsidR="0024279C">
        <w:t>,</w:t>
      </w:r>
      <w:r>
        <w:t xml:space="preserve"> together with its marketing </w:t>
      </w:r>
      <w:r w:rsidR="0024279C">
        <w:t xml:space="preserve">authorization, </w:t>
      </w:r>
      <w:r>
        <w:t xml:space="preserve">while an importer had first </w:t>
      </w:r>
      <w:r w:rsidR="0024279C">
        <w:t xml:space="preserve">to obtain </w:t>
      </w:r>
      <w:r>
        <w:t>the GMP</w:t>
      </w:r>
      <w:r w:rsidR="0024279C">
        <w:t> </w:t>
      </w:r>
      <w:r>
        <w:t xml:space="preserve">certificate and </w:t>
      </w:r>
      <w:r w:rsidR="0024279C">
        <w:t xml:space="preserve">subsequently, </w:t>
      </w:r>
      <w:r>
        <w:t>as a separate step</w:t>
      </w:r>
      <w:r w:rsidR="0024279C">
        <w:t>,</w:t>
      </w:r>
      <w:r>
        <w:t xml:space="preserve"> the </w:t>
      </w:r>
      <w:r w:rsidR="0024279C">
        <w:t xml:space="preserve">relevant </w:t>
      </w:r>
      <w:r>
        <w:t xml:space="preserve">marketing </w:t>
      </w:r>
      <w:r w:rsidR="0024279C">
        <w:t>authorization</w:t>
      </w:r>
      <w:r>
        <w:t xml:space="preserve">. The EU also </w:t>
      </w:r>
      <w:r w:rsidR="0024279C">
        <w:t xml:space="preserve">wished </w:t>
      </w:r>
      <w:r>
        <w:t>to know what the average time was for obtaining the GMP</w:t>
      </w:r>
      <w:r w:rsidR="0024279C">
        <w:t> </w:t>
      </w:r>
      <w:r>
        <w:t xml:space="preserve">certificate for a domestic </w:t>
      </w:r>
      <w:r w:rsidR="0024279C">
        <w:t>compared to</w:t>
      </w:r>
      <w:r>
        <w:t xml:space="preserve"> a foreign </w:t>
      </w:r>
      <w:r w:rsidR="0024279C">
        <w:t>applicant</w:t>
      </w:r>
      <w:r>
        <w:t>.</w:t>
      </w:r>
    </w:p>
    <w:p w14:paraId="62FF637F" w14:textId="6631CB5E" w:rsidR="00E9734E" w:rsidRDefault="00E9734E" w:rsidP="00212829">
      <w:pPr>
        <w:pStyle w:val="BodyText"/>
      </w:pPr>
      <w:r>
        <w:t xml:space="preserve">She </w:t>
      </w:r>
      <w:r w:rsidR="0024279C">
        <w:t>noted</w:t>
      </w:r>
      <w:r>
        <w:t xml:space="preserve"> that the EU </w:t>
      </w:r>
      <w:r w:rsidR="0024279C">
        <w:t xml:space="preserve">was raising </w:t>
      </w:r>
      <w:r>
        <w:t xml:space="preserve">these questions </w:t>
      </w:r>
      <w:r w:rsidR="0024279C">
        <w:t>at the IL </w:t>
      </w:r>
      <w:r>
        <w:t xml:space="preserve">Committee </w:t>
      </w:r>
      <w:r w:rsidR="0024279C">
        <w:t xml:space="preserve">because </w:t>
      </w:r>
      <w:r>
        <w:t>the procedures for obtaining GMP</w:t>
      </w:r>
      <w:r w:rsidR="0024279C">
        <w:t> </w:t>
      </w:r>
      <w:r>
        <w:t xml:space="preserve">certificates for an importer could be understood as </w:t>
      </w:r>
      <w:r w:rsidR="0024279C">
        <w:t xml:space="preserve">a </w:t>
      </w:r>
      <w:r>
        <w:t>"</w:t>
      </w:r>
      <w:r w:rsidR="0024279C">
        <w:t>licence</w:t>
      </w:r>
      <w:r>
        <w:t>"</w:t>
      </w:r>
      <w:r w:rsidR="0024279C">
        <w:t>,</w:t>
      </w:r>
      <w:r>
        <w:t xml:space="preserve"> </w:t>
      </w:r>
      <w:r w:rsidR="0024279C">
        <w:t xml:space="preserve">thus </w:t>
      </w:r>
      <w:r>
        <w:t>fall</w:t>
      </w:r>
      <w:r w:rsidR="0024279C">
        <w:t>ing within the scope of Article </w:t>
      </w:r>
      <w:r>
        <w:t xml:space="preserve">1.1 of </w:t>
      </w:r>
      <w:r w:rsidR="00212829">
        <w:t>the Import Licensing Agreement.</w:t>
      </w:r>
    </w:p>
    <w:p w14:paraId="7A98E689" w14:textId="114C29C3" w:rsidR="00E9734E" w:rsidRDefault="00E9734E" w:rsidP="00212829">
      <w:pPr>
        <w:pStyle w:val="BodyText"/>
      </w:pPr>
      <w:r>
        <w:t xml:space="preserve">The EU </w:t>
      </w:r>
      <w:r w:rsidR="0078259E">
        <w:t>wished the Russian Federation</w:t>
      </w:r>
      <w:r>
        <w:t xml:space="preserve"> to clarify </w:t>
      </w:r>
      <w:proofErr w:type="gramStart"/>
      <w:r>
        <w:t xml:space="preserve">whether </w:t>
      </w:r>
      <w:r w:rsidR="0078259E">
        <w:t>or not</w:t>
      </w:r>
      <w:proofErr w:type="gramEnd"/>
      <w:r w:rsidR="0078259E">
        <w:t xml:space="preserve"> it had </w:t>
      </w:r>
      <w:r>
        <w:t>envisaged any amendments to the current procedures</w:t>
      </w:r>
      <w:r w:rsidR="0078259E">
        <w:t>,</w:t>
      </w:r>
      <w:r>
        <w:t xml:space="preserve"> and </w:t>
      </w:r>
      <w:r w:rsidR="0078259E">
        <w:t xml:space="preserve">also if it </w:t>
      </w:r>
      <w:r>
        <w:t xml:space="preserve">could confirm that a bill of law had been sent to the Duma early </w:t>
      </w:r>
      <w:r w:rsidR="0078259E">
        <w:t xml:space="preserve">in </w:t>
      </w:r>
      <w:r>
        <w:t xml:space="preserve">2018? Any information regarding the </w:t>
      </w:r>
      <w:proofErr w:type="gramStart"/>
      <w:r>
        <w:t xml:space="preserve">current </w:t>
      </w:r>
      <w:r w:rsidR="0078259E">
        <w:t>status</w:t>
      </w:r>
      <w:proofErr w:type="gramEnd"/>
      <w:r w:rsidR="0078259E">
        <w:t xml:space="preserve"> </w:t>
      </w:r>
      <w:r>
        <w:t xml:space="preserve">of this draft law </w:t>
      </w:r>
      <w:r w:rsidR="0078259E">
        <w:t xml:space="preserve">would </w:t>
      </w:r>
      <w:r>
        <w:t xml:space="preserve">also </w:t>
      </w:r>
      <w:r w:rsidR="0078259E">
        <w:t xml:space="preserve">be </w:t>
      </w:r>
      <w:r>
        <w:t xml:space="preserve">appreciated. In addition, the EU would welcome </w:t>
      </w:r>
      <w:r w:rsidR="0078259E">
        <w:t xml:space="preserve">any </w:t>
      </w:r>
      <w:r>
        <w:t xml:space="preserve">information on </w:t>
      </w:r>
      <w:r w:rsidR="0078259E">
        <w:t xml:space="preserve">relevant </w:t>
      </w:r>
      <w:r>
        <w:t>rules</w:t>
      </w:r>
      <w:r w:rsidR="0078259E">
        <w:t xml:space="preserve"> and procedures to allow </w:t>
      </w:r>
      <w:r>
        <w:t>operators to rectify formal errors in their GMP</w:t>
      </w:r>
      <w:r w:rsidR="0078259E">
        <w:t> </w:t>
      </w:r>
      <w:r>
        <w:t xml:space="preserve">certification applications once </w:t>
      </w:r>
      <w:r w:rsidR="0078259E">
        <w:t xml:space="preserve">these had been </w:t>
      </w:r>
      <w:r>
        <w:t>submitted to the Russian authorities.</w:t>
      </w:r>
    </w:p>
    <w:p w14:paraId="56D10915" w14:textId="3037E125" w:rsidR="00E9734E" w:rsidRDefault="00E9734E" w:rsidP="00212829">
      <w:pPr>
        <w:pStyle w:val="BodyText"/>
      </w:pPr>
      <w:r>
        <w:t xml:space="preserve">In response, the representative of the </w:t>
      </w:r>
      <w:r w:rsidRPr="00B93C6B">
        <w:rPr>
          <w:u w:val="single"/>
        </w:rPr>
        <w:t>Russian Federation</w:t>
      </w:r>
      <w:r>
        <w:t xml:space="preserve"> thanked the EU for </w:t>
      </w:r>
      <w:r w:rsidR="00B11F42">
        <w:t xml:space="preserve">its </w:t>
      </w:r>
      <w:r>
        <w:t xml:space="preserve">questions. She pointed out that her delegation had recently submitted </w:t>
      </w:r>
      <w:r w:rsidR="00B11F42">
        <w:t xml:space="preserve">to the Secretariat </w:t>
      </w:r>
      <w:r>
        <w:t xml:space="preserve">a new reply to the annual questions and </w:t>
      </w:r>
      <w:r w:rsidR="00B11F42">
        <w:t xml:space="preserve">that this </w:t>
      </w:r>
      <w:r>
        <w:t xml:space="preserve">notification would be circulated shortly. </w:t>
      </w:r>
      <w:r w:rsidR="00B11F42">
        <w:t xml:space="preserve">Concerning the EU's </w:t>
      </w:r>
      <w:r>
        <w:t xml:space="preserve">other questions, she replied that internal consultations </w:t>
      </w:r>
      <w:r w:rsidR="00B11F42">
        <w:t>were being</w:t>
      </w:r>
      <w:r>
        <w:t xml:space="preserve"> held among </w:t>
      </w:r>
      <w:r w:rsidR="00B11F42">
        <w:t xml:space="preserve">the relevant </w:t>
      </w:r>
      <w:r>
        <w:t xml:space="preserve">authorities in </w:t>
      </w:r>
      <w:r w:rsidR="00B11F42">
        <w:t>Capital</w:t>
      </w:r>
      <w:r>
        <w:t xml:space="preserve">. </w:t>
      </w:r>
      <w:r w:rsidR="00B11F42">
        <w:t xml:space="preserve">In </w:t>
      </w:r>
      <w:r>
        <w:t xml:space="preserve">the meantime, </w:t>
      </w:r>
      <w:r w:rsidR="00B11F42">
        <w:t xml:space="preserve">she emphasized that, </w:t>
      </w:r>
      <w:r>
        <w:t>in Russia</w:t>
      </w:r>
      <w:r w:rsidR="00A03F00">
        <w:t>'</w:t>
      </w:r>
      <w:r>
        <w:t xml:space="preserve">s view, the Good Manufacturing Practices </w:t>
      </w:r>
      <w:r w:rsidR="00884EC3">
        <w:t>fell under the scope of</w:t>
      </w:r>
      <w:r>
        <w:t xml:space="preserve"> the TBT</w:t>
      </w:r>
      <w:r w:rsidR="00884EC3">
        <w:t> </w:t>
      </w:r>
      <w:r>
        <w:t>Agreement rather than the Agreement on Import Licensing Procedures.</w:t>
      </w:r>
    </w:p>
    <w:p w14:paraId="2C565973" w14:textId="0BB3651A" w:rsidR="00E9734E" w:rsidRPr="00B93C6B" w:rsidRDefault="00884EC3" w:rsidP="00187760">
      <w:pPr>
        <w:pStyle w:val="Heading2"/>
        <w:rPr>
          <w:lang w:val="fr-CH"/>
        </w:rPr>
      </w:pPr>
      <w:bookmarkStart w:id="7" w:name="_Toc525116409"/>
      <w:r w:rsidRPr="00B93C6B">
        <w:rPr>
          <w:lang w:val="fr-CH"/>
        </w:rPr>
        <w:lastRenderedPageBreak/>
        <w:t>Document </w:t>
      </w:r>
      <w:r w:rsidR="00E9734E" w:rsidRPr="00B93C6B">
        <w:rPr>
          <w:lang w:val="fr-CH"/>
        </w:rPr>
        <w:t>G/LIC/Q/VNM/7</w:t>
      </w:r>
      <w:bookmarkEnd w:id="7"/>
    </w:p>
    <w:p w14:paraId="07B25D0F" w14:textId="7BF35194" w:rsidR="00E9734E" w:rsidRDefault="00E9734E" w:rsidP="00212829">
      <w:pPr>
        <w:pStyle w:val="BodyText"/>
      </w:pPr>
      <w:r>
        <w:t xml:space="preserve">The representative of the </w:t>
      </w:r>
      <w:r w:rsidRPr="00B93C6B">
        <w:rPr>
          <w:u w:val="single"/>
        </w:rPr>
        <w:t>United States</w:t>
      </w:r>
      <w:r>
        <w:t xml:space="preserve"> thanked Viet Nam for addressing their concerns and </w:t>
      </w:r>
      <w:r w:rsidR="00884EC3">
        <w:t>indicated that currently the US</w:t>
      </w:r>
      <w:r w:rsidR="00212829">
        <w:t xml:space="preserve"> had no </w:t>
      </w:r>
      <w:r w:rsidR="008A380E">
        <w:t>further</w:t>
      </w:r>
      <w:r w:rsidR="00212829">
        <w:t xml:space="preserve"> questions.</w:t>
      </w:r>
    </w:p>
    <w:p w14:paraId="60A8B87A" w14:textId="239B4237" w:rsidR="00E9734E" w:rsidRDefault="00E9734E" w:rsidP="00212829">
      <w:pPr>
        <w:pStyle w:val="BodyText"/>
      </w:pPr>
      <w:r>
        <w:t xml:space="preserve">The representative of the </w:t>
      </w:r>
      <w:r w:rsidRPr="00B93C6B">
        <w:rPr>
          <w:u w:val="single"/>
        </w:rPr>
        <w:t>European Union</w:t>
      </w:r>
      <w:r>
        <w:t xml:space="preserve"> indicated that the EU </w:t>
      </w:r>
      <w:r w:rsidR="007759DF">
        <w:t xml:space="preserve">had </w:t>
      </w:r>
      <w:r>
        <w:t xml:space="preserve">appreciated </w:t>
      </w:r>
      <w:r w:rsidR="007759DF">
        <w:t xml:space="preserve">Viet Nam's </w:t>
      </w:r>
      <w:r>
        <w:t xml:space="preserve">efforts </w:t>
      </w:r>
      <w:r w:rsidR="007759DF">
        <w:t xml:space="preserve">when </w:t>
      </w:r>
      <w:r>
        <w:t xml:space="preserve">preparing </w:t>
      </w:r>
      <w:r w:rsidR="007759DF">
        <w:t xml:space="preserve">its </w:t>
      </w:r>
      <w:r>
        <w:t>replies to the questions</w:t>
      </w:r>
      <w:r w:rsidR="007759DF">
        <w:t xml:space="preserve"> from the US</w:t>
      </w:r>
      <w:r>
        <w:t xml:space="preserve">. However, her delegation noted that the last annual notification submitted by Viet Nam dated back to 2014. The EU </w:t>
      </w:r>
      <w:r w:rsidR="007759DF">
        <w:t>wished</w:t>
      </w:r>
      <w:r>
        <w:t xml:space="preserve"> to </w:t>
      </w:r>
      <w:r w:rsidR="007759DF">
        <w:t xml:space="preserve">understand </w:t>
      </w:r>
      <w:r>
        <w:t xml:space="preserve">the reasons for </w:t>
      </w:r>
      <w:r w:rsidR="007759DF">
        <w:t xml:space="preserve">this, </w:t>
      </w:r>
      <w:r>
        <w:t xml:space="preserve">as well as </w:t>
      </w:r>
      <w:r w:rsidR="007759DF">
        <w:t xml:space="preserve">to learn of </w:t>
      </w:r>
      <w:r>
        <w:t xml:space="preserve">any actions </w:t>
      </w:r>
      <w:r w:rsidR="007759DF">
        <w:t xml:space="preserve">being taken </w:t>
      </w:r>
      <w:r>
        <w:t xml:space="preserve">by Viet Nam </w:t>
      </w:r>
      <w:proofErr w:type="gramStart"/>
      <w:r w:rsidR="007759DF">
        <w:t>so as to</w:t>
      </w:r>
      <w:proofErr w:type="gramEnd"/>
      <w:r w:rsidR="007759DF">
        <w:t xml:space="preserve"> enable it </w:t>
      </w:r>
      <w:r>
        <w:t xml:space="preserve">to </w:t>
      </w:r>
      <w:r w:rsidR="007759DF">
        <w:t xml:space="preserve">catch up on </w:t>
      </w:r>
      <w:r>
        <w:t>its outstanding notifications.</w:t>
      </w:r>
    </w:p>
    <w:p w14:paraId="43BA0AB8" w14:textId="24DC30D3" w:rsidR="00E9734E" w:rsidRPr="00B93C6B" w:rsidRDefault="007759DF" w:rsidP="00187760">
      <w:pPr>
        <w:pStyle w:val="Heading2"/>
        <w:rPr>
          <w:lang w:val="fr-CH"/>
        </w:rPr>
      </w:pPr>
      <w:bookmarkStart w:id="8" w:name="_Toc525116410"/>
      <w:r w:rsidRPr="00B93C6B">
        <w:rPr>
          <w:lang w:val="fr-CH"/>
        </w:rPr>
        <w:t>Document </w:t>
      </w:r>
      <w:r w:rsidR="00E9734E" w:rsidRPr="00B93C6B">
        <w:rPr>
          <w:lang w:val="fr-CH"/>
        </w:rPr>
        <w:t>G/LIC/Q/BRA/22</w:t>
      </w:r>
      <w:bookmarkEnd w:id="8"/>
    </w:p>
    <w:p w14:paraId="533A0BFC" w14:textId="3FE26B86" w:rsidR="00E9734E" w:rsidRDefault="00E9734E" w:rsidP="00212829">
      <w:pPr>
        <w:pStyle w:val="BodyText"/>
      </w:pPr>
      <w:r>
        <w:t xml:space="preserve">The representative of the </w:t>
      </w:r>
      <w:r w:rsidRPr="00B93C6B">
        <w:rPr>
          <w:u w:val="single"/>
        </w:rPr>
        <w:t>European Union</w:t>
      </w:r>
      <w:r>
        <w:t xml:space="preserve"> recalled Brazil</w:t>
      </w:r>
      <w:r w:rsidR="00A03F00">
        <w:t>'</w:t>
      </w:r>
      <w:r>
        <w:t>s commitment last year to revise its annual notification (as well as its quantitative restrictions notification)</w:t>
      </w:r>
      <w:r w:rsidR="00450D93">
        <w:t>,</w:t>
      </w:r>
      <w:r>
        <w:t xml:space="preserve"> and </w:t>
      </w:r>
      <w:r w:rsidR="00450D93">
        <w:t xml:space="preserve">to </w:t>
      </w:r>
      <w:r>
        <w:t xml:space="preserve">clarify the import licensing procedures </w:t>
      </w:r>
      <w:r w:rsidR="00450D93">
        <w:t xml:space="preserve">applied </w:t>
      </w:r>
      <w:r w:rsidR="009A68AF">
        <w:t>by</w:t>
      </w:r>
      <w:r w:rsidR="00450D93">
        <w:t xml:space="preserve"> Brazil to </w:t>
      </w:r>
      <w:r>
        <w:t>import</w:t>
      </w:r>
      <w:r w:rsidR="00450D93">
        <w:t>s</w:t>
      </w:r>
      <w:r>
        <w:t xml:space="preserve"> of nitrocellulose</w:t>
      </w:r>
      <w:r w:rsidR="00450D93">
        <w:t xml:space="preserve">; in this regard, the </w:t>
      </w:r>
      <w:r>
        <w:t>EU regretted that Brazil had not yet submitted its annual notification for 2017</w:t>
      </w:r>
      <w:r w:rsidR="00450D93">
        <w:t>,</w:t>
      </w:r>
      <w:r>
        <w:t xml:space="preserve"> and asked Brazil to </w:t>
      </w:r>
      <w:r w:rsidR="009A68AF">
        <w:t xml:space="preserve">indicate </w:t>
      </w:r>
      <w:r>
        <w:t xml:space="preserve">when it would do so and </w:t>
      </w:r>
      <w:r w:rsidR="00450D93">
        <w:t xml:space="preserve">to explain </w:t>
      </w:r>
      <w:r>
        <w:t xml:space="preserve">the reasons </w:t>
      </w:r>
      <w:r w:rsidR="00450D93">
        <w:t xml:space="preserve">behind </w:t>
      </w:r>
      <w:r>
        <w:t>the delay.</w:t>
      </w:r>
    </w:p>
    <w:p w14:paraId="74EAA5E6" w14:textId="12F6A1B4" w:rsidR="00E9734E" w:rsidRDefault="00E9734E" w:rsidP="00212829">
      <w:pPr>
        <w:pStyle w:val="BodyText"/>
      </w:pPr>
      <w:r>
        <w:t xml:space="preserve">The EU continued to </w:t>
      </w:r>
      <w:r w:rsidR="00450D93">
        <w:t xml:space="preserve">be </w:t>
      </w:r>
      <w:r>
        <w:t>concern</w:t>
      </w:r>
      <w:r w:rsidR="00450D93">
        <w:t>ed</w:t>
      </w:r>
      <w:r>
        <w:t xml:space="preserve"> </w:t>
      </w:r>
      <w:r w:rsidR="00450D93">
        <w:t xml:space="preserve">over </w:t>
      </w:r>
      <w:r>
        <w:t xml:space="preserve">the importation of nitrocellulose for industrial use and, to further clarify </w:t>
      </w:r>
      <w:r w:rsidR="00450D93">
        <w:t xml:space="preserve">the </w:t>
      </w:r>
      <w:r>
        <w:t xml:space="preserve">issue, </w:t>
      </w:r>
      <w:r w:rsidR="00450D93">
        <w:t xml:space="preserve">had recently </w:t>
      </w:r>
      <w:r>
        <w:t>submitted a new set of questions. The EU thanked Brazil for its replies</w:t>
      </w:r>
      <w:r w:rsidR="00450D93">
        <w:t>,</w:t>
      </w:r>
      <w:r>
        <w:t xml:space="preserve"> </w:t>
      </w:r>
      <w:r w:rsidR="00450D93">
        <w:t xml:space="preserve">which </w:t>
      </w:r>
      <w:r>
        <w:t xml:space="preserve">were currently under </w:t>
      </w:r>
      <w:r w:rsidR="00450D93">
        <w:t xml:space="preserve">review. Her </w:t>
      </w:r>
      <w:r>
        <w:t>delegation would rev</w:t>
      </w:r>
      <w:r w:rsidR="00212829">
        <w:t xml:space="preserve">ert to Brazil </w:t>
      </w:r>
      <w:r w:rsidR="00450D93">
        <w:t xml:space="preserve">on this issue </w:t>
      </w:r>
      <w:r w:rsidR="00212829">
        <w:t>at a later stage.</w:t>
      </w:r>
    </w:p>
    <w:p w14:paraId="68EB6336" w14:textId="00BA80CD" w:rsidR="00E9734E" w:rsidRDefault="00E9734E" w:rsidP="00212829">
      <w:pPr>
        <w:pStyle w:val="BodyText"/>
      </w:pPr>
      <w:r>
        <w:t xml:space="preserve">She reiterated that a stability test </w:t>
      </w:r>
      <w:r w:rsidR="00002E89">
        <w:t xml:space="preserve">on </w:t>
      </w:r>
      <w:r>
        <w:t xml:space="preserve">industrial nitrocellulose </w:t>
      </w:r>
      <w:r w:rsidR="00DF7316">
        <w:t xml:space="preserve">had demonstrated </w:t>
      </w:r>
      <w:r>
        <w:t>that EU</w:t>
      </w:r>
      <w:r w:rsidR="00DF7316">
        <w:t> </w:t>
      </w:r>
      <w:r>
        <w:t>products had the highest safety standards worldwide</w:t>
      </w:r>
      <w:r w:rsidR="00DF7316">
        <w:t>,</w:t>
      </w:r>
      <w:r>
        <w:t xml:space="preserve"> and that these products were stable and would not </w:t>
      </w:r>
      <w:r w:rsidR="00DF7316">
        <w:t xml:space="preserve">decompose </w:t>
      </w:r>
      <w:r>
        <w:t>dangerous</w:t>
      </w:r>
      <w:r w:rsidR="00DF7316">
        <w:t>ly</w:t>
      </w:r>
      <w:r>
        <w:t xml:space="preserve">, even if they </w:t>
      </w:r>
      <w:r w:rsidR="00DF7316">
        <w:t>dried out</w:t>
      </w:r>
      <w:r>
        <w:t xml:space="preserve">. In this </w:t>
      </w:r>
      <w:r w:rsidR="00DF7316">
        <w:t>regard</w:t>
      </w:r>
      <w:r>
        <w:t xml:space="preserve">, she recalled that </w:t>
      </w:r>
      <w:r w:rsidR="00DF7316">
        <w:t xml:space="preserve">the </w:t>
      </w:r>
      <w:r>
        <w:t>competent authorities in Brazil allowed for the transportation and use of around 9</w:t>
      </w:r>
      <w:r w:rsidR="00DF7316">
        <w:t>,</w:t>
      </w:r>
      <w:r>
        <w:t>000</w:t>
      </w:r>
      <w:r w:rsidR="00DF7316">
        <w:t> </w:t>
      </w:r>
      <w:r>
        <w:t>ton</w:t>
      </w:r>
      <w:r w:rsidR="00CA385D">
        <w:t>ne</w:t>
      </w:r>
      <w:r>
        <w:t xml:space="preserve">s of industrial nitrocellulose </w:t>
      </w:r>
      <w:r w:rsidR="00DF7316">
        <w:t>from</w:t>
      </w:r>
      <w:r>
        <w:t xml:space="preserve"> </w:t>
      </w:r>
      <w:r w:rsidR="00DF7316">
        <w:t>Brazil's</w:t>
      </w:r>
      <w:r>
        <w:t xml:space="preserve"> monopolist producer</w:t>
      </w:r>
      <w:r w:rsidR="00DF7316">
        <w:t>,</w:t>
      </w:r>
      <w:r>
        <w:t xml:space="preserve"> NQB</w:t>
      </w:r>
      <w:r w:rsidR="00DF7316">
        <w:t>,</w:t>
      </w:r>
      <w:r>
        <w:t xml:space="preserve"> in printing ink, wood coating</w:t>
      </w:r>
      <w:r w:rsidR="00DF7316">
        <w:t>,</w:t>
      </w:r>
      <w:r>
        <w:t xml:space="preserve"> and other </w:t>
      </w:r>
      <w:r w:rsidR="00DF7316">
        <w:t>end-</w:t>
      </w:r>
      <w:r>
        <w:t xml:space="preserve">user industries in Brazil. </w:t>
      </w:r>
      <w:r w:rsidR="00DF7316">
        <w:t xml:space="preserve">On these grounds, she </w:t>
      </w:r>
      <w:r>
        <w:t xml:space="preserve">argued that national security in Brazil would not be negatively </w:t>
      </w:r>
      <w:r w:rsidR="00DF7316">
        <w:t xml:space="preserve">affected </w:t>
      </w:r>
      <w:r>
        <w:t>by EU</w:t>
      </w:r>
      <w:r w:rsidR="00DF7316">
        <w:t> </w:t>
      </w:r>
      <w:r>
        <w:t xml:space="preserve">imports. The EU asked Brazil to comment on this </w:t>
      </w:r>
      <w:proofErr w:type="gramStart"/>
      <w:r w:rsidR="00DF7316">
        <w:t xml:space="preserve">particular </w:t>
      </w:r>
      <w:r>
        <w:t>aspect</w:t>
      </w:r>
      <w:proofErr w:type="gramEnd"/>
      <w:r w:rsidR="00DF7316">
        <w:t>,</w:t>
      </w:r>
      <w:r>
        <w:t xml:space="preserve"> and </w:t>
      </w:r>
      <w:r w:rsidR="00DF7316">
        <w:t xml:space="preserve">to </w:t>
      </w:r>
      <w:r>
        <w:t>repl</w:t>
      </w:r>
      <w:r w:rsidR="00212829">
        <w:t xml:space="preserve">y </w:t>
      </w:r>
      <w:r w:rsidR="00DF7316">
        <w:t xml:space="preserve">in writing </w:t>
      </w:r>
      <w:r w:rsidR="00212829">
        <w:t xml:space="preserve">to </w:t>
      </w:r>
      <w:r w:rsidR="00DF7316">
        <w:t xml:space="preserve">the </w:t>
      </w:r>
      <w:r w:rsidR="00212829">
        <w:t>EU</w:t>
      </w:r>
      <w:r w:rsidR="00A03F00">
        <w:t>'</w:t>
      </w:r>
      <w:r w:rsidR="00212829">
        <w:t>s questions in writing.</w:t>
      </w:r>
    </w:p>
    <w:p w14:paraId="2949F5CC" w14:textId="2B65AF5D" w:rsidR="00E9734E" w:rsidRDefault="00E9734E" w:rsidP="00212829">
      <w:pPr>
        <w:pStyle w:val="BodyText"/>
      </w:pPr>
      <w:r>
        <w:t xml:space="preserve">In response, the representative of </w:t>
      </w:r>
      <w:r w:rsidRPr="00B93C6B">
        <w:rPr>
          <w:u w:val="single"/>
        </w:rPr>
        <w:t>Brazil</w:t>
      </w:r>
      <w:r>
        <w:t xml:space="preserve"> thanked the EU for this opportunity to further clarify </w:t>
      </w:r>
      <w:r w:rsidR="00DF7316">
        <w:t xml:space="preserve">Brazil's </w:t>
      </w:r>
      <w:r>
        <w:t xml:space="preserve">import licensing regime for nitrocellulose. He informed the Committee that a written reply </w:t>
      </w:r>
      <w:r w:rsidR="00DF7316">
        <w:t xml:space="preserve">had been </w:t>
      </w:r>
      <w:r>
        <w:t xml:space="preserve">submitted by Brazil and would </w:t>
      </w:r>
      <w:r w:rsidR="00DF7316">
        <w:t xml:space="preserve">shortly </w:t>
      </w:r>
      <w:r>
        <w:t>be circulated. He reiterated that Brazil</w:t>
      </w:r>
      <w:r w:rsidR="00A03F00">
        <w:t>'</w:t>
      </w:r>
      <w:r>
        <w:t xml:space="preserve">s regime </w:t>
      </w:r>
      <w:r w:rsidR="00DF7316">
        <w:t xml:space="preserve">applied to </w:t>
      </w:r>
      <w:r>
        <w:t>the importation of nitrocellulose was fully compatible with WTO</w:t>
      </w:r>
      <w:r w:rsidR="00DF7316">
        <w:t> </w:t>
      </w:r>
      <w:r>
        <w:t xml:space="preserve">rules and rejected any suggestion to the </w:t>
      </w:r>
      <w:r w:rsidR="00212829">
        <w:t>contrary.</w:t>
      </w:r>
    </w:p>
    <w:p w14:paraId="15674B29" w14:textId="77777777" w:rsidR="00E9734E" w:rsidRDefault="00212829" w:rsidP="00212829">
      <w:pPr>
        <w:pStyle w:val="BodyText"/>
      </w:pPr>
      <w:r>
        <w:t>He clarified that:</w:t>
      </w:r>
    </w:p>
    <w:p w14:paraId="41B8F1FA" w14:textId="6F7EA0EE" w:rsidR="00E9734E" w:rsidRDefault="00E9734E" w:rsidP="00DF7316">
      <w:pPr>
        <w:ind w:left="1134" w:hanging="567"/>
      </w:pPr>
      <w:r>
        <w:t>(</w:t>
      </w:r>
      <w:proofErr w:type="spellStart"/>
      <w:r w:rsidR="00E06264">
        <w:t>i</w:t>
      </w:r>
      <w:proofErr w:type="spellEnd"/>
      <w:r>
        <w:t>)</w:t>
      </w:r>
      <w:r>
        <w:tab/>
        <w:t>Imports of nitrocellulose</w:t>
      </w:r>
      <w:r w:rsidR="00036356">
        <w:t>,</w:t>
      </w:r>
      <w:r>
        <w:t xml:space="preserve"> as well as </w:t>
      </w:r>
      <w:r w:rsidR="009A68AF">
        <w:t xml:space="preserve">of </w:t>
      </w:r>
      <w:r>
        <w:t>all chemicals containing a</w:t>
      </w:r>
      <w:r w:rsidR="00B93C6B">
        <w:t xml:space="preserve"> </w:t>
      </w:r>
      <w:r>
        <w:t>certain nitrocellulose content</w:t>
      </w:r>
      <w:r w:rsidR="00036356">
        <w:t>,</w:t>
      </w:r>
      <w:r>
        <w:t xml:space="preserve"> </w:t>
      </w:r>
      <w:r w:rsidR="00036356">
        <w:t>was</w:t>
      </w:r>
      <w:r>
        <w:t xml:space="preserve"> not prohibited but </w:t>
      </w:r>
      <w:r w:rsidR="00036356">
        <w:t xml:space="preserve">was </w:t>
      </w:r>
      <w:r>
        <w:t>subject to prior licens</w:t>
      </w:r>
      <w:r w:rsidR="00036356">
        <w:t>ing because of safety risks;</w:t>
      </w:r>
    </w:p>
    <w:p w14:paraId="6F27E8E5" w14:textId="77777777" w:rsidR="00E9734E" w:rsidRDefault="00E9734E" w:rsidP="00E9734E"/>
    <w:p w14:paraId="691E9AAA" w14:textId="5877BAA5" w:rsidR="00E9734E" w:rsidRDefault="00DF7316" w:rsidP="00DF7316">
      <w:pPr>
        <w:ind w:left="1134" w:hanging="567"/>
      </w:pPr>
      <w:r>
        <w:t>(</w:t>
      </w:r>
      <w:r w:rsidR="00E06264">
        <w:t>ii</w:t>
      </w:r>
      <w:r>
        <w:t>)</w:t>
      </w:r>
      <w:r w:rsidR="00E9734E">
        <w:tab/>
      </w:r>
      <w:r w:rsidR="00036356">
        <w:t xml:space="preserve">nitrocellulose </w:t>
      </w:r>
      <w:r w:rsidR="00E9734E">
        <w:t>required particularly strict control</w:t>
      </w:r>
      <w:r w:rsidR="00036356">
        <w:t>s</w:t>
      </w:r>
      <w:r w:rsidR="00E9734E">
        <w:t xml:space="preserve"> due to its explosive </w:t>
      </w:r>
      <w:r w:rsidR="00036356">
        <w:t xml:space="preserve">nature </w:t>
      </w:r>
      <w:r w:rsidR="00E9734E">
        <w:t xml:space="preserve">and </w:t>
      </w:r>
      <w:r w:rsidR="00036356">
        <w:t xml:space="preserve">its </w:t>
      </w:r>
      <w:r w:rsidR="00E9734E">
        <w:t>detonation speed. All products classified under HS</w:t>
      </w:r>
      <w:r w:rsidR="00036356">
        <w:t> </w:t>
      </w:r>
      <w:r w:rsidR="00E9734E">
        <w:t>subheading 3920</w:t>
      </w:r>
      <w:r w:rsidR="00036356">
        <w:t>.</w:t>
      </w:r>
      <w:r w:rsidR="00E9734E">
        <w:t>12</w:t>
      </w:r>
      <w:r w:rsidR="00036356">
        <w:t>,</w:t>
      </w:r>
      <w:r w:rsidR="00E9734E">
        <w:t xml:space="preserve"> even those with lower nitrogen concentrations</w:t>
      </w:r>
      <w:r w:rsidR="00036356">
        <w:t>,</w:t>
      </w:r>
      <w:r w:rsidR="00E9734E">
        <w:t xml:space="preserve"> </w:t>
      </w:r>
      <w:r w:rsidR="00036356">
        <w:t xml:space="preserve">had </w:t>
      </w:r>
      <w:r w:rsidR="00E9734E">
        <w:t>these characteristics. For this reason, Brazilian statistics and the WCO</w:t>
      </w:r>
      <w:r w:rsidR="00036356">
        <w:t> </w:t>
      </w:r>
      <w:r w:rsidR="00E9734E">
        <w:t xml:space="preserve">itself did not distinguish between products with </w:t>
      </w:r>
      <w:r w:rsidR="00036356">
        <w:t xml:space="preserve">a </w:t>
      </w:r>
      <w:r w:rsidR="00E9734E">
        <w:t xml:space="preserve">greater or </w:t>
      </w:r>
      <w:proofErr w:type="gramStart"/>
      <w:r w:rsidR="00036356">
        <w:t xml:space="preserve">a </w:t>
      </w:r>
      <w:r w:rsidR="00E9734E">
        <w:t>lesser degree of</w:t>
      </w:r>
      <w:proofErr w:type="gramEnd"/>
      <w:r w:rsidR="00E9734E">
        <w:t xml:space="preserve"> nitrogen concentration</w:t>
      </w:r>
      <w:r w:rsidR="00036356">
        <w:t>,</w:t>
      </w:r>
      <w:r w:rsidR="00E9734E">
        <w:t xml:space="preserve"> or between products </w:t>
      </w:r>
      <w:r>
        <w:t>for military or industrial use</w:t>
      </w:r>
      <w:r w:rsidR="00036356">
        <w:t>;</w:t>
      </w:r>
    </w:p>
    <w:p w14:paraId="5620672A" w14:textId="77777777" w:rsidR="00E9734E" w:rsidRDefault="00E9734E" w:rsidP="00E9734E"/>
    <w:p w14:paraId="34229651" w14:textId="744222B0" w:rsidR="00E9734E" w:rsidRDefault="00E9734E" w:rsidP="00DF7316">
      <w:pPr>
        <w:ind w:left="1134" w:hanging="567"/>
      </w:pPr>
      <w:r>
        <w:t>(</w:t>
      </w:r>
      <w:r w:rsidR="00E06264">
        <w:t>iii</w:t>
      </w:r>
      <w:r>
        <w:t>)</w:t>
      </w:r>
      <w:r>
        <w:tab/>
        <w:t>Brazil did not agree that industrial nitrocellulose and military nitrocellulose were distinct products based solely on nitrogen concentration. Therefore</w:t>
      </w:r>
      <w:r w:rsidR="00036356">
        <w:t>,</w:t>
      </w:r>
      <w:r>
        <w:t xml:space="preserve"> the statement </w:t>
      </w:r>
      <w:r w:rsidR="00036356">
        <w:t xml:space="preserve">contained in Question </w:t>
      </w:r>
      <w:r>
        <w:t>No.</w:t>
      </w:r>
      <w:r w:rsidR="00036356">
        <w:t> </w:t>
      </w:r>
      <w:r>
        <w:t xml:space="preserve">4 of </w:t>
      </w:r>
      <w:r w:rsidR="00036356">
        <w:t>document </w:t>
      </w:r>
      <w:r>
        <w:t>G/LIC/Q/BRA/22</w:t>
      </w:r>
      <w:r w:rsidR="00036356">
        <w:t>,</w:t>
      </w:r>
      <w:r>
        <w:t xml:space="preserve"> affirming that Brazil agreed that there was a difference between military and industrial use n</w:t>
      </w:r>
      <w:r w:rsidR="00DF7316">
        <w:t>itrocellulose was simply wrong</w:t>
      </w:r>
      <w:r w:rsidR="00036356">
        <w:t>;</w:t>
      </w:r>
    </w:p>
    <w:p w14:paraId="2DED7605" w14:textId="77777777" w:rsidR="00E9734E" w:rsidRDefault="00E9734E" w:rsidP="00E9734E"/>
    <w:p w14:paraId="09D57A6E" w14:textId="4C3356E8" w:rsidR="00E9734E" w:rsidRDefault="00E9734E" w:rsidP="00DF7316">
      <w:pPr>
        <w:ind w:left="1134" w:hanging="567"/>
      </w:pPr>
      <w:r>
        <w:t>(</w:t>
      </w:r>
      <w:r w:rsidR="00E06264">
        <w:t>iv</w:t>
      </w:r>
      <w:r>
        <w:t>)</w:t>
      </w:r>
      <w:r>
        <w:tab/>
      </w:r>
      <w:r w:rsidR="00106A9D">
        <w:t>given</w:t>
      </w:r>
      <w:r>
        <w:t xml:space="preserve"> its </w:t>
      </w:r>
      <w:r w:rsidR="00106A9D">
        <w:t>characteristics</w:t>
      </w:r>
      <w:r>
        <w:t xml:space="preserve">, nitrocellulose </w:t>
      </w:r>
      <w:r w:rsidR="00106A9D">
        <w:t xml:space="preserve">could potentially be used </w:t>
      </w:r>
      <w:r>
        <w:t xml:space="preserve">in the production chain of items that might </w:t>
      </w:r>
      <w:r w:rsidR="00106A9D">
        <w:t xml:space="preserve">then </w:t>
      </w:r>
      <w:r>
        <w:t xml:space="preserve">compromise national defence and public safety. The risks </w:t>
      </w:r>
      <w:r w:rsidR="00106A9D">
        <w:t>of nitrocellulose included potential</w:t>
      </w:r>
      <w:r>
        <w:t xml:space="preserve"> accidental detonation during transportation and handling</w:t>
      </w:r>
      <w:r w:rsidR="00106A9D">
        <w:t>,</w:t>
      </w:r>
      <w:r>
        <w:t xml:space="preserve"> and </w:t>
      </w:r>
      <w:r w:rsidR="00106A9D">
        <w:t xml:space="preserve">its </w:t>
      </w:r>
      <w:r>
        <w:t xml:space="preserve">deliberate </w:t>
      </w:r>
      <w:r w:rsidR="00106A9D">
        <w:t xml:space="preserve">use </w:t>
      </w:r>
      <w:r>
        <w:t>in criminal acts, military assaults</w:t>
      </w:r>
      <w:r w:rsidR="00106A9D">
        <w:t>,</w:t>
      </w:r>
      <w:r>
        <w:t xml:space="preserve"> or terrorist attacks. Such risks </w:t>
      </w:r>
      <w:r w:rsidR="00106A9D">
        <w:t xml:space="preserve">were </w:t>
      </w:r>
      <w:r>
        <w:t xml:space="preserve">not </w:t>
      </w:r>
      <w:r w:rsidR="00106A9D">
        <w:t xml:space="preserve">purely </w:t>
      </w:r>
      <w:r>
        <w:t xml:space="preserve">theoretical. Brazil had observed with great concern recent </w:t>
      </w:r>
      <w:r>
        <w:lastRenderedPageBreak/>
        <w:t xml:space="preserve">incidents in this </w:t>
      </w:r>
      <w:r w:rsidR="00106A9D">
        <w:t xml:space="preserve">regard, </w:t>
      </w:r>
      <w:r>
        <w:t xml:space="preserve">including </w:t>
      </w:r>
      <w:r w:rsidR="00106A9D">
        <w:t xml:space="preserve">a case of </w:t>
      </w:r>
      <w:r>
        <w:t xml:space="preserve">militia </w:t>
      </w:r>
      <w:r w:rsidR="00106A9D">
        <w:t xml:space="preserve">groups </w:t>
      </w:r>
      <w:r>
        <w:t xml:space="preserve">in the </w:t>
      </w:r>
      <w:r w:rsidR="00106A9D">
        <w:t xml:space="preserve">Middle East </w:t>
      </w:r>
      <w:r>
        <w:t>obtain</w:t>
      </w:r>
      <w:r w:rsidR="00106A9D">
        <w:t>ing</w:t>
      </w:r>
      <w:r>
        <w:t xml:space="preserve"> low content nitrocellulose</w:t>
      </w:r>
      <w:r w:rsidR="00106A9D">
        <w:t>,</w:t>
      </w:r>
      <w:r>
        <w:t xml:space="preserve"> which the EU would qualify as industrial nitrocel</w:t>
      </w:r>
      <w:r w:rsidR="00DF7316">
        <w:t>lulose</w:t>
      </w:r>
      <w:r w:rsidR="00106A9D">
        <w:t>,</w:t>
      </w:r>
      <w:r w:rsidR="00DF7316">
        <w:t xml:space="preserve"> manufactured in Germany</w:t>
      </w:r>
      <w:r w:rsidR="00106A9D">
        <w:t>;</w:t>
      </w:r>
    </w:p>
    <w:p w14:paraId="5DC694EB" w14:textId="77777777" w:rsidR="00E9734E" w:rsidRDefault="00E9734E" w:rsidP="00E9734E"/>
    <w:p w14:paraId="264BD5BD" w14:textId="4A53C308" w:rsidR="00E9734E" w:rsidRDefault="00E9734E" w:rsidP="00DF7316">
      <w:pPr>
        <w:ind w:left="1134" w:hanging="567"/>
      </w:pPr>
      <w:r>
        <w:t>(</w:t>
      </w:r>
      <w:r w:rsidR="00E06264">
        <w:t>v</w:t>
      </w:r>
      <w:r>
        <w:t>)</w:t>
      </w:r>
      <w:r>
        <w:tab/>
      </w:r>
      <w:r w:rsidR="00106A9D">
        <w:t xml:space="preserve">it </w:t>
      </w:r>
      <w:r>
        <w:t xml:space="preserve">was also important to clarify that the regulations in place in Brazil </w:t>
      </w:r>
      <w:r w:rsidR="00106A9D">
        <w:t xml:space="preserve">on </w:t>
      </w:r>
      <w:r>
        <w:t>the importation of nitrocellulose applied to products of any origin. The assumption that Brazil was granting licences only to Uruguay was not correct. Brazilian official statistics registered imports in past years from Switzerland and the US</w:t>
      </w:r>
      <w:r w:rsidR="00106A9D">
        <w:t>, for example, but</w:t>
      </w:r>
      <w:r>
        <w:t xml:space="preserve"> not from Uruguay. </w:t>
      </w:r>
      <w:r w:rsidR="00E06264">
        <w:t xml:space="preserve">Furthermore, there </w:t>
      </w:r>
      <w:r>
        <w:t xml:space="preserve">was no bilateral understanding in place to facilitate import of nitrocellulose from </w:t>
      </w:r>
      <w:r w:rsidR="00E06264">
        <w:t>Uruguay,</w:t>
      </w:r>
      <w:r>
        <w:t xml:space="preserve"> and no</w:t>
      </w:r>
      <w:r w:rsidR="00E06264">
        <w:t>r</w:t>
      </w:r>
      <w:r>
        <w:t xml:space="preserve"> </w:t>
      </w:r>
      <w:r w:rsidR="00E06264">
        <w:t xml:space="preserve">was </w:t>
      </w:r>
      <w:r>
        <w:t>ni</w:t>
      </w:r>
      <w:r w:rsidR="00DF7316">
        <w:t xml:space="preserve">trocellulose </w:t>
      </w:r>
      <w:r w:rsidR="00E06264">
        <w:t xml:space="preserve">imported </w:t>
      </w:r>
      <w:r w:rsidR="00DF7316">
        <w:t>from that country.</w:t>
      </w:r>
    </w:p>
    <w:p w14:paraId="46536962" w14:textId="77777777" w:rsidR="00E9734E" w:rsidRDefault="00E9734E" w:rsidP="00E9734E"/>
    <w:p w14:paraId="08FEB783" w14:textId="57B39881" w:rsidR="00E9734E" w:rsidRPr="00B93C6B" w:rsidRDefault="00DF7316" w:rsidP="00187760">
      <w:pPr>
        <w:pStyle w:val="Heading2"/>
        <w:rPr>
          <w:lang w:val="fr-CH"/>
        </w:rPr>
      </w:pPr>
      <w:bookmarkStart w:id="9" w:name="_Toc525116411"/>
      <w:r w:rsidRPr="00B93C6B">
        <w:rPr>
          <w:lang w:val="fr-CH"/>
        </w:rPr>
        <w:t>Document </w:t>
      </w:r>
      <w:r w:rsidR="00E9734E" w:rsidRPr="00B93C6B">
        <w:rPr>
          <w:lang w:val="fr-CH"/>
        </w:rPr>
        <w:t>G/LIC/Q/THA/4</w:t>
      </w:r>
      <w:bookmarkEnd w:id="9"/>
    </w:p>
    <w:p w14:paraId="2ED2C713" w14:textId="67CB39B5" w:rsidR="00E9734E" w:rsidRDefault="00E9734E" w:rsidP="00212829">
      <w:pPr>
        <w:pStyle w:val="BodyText"/>
      </w:pPr>
      <w:r>
        <w:t xml:space="preserve">The representative of the </w:t>
      </w:r>
      <w:r w:rsidRPr="00B93C6B">
        <w:rPr>
          <w:u w:val="single"/>
        </w:rPr>
        <w:t>European Union</w:t>
      </w:r>
      <w:r>
        <w:t xml:space="preserve"> noted with regret that Thailand had not submitted any annual notification of its import licensing procedures since 2013. The EU strongly encouraged Thailand to comply with its notification requirements and </w:t>
      </w:r>
      <w:r w:rsidR="00E06264">
        <w:t>wished</w:t>
      </w:r>
      <w:r>
        <w:t xml:space="preserve"> Thailand </w:t>
      </w:r>
      <w:r w:rsidR="006109B6">
        <w:t xml:space="preserve">to explain </w:t>
      </w:r>
      <w:r>
        <w:t xml:space="preserve">the reasons </w:t>
      </w:r>
      <w:r w:rsidR="006109B6">
        <w:t xml:space="preserve">behind its </w:t>
      </w:r>
      <w:r>
        <w:t xml:space="preserve">delay. She also reiterated </w:t>
      </w:r>
      <w:r w:rsidR="00773F8D">
        <w:t xml:space="preserve">the </w:t>
      </w:r>
      <w:r>
        <w:t>EU</w:t>
      </w:r>
      <w:r w:rsidR="00A03F00">
        <w:t>'</w:t>
      </w:r>
      <w:r>
        <w:t xml:space="preserve">s concern </w:t>
      </w:r>
      <w:r w:rsidR="002B1589">
        <w:t>over Thailand's</w:t>
      </w:r>
      <w:r>
        <w:t xml:space="preserve"> import procedures for feed wheat. In this regard, </w:t>
      </w:r>
      <w:r w:rsidR="005E3F0B">
        <w:t xml:space="preserve">the EU had now submitted an additional set of advance questions, which were in response to </w:t>
      </w:r>
      <w:r>
        <w:t>Thailand</w:t>
      </w:r>
      <w:r w:rsidR="00A03F00">
        <w:t>'</w:t>
      </w:r>
      <w:r>
        <w:t xml:space="preserve">s request raised at the </w:t>
      </w:r>
      <w:r w:rsidR="005E3F0B">
        <w:t xml:space="preserve">Committee's previous </w:t>
      </w:r>
      <w:r>
        <w:t>meeting.</w:t>
      </w:r>
    </w:p>
    <w:p w14:paraId="672BFD5D" w14:textId="167F3B6E" w:rsidR="00E9734E" w:rsidRDefault="00E9734E" w:rsidP="00212829">
      <w:pPr>
        <w:pStyle w:val="BodyText"/>
      </w:pPr>
      <w:r>
        <w:t xml:space="preserve">The EU </w:t>
      </w:r>
      <w:r w:rsidR="005E3F0B">
        <w:t>wished</w:t>
      </w:r>
      <w:r>
        <w:t xml:space="preserve"> to understand on what basis the measure could be maintained</w:t>
      </w:r>
      <w:r w:rsidR="005E3F0B">
        <w:t>,</w:t>
      </w:r>
      <w:r>
        <w:t xml:space="preserve"> and for how long</w:t>
      </w:r>
      <w:r w:rsidR="005E3F0B">
        <w:t xml:space="preserve">, </w:t>
      </w:r>
      <w:r>
        <w:t xml:space="preserve">and to receive a detailed description </w:t>
      </w:r>
      <w:r w:rsidR="005E3F0B">
        <w:t xml:space="preserve">of </w:t>
      </w:r>
      <w:r>
        <w:t xml:space="preserve">the import licensing procedures to be applied. In addition, the EU repeated its request to </w:t>
      </w:r>
      <w:r w:rsidR="005E3F0B">
        <w:t xml:space="preserve">be provided with all the </w:t>
      </w:r>
      <w:r>
        <w:t xml:space="preserve">relevant data </w:t>
      </w:r>
      <w:r w:rsidR="005E3F0B">
        <w:t xml:space="preserve">concerning </w:t>
      </w:r>
      <w:r>
        <w:t xml:space="preserve">the actual situation of the </w:t>
      </w:r>
      <w:r w:rsidR="005E3F0B">
        <w:t xml:space="preserve">corn </w:t>
      </w:r>
      <w:r>
        <w:t xml:space="preserve">market </w:t>
      </w:r>
      <w:proofErr w:type="gramStart"/>
      <w:r w:rsidR="005E3F0B">
        <w:t>so as to</w:t>
      </w:r>
      <w:proofErr w:type="gramEnd"/>
      <w:r w:rsidR="005E3F0B">
        <w:t xml:space="preserve"> evaluate</w:t>
      </w:r>
      <w:r>
        <w:t xml:space="preserve"> whether </w:t>
      </w:r>
      <w:r w:rsidR="005E3F0B">
        <w:t xml:space="preserve">or not </w:t>
      </w:r>
      <w:r>
        <w:t>Thailand</w:t>
      </w:r>
      <w:r w:rsidR="00A03F00">
        <w:t>'</w:t>
      </w:r>
      <w:r>
        <w:t xml:space="preserve">s justification of the measure </w:t>
      </w:r>
      <w:r w:rsidR="005E3F0B">
        <w:t>on grounds of</w:t>
      </w:r>
      <w:r>
        <w:t xml:space="preserve"> </w:t>
      </w:r>
      <w:r w:rsidR="005E3F0B">
        <w:t xml:space="preserve">corn </w:t>
      </w:r>
      <w:r>
        <w:t xml:space="preserve">oversupply </w:t>
      </w:r>
      <w:r w:rsidR="005E3F0B">
        <w:t>was, in the EU's opinion, legitimate and acceptable</w:t>
      </w:r>
      <w:r>
        <w:t>.</w:t>
      </w:r>
    </w:p>
    <w:p w14:paraId="1DA3D458" w14:textId="7AC57B6D" w:rsidR="00E9734E" w:rsidRDefault="00E9734E" w:rsidP="00212829">
      <w:pPr>
        <w:pStyle w:val="BodyText"/>
      </w:pPr>
      <w:r>
        <w:t>Furthermore, the EU understood</w:t>
      </w:r>
      <w:r w:rsidR="005E3F0B">
        <w:t>,</w:t>
      </w:r>
      <w:r>
        <w:t xml:space="preserve"> </w:t>
      </w:r>
      <w:r w:rsidR="005E3F0B">
        <w:t xml:space="preserve">as per its written questions, </w:t>
      </w:r>
      <w:r>
        <w:t xml:space="preserve">that importation of corn from ASEAN was </w:t>
      </w:r>
      <w:r w:rsidR="006A0354">
        <w:t xml:space="preserve">permitted </w:t>
      </w:r>
      <w:r>
        <w:t xml:space="preserve">for the period </w:t>
      </w:r>
      <w:r w:rsidR="007A3A06">
        <w:t xml:space="preserve">of </w:t>
      </w:r>
      <w:r>
        <w:t>February to August</w:t>
      </w:r>
      <w:r w:rsidR="007A3A06">
        <w:t>,</w:t>
      </w:r>
      <w:r>
        <w:t xml:space="preserve"> and that this period might be extended </w:t>
      </w:r>
      <w:r w:rsidR="007A3A06">
        <w:t xml:space="preserve">until </w:t>
      </w:r>
      <w:r>
        <w:t xml:space="preserve">October, </w:t>
      </w:r>
      <w:r w:rsidR="007A3A06">
        <w:t xml:space="preserve">this </w:t>
      </w:r>
      <w:r>
        <w:t xml:space="preserve">indicating a potential increase in </w:t>
      </w:r>
      <w:r w:rsidR="007A3A06">
        <w:t xml:space="preserve">the </w:t>
      </w:r>
      <w:r>
        <w:t>import volume of corn</w:t>
      </w:r>
      <w:r w:rsidR="007A3A06">
        <w:t xml:space="preserve">; however, this appeared to </w:t>
      </w:r>
      <w:r>
        <w:t xml:space="preserve">contradict the </w:t>
      </w:r>
      <w:r w:rsidR="007A3A06">
        <w:t xml:space="preserve">claim of an </w:t>
      </w:r>
      <w:r>
        <w:t xml:space="preserve">alleged market oversupply </w:t>
      </w:r>
      <w:r w:rsidR="007A3A06">
        <w:t xml:space="preserve">in </w:t>
      </w:r>
      <w:r>
        <w:t>domestic corn</w:t>
      </w:r>
      <w:r w:rsidR="007A3A06">
        <w:t>.</w:t>
      </w:r>
      <w:r>
        <w:t xml:space="preserve"> </w:t>
      </w:r>
      <w:r w:rsidR="007A3A06">
        <w:t xml:space="preserve">Therefore, </w:t>
      </w:r>
      <w:r>
        <w:t xml:space="preserve">the EU </w:t>
      </w:r>
      <w:r w:rsidR="007A3A06">
        <w:t xml:space="preserve">wished </w:t>
      </w:r>
      <w:r>
        <w:t xml:space="preserve">Thailand to clarify how the possible extension of such period could be reconciled with the </w:t>
      </w:r>
      <w:r w:rsidR="007A3A06">
        <w:t xml:space="preserve">claim of an </w:t>
      </w:r>
      <w:r>
        <w:t>alleged market oversupply of domestic corn.</w:t>
      </w:r>
    </w:p>
    <w:p w14:paraId="3115FB9A" w14:textId="5174BC4C" w:rsidR="00E9734E" w:rsidRDefault="00E9734E" w:rsidP="00212829">
      <w:pPr>
        <w:pStyle w:val="BodyText"/>
      </w:pPr>
      <w:r>
        <w:t xml:space="preserve">The EU looked forward to receiving detailed written replies to its questions circulated </w:t>
      </w:r>
      <w:r w:rsidR="007A3A06">
        <w:t xml:space="preserve">in </w:t>
      </w:r>
      <w:r>
        <w:t>document</w:t>
      </w:r>
      <w:r w:rsidR="007A3A06">
        <w:t>s </w:t>
      </w:r>
      <w:r>
        <w:t xml:space="preserve">G/LIC/Q/THA/3 and G/LIC/Q/THA/4. </w:t>
      </w:r>
      <w:r w:rsidR="007A3A06">
        <w:t>At the same time</w:t>
      </w:r>
      <w:r>
        <w:t xml:space="preserve">, the EU asked Thailand </w:t>
      </w:r>
      <w:r w:rsidR="007A3A06">
        <w:t xml:space="preserve">if it </w:t>
      </w:r>
      <w:r>
        <w:t xml:space="preserve">intended to notify </w:t>
      </w:r>
      <w:r w:rsidR="007A3A06">
        <w:t xml:space="preserve">its </w:t>
      </w:r>
      <w:r>
        <w:t>import procedures for feed wheat</w:t>
      </w:r>
      <w:r w:rsidR="007A3A06">
        <w:t>,</w:t>
      </w:r>
      <w:r>
        <w:t xml:space="preserve"> in accordance with Articles</w:t>
      </w:r>
      <w:r w:rsidR="007A3A06">
        <w:t> </w:t>
      </w:r>
      <w:r>
        <w:t>1.4 and 5 of the Import Licensing Agreement.</w:t>
      </w:r>
    </w:p>
    <w:p w14:paraId="33620F4C" w14:textId="76A9AD33" w:rsidR="00E9734E" w:rsidRDefault="00E9734E" w:rsidP="00212829">
      <w:pPr>
        <w:pStyle w:val="BodyText"/>
      </w:pPr>
      <w:r>
        <w:t xml:space="preserve">The representative of </w:t>
      </w:r>
      <w:r w:rsidRPr="00B93C6B">
        <w:rPr>
          <w:u w:val="single"/>
        </w:rPr>
        <w:t>Canada</w:t>
      </w:r>
      <w:r>
        <w:t xml:space="preserve"> </w:t>
      </w:r>
      <w:r w:rsidR="007A3A06">
        <w:t xml:space="preserve">seconded the </w:t>
      </w:r>
      <w:r>
        <w:t>EU</w:t>
      </w:r>
      <w:r w:rsidR="00A03F00">
        <w:t>'</w:t>
      </w:r>
      <w:r>
        <w:t>s questions and reiterated Canada</w:t>
      </w:r>
      <w:r w:rsidR="00A03F00">
        <w:t>'</w:t>
      </w:r>
      <w:r>
        <w:t xml:space="preserve">s systemic concerns on this issue. He encouraged Thailand to submit its notification on procedures for feed wheat as soon as </w:t>
      </w:r>
      <w:r w:rsidR="007A3A06">
        <w:t>possible</w:t>
      </w:r>
      <w:r>
        <w:t>.</w:t>
      </w:r>
    </w:p>
    <w:p w14:paraId="53F1B3F8" w14:textId="1BC96B25" w:rsidR="00E9734E" w:rsidRDefault="00E9734E" w:rsidP="00212829">
      <w:pPr>
        <w:pStyle w:val="BodyText"/>
      </w:pPr>
      <w:r>
        <w:t xml:space="preserve">In response, the representative of </w:t>
      </w:r>
      <w:r w:rsidRPr="00B93C6B">
        <w:rPr>
          <w:u w:val="single"/>
        </w:rPr>
        <w:t>Thailand</w:t>
      </w:r>
      <w:r>
        <w:t xml:space="preserve"> thanked the EU and Canada for raising </w:t>
      </w:r>
      <w:r w:rsidR="007A3A06">
        <w:t xml:space="preserve">their </w:t>
      </w:r>
      <w:r>
        <w:t xml:space="preserve">questions and concerns regarding </w:t>
      </w:r>
      <w:r w:rsidR="007A3A06">
        <w:t xml:space="preserve">Thailand's </w:t>
      </w:r>
      <w:r>
        <w:t>procedure</w:t>
      </w:r>
      <w:r w:rsidR="007A3A06">
        <w:t>s</w:t>
      </w:r>
      <w:r>
        <w:t xml:space="preserve"> for the importation of feed wheat. He reiterated that the import permit for feed wheat </w:t>
      </w:r>
      <w:r w:rsidR="007A3A06">
        <w:t xml:space="preserve">was </w:t>
      </w:r>
      <w:r>
        <w:t>a temporary measure</w:t>
      </w:r>
      <w:r w:rsidR="007A3A06">
        <w:t>, and noted that his</w:t>
      </w:r>
      <w:r>
        <w:t xml:space="preserve"> delegation had forwarded the recent EU</w:t>
      </w:r>
      <w:r w:rsidR="007A3A06">
        <w:t> </w:t>
      </w:r>
      <w:r>
        <w:t xml:space="preserve">questions to </w:t>
      </w:r>
      <w:r w:rsidR="007A3A06">
        <w:t>Capital</w:t>
      </w:r>
      <w:r>
        <w:t>. He informed the Committee that internal consultation</w:t>
      </w:r>
      <w:r w:rsidR="007A3A06">
        <w:t>s</w:t>
      </w:r>
      <w:r>
        <w:t xml:space="preserve"> </w:t>
      </w:r>
      <w:r w:rsidR="007A3A06">
        <w:t xml:space="preserve">were </w:t>
      </w:r>
      <w:r>
        <w:t>ongoing with a view to find</w:t>
      </w:r>
      <w:r w:rsidR="007A3A06">
        <w:t>ing</w:t>
      </w:r>
      <w:r>
        <w:t xml:space="preserve"> a suitable solution to this </w:t>
      </w:r>
      <w:r w:rsidR="007A3A06">
        <w:t>issue</w:t>
      </w:r>
      <w:r>
        <w:t xml:space="preserve">. He confirmed that Thailand would provide written replies </w:t>
      </w:r>
      <w:r w:rsidR="00CC5318">
        <w:t xml:space="preserve">to the Committee </w:t>
      </w:r>
      <w:r>
        <w:t xml:space="preserve">once his delegation </w:t>
      </w:r>
      <w:r w:rsidR="00CC5318">
        <w:t xml:space="preserve">had received the relevant </w:t>
      </w:r>
      <w:r>
        <w:t xml:space="preserve">update from </w:t>
      </w:r>
      <w:r w:rsidR="00CC5318">
        <w:t>Capital</w:t>
      </w:r>
      <w:r>
        <w:t>.</w:t>
      </w:r>
    </w:p>
    <w:p w14:paraId="7A92175E" w14:textId="77777777" w:rsidR="00E9734E" w:rsidRDefault="00E9734E" w:rsidP="00212829">
      <w:pPr>
        <w:pStyle w:val="BodyText"/>
      </w:pPr>
      <w:r>
        <w:t xml:space="preserve">The Committee </w:t>
      </w:r>
      <w:r w:rsidRPr="00B93C6B">
        <w:rPr>
          <w:u w:val="single"/>
        </w:rPr>
        <w:t>took note</w:t>
      </w:r>
      <w:r>
        <w:t xml:space="preserve"> of the statements made.</w:t>
      </w:r>
    </w:p>
    <w:p w14:paraId="51976F07" w14:textId="77777777" w:rsidR="00E9734E" w:rsidRDefault="00E9734E" w:rsidP="00187760">
      <w:pPr>
        <w:pStyle w:val="Heading1"/>
      </w:pPr>
      <w:bookmarkStart w:id="10" w:name="_Toc525116412"/>
      <w:r>
        <w:t>NOTIFICATIONS</w:t>
      </w:r>
      <w:bookmarkEnd w:id="10"/>
    </w:p>
    <w:p w14:paraId="398B3F61" w14:textId="44637E9D" w:rsidR="00E9734E" w:rsidRDefault="00E9734E" w:rsidP="00187760">
      <w:pPr>
        <w:pStyle w:val="Heading2"/>
      </w:pPr>
      <w:bookmarkStart w:id="11" w:name="_Toc525116413"/>
      <w:r>
        <w:t>Notifications under Articles</w:t>
      </w:r>
      <w:r w:rsidR="00402C02">
        <w:t> </w:t>
      </w:r>
      <w:r>
        <w:t>1.4(a)/8.2(b) of the Agreement</w:t>
      </w:r>
      <w:bookmarkEnd w:id="11"/>
    </w:p>
    <w:p w14:paraId="2E0B2BEE" w14:textId="03812B82" w:rsidR="00E9734E" w:rsidRDefault="00E9734E" w:rsidP="00212829">
      <w:pPr>
        <w:pStyle w:val="BodyText"/>
      </w:pPr>
      <w:r>
        <w:t>The following N/1</w:t>
      </w:r>
      <w:r w:rsidR="00A916E8">
        <w:t> </w:t>
      </w:r>
      <w:r>
        <w:t>notifications were reviewed</w:t>
      </w:r>
      <w:r w:rsidR="00A916E8">
        <w:t xml:space="preserve"> by the Committee</w:t>
      </w:r>
      <w:r>
        <w:t xml:space="preserve">: </w:t>
      </w:r>
      <w:r w:rsidR="003E1A12">
        <w:t xml:space="preserve">Botswana </w:t>
      </w:r>
      <w:r>
        <w:t>(G/LIC/N/1/BWA/1); Liechtenstein (G/LIC/N/1/LIE/4, G/LIC/N/1/LIE/5</w:t>
      </w:r>
      <w:r w:rsidR="003E1A12">
        <w:t>,</w:t>
      </w:r>
      <w:r>
        <w:t xml:space="preserve"> and G/LIC/N/1/LIE/6); Macao, China (G/LIC/N/1/MAC/7); Paraguay (G/LIC/N/1/PRY/8); Switzerland (G/LIC/N/1/CHE/5, G/LIC/N/1/CHE/6</w:t>
      </w:r>
      <w:r w:rsidR="003E1A12">
        <w:t>,</w:t>
      </w:r>
      <w:r>
        <w:t xml:space="preserve"> and G/LIC/N/1/CHE/6/Rev.1)</w:t>
      </w:r>
      <w:r w:rsidR="003E1A12">
        <w:t>;</w:t>
      </w:r>
      <w:r>
        <w:t xml:space="preserve"> and Ukrai</w:t>
      </w:r>
      <w:r w:rsidR="00212829">
        <w:t>ne(G/LIC/N/1/UKR/7).</w:t>
      </w:r>
    </w:p>
    <w:p w14:paraId="7DA10C12" w14:textId="01B0FC85" w:rsidR="00E9734E" w:rsidRDefault="00E9734E" w:rsidP="00212829">
      <w:pPr>
        <w:pStyle w:val="BodyText"/>
      </w:pPr>
      <w:r>
        <w:lastRenderedPageBreak/>
        <w:t>On document</w:t>
      </w:r>
      <w:r w:rsidR="003E1A12">
        <w:t> </w:t>
      </w:r>
      <w:r>
        <w:t xml:space="preserve">G/LIC/N/1/BWA/1, the </w:t>
      </w:r>
      <w:r w:rsidR="00CA385D" w:rsidRPr="003E1A12">
        <w:rPr>
          <w:u w:val="single"/>
        </w:rPr>
        <w:t>Chair</w:t>
      </w:r>
      <w:r w:rsidR="00CA385D">
        <w:rPr>
          <w:u w:val="single"/>
        </w:rPr>
        <w:t>person</w:t>
      </w:r>
      <w:r w:rsidR="00CA385D">
        <w:t xml:space="preserve"> </w:t>
      </w:r>
      <w:r>
        <w:t>congratulated Bo</w:t>
      </w:r>
      <w:r w:rsidR="003E1A12">
        <w:t>tswana for submitting its first </w:t>
      </w:r>
      <w:r>
        <w:t xml:space="preserve">notification under the Agreement and encouraged </w:t>
      </w:r>
      <w:r w:rsidR="003E1A12">
        <w:t>Botswana also to submit its first </w:t>
      </w:r>
      <w:r>
        <w:t>rep</w:t>
      </w:r>
      <w:r w:rsidR="00212829">
        <w:t>ly to the annual questionnaire.</w:t>
      </w:r>
    </w:p>
    <w:p w14:paraId="2658FABD" w14:textId="13140558" w:rsidR="00E9734E" w:rsidRDefault="00E9734E" w:rsidP="00212829">
      <w:pPr>
        <w:pStyle w:val="BodyText"/>
      </w:pPr>
      <w:r>
        <w:t xml:space="preserve">The representative of the </w:t>
      </w:r>
      <w:r w:rsidRPr="00B93C6B">
        <w:rPr>
          <w:u w:val="single"/>
        </w:rPr>
        <w:t>European Union</w:t>
      </w:r>
      <w:r>
        <w:t xml:space="preserve"> appreciated </w:t>
      </w:r>
      <w:r w:rsidR="003E1A12">
        <w:t>Botswana's</w:t>
      </w:r>
      <w:r>
        <w:t xml:space="preserve"> effort</w:t>
      </w:r>
      <w:r w:rsidR="003E1A12">
        <w:t>s</w:t>
      </w:r>
      <w:r>
        <w:t xml:space="preserve"> and hoped that the country would soon submit its an</w:t>
      </w:r>
      <w:r w:rsidR="003E1A12">
        <w:t>nual notification under Article </w:t>
      </w:r>
      <w:r>
        <w:t xml:space="preserve">7.3 and </w:t>
      </w:r>
      <w:r w:rsidR="0026420D">
        <w:t xml:space="preserve">inform Members of the various </w:t>
      </w:r>
      <w:r>
        <w:t>administrative procedural de</w:t>
      </w:r>
      <w:r w:rsidR="00212829">
        <w:t xml:space="preserve">tails </w:t>
      </w:r>
      <w:r w:rsidR="0026420D">
        <w:t xml:space="preserve">in place for its </w:t>
      </w:r>
      <w:r w:rsidR="00212829">
        <w:t>different regulations.</w:t>
      </w:r>
    </w:p>
    <w:p w14:paraId="3E97E33A" w14:textId="4C845B99" w:rsidR="00E9734E" w:rsidRDefault="00E9734E" w:rsidP="00212829">
      <w:pPr>
        <w:pStyle w:val="BodyText"/>
      </w:pPr>
      <w:r>
        <w:t xml:space="preserve">The representative of </w:t>
      </w:r>
      <w:r w:rsidRPr="00B93C6B">
        <w:rPr>
          <w:u w:val="single"/>
        </w:rPr>
        <w:t>Botswana</w:t>
      </w:r>
      <w:r>
        <w:t xml:space="preserve"> expressed sincere gratitude to the Secretariat for </w:t>
      </w:r>
      <w:r w:rsidR="0026420D">
        <w:t xml:space="preserve">its </w:t>
      </w:r>
      <w:r>
        <w:t xml:space="preserve">valuable and </w:t>
      </w:r>
      <w:r w:rsidR="0026420D">
        <w:t xml:space="preserve">continuous </w:t>
      </w:r>
      <w:r>
        <w:t xml:space="preserve">support in the fulfilment of </w:t>
      </w:r>
      <w:r w:rsidR="00875B98">
        <w:t xml:space="preserve">its </w:t>
      </w:r>
      <w:r>
        <w:t xml:space="preserve">notification </w:t>
      </w:r>
      <w:r w:rsidR="00FD0159">
        <w:t xml:space="preserve">obligations </w:t>
      </w:r>
      <w:r>
        <w:t xml:space="preserve">under </w:t>
      </w:r>
      <w:r w:rsidR="00A42727">
        <w:t xml:space="preserve">the Import Licensing </w:t>
      </w:r>
      <w:r>
        <w:t xml:space="preserve">Committee. He noted that the technical support received </w:t>
      </w:r>
      <w:r w:rsidR="00FD0159">
        <w:t xml:space="preserve">by Botswana </w:t>
      </w:r>
      <w:r>
        <w:t xml:space="preserve">had enabled </w:t>
      </w:r>
      <w:r w:rsidR="00FD0159">
        <w:t xml:space="preserve">Botswana </w:t>
      </w:r>
      <w:r>
        <w:t xml:space="preserve">to overcome </w:t>
      </w:r>
      <w:r w:rsidR="00FD0159">
        <w:t xml:space="preserve">its </w:t>
      </w:r>
      <w:r>
        <w:t>capacity constraint</w:t>
      </w:r>
      <w:r w:rsidR="00FD0159">
        <w:t>s</w:t>
      </w:r>
      <w:r>
        <w:t xml:space="preserve"> and</w:t>
      </w:r>
      <w:r w:rsidR="00FD0159">
        <w:t>,</w:t>
      </w:r>
      <w:r>
        <w:t xml:space="preserve"> despite other difficulties, Botswana remained committed to fulfil</w:t>
      </w:r>
      <w:r w:rsidR="00FD0159">
        <w:t>ling</w:t>
      </w:r>
      <w:r>
        <w:t xml:space="preserve"> </w:t>
      </w:r>
      <w:proofErr w:type="gramStart"/>
      <w:r>
        <w:t xml:space="preserve">all </w:t>
      </w:r>
      <w:r w:rsidR="00FD0159">
        <w:t>of</w:t>
      </w:r>
      <w:proofErr w:type="gramEnd"/>
      <w:r w:rsidR="00FD0159">
        <w:t xml:space="preserve"> </w:t>
      </w:r>
      <w:r>
        <w:t>its notification obligations.</w:t>
      </w:r>
    </w:p>
    <w:p w14:paraId="63F4F53F" w14:textId="7A8CEAA2" w:rsidR="00E9734E" w:rsidRDefault="00E9734E" w:rsidP="00212829">
      <w:pPr>
        <w:pStyle w:val="BodyText"/>
      </w:pPr>
      <w:r>
        <w:t xml:space="preserve">The Committee </w:t>
      </w:r>
      <w:r w:rsidRPr="00B93C6B">
        <w:rPr>
          <w:u w:val="single"/>
        </w:rPr>
        <w:t>took note</w:t>
      </w:r>
      <w:r>
        <w:t xml:space="preserve"> of the notifications </w:t>
      </w:r>
      <w:r w:rsidR="0026420D">
        <w:t xml:space="preserve">submitted </w:t>
      </w:r>
      <w:r>
        <w:t xml:space="preserve">and </w:t>
      </w:r>
      <w:r w:rsidR="00A42727">
        <w:t xml:space="preserve">of </w:t>
      </w:r>
      <w:r w:rsidR="0026420D">
        <w:t xml:space="preserve">the </w:t>
      </w:r>
      <w:r>
        <w:t>statements made.</w:t>
      </w:r>
    </w:p>
    <w:p w14:paraId="47714F2C" w14:textId="6235BF86" w:rsidR="00E9734E" w:rsidRDefault="00E9734E" w:rsidP="00187760">
      <w:pPr>
        <w:pStyle w:val="Heading2"/>
      </w:pPr>
      <w:bookmarkStart w:id="12" w:name="_Toc525116414"/>
      <w:r>
        <w:t>Notifications under Article</w:t>
      </w:r>
      <w:r w:rsidR="00402C02">
        <w:t> </w:t>
      </w:r>
      <w:r>
        <w:t>5 of the Agreement</w:t>
      </w:r>
      <w:bookmarkEnd w:id="12"/>
    </w:p>
    <w:p w14:paraId="60F72A4B" w14:textId="7536F09F" w:rsidR="00E9734E" w:rsidRDefault="00E9734E" w:rsidP="00212829">
      <w:pPr>
        <w:pStyle w:val="BodyText"/>
      </w:pPr>
      <w:r>
        <w:t>The following N/2</w:t>
      </w:r>
      <w:r w:rsidR="00A42727">
        <w:t> </w:t>
      </w:r>
      <w:r>
        <w:t>notifications were reviewed at the meeting: Argentina (G/LIC/N/2/ARG/28/Add.1, G/LIC/N/2/ARG/28/Add.1/Corr.1</w:t>
      </w:r>
      <w:r w:rsidR="00A42727">
        <w:t>,</w:t>
      </w:r>
      <w:r>
        <w:t xml:space="preserve"> and G/LIC/N/2/ARG/28/Add.2); Paraguay (G/LIC/N/2/PRY/8 and G/LIC/N/2/PRY/8/Corr.1); </w:t>
      </w:r>
      <w:r w:rsidR="00A42727">
        <w:t xml:space="preserve">the </w:t>
      </w:r>
      <w:r w:rsidR="00AA4067">
        <w:t xml:space="preserve">former </w:t>
      </w:r>
      <w:r>
        <w:t>Yugoslav Republic of Macedonia (G/LIC/N/2/MKD/2)</w:t>
      </w:r>
      <w:r w:rsidR="00A42727">
        <w:t>;</w:t>
      </w:r>
      <w:r>
        <w:t xml:space="preserve"> and Ukraine (G/LIC/N/2/UKR/7).</w:t>
      </w:r>
    </w:p>
    <w:p w14:paraId="051E5AE3" w14:textId="28CB36EC" w:rsidR="00E9734E" w:rsidRDefault="00E9734E" w:rsidP="00212829">
      <w:pPr>
        <w:pStyle w:val="BodyText"/>
      </w:pPr>
      <w:r>
        <w:t xml:space="preserve">The representative of the </w:t>
      </w:r>
      <w:r w:rsidRPr="00B93C6B">
        <w:rPr>
          <w:u w:val="single"/>
        </w:rPr>
        <w:t>European Union</w:t>
      </w:r>
      <w:r>
        <w:t xml:space="preserve"> thanked the</w:t>
      </w:r>
      <w:r w:rsidR="0067602D">
        <w:t xml:space="preserve"> above-listed</w:t>
      </w:r>
      <w:r>
        <w:t xml:space="preserve"> Members for their notifications. She indicated that the EU </w:t>
      </w:r>
      <w:r w:rsidR="0067602D">
        <w:t>wished</w:t>
      </w:r>
      <w:r>
        <w:t xml:space="preserve"> to take </w:t>
      </w:r>
      <w:r w:rsidR="0067602D">
        <w:t xml:space="preserve">the </w:t>
      </w:r>
      <w:r>
        <w:t xml:space="preserve">opportunity to raise the issue of the new Indonesian import policy </w:t>
      </w:r>
      <w:r w:rsidR="0067602D">
        <w:t xml:space="preserve">on </w:t>
      </w:r>
      <w:r>
        <w:t xml:space="preserve">alcoholic beverages. </w:t>
      </w:r>
      <w:proofErr w:type="gramStart"/>
      <w:r>
        <w:t>In particular, the</w:t>
      </w:r>
      <w:proofErr w:type="gramEnd"/>
      <w:r>
        <w:t xml:space="preserve"> EU was aware that the Indonesian authorities were </w:t>
      </w:r>
      <w:r w:rsidR="0067602D">
        <w:t xml:space="preserve">finalizing </w:t>
      </w:r>
      <w:r>
        <w:t xml:space="preserve">a new ministerial regulation that would </w:t>
      </w:r>
      <w:r w:rsidR="0067602D">
        <w:t xml:space="preserve">then </w:t>
      </w:r>
      <w:r>
        <w:t xml:space="preserve">govern this sector. She </w:t>
      </w:r>
      <w:r w:rsidR="0067602D">
        <w:t xml:space="preserve">noted </w:t>
      </w:r>
      <w:r>
        <w:t>that</w:t>
      </w:r>
      <w:r w:rsidR="0067602D">
        <w:t>,</w:t>
      </w:r>
      <w:r>
        <w:t xml:space="preserve"> based </w:t>
      </w:r>
      <w:r w:rsidR="0067602D">
        <w:t xml:space="preserve">on the </w:t>
      </w:r>
      <w:r>
        <w:t>EU</w:t>
      </w:r>
      <w:r w:rsidR="00A03F00">
        <w:t>'</w:t>
      </w:r>
      <w:r>
        <w:t xml:space="preserve">s information, a new implementation decree would be issued by </w:t>
      </w:r>
      <w:r w:rsidR="0067602D">
        <w:t>end-</w:t>
      </w:r>
      <w:r>
        <w:t xml:space="preserve">April, </w:t>
      </w:r>
      <w:r w:rsidR="0067602D">
        <w:t xml:space="preserve">but </w:t>
      </w:r>
      <w:r>
        <w:t xml:space="preserve">companies could already </w:t>
      </w:r>
      <w:r w:rsidR="0067602D">
        <w:t xml:space="preserve">begin </w:t>
      </w:r>
      <w:r>
        <w:t xml:space="preserve">the </w:t>
      </w:r>
      <w:r w:rsidR="0067602D">
        <w:t xml:space="preserve">relevant </w:t>
      </w:r>
      <w:r>
        <w:t xml:space="preserve">procedures to obtain an import license. In this </w:t>
      </w:r>
      <w:r w:rsidR="0067602D">
        <w:t>regard</w:t>
      </w:r>
      <w:r>
        <w:t xml:space="preserve">, the EU </w:t>
      </w:r>
      <w:r w:rsidR="0067602D">
        <w:t xml:space="preserve">requested </w:t>
      </w:r>
      <w:r>
        <w:t xml:space="preserve">Indonesia </w:t>
      </w:r>
      <w:r w:rsidR="0067602D">
        <w:t xml:space="preserve">to </w:t>
      </w:r>
      <w:r>
        <w:t xml:space="preserve">clarify </w:t>
      </w:r>
      <w:r w:rsidR="0067602D">
        <w:t xml:space="preserve">what exactly </w:t>
      </w:r>
      <w:r>
        <w:t xml:space="preserve">the relevant procedures </w:t>
      </w:r>
      <w:r w:rsidR="0067602D">
        <w:t xml:space="preserve">were </w:t>
      </w:r>
      <w:proofErr w:type="gramStart"/>
      <w:r w:rsidR="0067602D">
        <w:t xml:space="preserve">in order </w:t>
      </w:r>
      <w:r>
        <w:t>to</w:t>
      </w:r>
      <w:proofErr w:type="gramEnd"/>
      <w:r>
        <w:t xml:space="preserve"> obtain a licence</w:t>
      </w:r>
      <w:r w:rsidR="0067602D">
        <w:t>,</w:t>
      </w:r>
      <w:r>
        <w:t xml:space="preserve"> and </w:t>
      </w:r>
      <w:r w:rsidR="0067602D">
        <w:t xml:space="preserve">also to </w:t>
      </w:r>
      <w:r>
        <w:t xml:space="preserve">inform Members </w:t>
      </w:r>
      <w:r w:rsidR="0067602D">
        <w:t xml:space="preserve">of the following: </w:t>
      </w:r>
      <w:r>
        <w:t>(</w:t>
      </w:r>
      <w:proofErr w:type="spellStart"/>
      <w:r w:rsidR="0067602D">
        <w:t>i</w:t>
      </w:r>
      <w:proofErr w:type="spellEnd"/>
      <w:r>
        <w:t>)</w:t>
      </w:r>
      <w:r w:rsidR="0067602D">
        <w:t> </w:t>
      </w:r>
      <w:r>
        <w:t>where the description of these pro</w:t>
      </w:r>
      <w:r w:rsidR="0067602D">
        <w:t>cedures had been published; (ii) </w:t>
      </w:r>
      <w:r>
        <w:t xml:space="preserve">when </w:t>
      </w:r>
      <w:r w:rsidR="0067602D">
        <w:t xml:space="preserve">the </w:t>
      </w:r>
      <w:r>
        <w:t>new import licensing schem</w:t>
      </w:r>
      <w:r w:rsidR="00212829">
        <w:t>e would be notified to the WTO.</w:t>
      </w:r>
    </w:p>
    <w:p w14:paraId="78916F8F" w14:textId="77777777" w:rsidR="00E9734E" w:rsidRDefault="00E9734E" w:rsidP="00212829">
      <w:pPr>
        <w:pStyle w:val="BodyText"/>
      </w:pPr>
      <w:r>
        <w:t xml:space="preserve">The Committee </w:t>
      </w:r>
      <w:r w:rsidRPr="00B93C6B">
        <w:rPr>
          <w:u w:val="single"/>
        </w:rPr>
        <w:t>took note</w:t>
      </w:r>
      <w:r>
        <w:t xml:space="preserve"> of the notifications and statement made.</w:t>
      </w:r>
    </w:p>
    <w:p w14:paraId="7E71AA85" w14:textId="73184BA3" w:rsidR="00E9734E" w:rsidRDefault="00E9734E" w:rsidP="00187760">
      <w:pPr>
        <w:pStyle w:val="Heading2"/>
      </w:pPr>
      <w:bookmarkStart w:id="13" w:name="_Toc525116415"/>
      <w:r>
        <w:t>Notifications under Article</w:t>
      </w:r>
      <w:r w:rsidR="00402C02">
        <w:t> </w:t>
      </w:r>
      <w:r>
        <w:t>7.3 of the Agreement</w:t>
      </w:r>
      <w:bookmarkEnd w:id="13"/>
    </w:p>
    <w:p w14:paraId="69A7ADF8" w14:textId="1706BAE7" w:rsidR="00E9734E" w:rsidRPr="00CA385D" w:rsidRDefault="00E9734E" w:rsidP="00212829">
      <w:pPr>
        <w:pStyle w:val="BodyText"/>
      </w:pPr>
      <w:r w:rsidRPr="00CA385D">
        <w:t>The following N/3</w:t>
      </w:r>
      <w:r w:rsidR="0067602D" w:rsidRPr="00CA385D">
        <w:t> </w:t>
      </w:r>
      <w:r w:rsidRPr="00CA385D">
        <w:t xml:space="preserve">notifications were reviewed at the meeting: Canada (2016) (G/LIC/N/3/CAN/16); China (2016) (G/LIC/N/3/CHN/15); European Union (2017) (G/LIC/N/3/EU/6); Georgia (2017) (G/LIC/N/3/GEO/7); Japan (2017) (G/LIC/N/3/JPN/16); Kazakhstan (2017) (G/LIC/N/3/KAZ/2); Macao, China (2017) (G/LIC/N/3/MAC/20); the </w:t>
      </w:r>
      <w:r w:rsidR="009E5307" w:rsidRPr="00CA385D">
        <w:t xml:space="preserve">former </w:t>
      </w:r>
      <w:r w:rsidRPr="00CA385D">
        <w:t>Yugoslav Republic of Macedonia (2016</w:t>
      </w:r>
      <w:r w:rsidR="009E5307" w:rsidRPr="00CA385D">
        <w:noBreakHyphen/>
      </w:r>
      <w:r w:rsidRPr="00CA385D">
        <w:t>2017) (G/LIC/N/3/MKD/16 and G/LIC/N/3/MKD/17); Nicaragua (2017) (G/LIC/N/3/NIC/9); Norway (2017) (G/LIC/N/3/NOR/9); Paraguay (2017) (G/LIC/N/3/PRY/5); Qatar (2017) (G/LIC/N/3/QAT/13); Singapore (2017) (G/LIC/N/3/SGP/13); the United States (2017) (G/LIC/N/3/US/14)</w:t>
      </w:r>
      <w:r w:rsidR="009E5307" w:rsidRPr="00CA385D">
        <w:t>;</w:t>
      </w:r>
      <w:r w:rsidRPr="00CA385D">
        <w:t xml:space="preserve"> and Malaysia (2017) (G/LIC/N/3/MYS/13).</w:t>
      </w:r>
    </w:p>
    <w:p w14:paraId="60C9F475" w14:textId="21E29092" w:rsidR="00E9734E" w:rsidRDefault="009E5307" w:rsidP="00212829">
      <w:pPr>
        <w:pStyle w:val="BodyText"/>
      </w:pPr>
      <w:r>
        <w:t>Concerning document </w:t>
      </w:r>
      <w:r w:rsidR="00E9734E">
        <w:t xml:space="preserve">G/LIC/N/3/MKD/6 and 7, the representative of </w:t>
      </w:r>
      <w:r w:rsidR="00E9734E" w:rsidRPr="009E5307">
        <w:rPr>
          <w:u w:val="single"/>
        </w:rPr>
        <w:t xml:space="preserve">the </w:t>
      </w:r>
      <w:r w:rsidRPr="009E5307">
        <w:rPr>
          <w:u w:val="single"/>
        </w:rPr>
        <w:t xml:space="preserve">former </w:t>
      </w:r>
      <w:r w:rsidR="00E9734E" w:rsidRPr="009E5307">
        <w:rPr>
          <w:u w:val="single"/>
        </w:rPr>
        <w:t>Yugoslav Republic of Macedonia</w:t>
      </w:r>
      <w:r w:rsidR="00E9734E">
        <w:t xml:space="preserve"> explained that </w:t>
      </w:r>
      <w:r w:rsidR="007410DC">
        <w:t xml:space="preserve">its </w:t>
      </w:r>
      <w:r w:rsidR="00E9734E">
        <w:t xml:space="preserve">intention </w:t>
      </w:r>
      <w:r w:rsidR="007410DC">
        <w:t xml:space="preserve">in </w:t>
      </w:r>
      <w:r w:rsidR="00E9734E">
        <w:t>submitting two</w:t>
      </w:r>
      <w:r w:rsidR="007410DC">
        <w:t> </w:t>
      </w:r>
      <w:r w:rsidR="00E9734E">
        <w:t>N/3</w:t>
      </w:r>
      <w:r w:rsidR="007410DC">
        <w:t> </w:t>
      </w:r>
      <w:r w:rsidR="00E9734E">
        <w:t xml:space="preserve">notifications was to correct </w:t>
      </w:r>
      <w:r w:rsidR="007410DC">
        <w:t xml:space="preserve">some </w:t>
      </w:r>
      <w:r w:rsidR="00E9734E">
        <w:t xml:space="preserve">minor mistakes and </w:t>
      </w:r>
      <w:r w:rsidR="007410DC">
        <w:t xml:space="preserve">add detail to the </w:t>
      </w:r>
      <w:r w:rsidR="00E9734E">
        <w:t>information</w:t>
      </w:r>
      <w:r w:rsidR="007410DC">
        <w:t xml:space="preserve"> available</w:t>
      </w:r>
      <w:r w:rsidR="00E9734E">
        <w:t>. He also informed the Committee that licences for import, export</w:t>
      </w:r>
      <w:r w:rsidR="007410DC">
        <w:t>,</w:t>
      </w:r>
      <w:r w:rsidR="00E9734E">
        <w:t xml:space="preserve"> and transit, as well as for allocation of tariff quotas</w:t>
      </w:r>
      <w:r w:rsidR="007410DC">
        <w:t>,</w:t>
      </w:r>
      <w:r w:rsidR="00E9734E">
        <w:t xml:space="preserve"> </w:t>
      </w:r>
      <w:r w:rsidR="007410DC">
        <w:t xml:space="preserve">had been </w:t>
      </w:r>
      <w:r w:rsidR="00E9734E">
        <w:t>administered electronically though a single window and one-stop system since 2008.</w:t>
      </w:r>
    </w:p>
    <w:p w14:paraId="3EB425E3" w14:textId="77777777" w:rsidR="00E9734E" w:rsidRDefault="00E9734E" w:rsidP="00212829">
      <w:pPr>
        <w:pStyle w:val="BodyText"/>
      </w:pPr>
      <w:r>
        <w:t xml:space="preserve">The Committee </w:t>
      </w:r>
      <w:r w:rsidRPr="007410DC">
        <w:rPr>
          <w:u w:val="single"/>
        </w:rPr>
        <w:t>took note</w:t>
      </w:r>
      <w:r>
        <w:t xml:space="preserve"> of the notifications and statement made.</w:t>
      </w:r>
    </w:p>
    <w:p w14:paraId="201E5932" w14:textId="77777777" w:rsidR="00E9734E" w:rsidRDefault="00E9734E" w:rsidP="00187760">
      <w:pPr>
        <w:pStyle w:val="Heading1"/>
      </w:pPr>
      <w:bookmarkStart w:id="14" w:name="_Toc525116416"/>
      <w:r>
        <w:t>INDONESIA – IMPORT LICENSING REGIME FOR CELLPHONES, HANDHELD COMPUTERS AND TABLETS - STATEMENT BY THE UNITED STATES</w:t>
      </w:r>
      <w:bookmarkEnd w:id="14"/>
    </w:p>
    <w:p w14:paraId="4750A3F0" w14:textId="364BAA89" w:rsidR="00E9734E" w:rsidRDefault="00E9734E" w:rsidP="00212829">
      <w:pPr>
        <w:pStyle w:val="BodyText"/>
      </w:pPr>
      <w:r>
        <w:t xml:space="preserve">The representative of the </w:t>
      </w:r>
      <w:r w:rsidRPr="007410DC">
        <w:rPr>
          <w:u w:val="single"/>
        </w:rPr>
        <w:t>United States</w:t>
      </w:r>
      <w:r>
        <w:t xml:space="preserve"> noted that her delegation had long-standing and serious concerns </w:t>
      </w:r>
      <w:proofErr w:type="gramStart"/>
      <w:r>
        <w:t xml:space="preserve">with </w:t>
      </w:r>
      <w:r w:rsidR="007410DC">
        <w:t>regard to</w:t>
      </w:r>
      <w:proofErr w:type="gramEnd"/>
      <w:r w:rsidR="007410DC">
        <w:t xml:space="preserve"> </w:t>
      </w:r>
      <w:r>
        <w:t>Indonesia</w:t>
      </w:r>
      <w:r w:rsidR="00A03F00">
        <w:t>'</w:t>
      </w:r>
      <w:r>
        <w:t xml:space="preserve">s import licensing regime and, in particular, the import </w:t>
      </w:r>
      <w:r w:rsidRPr="00CA385D">
        <w:t>licensing requirements for cell phones, handheld computers, and tablets. She recalled that</w:t>
      </w:r>
      <w:r w:rsidR="00D65D80" w:rsidRPr="00CA385D">
        <w:t>,</w:t>
      </w:r>
      <w:r w:rsidRPr="00CA385D">
        <w:t xml:space="preserve"> </w:t>
      </w:r>
      <w:r w:rsidR="00D65D80" w:rsidRPr="00CA385D">
        <w:t xml:space="preserve">in </w:t>
      </w:r>
      <w:r w:rsidR="007410DC" w:rsidRPr="00CA385D">
        <w:t>the</w:t>
      </w:r>
      <w:r w:rsidR="007410DC">
        <w:t xml:space="preserve"> </w:t>
      </w:r>
      <w:r>
        <w:t xml:space="preserve">questions </w:t>
      </w:r>
      <w:r w:rsidR="00D65D80">
        <w:t xml:space="preserve">that the US had addressed </w:t>
      </w:r>
      <w:r>
        <w:t xml:space="preserve">to Indonesia, the United States had sought clarity regarding </w:t>
      </w:r>
      <w:r>
        <w:lastRenderedPageBreak/>
        <w:t>the specific requirements of Indonesia</w:t>
      </w:r>
      <w:r w:rsidR="00A03F00">
        <w:t>'</w:t>
      </w:r>
      <w:r>
        <w:t>s import licensing regime</w:t>
      </w:r>
      <w:r w:rsidR="00D65D80">
        <w:t>,</w:t>
      </w:r>
      <w:r>
        <w:t xml:space="preserve"> and an understanding of the rationale for the requirements overall. While acknowledging the responses </w:t>
      </w:r>
      <w:r w:rsidR="00D65D80">
        <w:t xml:space="preserve">that </w:t>
      </w:r>
      <w:r>
        <w:t xml:space="preserve">Indonesia </w:t>
      </w:r>
      <w:r w:rsidR="00D65D80">
        <w:t xml:space="preserve">had </w:t>
      </w:r>
      <w:r>
        <w:t xml:space="preserve">provided </w:t>
      </w:r>
      <w:r w:rsidR="00D65D80">
        <w:t>in 2017</w:t>
      </w:r>
      <w:r>
        <w:t xml:space="preserve">, she </w:t>
      </w:r>
      <w:r w:rsidR="00D65D80">
        <w:t xml:space="preserve">stated </w:t>
      </w:r>
      <w:r>
        <w:t xml:space="preserve">that </w:t>
      </w:r>
      <w:r w:rsidR="00D65D80">
        <w:t xml:space="preserve">these </w:t>
      </w:r>
      <w:r>
        <w:t xml:space="preserve">responses did not resolve </w:t>
      </w:r>
      <w:r w:rsidR="00D65D80">
        <w:t>US </w:t>
      </w:r>
      <w:r>
        <w:t>concerns with the import licensing requirements</w:t>
      </w:r>
      <w:r w:rsidR="00D65D80">
        <w:t xml:space="preserve"> at issue</w:t>
      </w:r>
      <w:r>
        <w:t xml:space="preserve">, and </w:t>
      </w:r>
      <w:r w:rsidR="00D65D80">
        <w:t xml:space="preserve">that </w:t>
      </w:r>
      <w:r>
        <w:t xml:space="preserve">in </w:t>
      </w:r>
      <w:r w:rsidR="00D65D80">
        <w:t xml:space="preserve">certain </w:t>
      </w:r>
      <w:r>
        <w:t xml:space="preserve">instances </w:t>
      </w:r>
      <w:r w:rsidR="00D65D80">
        <w:t xml:space="preserve">Indonesia </w:t>
      </w:r>
      <w:r>
        <w:t xml:space="preserve">had not sufficiently addressed the question that </w:t>
      </w:r>
      <w:r w:rsidR="00D65D80">
        <w:t xml:space="preserve">had been </w:t>
      </w:r>
      <w:r>
        <w:t>asked</w:t>
      </w:r>
      <w:r w:rsidR="00D65D80">
        <w:t xml:space="preserve"> of it</w:t>
      </w:r>
      <w:r>
        <w:t>.</w:t>
      </w:r>
    </w:p>
    <w:p w14:paraId="7BAE00AE" w14:textId="0E5B8924" w:rsidR="00E9734E" w:rsidRDefault="00E9734E" w:rsidP="00212829">
      <w:pPr>
        <w:pStyle w:val="BodyText"/>
      </w:pPr>
      <w:r>
        <w:t xml:space="preserve">In this </w:t>
      </w:r>
      <w:r w:rsidR="00D65D80">
        <w:t>regard</w:t>
      </w:r>
      <w:r>
        <w:t xml:space="preserve">, the </w:t>
      </w:r>
      <w:r w:rsidR="00D65D80">
        <w:t>US</w:t>
      </w:r>
      <w:r>
        <w:t xml:space="preserve"> continued to seek Indonesia</w:t>
      </w:r>
      <w:r w:rsidR="00A03F00">
        <w:t>'</w:t>
      </w:r>
      <w:r>
        <w:t>s explanation for why the import licensing requirements treat</w:t>
      </w:r>
      <w:r w:rsidR="00D65D80">
        <w:t>ed</w:t>
      </w:r>
      <w:r>
        <w:t xml:space="preserve"> 3G and 4G</w:t>
      </w:r>
      <w:r w:rsidR="00D65D80">
        <w:t> </w:t>
      </w:r>
      <w:r>
        <w:t xml:space="preserve">technology differently. She noted that the answers received from Indonesia </w:t>
      </w:r>
      <w:r w:rsidR="00D65D80">
        <w:t xml:space="preserve">had also </w:t>
      </w:r>
      <w:r>
        <w:t>confirmed that the two</w:t>
      </w:r>
      <w:r w:rsidR="00D65D80">
        <w:t> </w:t>
      </w:r>
      <w:r>
        <w:t xml:space="preserve">types of products </w:t>
      </w:r>
      <w:r w:rsidR="00247D48">
        <w:t xml:space="preserve">were </w:t>
      </w:r>
      <w:r>
        <w:t xml:space="preserve">treated differently but </w:t>
      </w:r>
      <w:r w:rsidR="00247D48">
        <w:t xml:space="preserve">had </w:t>
      </w:r>
      <w:r>
        <w:t>not explain</w:t>
      </w:r>
      <w:r w:rsidR="00247D48">
        <w:t>ed</w:t>
      </w:r>
      <w:r>
        <w:t xml:space="preserve"> the rationale </w:t>
      </w:r>
      <w:r w:rsidR="00247D48">
        <w:t xml:space="preserve">behind this </w:t>
      </w:r>
      <w:r>
        <w:t>difference in treatment</w:t>
      </w:r>
      <w:r w:rsidR="00247D48">
        <w:t xml:space="preserve">; </w:t>
      </w:r>
      <w:r>
        <w:t xml:space="preserve">her delegation requested Indonesia to </w:t>
      </w:r>
      <w:r w:rsidR="00247D48">
        <w:t>do so</w:t>
      </w:r>
      <w:r>
        <w:t xml:space="preserve">. She </w:t>
      </w:r>
      <w:r w:rsidR="00247D48">
        <w:t xml:space="preserve">observed </w:t>
      </w:r>
      <w:r>
        <w:t>that</w:t>
      </w:r>
      <w:r w:rsidR="00247D48">
        <w:t>,</w:t>
      </w:r>
      <w:r>
        <w:t xml:space="preserve"> based on Indonesia</w:t>
      </w:r>
      <w:r w:rsidR="00A03F00">
        <w:t>'</w:t>
      </w:r>
      <w:r>
        <w:t>s responses, it appeared that Indonesia</w:t>
      </w:r>
      <w:r w:rsidR="00A03F00">
        <w:t>'</w:t>
      </w:r>
      <w:r>
        <w:t xml:space="preserve">s system favoured imports </w:t>
      </w:r>
      <w:r w:rsidR="00247D48">
        <w:t xml:space="preserve">intended </w:t>
      </w:r>
      <w:r>
        <w:t>for further processing as opposed to</w:t>
      </w:r>
      <w:r w:rsidR="00212829">
        <w:t xml:space="preserve"> imports of finished products.</w:t>
      </w:r>
    </w:p>
    <w:p w14:paraId="5D5D12E3" w14:textId="299EBA94" w:rsidR="00E9734E" w:rsidRDefault="00E9734E" w:rsidP="00212829">
      <w:pPr>
        <w:pStyle w:val="BodyText"/>
      </w:pPr>
      <w:r>
        <w:t xml:space="preserve">Furthermore, it remained unclear </w:t>
      </w:r>
      <w:proofErr w:type="gramStart"/>
      <w:r>
        <w:t xml:space="preserve">whether </w:t>
      </w:r>
      <w:r w:rsidR="00247D48">
        <w:t>or not</w:t>
      </w:r>
      <w:proofErr w:type="gramEnd"/>
      <w:r w:rsidR="00247D48">
        <w:t xml:space="preserve"> </w:t>
      </w:r>
      <w:r>
        <w:t xml:space="preserve">domestic companies were subject to equivalent requirements to those imposed upon importers. For example, there appeared to be a different requirement for domestic companies </w:t>
      </w:r>
      <w:r w:rsidR="00247D48">
        <w:t xml:space="preserve">in </w:t>
      </w:r>
      <w:r>
        <w:t xml:space="preserve">respect </w:t>
      </w:r>
      <w:r w:rsidR="00247D48">
        <w:t xml:space="preserve">of </w:t>
      </w:r>
      <w:r>
        <w:t xml:space="preserve">the use of distributors. When asked to provide similar legislative or regulatory requirements for domestic producers based on their products </w:t>
      </w:r>
      <w:r w:rsidR="00247D48">
        <w:t xml:space="preserve">being either </w:t>
      </w:r>
      <w:r>
        <w:t>3G or 4G</w:t>
      </w:r>
      <w:r w:rsidR="00247D48">
        <w:t> LTE-</w:t>
      </w:r>
      <w:r>
        <w:t>enabled, Indonesia had stated that these requirements applied to registered importers.</w:t>
      </w:r>
    </w:p>
    <w:p w14:paraId="56AA7C15" w14:textId="708FF4BB" w:rsidR="00E9734E" w:rsidRDefault="00E9734E" w:rsidP="00212829">
      <w:pPr>
        <w:pStyle w:val="BodyText"/>
      </w:pPr>
      <w:r>
        <w:t xml:space="preserve">She </w:t>
      </w:r>
      <w:r w:rsidR="00247D48">
        <w:t xml:space="preserve">also noted </w:t>
      </w:r>
      <w:r>
        <w:t xml:space="preserve">that Indonesia had issued additional regulations—Ministry of Industry </w:t>
      </w:r>
      <w:r w:rsidR="00247D48">
        <w:t>Regulations </w:t>
      </w:r>
      <w:r>
        <w:t>68/2016 and 29/2017</w:t>
      </w:r>
      <w:r w:rsidR="004F1479">
        <w:t>,</w:t>
      </w:r>
      <w:r>
        <w:t xml:space="preserve"> and Ministry of Communication and Information Technology </w:t>
      </w:r>
      <w:r w:rsidR="004F1479">
        <w:t>Regulation </w:t>
      </w:r>
      <w:r>
        <w:t xml:space="preserve">23/2016—which contained additional procedures for obtaining certifications necessary prior to obtaining an import </w:t>
      </w:r>
      <w:r w:rsidR="004F1479">
        <w:t>licence</w:t>
      </w:r>
      <w:r>
        <w:t xml:space="preserve">. In this regard, the </w:t>
      </w:r>
      <w:r w:rsidR="004F1479">
        <w:t>US </w:t>
      </w:r>
      <w:r>
        <w:t xml:space="preserve">continued to question whether this import licensing regime was consistent with the principles of the WTO </w:t>
      </w:r>
      <w:r w:rsidR="004F1479">
        <w:t>in</w:t>
      </w:r>
      <w:r>
        <w:t xml:space="preserve"> general, as well as how these requirements </w:t>
      </w:r>
      <w:r w:rsidR="004F1479">
        <w:t xml:space="preserve">could be considered </w:t>
      </w:r>
      <w:r>
        <w:t>no more administrativ</w:t>
      </w:r>
      <w:r w:rsidR="00212829">
        <w:t>ely burdensome than necessary.</w:t>
      </w:r>
    </w:p>
    <w:p w14:paraId="656727DD" w14:textId="4FD5F574" w:rsidR="00E9734E" w:rsidRPr="00CA385D" w:rsidRDefault="00E9734E" w:rsidP="00212829">
      <w:pPr>
        <w:pStyle w:val="BodyText"/>
      </w:pPr>
      <w:r>
        <w:t xml:space="preserve">She </w:t>
      </w:r>
      <w:r w:rsidR="00603ECD">
        <w:t xml:space="preserve">emphasized </w:t>
      </w:r>
      <w:r>
        <w:t xml:space="preserve">that these issues, which had also been raised by her delegation on multiple previous occasions, were serious. The </w:t>
      </w:r>
      <w:r w:rsidR="00603ECD">
        <w:t xml:space="preserve">US </w:t>
      </w:r>
      <w:r>
        <w:t xml:space="preserve">believed that these import licensing requirements had distorted trade and investment in an important and dynamic sector, </w:t>
      </w:r>
      <w:r w:rsidR="00603ECD">
        <w:t xml:space="preserve">and a sector that </w:t>
      </w:r>
      <w:r>
        <w:t xml:space="preserve">was significant both </w:t>
      </w:r>
      <w:r w:rsidR="00603ECD">
        <w:t xml:space="preserve">to </w:t>
      </w:r>
      <w:r>
        <w:t xml:space="preserve">the </w:t>
      </w:r>
      <w:r w:rsidR="00603ECD">
        <w:t>US</w:t>
      </w:r>
      <w:r>
        <w:t xml:space="preserve"> and global economy. She appreciated that Indonesia had notified some of these measures to this Committee, but continued to urge Indonesia </w:t>
      </w:r>
      <w:r w:rsidR="00603ECD">
        <w:t xml:space="preserve">also </w:t>
      </w:r>
      <w:r>
        <w:t xml:space="preserve">to notify </w:t>
      </w:r>
      <w:proofErr w:type="gramStart"/>
      <w:r>
        <w:t>all of</w:t>
      </w:r>
      <w:proofErr w:type="gramEnd"/>
      <w:r>
        <w:t xml:space="preserve"> the associated measures, including Ministry of Industry </w:t>
      </w:r>
      <w:r w:rsidR="00603ECD">
        <w:t>Regulations </w:t>
      </w:r>
      <w:r>
        <w:t xml:space="preserve">108/2012, 68/2016, </w:t>
      </w:r>
      <w:r w:rsidR="00603ECD">
        <w:t xml:space="preserve">and </w:t>
      </w:r>
      <w:r>
        <w:t>29/2017</w:t>
      </w:r>
      <w:r w:rsidR="00603ECD">
        <w:t>,</w:t>
      </w:r>
      <w:r>
        <w:t xml:space="preserve"> KOMINFO </w:t>
      </w:r>
      <w:r w:rsidR="00603ECD">
        <w:t>Regulation </w:t>
      </w:r>
      <w:r>
        <w:t>23/2016</w:t>
      </w:r>
      <w:r w:rsidR="00603ECD">
        <w:t>,</w:t>
      </w:r>
      <w:r>
        <w:t xml:space="preserve"> and KOMINFO Circular Letter</w:t>
      </w:r>
      <w:r w:rsidR="00603ECD">
        <w:t> </w:t>
      </w:r>
      <w:r>
        <w:t xml:space="preserve">518/2017. In </w:t>
      </w:r>
      <w:r w:rsidR="00603ECD">
        <w:t>brief</w:t>
      </w:r>
      <w:r>
        <w:t xml:space="preserve">, the </w:t>
      </w:r>
      <w:r w:rsidR="00603ECD">
        <w:t>US</w:t>
      </w:r>
      <w:r>
        <w:t xml:space="preserve"> urged Indonesia to </w:t>
      </w:r>
      <w:r w:rsidRPr="00CA385D">
        <w:t>reconsider these import licensing requirements for cell phones, handheld computers, and tablets.</w:t>
      </w:r>
    </w:p>
    <w:p w14:paraId="41713B40" w14:textId="108F96FB" w:rsidR="00E9734E" w:rsidRDefault="00E9734E" w:rsidP="00212829">
      <w:pPr>
        <w:pStyle w:val="BodyText"/>
      </w:pPr>
      <w:r>
        <w:t xml:space="preserve">The representative of </w:t>
      </w:r>
      <w:r w:rsidRPr="00B93C6B">
        <w:rPr>
          <w:u w:val="single"/>
        </w:rPr>
        <w:t>Chile</w:t>
      </w:r>
      <w:r>
        <w:t xml:space="preserve"> </w:t>
      </w:r>
      <w:r w:rsidR="00F7511D">
        <w:t>thanked</w:t>
      </w:r>
      <w:r>
        <w:t xml:space="preserve"> the US </w:t>
      </w:r>
      <w:r w:rsidR="00F7511D">
        <w:t xml:space="preserve">for raising </w:t>
      </w:r>
      <w:r>
        <w:t xml:space="preserve">the issue. He expressed systemic concern </w:t>
      </w:r>
      <w:proofErr w:type="gramStart"/>
      <w:r w:rsidR="00F7511D">
        <w:t xml:space="preserve">with </w:t>
      </w:r>
      <w:r>
        <w:t>regard to</w:t>
      </w:r>
      <w:proofErr w:type="gramEnd"/>
      <w:r>
        <w:t xml:space="preserve"> </w:t>
      </w:r>
      <w:r w:rsidR="00F7511D">
        <w:t>Indonesia's</w:t>
      </w:r>
      <w:r>
        <w:t xml:space="preserve"> import licensing regime, </w:t>
      </w:r>
      <w:r w:rsidR="00F7511D">
        <w:t xml:space="preserve">and in </w:t>
      </w:r>
      <w:r>
        <w:t xml:space="preserve">particular </w:t>
      </w:r>
      <w:r w:rsidR="00F7511D">
        <w:t xml:space="preserve">with how it </w:t>
      </w:r>
      <w:r>
        <w:t xml:space="preserve">applied to agricultural products. He also requested Indonesia to comply </w:t>
      </w:r>
      <w:r w:rsidR="00F7511D">
        <w:t xml:space="preserve">fully </w:t>
      </w:r>
      <w:r>
        <w:t>with the notification requirements under this Agreement</w:t>
      </w:r>
      <w:r w:rsidR="00F7511D">
        <w:t xml:space="preserve">; namely, by </w:t>
      </w:r>
      <w:r>
        <w:t xml:space="preserve">notifying modifications </w:t>
      </w:r>
      <w:r w:rsidR="00F7511D">
        <w:t xml:space="preserve">to </w:t>
      </w:r>
      <w:r>
        <w:t>legislation in a timely manner</w:t>
      </w:r>
      <w:r w:rsidR="00F7511D">
        <w:t>,</w:t>
      </w:r>
      <w:r>
        <w:t xml:space="preserve"> and </w:t>
      </w:r>
      <w:r w:rsidR="00F7511D">
        <w:t xml:space="preserve">by </w:t>
      </w:r>
      <w:r>
        <w:t xml:space="preserve">removing requirements </w:t>
      </w:r>
      <w:r w:rsidR="00F7511D">
        <w:t xml:space="preserve">that </w:t>
      </w:r>
      <w:r>
        <w:t xml:space="preserve">were more </w:t>
      </w:r>
      <w:r w:rsidR="00F7511D">
        <w:t xml:space="preserve">trade </w:t>
      </w:r>
      <w:r>
        <w:t>restrictive tha</w:t>
      </w:r>
      <w:r w:rsidR="00212829">
        <w:t>n necessary.</w:t>
      </w:r>
    </w:p>
    <w:p w14:paraId="2FFAEAA8" w14:textId="7A8841D5" w:rsidR="00E9734E" w:rsidRDefault="00E9734E" w:rsidP="00212829">
      <w:pPr>
        <w:pStyle w:val="BodyText"/>
      </w:pPr>
      <w:r>
        <w:t xml:space="preserve">In response, the representative of </w:t>
      </w:r>
      <w:r w:rsidRPr="00B93C6B">
        <w:rPr>
          <w:u w:val="single"/>
        </w:rPr>
        <w:t>Indonesia</w:t>
      </w:r>
      <w:r>
        <w:t xml:space="preserve"> thanked the </w:t>
      </w:r>
      <w:r w:rsidR="00F7511D">
        <w:t xml:space="preserve">US </w:t>
      </w:r>
      <w:r>
        <w:t xml:space="preserve">for </w:t>
      </w:r>
      <w:r w:rsidR="00F7511D">
        <w:t xml:space="preserve">its </w:t>
      </w:r>
      <w:r>
        <w:t xml:space="preserve">continued interest in </w:t>
      </w:r>
      <w:r w:rsidR="00F7511D">
        <w:t xml:space="preserve">Indonesia's </w:t>
      </w:r>
      <w:r>
        <w:t>market for the products concerned. He argued that regulations on import</w:t>
      </w:r>
      <w:r w:rsidR="00F7511D">
        <w:t>s</w:t>
      </w:r>
      <w:r>
        <w:t xml:space="preserve"> of cellular telephone</w:t>
      </w:r>
      <w:r w:rsidR="00F7511D">
        <w:t>s</w:t>
      </w:r>
      <w:r>
        <w:t xml:space="preserve">, </w:t>
      </w:r>
      <w:r w:rsidR="00F7511D">
        <w:t xml:space="preserve">handheld </w:t>
      </w:r>
      <w:r>
        <w:t>computer</w:t>
      </w:r>
      <w:r w:rsidR="00F7511D">
        <w:t>s</w:t>
      </w:r>
      <w:r>
        <w:t>, and computer tablet</w:t>
      </w:r>
      <w:r w:rsidR="00F7511D">
        <w:t>s</w:t>
      </w:r>
      <w:r>
        <w:t>, as governed by the Regulation</w:t>
      </w:r>
      <w:r w:rsidR="00F7511D">
        <w:t>s</w:t>
      </w:r>
      <w:r>
        <w:t xml:space="preserve"> of </w:t>
      </w:r>
      <w:r w:rsidR="00F7511D">
        <w:t xml:space="preserve">the </w:t>
      </w:r>
      <w:r>
        <w:t xml:space="preserve">Ministry of Trade of the Republic of Indonesia, </w:t>
      </w:r>
      <w:r w:rsidR="000202E0">
        <w:t xml:space="preserve">were intended </w:t>
      </w:r>
      <w:r>
        <w:t>to secure compliance with Indonesia</w:t>
      </w:r>
      <w:r w:rsidR="00A03F00">
        <w:t>'</w:t>
      </w:r>
      <w:r>
        <w:t xml:space="preserve">s </w:t>
      </w:r>
      <w:r w:rsidR="000202E0">
        <w:t xml:space="preserve">Law </w:t>
      </w:r>
      <w:r>
        <w:t xml:space="preserve">on </w:t>
      </w:r>
      <w:r w:rsidR="000202E0">
        <w:t>Trade</w:t>
      </w:r>
      <w:r>
        <w:t xml:space="preserve">, </w:t>
      </w:r>
      <w:r w:rsidR="000202E0">
        <w:t xml:space="preserve">Law </w:t>
      </w:r>
      <w:r>
        <w:t xml:space="preserve">on </w:t>
      </w:r>
      <w:r w:rsidR="000202E0">
        <w:t xml:space="preserve">Industry, </w:t>
      </w:r>
      <w:r>
        <w:t xml:space="preserve">and </w:t>
      </w:r>
      <w:r w:rsidR="000202E0">
        <w:t xml:space="preserve">Law </w:t>
      </w:r>
      <w:r>
        <w:t xml:space="preserve">on </w:t>
      </w:r>
      <w:r w:rsidR="000202E0">
        <w:t xml:space="preserve">Standardization </w:t>
      </w:r>
      <w:r>
        <w:t xml:space="preserve">and </w:t>
      </w:r>
      <w:r w:rsidR="000202E0">
        <w:t>Conformity Assessment</w:t>
      </w:r>
      <w:r>
        <w:t>. The</w:t>
      </w:r>
      <w:r w:rsidR="000202E0">
        <w:t>ir</w:t>
      </w:r>
      <w:r>
        <w:t xml:space="preserve"> primary objective was to ensure that 4G</w:t>
      </w:r>
      <w:r w:rsidR="000202E0">
        <w:t> </w:t>
      </w:r>
      <w:r>
        <w:t>devices met Indonesia</w:t>
      </w:r>
      <w:r w:rsidR="00A03F00">
        <w:t>'</w:t>
      </w:r>
      <w:r>
        <w:t xml:space="preserve">s national standards and to protect </w:t>
      </w:r>
      <w:r w:rsidR="000202E0">
        <w:t>the end-</w:t>
      </w:r>
      <w:r>
        <w:t>users of the devices</w:t>
      </w:r>
      <w:r w:rsidR="000202E0">
        <w:t xml:space="preserve"> in question</w:t>
      </w:r>
      <w:r>
        <w:t xml:space="preserve">. He pointed out that the obligations stipulated in the regulation were also applied to </w:t>
      </w:r>
      <w:r w:rsidR="000202E0">
        <w:t xml:space="preserve">Indonesia's </w:t>
      </w:r>
      <w:r>
        <w:t>domestic industries. In addition, he informed the Committee that Indonesia had already notified its regulation regarding certification of cellular telephone</w:t>
      </w:r>
      <w:r w:rsidR="000202E0">
        <w:t>s</w:t>
      </w:r>
      <w:r>
        <w:t xml:space="preserve">, </w:t>
      </w:r>
      <w:r w:rsidR="000202E0">
        <w:t xml:space="preserve">handheld </w:t>
      </w:r>
      <w:r>
        <w:t>computer</w:t>
      </w:r>
      <w:r w:rsidR="000202E0">
        <w:t>s</w:t>
      </w:r>
      <w:r>
        <w:t>, and computer tablet</w:t>
      </w:r>
      <w:r w:rsidR="000202E0">
        <w:t>s</w:t>
      </w:r>
      <w:r>
        <w:t xml:space="preserve"> to the Committee on Technical Barriers to Trade in document</w:t>
      </w:r>
      <w:r w:rsidR="000202E0">
        <w:t> </w:t>
      </w:r>
      <w:r>
        <w:t>G/TBT/N/IDN/116.</w:t>
      </w:r>
    </w:p>
    <w:p w14:paraId="4808F1CB" w14:textId="77777777" w:rsidR="00E9734E" w:rsidRDefault="00E9734E" w:rsidP="00212829">
      <w:pPr>
        <w:pStyle w:val="BodyText"/>
      </w:pPr>
      <w:r>
        <w:t xml:space="preserve">The Committee </w:t>
      </w:r>
      <w:r w:rsidRPr="00B93C6B">
        <w:rPr>
          <w:u w:val="single"/>
        </w:rPr>
        <w:t>took note</w:t>
      </w:r>
      <w:r>
        <w:t xml:space="preserve"> of the statements made.</w:t>
      </w:r>
    </w:p>
    <w:p w14:paraId="1A30CC85" w14:textId="77777777" w:rsidR="00E9734E" w:rsidRDefault="00E9734E" w:rsidP="00187760">
      <w:pPr>
        <w:pStyle w:val="Heading1"/>
      </w:pPr>
      <w:bookmarkStart w:id="15" w:name="_Toc525116417"/>
      <w:r>
        <w:t>INDONESIA – IMPORT LICENSING REQUIREMENTS RELATED TO MILK SUPPLY AND CIRCULATION – STATEMENT BY THE UNITED STATES</w:t>
      </w:r>
      <w:bookmarkEnd w:id="15"/>
    </w:p>
    <w:p w14:paraId="5D22C0A3" w14:textId="5197E1E9" w:rsidR="00E9734E" w:rsidRDefault="00E9734E" w:rsidP="00212829">
      <w:pPr>
        <w:pStyle w:val="BodyText"/>
      </w:pPr>
      <w:r>
        <w:t xml:space="preserve">The representative of the </w:t>
      </w:r>
      <w:r w:rsidRPr="005B4DE0">
        <w:rPr>
          <w:u w:val="single"/>
        </w:rPr>
        <w:t>United States</w:t>
      </w:r>
      <w:r>
        <w:t xml:space="preserve"> stated that the US </w:t>
      </w:r>
      <w:r w:rsidR="005B4DE0">
        <w:t xml:space="preserve">remained </w:t>
      </w:r>
      <w:r>
        <w:t xml:space="preserve">very concerned </w:t>
      </w:r>
      <w:r w:rsidR="005B4DE0">
        <w:t xml:space="preserve">about </w:t>
      </w:r>
      <w:r>
        <w:t>recent developments regulating the dairy industry of Indonesia. She pointed out that</w:t>
      </w:r>
      <w:r w:rsidR="005B4DE0">
        <w:t>, in July of</w:t>
      </w:r>
      <w:r>
        <w:t xml:space="preserve"> last </w:t>
      </w:r>
      <w:r w:rsidR="005B4DE0">
        <w:lastRenderedPageBreak/>
        <w:t>year</w:t>
      </w:r>
      <w:r>
        <w:t xml:space="preserve">, Indonesia </w:t>
      </w:r>
      <w:r w:rsidR="005B4DE0">
        <w:t xml:space="preserve">had </w:t>
      </w:r>
      <w:r>
        <w:t>issued Ministry of Agriculture Regulation</w:t>
      </w:r>
      <w:r w:rsidR="005B4DE0">
        <w:t> </w:t>
      </w:r>
      <w:r>
        <w:t>26/2017</w:t>
      </w:r>
      <w:r w:rsidR="005B4DE0">
        <w:t>,</w:t>
      </w:r>
      <w:r>
        <w:t xml:space="preserve"> concerning Milk </w:t>
      </w:r>
      <w:r w:rsidR="005B4DE0">
        <w:t>Supply and Circulation (MOA Regulation </w:t>
      </w:r>
      <w:r>
        <w:t>26/2017), which appeared to make the grant of an import recommendation for dairy imports conditional on a local partnership agreement. Furthermore, MOA</w:t>
      </w:r>
      <w:r w:rsidR="005B4DE0">
        <w:t> Regulation </w:t>
      </w:r>
      <w:r>
        <w:t xml:space="preserve">26/2017 also called for the issuance of several implementing regulations. One such regulation </w:t>
      </w:r>
      <w:r w:rsidR="005B4DE0">
        <w:t xml:space="preserve">under consideration by </w:t>
      </w:r>
      <w:r>
        <w:t xml:space="preserve">Indonesia would further subject animal products, including milk and milk products, to </w:t>
      </w:r>
      <w:r w:rsidR="005B4DE0">
        <w:t xml:space="preserve">the </w:t>
      </w:r>
      <w:r>
        <w:t xml:space="preserve">restrictive import licensing scheme </w:t>
      </w:r>
      <w:r w:rsidR="005B4DE0">
        <w:t xml:space="preserve">that was </w:t>
      </w:r>
      <w:r>
        <w:t xml:space="preserve">already in place for other products. The US </w:t>
      </w:r>
      <w:r w:rsidR="005B4DE0">
        <w:t xml:space="preserve">was </w:t>
      </w:r>
      <w:r>
        <w:t>concerned that MOA</w:t>
      </w:r>
      <w:r w:rsidR="005B4DE0">
        <w:t> Regulation </w:t>
      </w:r>
      <w:r>
        <w:t xml:space="preserve">26/2017 and its related and implementing measures would restrict US dairy exports to Indonesia and create disadvantageous conditions for dairy importers for </w:t>
      </w:r>
      <w:r w:rsidR="005B4DE0">
        <w:t xml:space="preserve">milk </w:t>
      </w:r>
      <w:r>
        <w:t>processing businesses.</w:t>
      </w:r>
    </w:p>
    <w:p w14:paraId="19452182" w14:textId="5C9629DD" w:rsidR="00E9734E" w:rsidRDefault="00E9734E" w:rsidP="00212829">
      <w:pPr>
        <w:pStyle w:val="BodyText"/>
      </w:pPr>
      <w:r>
        <w:t xml:space="preserve">She noted that her delegation </w:t>
      </w:r>
      <w:r w:rsidR="005B4DE0">
        <w:t xml:space="preserve">held </w:t>
      </w:r>
      <w:r>
        <w:t xml:space="preserve">long-standing concerns </w:t>
      </w:r>
      <w:r w:rsidR="00F367AE">
        <w:t xml:space="preserve">over </w:t>
      </w:r>
      <w:r>
        <w:t>Indonesia</w:t>
      </w:r>
      <w:r w:rsidR="00A03F00">
        <w:t>'</w:t>
      </w:r>
      <w:r>
        <w:t>s import licensing regime in general</w:t>
      </w:r>
      <w:r w:rsidR="00F367AE">
        <w:t>,</w:t>
      </w:r>
      <w:r>
        <w:t xml:space="preserve"> and </w:t>
      </w:r>
      <w:r w:rsidR="00E22A1B">
        <w:t xml:space="preserve">in particular </w:t>
      </w:r>
      <w:proofErr w:type="gramStart"/>
      <w:r>
        <w:t>in the area of</w:t>
      </w:r>
      <w:proofErr w:type="gramEnd"/>
      <w:r>
        <w:t xml:space="preserve"> agriculture. She understood that Indonesia</w:t>
      </w:r>
      <w:r w:rsidR="00A03F00">
        <w:t>'</w:t>
      </w:r>
      <w:r>
        <w:t xml:space="preserve">s Director of Processing and Marketing of Livestock Products had sent letters directly to processors and importers requesting formal Partnership Proposals under </w:t>
      </w:r>
      <w:r w:rsidR="00983446">
        <w:t>MOA Regulation </w:t>
      </w:r>
      <w:r>
        <w:t xml:space="preserve">26/2017 by </w:t>
      </w:r>
      <w:r w:rsidR="00983446">
        <w:t xml:space="preserve">the deadline of </w:t>
      </w:r>
      <w:r>
        <w:t>15</w:t>
      </w:r>
      <w:r w:rsidR="00983446">
        <w:t> </w:t>
      </w:r>
      <w:r>
        <w:t>February</w:t>
      </w:r>
      <w:r w:rsidR="00983446">
        <w:t> </w:t>
      </w:r>
      <w:r>
        <w:t xml:space="preserve">2018. Furthermore, the US understood that these proposals would be </w:t>
      </w:r>
      <w:r w:rsidR="0072694A">
        <w:t>given consideration prior to</w:t>
      </w:r>
      <w:r>
        <w:t xml:space="preserve"> the issuance of </w:t>
      </w:r>
      <w:r w:rsidR="0072694A">
        <w:t xml:space="preserve">any </w:t>
      </w:r>
      <w:r>
        <w:t xml:space="preserve">import permit. The US regarded this </w:t>
      </w:r>
      <w:r w:rsidR="0072694A">
        <w:t xml:space="preserve">development </w:t>
      </w:r>
      <w:r>
        <w:t>as disappointing</w:t>
      </w:r>
      <w:r w:rsidR="0072694A">
        <w:t xml:space="preserve">; </w:t>
      </w:r>
      <w:r>
        <w:t xml:space="preserve">it </w:t>
      </w:r>
      <w:r w:rsidR="0072694A">
        <w:t xml:space="preserve">indicated that </w:t>
      </w:r>
      <w:r>
        <w:t>Indonesia</w:t>
      </w:r>
      <w:r w:rsidR="00A03F00">
        <w:t>'</w:t>
      </w:r>
      <w:r>
        <w:t>s intent</w:t>
      </w:r>
      <w:r w:rsidR="0072694A">
        <w:t>ion was</w:t>
      </w:r>
      <w:r>
        <w:t xml:space="preserve"> to continue </w:t>
      </w:r>
      <w:r w:rsidR="0072694A">
        <w:t xml:space="preserve">with </w:t>
      </w:r>
      <w:r>
        <w:t xml:space="preserve">its implementation plans for </w:t>
      </w:r>
      <w:r w:rsidR="0072694A">
        <w:t>MOA Regulation </w:t>
      </w:r>
      <w:r>
        <w:t>26/2017</w:t>
      </w:r>
      <w:r w:rsidR="0072694A">
        <w:t>,</w:t>
      </w:r>
      <w:r>
        <w:t xml:space="preserve"> and </w:t>
      </w:r>
      <w:r w:rsidR="0072694A">
        <w:t xml:space="preserve">its </w:t>
      </w:r>
      <w:r>
        <w:t xml:space="preserve">associated measures, despite the significant concerns </w:t>
      </w:r>
      <w:r w:rsidR="0072694A">
        <w:t xml:space="preserve">over the measures already </w:t>
      </w:r>
      <w:r>
        <w:t xml:space="preserve">raised by </w:t>
      </w:r>
      <w:r w:rsidR="0072694A">
        <w:t xml:space="preserve">Indonesia's </w:t>
      </w:r>
      <w:r>
        <w:t xml:space="preserve">trading partners. In this </w:t>
      </w:r>
      <w:r w:rsidR="0072694A">
        <w:t>regard</w:t>
      </w:r>
      <w:r>
        <w:t xml:space="preserve">, the US strongly urged Indonesia to reconsider </w:t>
      </w:r>
      <w:r w:rsidR="0072694A">
        <w:t>its MOA Regulation </w:t>
      </w:r>
      <w:r>
        <w:t>26/2017, and to consult with its trading partners prior to the issuance of any subsequent dairy import measures.</w:t>
      </w:r>
    </w:p>
    <w:p w14:paraId="0C23281C" w14:textId="5149D22F" w:rsidR="00E9734E" w:rsidRDefault="00E9734E" w:rsidP="00212829">
      <w:pPr>
        <w:pStyle w:val="BodyText"/>
      </w:pPr>
      <w:r>
        <w:t xml:space="preserve">In addition, she urged Indonesia to notify all draft measures </w:t>
      </w:r>
      <w:r w:rsidR="0072694A">
        <w:t>under consideration</w:t>
      </w:r>
      <w:r>
        <w:t xml:space="preserve"> to the appropriate WTO</w:t>
      </w:r>
      <w:r w:rsidR="0072694A">
        <w:t> </w:t>
      </w:r>
      <w:r>
        <w:t>Committee</w:t>
      </w:r>
      <w:r w:rsidR="0072694A">
        <w:t>,</w:t>
      </w:r>
      <w:r>
        <w:t xml:space="preserve"> and requested that Indonesia respond to </w:t>
      </w:r>
      <w:r w:rsidR="0072694A">
        <w:t xml:space="preserve">the </w:t>
      </w:r>
      <w:r>
        <w:t xml:space="preserve">US </w:t>
      </w:r>
      <w:r w:rsidR="0072694A">
        <w:t xml:space="preserve">comments </w:t>
      </w:r>
      <w:r>
        <w:t>with an explanation of how it intended to address the significant trading conc</w:t>
      </w:r>
      <w:r w:rsidR="00212829">
        <w:t xml:space="preserve">erns </w:t>
      </w:r>
      <w:r w:rsidR="0072694A">
        <w:t>created by</w:t>
      </w:r>
      <w:r w:rsidR="00212829">
        <w:t xml:space="preserve"> these measures.</w:t>
      </w:r>
    </w:p>
    <w:p w14:paraId="3BC67045" w14:textId="2B87D872" w:rsidR="00E9734E" w:rsidRDefault="00E9734E" w:rsidP="00212829">
      <w:pPr>
        <w:pStyle w:val="BodyText"/>
      </w:pPr>
      <w:r>
        <w:t xml:space="preserve">The representative of the </w:t>
      </w:r>
      <w:r w:rsidRPr="00B93C6B">
        <w:rPr>
          <w:u w:val="single"/>
        </w:rPr>
        <w:t>European Union</w:t>
      </w:r>
      <w:r>
        <w:t xml:space="preserve"> expressed </w:t>
      </w:r>
      <w:r w:rsidR="0072694A">
        <w:t xml:space="preserve">the EU's ongoing </w:t>
      </w:r>
      <w:r>
        <w:t xml:space="preserve">concern </w:t>
      </w:r>
      <w:r w:rsidR="0072694A">
        <w:t xml:space="preserve">over the </w:t>
      </w:r>
      <w:r>
        <w:t xml:space="preserve">Indonesian import licensing </w:t>
      </w:r>
      <w:r w:rsidR="0072694A">
        <w:t xml:space="preserve">regime, </w:t>
      </w:r>
      <w:r>
        <w:t xml:space="preserve">as raised </w:t>
      </w:r>
      <w:r w:rsidR="0072694A">
        <w:t xml:space="preserve">already </w:t>
      </w:r>
      <w:r>
        <w:t xml:space="preserve">several times in this Committee. She reiterated </w:t>
      </w:r>
      <w:r w:rsidR="0072694A">
        <w:t xml:space="preserve">the </w:t>
      </w:r>
      <w:r>
        <w:t>EU</w:t>
      </w:r>
      <w:r w:rsidR="00A03F00">
        <w:t>'</w:t>
      </w:r>
      <w:r>
        <w:t xml:space="preserve">s </w:t>
      </w:r>
      <w:r w:rsidR="0072694A">
        <w:t xml:space="preserve">wish to receive </w:t>
      </w:r>
      <w:r>
        <w:t xml:space="preserve">detailed information on the rules and standards for milk regulating the production of processed milk and </w:t>
      </w:r>
      <w:r w:rsidR="0072694A">
        <w:t xml:space="preserve">its </w:t>
      </w:r>
      <w:r>
        <w:t xml:space="preserve">relevant investments. </w:t>
      </w:r>
      <w:proofErr w:type="gramStart"/>
      <w:r>
        <w:t>In particular, she</w:t>
      </w:r>
      <w:proofErr w:type="gramEnd"/>
      <w:r>
        <w:t xml:space="preserve"> requested Indonesia to present</w:t>
      </w:r>
      <w:r w:rsidR="0072694A">
        <w:t>,</w:t>
      </w:r>
      <w:r>
        <w:t xml:space="preserve"> in detail, the licensing rules applicable on the basis of the draft Ministry of Agriculture Regulation concerning the Importation and Exportation of Food Products of Animal Origin into and from the territory of the Republic of Indonesia, which </w:t>
      </w:r>
      <w:r w:rsidR="0072694A">
        <w:t xml:space="preserve">also </w:t>
      </w:r>
      <w:r>
        <w:t>included provisions on milk and milk products.</w:t>
      </w:r>
    </w:p>
    <w:p w14:paraId="46CDE673" w14:textId="786D5DA1" w:rsidR="00E9734E" w:rsidRDefault="00E9734E" w:rsidP="00212829">
      <w:pPr>
        <w:pStyle w:val="BodyText"/>
      </w:pPr>
      <w:r>
        <w:t xml:space="preserve">The EU welcomed the fact that Indonesia had notified the above-mentioned draft legal text to </w:t>
      </w:r>
      <w:r w:rsidR="0072694A">
        <w:t xml:space="preserve">the </w:t>
      </w:r>
      <w:r>
        <w:t>WTO</w:t>
      </w:r>
      <w:r w:rsidR="0072694A">
        <w:t> </w:t>
      </w:r>
      <w:r>
        <w:t>SPS</w:t>
      </w:r>
      <w:r w:rsidR="0072694A">
        <w:t> </w:t>
      </w:r>
      <w:r>
        <w:t>Committee (</w:t>
      </w:r>
      <w:r w:rsidR="0072694A">
        <w:t>document </w:t>
      </w:r>
      <w:r>
        <w:t xml:space="preserve">G/SPS/N/IDN/121), and invited Indonesia </w:t>
      </w:r>
      <w:r w:rsidR="0072694A">
        <w:t xml:space="preserve">also </w:t>
      </w:r>
      <w:r>
        <w:t xml:space="preserve">to notify </w:t>
      </w:r>
      <w:r w:rsidR="0072694A">
        <w:t xml:space="preserve">to </w:t>
      </w:r>
      <w:r>
        <w:t xml:space="preserve">the Committee on Import Licensing any import </w:t>
      </w:r>
      <w:r w:rsidR="0072694A">
        <w:t>licensing-</w:t>
      </w:r>
      <w:r>
        <w:t xml:space="preserve">related issues </w:t>
      </w:r>
      <w:r w:rsidR="0072694A">
        <w:t xml:space="preserve">arising from </w:t>
      </w:r>
      <w:r>
        <w:t xml:space="preserve">this regulation </w:t>
      </w:r>
      <w:r w:rsidR="0072694A">
        <w:t xml:space="preserve">and </w:t>
      </w:r>
      <w:r>
        <w:t>the related MOA</w:t>
      </w:r>
      <w:r w:rsidR="0072694A">
        <w:t> </w:t>
      </w:r>
      <w:r>
        <w:t>Regulation</w:t>
      </w:r>
      <w:r w:rsidR="0072694A">
        <w:t> </w:t>
      </w:r>
      <w:r>
        <w:t>13/2017</w:t>
      </w:r>
      <w:r w:rsidR="0072694A">
        <w:t>,</w:t>
      </w:r>
      <w:r>
        <w:t xml:space="preserve"> on Partnership with Local Dairy Producers/Farmers. In this </w:t>
      </w:r>
      <w:r w:rsidR="0072694A">
        <w:t>regard</w:t>
      </w:r>
      <w:r>
        <w:t xml:space="preserve">, the EU invited Indonesia to </w:t>
      </w:r>
      <w:r w:rsidR="0072694A">
        <w:t xml:space="preserve">further </w:t>
      </w:r>
      <w:r>
        <w:t xml:space="preserve">elaborate on the </w:t>
      </w:r>
      <w:r w:rsidR="0072694A">
        <w:t>licensing-</w:t>
      </w:r>
      <w:r>
        <w:t>related aspects of MOA</w:t>
      </w:r>
      <w:r w:rsidR="0072694A">
        <w:t> </w:t>
      </w:r>
      <w:r>
        <w:t>Regulation</w:t>
      </w:r>
      <w:r w:rsidR="0072694A">
        <w:t> </w:t>
      </w:r>
      <w:r>
        <w:t xml:space="preserve">13/2017, which was making dairy imports conditional upon establishing partnerships with local farmers. The EU also asked for an overview of the dates </w:t>
      </w:r>
      <w:r w:rsidR="0072694A">
        <w:t xml:space="preserve">foreseen </w:t>
      </w:r>
      <w:r>
        <w:t>of application of the three</w:t>
      </w:r>
      <w:r w:rsidR="0072694A">
        <w:t> </w:t>
      </w:r>
      <w:r>
        <w:t>regulations mentioned above</w:t>
      </w:r>
      <w:r w:rsidR="0072694A">
        <w:t>,</w:t>
      </w:r>
      <w:r>
        <w:t xml:space="preserve"> and any other rules </w:t>
      </w:r>
      <w:r w:rsidR="00C1745A">
        <w:t xml:space="preserve">already </w:t>
      </w:r>
      <w:r w:rsidR="0072694A">
        <w:t xml:space="preserve">foreseen </w:t>
      </w:r>
      <w:r w:rsidR="00C1745A">
        <w:t xml:space="preserve">relating </w:t>
      </w:r>
      <w:r>
        <w:t>to milk sup</w:t>
      </w:r>
      <w:r w:rsidR="00212829">
        <w:t>ply, distribution</w:t>
      </w:r>
      <w:r w:rsidR="00C1745A">
        <w:t>,</w:t>
      </w:r>
      <w:r w:rsidR="00212829">
        <w:t xml:space="preserve"> and imports.</w:t>
      </w:r>
    </w:p>
    <w:p w14:paraId="640EAC62" w14:textId="58A4561F" w:rsidR="00E9734E" w:rsidRDefault="00E9734E" w:rsidP="00212829">
      <w:pPr>
        <w:pStyle w:val="BodyText"/>
      </w:pPr>
      <w:r>
        <w:t xml:space="preserve">The representative of </w:t>
      </w:r>
      <w:r w:rsidRPr="00C1745A">
        <w:rPr>
          <w:u w:val="single"/>
        </w:rPr>
        <w:t>Switzerland</w:t>
      </w:r>
      <w:r>
        <w:t xml:space="preserve"> echoed the concerns of the </w:t>
      </w:r>
      <w:r w:rsidR="00C1745A">
        <w:t>US and the EU</w:t>
      </w:r>
      <w:r>
        <w:t xml:space="preserve"> regarding Indonesia</w:t>
      </w:r>
      <w:r w:rsidR="00A03F00">
        <w:t>'</w:t>
      </w:r>
      <w:r>
        <w:t xml:space="preserve">s draft </w:t>
      </w:r>
      <w:r w:rsidR="00C1745A">
        <w:t>MOA Regulation </w:t>
      </w:r>
      <w:r>
        <w:t>26/2017</w:t>
      </w:r>
      <w:r w:rsidR="00C1745A">
        <w:t>,</w:t>
      </w:r>
      <w:r>
        <w:t xml:space="preserve"> on milk supply and regulation. Switzerland looked forward to receiving any response from Indonesia </w:t>
      </w:r>
      <w:r w:rsidR="00C1745A">
        <w:t xml:space="preserve">concerning </w:t>
      </w:r>
      <w:r>
        <w:t xml:space="preserve">this measure, especially </w:t>
      </w:r>
      <w:proofErr w:type="gramStart"/>
      <w:r w:rsidR="00C1745A">
        <w:t xml:space="preserve">with </w:t>
      </w:r>
      <w:r>
        <w:t xml:space="preserve">regard </w:t>
      </w:r>
      <w:r w:rsidR="00C1745A">
        <w:t>to</w:t>
      </w:r>
      <w:proofErr w:type="gramEnd"/>
      <w:r w:rsidR="00C1745A">
        <w:t xml:space="preserve"> </w:t>
      </w:r>
      <w:r>
        <w:t xml:space="preserve">its justification </w:t>
      </w:r>
      <w:r w:rsidR="00C1745A">
        <w:t xml:space="preserve">and </w:t>
      </w:r>
      <w:r>
        <w:t>implementation.</w:t>
      </w:r>
    </w:p>
    <w:p w14:paraId="21F806F1" w14:textId="7A2070F0" w:rsidR="00E9734E" w:rsidRDefault="00E9734E" w:rsidP="00212829">
      <w:pPr>
        <w:pStyle w:val="BodyText"/>
      </w:pPr>
      <w:r>
        <w:t xml:space="preserve">The representative of </w:t>
      </w:r>
      <w:r w:rsidRPr="00C1745A">
        <w:rPr>
          <w:u w:val="single"/>
        </w:rPr>
        <w:t>Chile</w:t>
      </w:r>
      <w:r>
        <w:t xml:space="preserve"> shared concerns </w:t>
      </w:r>
      <w:proofErr w:type="gramStart"/>
      <w:r w:rsidR="003F66D6">
        <w:t>similar to</w:t>
      </w:r>
      <w:proofErr w:type="gramEnd"/>
      <w:r w:rsidR="003F66D6">
        <w:t xml:space="preserve"> those already </w:t>
      </w:r>
      <w:r>
        <w:t xml:space="preserve">raised by other Members and reiterated its </w:t>
      </w:r>
      <w:r w:rsidR="003F66D6">
        <w:t xml:space="preserve">own </w:t>
      </w:r>
      <w:r>
        <w:t>system</w:t>
      </w:r>
      <w:r w:rsidR="003F66D6">
        <w:t>ic concern</w:t>
      </w:r>
      <w:r>
        <w:t xml:space="preserve"> regarding </w:t>
      </w:r>
      <w:r w:rsidR="003F66D6">
        <w:t>Indonesia's</w:t>
      </w:r>
      <w:r>
        <w:t xml:space="preserve"> import licensing regime, </w:t>
      </w:r>
      <w:r w:rsidR="003F66D6">
        <w:t xml:space="preserve">in </w:t>
      </w:r>
      <w:r>
        <w:t xml:space="preserve">particular </w:t>
      </w:r>
      <w:r w:rsidR="003F66D6">
        <w:t xml:space="preserve">as it was </w:t>
      </w:r>
      <w:r>
        <w:t>applied to agricultural products.</w:t>
      </w:r>
    </w:p>
    <w:p w14:paraId="432F0F23" w14:textId="6B7A7663" w:rsidR="00E9734E" w:rsidRDefault="00E9734E" w:rsidP="00212829">
      <w:pPr>
        <w:pStyle w:val="BodyText"/>
      </w:pPr>
      <w:r>
        <w:t xml:space="preserve">The representative of </w:t>
      </w:r>
      <w:r w:rsidRPr="00C1745A">
        <w:rPr>
          <w:u w:val="single"/>
        </w:rPr>
        <w:t>New Zealand</w:t>
      </w:r>
      <w:r>
        <w:t xml:space="preserve"> thanked the US for its questions </w:t>
      </w:r>
      <w:r w:rsidR="003F66D6">
        <w:t xml:space="preserve">addressed </w:t>
      </w:r>
      <w:r>
        <w:t xml:space="preserve">to Indonesia. She indicated that this </w:t>
      </w:r>
      <w:r w:rsidR="003F66D6">
        <w:t xml:space="preserve">was </w:t>
      </w:r>
      <w:r>
        <w:t xml:space="preserve">an issue </w:t>
      </w:r>
      <w:r w:rsidR="003F66D6">
        <w:t xml:space="preserve">on which </w:t>
      </w:r>
      <w:r>
        <w:t xml:space="preserve">her government had engaged constructively with Indonesia during </w:t>
      </w:r>
      <w:r w:rsidR="003F66D6">
        <w:t xml:space="preserve">the </w:t>
      </w:r>
      <w:r>
        <w:t>Indonesian President</w:t>
      </w:r>
      <w:r w:rsidR="00A03F00">
        <w:t>'</w:t>
      </w:r>
      <w:r>
        <w:t xml:space="preserve">s recent visit to New Zealand, and </w:t>
      </w:r>
      <w:r w:rsidR="003F66D6">
        <w:t xml:space="preserve">that </w:t>
      </w:r>
      <w:r>
        <w:t xml:space="preserve">her delegation </w:t>
      </w:r>
      <w:r w:rsidR="003F66D6">
        <w:t xml:space="preserve">remained </w:t>
      </w:r>
      <w:r>
        <w:t>keen to better understand the impli</w:t>
      </w:r>
      <w:r w:rsidR="00212829">
        <w:t>cations of the</w:t>
      </w:r>
      <w:r w:rsidR="003F66D6">
        <w:t>se</w:t>
      </w:r>
      <w:r w:rsidR="00212829">
        <w:t xml:space="preserve"> new regulations.</w:t>
      </w:r>
    </w:p>
    <w:p w14:paraId="7F648568" w14:textId="2F4C58EE" w:rsidR="00E9734E" w:rsidRDefault="00E9734E" w:rsidP="00212829">
      <w:pPr>
        <w:pStyle w:val="BodyText"/>
      </w:pPr>
      <w:r>
        <w:lastRenderedPageBreak/>
        <w:t>New Zealand was particularly interested to understand the link between the requirements in Articles</w:t>
      </w:r>
      <w:r w:rsidR="003F66D6">
        <w:t> </w:t>
      </w:r>
      <w:r>
        <w:t>23 and 30</w:t>
      </w:r>
      <w:r w:rsidR="003F66D6">
        <w:t>–which</w:t>
      </w:r>
      <w:r>
        <w:t xml:space="preserve"> </w:t>
      </w:r>
      <w:r w:rsidR="003F66D6">
        <w:t xml:space="preserve">stipulated </w:t>
      </w:r>
      <w:r>
        <w:t xml:space="preserve">that importers were </w:t>
      </w:r>
      <w:r w:rsidR="003F66D6">
        <w:t xml:space="preserve">obliged </w:t>
      </w:r>
      <w:r>
        <w:t>to establish partnerships with local farmers, farm groups, or cooperatives</w:t>
      </w:r>
      <w:r w:rsidR="003F66D6">
        <w:t>,</w:t>
      </w:r>
      <w:r>
        <w:t xml:space="preserve"> to </w:t>
      </w:r>
      <w:r w:rsidR="003F66D6">
        <w:t xml:space="preserve">utilize </w:t>
      </w:r>
      <w:r>
        <w:t>and/or promote fresh milk, provide production facilities, production equipment, and/or funding or financing</w:t>
      </w:r>
      <w:r w:rsidR="003F66D6">
        <w:t>–</w:t>
      </w:r>
      <w:r>
        <w:t>and Article</w:t>
      </w:r>
      <w:r w:rsidR="003F66D6">
        <w:t> </w:t>
      </w:r>
      <w:r>
        <w:t>34.3</w:t>
      </w:r>
      <w:r w:rsidR="003F66D6">
        <w:t>,</w:t>
      </w:r>
      <w:r>
        <w:t xml:space="preserve"> which stated that these partnership agreements shall be considered by the Director General of Livestock and Animal Health when </w:t>
      </w:r>
      <w:r w:rsidR="00212829">
        <w:t>issuing import recommendations.</w:t>
      </w:r>
    </w:p>
    <w:p w14:paraId="4E5EE2DD" w14:textId="073BB178" w:rsidR="00E9734E" w:rsidRDefault="00E9734E" w:rsidP="00212829">
      <w:pPr>
        <w:pStyle w:val="BodyText"/>
      </w:pPr>
      <w:r>
        <w:t xml:space="preserve">In response, the representative of </w:t>
      </w:r>
      <w:r w:rsidRPr="00C1745A">
        <w:rPr>
          <w:u w:val="single"/>
        </w:rPr>
        <w:t>Indonesia</w:t>
      </w:r>
      <w:r>
        <w:t xml:space="preserve"> thanked the US, the EU, Switzerland, Chile, and </w:t>
      </w:r>
      <w:r w:rsidR="003F66D6">
        <w:t>New Zealand,</w:t>
      </w:r>
      <w:r>
        <w:t xml:space="preserve"> for their continued interest in the </w:t>
      </w:r>
      <w:r w:rsidR="00F525F0">
        <w:t xml:space="preserve">Indonesian </w:t>
      </w:r>
      <w:r>
        <w:t xml:space="preserve">market for the products concerned. He explained that the current regulation being applied was a regulation on the provision and circulation </w:t>
      </w:r>
      <w:r w:rsidRPr="00CA385D">
        <w:t>of milk</w:t>
      </w:r>
      <w:r w:rsidR="00F525F0" w:rsidRPr="00CA385D">
        <w:t>;</w:t>
      </w:r>
      <w:r w:rsidRPr="00CA385D">
        <w:t xml:space="preserve"> </w:t>
      </w:r>
      <w:r w:rsidR="00F525F0" w:rsidRPr="00CA385D">
        <w:t xml:space="preserve">it </w:t>
      </w:r>
      <w:r w:rsidRPr="00CA385D">
        <w:t xml:space="preserve">did not regulate the procedure on </w:t>
      </w:r>
      <w:r w:rsidR="00F525F0" w:rsidRPr="00CA385D">
        <w:t xml:space="preserve">the </w:t>
      </w:r>
      <w:r w:rsidRPr="00CA385D">
        <w:t xml:space="preserve">importation of milk </w:t>
      </w:r>
      <w:r w:rsidRPr="00B93C6B">
        <w:rPr>
          <w:i/>
        </w:rPr>
        <w:t>per se</w:t>
      </w:r>
      <w:r w:rsidRPr="00CA385D">
        <w:t xml:space="preserve">. </w:t>
      </w:r>
      <w:r w:rsidR="00F525F0" w:rsidRPr="00CA385D">
        <w:t xml:space="preserve">Rather, the </w:t>
      </w:r>
      <w:r w:rsidRPr="00CA385D">
        <w:t>importation</w:t>
      </w:r>
      <w:r>
        <w:t xml:space="preserve"> of milk would be regulated by Indonesia</w:t>
      </w:r>
      <w:r w:rsidR="00A03F00">
        <w:t>'</w:t>
      </w:r>
      <w:r>
        <w:t xml:space="preserve">s Minister of Agriculture in the form of </w:t>
      </w:r>
      <w:r w:rsidR="00F525F0">
        <w:t xml:space="preserve">a </w:t>
      </w:r>
      <w:r>
        <w:t xml:space="preserve">decree or regulation </w:t>
      </w:r>
      <w:r w:rsidR="00F525F0">
        <w:t xml:space="preserve">on the </w:t>
      </w:r>
      <w:r>
        <w:t xml:space="preserve">importation and exportation of food products of animal origin into and from the territory of the Republic of Indonesia. He informed that Committee that the draft decree or regulation </w:t>
      </w:r>
      <w:r w:rsidR="00F525F0">
        <w:t xml:space="preserve">in question </w:t>
      </w:r>
      <w:r>
        <w:t>had been notified to the SPS</w:t>
      </w:r>
      <w:r w:rsidR="00F525F0">
        <w:t> </w:t>
      </w:r>
      <w:r>
        <w:t>Committee in document</w:t>
      </w:r>
      <w:r w:rsidR="00F525F0">
        <w:t> </w:t>
      </w:r>
      <w:r>
        <w:t>G/SPS/N/IDN/121</w:t>
      </w:r>
      <w:r w:rsidR="00F525F0">
        <w:t>,</w:t>
      </w:r>
      <w:r>
        <w:t xml:space="preserve"> on 23</w:t>
      </w:r>
      <w:r w:rsidR="00F525F0">
        <w:t> </w:t>
      </w:r>
      <w:r>
        <w:t>November</w:t>
      </w:r>
      <w:r w:rsidR="00F525F0">
        <w:t> </w:t>
      </w:r>
      <w:r>
        <w:t>2017</w:t>
      </w:r>
      <w:r w:rsidR="00F525F0">
        <w:t>,</w:t>
      </w:r>
      <w:r>
        <w:t xml:space="preserve"> and he assured Members that</w:t>
      </w:r>
      <w:r w:rsidR="00F525F0">
        <w:t>,</w:t>
      </w:r>
      <w:r>
        <w:t xml:space="preserve"> in drafting any decree or regulation, Indonesia carefully considered WTO</w:t>
      </w:r>
      <w:r w:rsidR="00F525F0">
        <w:t> </w:t>
      </w:r>
      <w:r>
        <w:t>rules and principles.</w:t>
      </w:r>
    </w:p>
    <w:p w14:paraId="29320A55" w14:textId="77777777" w:rsidR="00E9734E" w:rsidRDefault="00E9734E" w:rsidP="00212829">
      <w:pPr>
        <w:pStyle w:val="BodyText"/>
      </w:pPr>
      <w:r>
        <w:t xml:space="preserve">The Committee </w:t>
      </w:r>
      <w:r w:rsidRPr="00B83736">
        <w:rPr>
          <w:u w:val="single"/>
        </w:rPr>
        <w:t>took note</w:t>
      </w:r>
      <w:r>
        <w:t xml:space="preserve"> of the statements made.</w:t>
      </w:r>
    </w:p>
    <w:p w14:paraId="7FC334BE" w14:textId="77777777" w:rsidR="00E9734E" w:rsidRDefault="00E9734E" w:rsidP="00187760">
      <w:pPr>
        <w:pStyle w:val="Heading1"/>
      </w:pPr>
      <w:bookmarkStart w:id="16" w:name="_Toc525116418"/>
      <w:r>
        <w:t>INDIA – IMPORT LICENSING REQUIREMENTS FOR BORIC ACID – STATEMENT BY THE UNITED STATES</w:t>
      </w:r>
      <w:bookmarkEnd w:id="16"/>
    </w:p>
    <w:p w14:paraId="7ECB635E" w14:textId="31AA49D5" w:rsidR="00E9734E" w:rsidRDefault="00E9734E" w:rsidP="00212829">
      <w:pPr>
        <w:pStyle w:val="BodyText"/>
      </w:pPr>
      <w:r>
        <w:t xml:space="preserve">The representative of the </w:t>
      </w:r>
      <w:r w:rsidRPr="00A22F1F">
        <w:rPr>
          <w:u w:val="single"/>
        </w:rPr>
        <w:t>United States</w:t>
      </w:r>
      <w:r>
        <w:t xml:space="preserve"> </w:t>
      </w:r>
      <w:r w:rsidR="00A22F1F">
        <w:t xml:space="preserve">noted </w:t>
      </w:r>
      <w:r>
        <w:t>that the US had been concerned with India</w:t>
      </w:r>
      <w:r w:rsidR="00A03F00">
        <w:t>'</w:t>
      </w:r>
      <w:r>
        <w:t>s import licensing requirements for boric acid</w:t>
      </w:r>
      <w:r w:rsidR="00A22F1F">
        <w:t xml:space="preserve"> for some time</w:t>
      </w:r>
      <w:r>
        <w:t xml:space="preserve">, </w:t>
      </w:r>
      <w:r w:rsidR="00A22F1F">
        <w:t xml:space="preserve">in </w:t>
      </w:r>
      <w:r>
        <w:t xml:space="preserve">particular </w:t>
      </w:r>
      <w:proofErr w:type="gramStart"/>
      <w:r>
        <w:t xml:space="preserve">with </w:t>
      </w:r>
      <w:r w:rsidR="00A22F1F">
        <w:t xml:space="preserve">regard </w:t>
      </w:r>
      <w:r>
        <w:t>to</w:t>
      </w:r>
      <w:proofErr w:type="gramEnd"/>
      <w:r>
        <w:t xml:space="preserve"> the burdensome end-use certificates necessary for importation.</w:t>
      </w:r>
    </w:p>
    <w:p w14:paraId="5BB00136" w14:textId="28D24E03" w:rsidR="00E9734E" w:rsidRDefault="00E9734E" w:rsidP="00212829">
      <w:pPr>
        <w:pStyle w:val="BodyText"/>
      </w:pPr>
      <w:r>
        <w:t xml:space="preserve">She highlighted that her delegation had been raising this issue in this Committee for </w:t>
      </w:r>
      <w:r w:rsidR="00A22F1F">
        <w:t>nearly</w:t>
      </w:r>
      <w:r>
        <w:t xml:space="preserve"> a decade. She recalled that US concerns </w:t>
      </w:r>
      <w:r w:rsidR="00A22F1F">
        <w:t xml:space="preserve">dated back to </w:t>
      </w:r>
      <w:r>
        <w:t>2006</w:t>
      </w:r>
      <w:r w:rsidR="00A22F1F">
        <w:t>,</w:t>
      </w:r>
      <w:r>
        <w:t xml:space="preserve"> when India</w:t>
      </w:r>
      <w:r w:rsidR="00A03F00">
        <w:t>'</w:t>
      </w:r>
      <w:r>
        <w:t>s Ministry of Commerce and Industry issued a new rule</w:t>
      </w:r>
      <w:r w:rsidR="00A22F1F">
        <w:t>,</w:t>
      </w:r>
      <w:r>
        <w:t xml:space="preserve"> stating that </w:t>
      </w:r>
      <w:r w:rsidR="00A22F1F">
        <w:t>"imports of Boric Acid for non-</w:t>
      </w:r>
      <w:r>
        <w:t xml:space="preserve">insecticidal purposes will be subject to an import permit issued by the Central Insecticide Board </w:t>
      </w:r>
      <w:r w:rsidR="00A70ACB">
        <w:t xml:space="preserve">and </w:t>
      </w:r>
      <w:r>
        <w:t xml:space="preserve">Registration Committee under the Ministry of Agriculture". Prior to this change, no import permit </w:t>
      </w:r>
      <w:r w:rsidR="00A70ACB">
        <w:t xml:space="preserve">was </w:t>
      </w:r>
      <w:r>
        <w:t>required for boric acid. However, India</w:t>
      </w:r>
      <w:r w:rsidR="00A03F00">
        <w:t>'</w:t>
      </w:r>
      <w:r>
        <w:t xml:space="preserve">s implementation of this change had the effect of limiting the importation of non-insecticidal boric acid by Indian importers by requiring the importer to provide the precise end-use of the product prior to </w:t>
      </w:r>
      <w:r w:rsidR="00A70ACB">
        <w:t xml:space="preserve">its </w:t>
      </w:r>
      <w:r>
        <w:t>importation. This information was subject to a formal government review process. Ultimately, only a specific quantity of boric acid could be approved for import under each transaction.</w:t>
      </w:r>
    </w:p>
    <w:p w14:paraId="0A2B5C65" w14:textId="7D7523DD" w:rsidR="00E9734E" w:rsidRDefault="00E9734E" w:rsidP="00212829">
      <w:pPr>
        <w:pStyle w:val="BodyText"/>
      </w:pPr>
      <w:r>
        <w:t xml:space="preserve">She argued that the Central Insecticide Board </w:t>
      </w:r>
      <w:r w:rsidR="00A70ACB">
        <w:t xml:space="preserve">and </w:t>
      </w:r>
      <w:r>
        <w:t xml:space="preserve">Registration Committee met </w:t>
      </w:r>
      <w:r w:rsidR="00A70ACB">
        <w:t xml:space="preserve">only </w:t>
      </w:r>
      <w:r>
        <w:t xml:space="preserve">monthly, often not </w:t>
      </w:r>
      <w:r w:rsidR="00A70ACB">
        <w:t xml:space="preserve">getting an </w:t>
      </w:r>
      <w:r>
        <w:t xml:space="preserve">opportunity even </w:t>
      </w:r>
      <w:r w:rsidR="00A70ACB">
        <w:t xml:space="preserve">to </w:t>
      </w:r>
      <w:r>
        <w:t xml:space="preserve">review </w:t>
      </w:r>
      <w:r w:rsidR="00A70ACB">
        <w:t xml:space="preserve">the </w:t>
      </w:r>
      <w:r>
        <w:t>import requests</w:t>
      </w:r>
      <w:r w:rsidR="00A70ACB">
        <w:t xml:space="preserve"> pending</w:t>
      </w:r>
      <w:r>
        <w:t>. It was the US understanding</w:t>
      </w:r>
      <w:r w:rsidR="00A70ACB">
        <w:t>, for example,</w:t>
      </w:r>
      <w:r>
        <w:t xml:space="preserve"> that an import permit for non-insecticidal boric acid had not been approved in over </w:t>
      </w:r>
      <w:r w:rsidR="00A70ACB">
        <w:t>six </w:t>
      </w:r>
      <w:r>
        <w:t xml:space="preserve">months, despite repeated applications. In this regard, </w:t>
      </w:r>
      <w:r w:rsidR="00A70ACB">
        <w:t xml:space="preserve">the </w:t>
      </w:r>
      <w:r>
        <w:t xml:space="preserve">US requested India to explain why no import licences </w:t>
      </w:r>
      <w:r w:rsidR="00A70ACB">
        <w:t xml:space="preserve">had been </w:t>
      </w:r>
      <w:r>
        <w:t>approved for such a</w:t>
      </w:r>
      <w:r w:rsidR="00A70ACB">
        <w:t>n</w:t>
      </w:r>
      <w:r>
        <w:t xml:space="preserve"> </w:t>
      </w:r>
      <w:r w:rsidR="00A70ACB">
        <w:t xml:space="preserve">extended </w:t>
      </w:r>
      <w:proofErr w:type="gramStart"/>
      <w:r>
        <w:t>period of time</w:t>
      </w:r>
      <w:proofErr w:type="gramEnd"/>
      <w:r>
        <w:t>?</w:t>
      </w:r>
    </w:p>
    <w:p w14:paraId="3C84581F" w14:textId="7602D1E7" w:rsidR="00E9734E" w:rsidRDefault="00E9734E" w:rsidP="00212829">
      <w:pPr>
        <w:pStyle w:val="BodyText"/>
      </w:pPr>
      <w:r>
        <w:t>She noted that</w:t>
      </w:r>
      <w:r w:rsidR="00A70ACB">
        <w:t>,</w:t>
      </w:r>
      <w:r>
        <w:t xml:space="preserve"> in addition to the lengthy time-frame for obtaining an approval, quantities were also restricted. Indian importers had expressed to the US their frustration that they must supply information on their past consumption of boric acid, broken </w:t>
      </w:r>
      <w:r w:rsidR="00A70ACB">
        <w:t xml:space="preserve">down </w:t>
      </w:r>
      <w:r>
        <w:t xml:space="preserve">by imports and domestic sources, when seeking </w:t>
      </w:r>
      <w:r w:rsidR="003F1083">
        <w:t xml:space="preserve">import </w:t>
      </w:r>
      <w:r>
        <w:t xml:space="preserve">approval. </w:t>
      </w:r>
      <w:r w:rsidR="003F1083">
        <w:t xml:space="preserve">In fact, new </w:t>
      </w:r>
      <w:r>
        <w:t xml:space="preserve">approvals for imported boric acid were based </w:t>
      </w:r>
      <w:r w:rsidR="003F1083">
        <w:t xml:space="preserve">only </w:t>
      </w:r>
      <w:r>
        <w:t>on past import levels, not on total consumption</w:t>
      </w:r>
      <w:r w:rsidR="003F1083">
        <w:t xml:space="preserve">; this </w:t>
      </w:r>
      <w:r>
        <w:t xml:space="preserve">appeared to be an arbitrary quantitative restriction. She continued to </w:t>
      </w:r>
      <w:r w:rsidR="003F1083">
        <w:t xml:space="preserve">repeat the US </w:t>
      </w:r>
      <w:r>
        <w:t xml:space="preserve">request that India explain why boric acid, which had a toxicity level roughly equivalent to table salt, </w:t>
      </w:r>
      <w:r w:rsidR="003F1083">
        <w:t xml:space="preserve">was </w:t>
      </w:r>
      <w:r>
        <w:t xml:space="preserve">the only insecticide that required an </w:t>
      </w:r>
      <w:r w:rsidR="00964995">
        <w:t>import permit for non</w:t>
      </w:r>
      <w:r w:rsidR="00964995">
        <w:noBreakHyphen/>
      </w:r>
      <w:r>
        <w:t xml:space="preserve">insecticidal use, considering its low toxicity level compared to other insecticides </w:t>
      </w:r>
      <w:r w:rsidR="003F1083">
        <w:t>for which</w:t>
      </w:r>
      <w:r w:rsidR="00212829">
        <w:t xml:space="preserve"> an import permit</w:t>
      </w:r>
      <w:r w:rsidR="003F1083">
        <w:t xml:space="preserve"> was not required</w:t>
      </w:r>
      <w:r w:rsidR="00212829">
        <w:t>.</w:t>
      </w:r>
    </w:p>
    <w:p w14:paraId="3C357767" w14:textId="6D54AD17" w:rsidR="00E9734E" w:rsidRDefault="00E9734E" w:rsidP="00212829">
      <w:pPr>
        <w:pStyle w:val="BodyText"/>
      </w:pPr>
      <w:r>
        <w:t>In addition, she pointed out that India</w:t>
      </w:r>
      <w:r w:rsidR="00A03F00">
        <w:t>'</w:t>
      </w:r>
      <w:r>
        <w:t xml:space="preserve">s domestic manufacturers of boric acid did not have to seek approval from a government </w:t>
      </w:r>
      <w:r w:rsidR="003F1083">
        <w:t xml:space="preserve">ministry </w:t>
      </w:r>
      <w:r>
        <w:t xml:space="preserve">to sell their product, and </w:t>
      </w:r>
      <w:r w:rsidR="003F1083">
        <w:t xml:space="preserve">nor were </w:t>
      </w:r>
      <w:r>
        <w:t xml:space="preserve">producers </w:t>
      </w:r>
      <w:r w:rsidR="003F1083">
        <w:t xml:space="preserve">required </w:t>
      </w:r>
      <w:r>
        <w:t xml:space="preserve">to </w:t>
      </w:r>
      <w:r w:rsidR="003F1083">
        <w:t xml:space="preserve">indicate </w:t>
      </w:r>
      <w:r>
        <w:t>the boric acid</w:t>
      </w:r>
      <w:r w:rsidR="003F1083">
        <w:t>'s</w:t>
      </w:r>
      <w:r>
        <w:t xml:space="preserve"> </w:t>
      </w:r>
      <w:r w:rsidR="003F1083">
        <w:t xml:space="preserve">end use </w:t>
      </w:r>
      <w:r>
        <w:t>prior to sale</w:t>
      </w:r>
      <w:r w:rsidR="003F1083">
        <w:t xml:space="preserve">; instead, they </w:t>
      </w:r>
      <w:r>
        <w:t xml:space="preserve">could sell to any buyer </w:t>
      </w:r>
      <w:r w:rsidR="003F1083">
        <w:t>without any</w:t>
      </w:r>
      <w:r>
        <w:t xml:space="preserve"> quantitative limit. The US continued to request India to amend </w:t>
      </w:r>
      <w:r w:rsidR="003F1083">
        <w:t xml:space="preserve">its </w:t>
      </w:r>
      <w:r>
        <w:t>Schedule</w:t>
      </w:r>
      <w:r w:rsidR="003F1083">
        <w:t>-</w:t>
      </w:r>
      <w:r>
        <w:t>I (Imports of the ITC (HS) classification of Export and Import Items</w:t>
      </w:r>
      <w:r w:rsidR="003F1083">
        <w:t>)</w:t>
      </w:r>
      <w:r>
        <w:t xml:space="preserve"> and to eliminate the requirement that imports of boric acid for non</w:t>
      </w:r>
      <w:r w:rsidR="003F1083">
        <w:t>-</w:t>
      </w:r>
      <w:r>
        <w:t xml:space="preserve">insecticidal purposes </w:t>
      </w:r>
      <w:r w:rsidR="003F1083">
        <w:t xml:space="preserve">must </w:t>
      </w:r>
      <w:r>
        <w:t>have an import permit.</w:t>
      </w:r>
    </w:p>
    <w:p w14:paraId="6A327199" w14:textId="1067B7AB" w:rsidR="00E9734E" w:rsidRDefault="00E9734E" w:rsidP="00212829">
      <w:pPr>
        <w:pStyle w:val="BodyText"/>
      </w:pPr>
      <w:r>
        <w:lastRenderedPageBreak/>
        <w:t xml:space="preserve">In response, the representative of </w:t>
      </w:r>
      <w:r w:rsidRPr="00B93C6B">
        <w:rPr>
          <w:u w:val="single"/>
        </w:rPr>
        <w:t>India</w:t>
      </w:r>
      <w:r>
        <w:t xml:space="preserve"> thanked the US for its continued interest in India</w:t>
      </w:r>
      <w:r w:rsidR="00A03F00">
        <w:t>'</w:t>
      </w:r>
      <w:r>
        <w:t xml:space="preserve">s import licensing policy and related procedures for boric acid. He </w:t>
      </w:r>
      <w:r w:rsidR="003F1083">
        <w:t xml:space="preserve">noted </w:t>
      </w:r>
      <w:r>
        <w:t>that the US had been raising the</w:t>
      </w:r>
      <w:r w:rsidR="003F1083">
        <w:t>se</w:t>
      </w:r>
      <w:r>
        <w:t xml:space="preserve"> issues since 2008, </w:t>
      </w:r>
      <w:r w:rsidR="003F1083">
        <w:t>and that</w:t>
      </w:r>
      <w:r>
        <w:t xml:space="preserve"> India had responded </w:t>
      </w:r>
      <w:r w:rsidR="003F1083">
        <w:t xml:space="preserve">to </w:t>
      </w:r>
      <w:r>
        <w:t xml:space="preserve">most of them in its </w:t>
      </w:r>
      <w:r w:rsidR="003F1083">
        <w:t xml:space="preserve">periodic </w:t>
      </w:r>
      <w:r>
        <w:t xml:space="preserve">written replies. </w:t>
      </w:r>
      <w:r w:rsidR="003F1083">
        <w:t>Therefore</w:t>
      </w:r>
      <w:r>
        <w:t xml:space="preserve">, India had already explained the policy objectives of the measure as well as the issues relating to its implementation. He further argued that </w:t>
      </w:r>
      <w:r w:rsidR="003F1083">
        <w:t xml:space="preserve">the </w:t>
      </w:r>
      <w:r>
        <w:t>remaining issues raised by the US were being discussed bilaterally and</w:t>
      </w:r>
      <w:r w:rsidR="003F1083">
        <w:t>, to date</w:t>
      </w:r>
      <w:r>
        <w:t>, there was no further update on the issue since the last bilateral meeting</w:t>
      </w:r>
      <w:r w:rsidR="003F1083">
        <w:t>,</w:t>
      </w:r>
      <w:r>
        <w:t xml:space="preserve"> held in 2017.</w:t>
      </w:r>
    </w:p>
    <w:p w14:paraId="2C3CE9DA" w14:textId="77777777" w:rsidR="00E9734E" w:rsidRDefault="00E9734E" w:rsidP="00212829">
      <w:pPr>
        <w:pStyle w:val="BodyText"/>
      </w:pPr>
      <w:r>
        <w:t xml:space="preserve">The Committee </w:t>
      </w:r>
      <w:r w:rsidRPr="00B93C6B">
        <w:rPr>
          <w:u w:val="single"/>
        </w:rPr>
        <w:t>took note</w:t>
      </w:r>
      <w:r>
        <w:t xml:space="preserve"> of the statements made.</w:t>
      </w:r>
    </w:p>
    <w:p w14:paraId="37E41FEB" w14:textId="7B41AEE7" w:rsidR="00E9734E" w:rsidRDefault="00E9734E" w:rsidP="00187760">
      <w:pPr>
        <w:pStyle w:val="Heading1"/>
      </w:pPr>
      <w:bookmarkStart w:id="17" w:name="_Toc525116419"/>
      <w:r>
        <w:t xml:space="preserve">INDIA </w:t>
      </w:r>
      <w:r w:rsidR="003F1083">
        <w:t>–</w:t>
      </w:r>
      <w:r>
        <w:t xml:space="preserve"> IMPORT REQUIREMENTS FOR BEANS OF THE SPECIES VIGNA MUNGO HEPPER OR VIGNA RADIATA WILCZEK AND PIGEON PEAS (CAJANUS</w:t>
      </w:r>
      <w:r w:rsidR="00212829">
        <w:t xml:space="preserve"> CAJAN)</w:t>
      </w:r>
      <w:r w:rsidR="003F1083">
        <w:t xml:space="preserve"> –</w:t>
      </w:r>
      <w:r w:rsidR="00212829">
        <w:t xml:space="preserve"> STATEMENT BY AUSTRALIA</w:t>
      </w:r>
      <w:bookmarkEnd w:id="17"/>
    </w:p>
    <w:p w14:paraId="45A95E66" w14:textId="4449BA75" w:rsidR="00E9734E" w:rsidRDefault="00E9734E" w:rsidP="00212829">
      <w:pPr>
        <w:pStyle w:val="BodyText"/>
      </w:pPr>
      <w:r>
        <w:t xml:space="preserve">The representative of </w:t>
      </w:r>
      <w:r w:rsidRPr="003F1083">
        <w:rPr>
          <w:u w:val="single"/>
        </w:rPr>
        <w:t>Australia</w:t>
      </w:r>
      <w:r>
        <w:t xml:space="preserve"> noted that</w:t>
      </w:r>
      <w:r w:rsidR="001723C4">
        <w:t>,</w:t>
      </w:r>
      <w:r>
        <w:t xml:space="preserve"> in August</w:t>
      </w:r>
      <w:r w:rsidR="001C1B7D">
        <w:t> </w:t>
      </w:r>
      <w:r>
        <w:t xml:space="preserve">2017, India </w:t>
      </w:r>
      <w:r w:rsidR="001C1B7D">
        <w:t xml:space="preserve">had </w:t>
      </w:r>
      <w:r>
        <w:t xml:space="preserve">imposed quantitative restrictions on imports of beans of the species </w:t>
      </w:r>
      <w:proofErr w:type="spellStart"/>
      <w:r>
        <w:t>Vigna</w:t>
      </w:r>
      <w:proofErr w:type="spellEnd"/>
      <w:r>
        <w:t xml:space="preserve"> mungo Hepper or </w:t>
      </w:r>
      <w:proofErr w:type="spellStart"/>
      <w:r>
        <w:t>Vigna</w:t>
      </w:r>
      <w:proofErr w:type="spellEnd"/>
      <w:r>
        <w:t xml:space="preserve"> radiata </w:t>
      </w:r>
      <w:proofErr w:type="spellStart"/>
      <w:r>
        <w:t>Wilczek</w:t>
      </w:r>
      <w:proofErr w:type="spellEnd"/>
      <w:r>
        <w:t xml:space="preserve">, commonly known as black lentils, and mung beans, as well as </w:t>
      </w:r>
      <w:r w:rsidR="001C1B7D">
        <w:t xml:space="preserve">on </w:t>
      </w:r>
      <w:proofErr w:type="spellStart"/>
      <w:r>
        <w:t>Cajanus</w:t>
      </w:r>
      <w:proofErr w:type="spellEnd"/>
      <w:r>
        <w:t xml:space="preserve"> </w:t>
      </w:r>
      <w:proofErr w:type="spellStart"/>
      <w:r>
        <w:t>cajan</w:t>
      </w:r>
      <w:proofErr w:type="spellEnd"/>
      <w:r>
        <w:t xml:space="preserve">, </w:t>
      </w:r>
      <w:r w:rsidR="001C1B7D">
        <w:t xml:space="preserve">commonly known as pigeon peas. </w:t>
      </w:r>
      <w:r>
        <w:t>He observed that India</w:t>
      </w:r>
      <w:r w:rsidR="00A03F00">
        <w:t>'</w:t>
      </w:r>
      <w:r>
        <w:t xml:space="preserve">s restrictions </w:t>
      </w:r>
      <w:r w:rsidR="001C1B7D">
        <w:t xml:space="preserve">had </w:t>
      </w:r>
      <w:r>
        <w:t>imposed an absolute quota on the importation of these products. In the case of mung beans and black lentils, Notification No.</w:t>
      </w:r>
      <w:r w:rsidR="001C1B7D">
        <w:t> </w:t>
      </w:r>
      <w:r>
        <w:t>22/2015</w:t>
      </w:r>
      <w:r w:rsidR="00964995">
        <w:noBreakHyphen/>
      </w:r>
      <w:r>
        <w:t xml:space="preserve">2020 in the Government of India Gazette </w:t>
      </w:r>
      <w:r w:rsidR="001C1B7D">
        <w:t xml:space="preserve">had </w:t>
      </w:r>
      <w:r>
        <w:t>restricted import</w:t>
      </w:r>
      <w:r w:rsidR="001C1B7D">
        <w:t>s to an annual quota of 300,000 </w:t>
      </w:r>
      <w:r>
        <w:t>tonnes. For pigeon peas, Notification No.</w:t>
      </w:r>
      <w:r w:rsidR="001C1B7D">
        <w:t> </w:t>
      </w:r>
      <w:r>
        <w:t>19/2015</w:t>
      </w:r>
      <w:r w:rsidR="001C1B7D">
        <w:t>–</w:t>
      </w:r>
      <w:r>
        <w:t xml:space="preserve">2020 </w:t>
      </w:r>
      <w:r w:rsidR="001C1B7D">
        <w:t xml:space="preserve">had </w:t>
      </w:r>
      <w:r>
        <w:t>restricted import</w:t>
      </w:r>
      <w:r w:rsidR="001C1B7D">
        <w:t>s to an annual quota of 200,000 </w:t>
      </w:r>
      <w:r>
        <w:t>tonnes. Imports above these amounts were otherwise prohibited.</w:t>
      </w:r>
    </w:p>
    <w:p w14:paraId="0D975BB4" w14:textId="12BF325D" w:rsidR="00E9734E" w:rsidRDefault="00E9734E" w:rsidP="00212829">
      <w:pPr>
        <w:pStyle w:val="BodyText"/>
      </w:pPr>
      <w:r>
        <w:t xml:space="preserve">He </w:t>
      </w:r>
      <w:r w:rsidR="001C1B7D">
        <w:t>noted</w:t>
      </w:r>
      <w:r>
        <w:t xml:space="preserve"> that Australia had attempted to engage with India, </w:t>
      </w:r>
      <w:r w:rsidR="001C1B7D">
        <w:t xml:space="preserve">both </w:t>
      </w:r>
      <w:r>
        <w:t xml:space="preserve">bilaterally and </w:t>
      </w:r>
      <w:proofErr w:type="spellStart"/>
      <w:r>
        <w:t>plurilaterally</w:t>
      </w:r>
      <w:proofErr w:type="spellEnd"/>
      <w:r>
        <w:t>, in Geneva</w:t>
      </w:r>
      <w:r w:rsidR="001C1B7D">
        <w:t>,</w:t>
      </w:r>
      <w:r>
        <w:t xml:space="preserve"> and in New Delhi, to better understand the restrictions that had been imposed by India on mung beans and pigeon peas, and the WTO-basis of th</w:t>
      </w:r>
      <w:r w:rsidR="001C1B7D">
        <w:t xml:space="preserve">ese quantitative restrictions. </w:t>
      </w:r>
      <w:r>
        <w:t xml:space="preserve">He recalled that his delegation had also raised </w:t>
      </w:r>
      <w:r w:rsidR="001C1B7D">
        <w:t xml:space="preserve">this </w:t>
      </w:r>
      <w:r>
        <w:t xml:space="preserve">issue </w:t>
      </w:r>
      <w:r w:rsidR="001C1B7D">
        <w:t xml:space="preserve">at </w:t>
      </w:r>
      <w:r>
        <w:t>WTO</w:t>
      </w:r>
      <w:r w:rsidR="001C1B7D">
        <w:t xml:space="preserve"> committees in Geneva. </w:t>
      </w:r>
      <w:r>
        <w:t xml:space="preserve">For example, Australia </w:t>
      </w:r>
      <w:r w:rsidR="001C1B7D">
        <w:t xml:space="preserve">had </w:t>
      </w:r>
      <w:r>
        <w:t xml:space="preserve">raised </w:t>
      </w:r>
      <w:r w:rsidR="001C1B7D">
        <w:t xml:space="preserve">its </w:t>
      </w:r>
      <w:r>
        <w:t xml:space="preserve">concerns </w:t>
      </w:r>
      <w:r w:rsidR="001C1B7D">
        <w:t xml:space="preserve">over </w:t>
      </w:r>
      <w:r>
        <w:t>India</w:t>
      </w:r>
      <w:r w:rsidR="00A03F00">
        <w:t>'</w:t>
      </w:r>
      <w:r>
        <w:t xml:space="preserve">s quantitative restrictions for </w:t>
      </w:r>
      <w:r w:rsidR="001C1B7D">
        <w:t xml:space="preserve">mung beans </w:t>
      </w:r>
      <w:r>
        <w:t>at the Committee on Agriculture in October</w:t>
      </w:r>
      <w:r w:rsidR="001C1B7D">
        <w:t> </w:t>
      </w:r>
      <w:r>
        <w:t>201</w:t>
      </w:r>
      <w:r w:rsidR="001C1B7D">
        <w:t xml:space="preserve">7, and again in February 2018. </w:t>
      </w:r>
      <w:r>
        <w:t xml:space="preserve">His delegation </w:t>
      </w:r>
      <w:r w:rsidR="001C1B7D">
        <w:t xml:space="preserve">had </w:t>
      </w:r>
      <w:r>
        <w:t xml:space="preserve">also raised the issue at </w:t>
      </w:r>
      <w:r w:rsidR="001C1B7D">
        <w:t>meetings of the Council for Trade in Goods in November 2017 and March </w:t>
      </w:r>
      <w:r>
        <w:t xml:space="preserve">2018. India had so far failed to provide Australia with an answer to their questions posed in </w:t>
      </w:r>
      <w:r w:rsidR="001C1B7D">
        <w:t>those committees</w:t>
      </w:r>
      <w:r>
        <w:t xml:space="preserve">, </w:t>
      </w:r>
      <w:r w:rsidR="001C1B7D">
        <w:t>al</w:t>
      </w:r>
      <w:r>
        <w:t xml:space="preserve">though India </w:t>
      </w:r>
      <w:r w:rsidR="001C1B7D">
        <w:t xml:space="preserve">had </w:t>
      </w:r>
      <w:r>
        <w:t xml:space="preserve">responded to </w:t>
      </w:r>
      <w:r w:rsidR="001C1B7D">
        <w:t>Australia's questions at the CTG's meeting</w:t>
      </w:r>
      <w:r>
        <w:t xml:space="preserve"> in March, indicating that it would </w:t>
      </w:r>
      <w:r w:rsidR="001C1B7D">
        <w:t xml:space="preserve">shortly </w:t>
      </w:r>
      <w:r>
        <w:t xml:space="preserve">notify the quantitative restrictions to the Market Access Committee, </w:t>
      </w:r>
      <w:r w:rsidR="001C1B7D">
        <w:t>although India had still not done so</w:t>
      </w:r>
      <w:r w:rsidR="00212829">
        <w:t>.</w:t>
      </w:r>
    </w:p>
    <w:p w14:paraId="02A5CA68" w14:textId="7B5C7C7D" w:rsidR="00E9734E" w:rsidRDefault="00E9734E" w:rsidP="00212829">
      <w:pPr>
        <w:pStyle w:val="BodyText"/>
      </w:pPr>
      <w:r>
        <w:t>Australia welcomed India</w:t>
      </w:r>
      <w:r w:rsidR="00A03F00">
        <w:t>'</w:t>
      </w:r>
      <w:r>
        <w:t xml:space="preserve">s recent notification providing </w:t>
      </w:r>
      <w:r w:rsidR="001C1B7D">
        <w:t xml:space="preserve">its </w:t>
      </w:r>
      <w:r>
        <w:t>replies to the Questionnaire on Import Licensing Procedures of 12</w:t>
      </w:r>
      <w:r w:rsidR="001C1B7D">
        <w:t> </w:t>
      </w:r>
      <w:r>
        <w:t>April</w:t>
      </w:r>
      <w:r w:rsidR="001C1B7D">
        <w:t> </w:t>
      </w:r>
      <w:r>
        <w:t>2018 (</w:t>
      </w:r>
      <w:r w:rsidR="001C1B7D">
        <w:t>document </w:t>
      </w:r>
      <w:r>
        <w:t>G/LIC/N/3/IND/17). India</w:t>
      </w:r>
      <w:r w:rsidR="00A03F00">
        <w:t>'</w:t>
      </w:r>
      <w:r>
        <w:t xml:space="preserve">s response </w:t>
      </w:r>
      <w:r w:rsidRPr="003C434F">
        <w:t xml:space="preserve">stated that the import policy of </w:t>
      </w:r>
      <w:r w:rsidR="00DE6731" w:rsidRPr="00967ADD">
        <w:t xml:space="preserve">pigeon peas </w:t>
      </w:r>
      <w:r w:rsidRPr="00967ADD">
        <w:t>(</w:t>
      </w:r>
      <w:proofErr w:type="spellStart"/>
      <w:r w:rsidRPr="00B93C6B">
        <w:t>Cajanus</w:t>
      </w:r>
      <w:proofErr w:type="spellEnd"/>
      <w:r w:rsidRPr="00B93C6B">
        <w:t xml:space="preserve"> </w:t>
      </w:r>
      <w:proofErr w:type="spellStart"/>
      <w:r w:rsidR="00967ADD" w:rsidRPr="00B93C6B">
        <w:t>cajan</w:t>
      </w:r>
      <w:proofErr w:type="spellEnd"/>
      <w:r w:rsidRPr="003C434F">
        <w:t>/</w:t>
      </w:r>
      <w:r w:rsidR="00DE6731" w:rsidRPr="00967ADD">
        <w:t xml:space="preserve">tool </w:t>
      </w:r>
      <w:r w:rsidRPr="00967ADD">
        <w:t>dal) had been amended and was</w:t>
      </w:r>
      <w:r>
        <w:t xml:space="preserve"> now subject to an annual quota of 200,000</w:t>
      </w:r>
      <w:r w:rsidR="001C1B7D">
        <w:t> </w:t>
      </w:r>
      <w:r>
        <w:t xml:space="preserve">tonnes. Likewise, imports of mung beans (moong dal and </w:t>
      </w:r>
      <w:proofErr w:type="spellStart"/>
      <w:r w:rsidR="00DE6731">
        <w:t>urad</w:t>
      </w:r>
      <w:proofErr w:type="spellEnd"/>
      <w:r w:rsidR="00DE6731">
        <w:t xml:space="preserve"> </w:t>
      </w:r>
      <w:r>
        <w:t>dal) were restricted to an</w:t>
      </w:r>
      <w:r w:rsidR="001C1B7D">
        <w:t xml:space="preserve"> annual import quota of 300,000 tonnes. </w:t>
      </w:r>
      <w:r>
        <w:t>India</w:t>
      </w:r>
      <w:r w:rsidR="00A03F00">
        <w:t>'</w:t>
      </w:r>
      <w:r>
        <w:t xml:space="preserve">s response further stated that restrictions </w:t>
      </w:r>
      <w:r w:rsidR="00DE6731">
        <w:t xml:space="preserve">"will </w:t>
      </w:r>
      <w:r>
        <w:t>not apply to Government</w:t>
      </w:r>
      <w:r w:rsidR="00A03F00">
        <w:t>'</w:t>
      </w:r>
      <w:r>
        <w:t>s import commitments under any bilateral/regional Agreement/MoU.</w:t>
      </w:r>
      <w:r w:rsidR="00DE6731">
        <w:t xml:space="preserve">" </w:t>
      </w:r>
      <w:r>
        <w:t xml:space="preserve">The </w:t>
      </w:r>
      <w:r w:rsidR="00DE6731">
        <w:t xml:space="preserve">reply </w:t>
      </w:r>
      <w:r>
        <w:t>to the Questionnaire went on to list Mozambique as having been granted approval to import 125,000</w:t>
      </w:r>
      <w:r w:rsidR="001C1B7D">
        <w:t> </w:t>
      </w:r>
      <w:r>
        <w:t xml:space="preserve">tonnes of pulses </w:t>
      </w:r>
      <w:r w:rsidR="00DE6731">
        <w:t xml:space="preserve">"under </w:t>
      </w:r>
      <w:r>
        <w:t>the MoU signed between the two</w:t>
      </w:r>
      <w:r w:rsidR="001C1B7D">
        <w:t> </w:t>
      </w:r>
      <w:r>
        <w:t>Countries.</w:t>
      </w:r>
      <w:r w:rsidR="00DE6731">
        <w:t>"</w:t>
      </w:r>
    </w:p>
    <w:p w14:paraId="2D52AC3C" w14:textId="23EEC864" w:rsidR="00E9734E" w:rsidRDefault="00E9734E" w:rsidP="00212829">
      <w:pPr>
        <w:pStyle w:val="BodyText"/>
      </w:pPr>
      <w:r>
        <w:t xml:space="preserve">Quoting that </w:t>
      </w:r>
      <w:r w:rsidR="003E4E30">
        <w:t xml:space="preserve">"restrictions </w:t>
      </w:r>
      <w:r>
        <w:t xml:space="preserve">on imports are maintained only on grounds of protection of human health or safety; animal or plant life or health; security and the </w:t>
      </w:r>
      <w:r w:rsidR="003E4E30">
        <w:t>environment"</w:t>
      </w:r>
      <w:r>
        <w:t xml:space="preserve">, he sought clarification about which of these grounds </w:t>
      </w:r>
      <w:r w:rsidR="00DE6731">
        <w:t xml:space="preserve">was </w:t>
      </w:r>
      <w:r>
        <w:t>the basis for India</w:t>
      </w:r>
      <w:r w:rsidR="00A03F00">
        <w:t>'</w:t>
      </w:r>
      <w:r>
        <w:t xml:space="preserve">s quantitative restrictions on mung beans and pigeon peas. In addition to </w:t>
      </w:r>
      <w:r w:rsidR="003E4E30">
        <w:t xml:space="preserve">this </w:t>
      </w:r>
      <w:r>
        <w:t>recent notification, Australia continued to encourage India to notify the</w:t>
      </w:r>
      <w:r w:rsidR="00DE6731">
        <w:t>se</w:t>
      </w:r>
      <w:r>
        <w:t xml:space="preserve"> quantitative restrictions to the WTO</w:t>
      </w:r>
      <w:r w:rsidR="003E4E30">
        <w:t> </w:t>
      </w:r>
      <w:r>
        <w:t>Committee on Market Access</w:t>
      </w:r>
      <w:r w:rsidR="00DE6731">
        <w:t>,</w:t>
      </w:r>
      <w:r>
        <w:t xml:space="preserve"> pursuant to the Decision on Notification Procedures for Quantitative Restrictions</w:t>
      </w:r>
      <w:r w:rsidR="00DE6731">
        <w:t>, and to do so without further delay</w:t>
      </w:r>
      <w:r>
        <w:t>.</w:t>
      </w:r>
    </w:p>
    <w:p w14:paraId="57A632F8" w14:textId="444B0F09" w:rsidR="00E9734E" w:rsidRDefault="00E9734E" w:rsidP="00212829">
      <w:pPr>
        <w:pStyle w:val="BodyText"/>
      </w:pPr>
      <w:r>
        <w:t>In Australia</w:t>
      </w:r>
      <w:r w:rsidR="00A03F00">
        <w:t>'</w:t>
      </w:r>
      <w:r>
        <w:t>s view, India</w:t>
      </w:r>
      <w:r w:rsidR="00A03F00">
        <w:t>'</w:t>
      </w:r>
      <w:r>
        <w:t xml:space="preserve">s notification on import licensing procedures relating to quantitative restrictions on pulses provided insufficient information. Australia understood that the quotas were proportionally allocated to applicants in the form of import licenses based upon the total volume of the requested quota. Accordingly, </w:t>
      </w:r>
      <w:proofErr w:type="gramStart"/>
      <w:r w:rsidR="003E4E30">
        <w:t>with regard to</w:t>
      </w:r>
      <w:proofErr w:type="gramEnd"/>
      <w:r w:rsidR="003E4E30">
        <w:t xml:space="preserve"> India's</w:t>
      </w:r>
      <w:r>
        <w:t xml:space="preserve"> current licensing arrangements</w:t>
      </w:r>
      <w:r w:rsidR="003E4E30">
        <w:t>,</w:t>
      </w:r>
      <w:r>
        <w:t xml:space="preserve"> </w:t>
      </w:r>
      <w:r w:rsidR="003E4E30">
        <w:t xml:space="preserve">which </w:t>
      </w:r>
      <w:r>
        <w:t xml:space="preserve">India had implemented </w:t>
      </w:r>
      <w:r w:rsidR="003E4E30">
        <w:t xml:space="preserve">in order </w:t>
      </w:r>
      <w:r>
        <w:t xml:space="preserve">to impose </w:t>
      </w:r>
      <w:r w:rsidR="003E4E30">
        <w:t xml:space="preserve">those </w:t>
      </w:r>
      <w:r>
        <w:t>quantitative restrictions</w:t>
      </w:r>
      <w:r w:rsidR="003E4E30">
        <w:t>, Australia asked the following</w:t>
      </w:r>
      <w:r>
        <w:t>:</w:t>
      </w:r>
    </w:p>
    <w:p w14:paraId="1DFE3547" w14:textId="4179F40A" w:rsidR="00E9734E" w:rsidRDefault="00E9734E" w:rsidP="00212829">
      <w:pPr>
        <w:ind w:left="1134" w:hanging="567"/>
      </w:pPr>
      <w:r>
        <w:t>(</w:t>
      </w:r>
      <w:proofErr w:type="spellStart"/>
      <w:r w:rsidR="002044D9">
        <w:t>i</w:t>
      </w:r>
      <w:proofErr w:type="spellEnd"/>
      <w:r>
        <w:t>)</w:t>
      </w:r>
      <w:r>
        <w:tab/>
        <w:t xml:space="preserve">Where </w:t>
      </w:r>
      <w:r w:rsidR="003E4E30">
        <w:t xml:space="preserve">were </w:t>
      </w:r>
      <w:r>
        <w:t>the details of the licensing measures to give effect to the allocation of import quotas for mung beans and pigeon peas</w:t>
      </w:r>
      <w:r w:rsidR="003E4E30" w:rsidRPr="003E4E30">
        <w:t xml:space="preserve"> </w:t>
      </w:r>
      <w:r w:rsidR="003E4E30">
        <w:t>published</w:t>
      </w:r>
      <w:r>
        <w:t>?</w:t>
      </w:r>
    </w:p>
    <w:p w14:paraId="3C4EAED3" w14:textId="77777777" w:rsidR="00E9734E" w:rsidRDefault="00E9734E" w:rsidP="00E9734E"/>
    <w:p w14:paraId="319599D0" w14:textId="7E93EF28" w:rsidR="00E9734E" w:rsidRDefault="00E9734E" w:rsidP="00212829">
      <w:pPr>
        <w:ind w:firstLine="567"/>
      </w:pPr>
      <w:r>
        <w:lastRenderedPageBreak/>
        <w:t>(</w:t>
      </w:r>
      <w:r w:rsidR="002044D9">
        <w:t>ii</w:t>
      </w:r>
      <w:r>
        <w:t>)</w:t>
      </w:r>
      <w:r>
        <w:tab/>
        <w:t xml:space="preserve">When </w:t>
      </w:r>
      <w:proofErr w:type="spellStart"/>
      <w:r>
        <w:t>may</w:t>
      </w:r>
      <w:proofErr w:type="spellEnd"/>
      <w:r>
        <w:t xml:space="preserve"> license applica</w:t>
      </w:r>
      <w:r w:rsidR="00212829">
        <w:t>tions be made</w:t>
      </w:r>
      <w:r w:rsidR="003E4E30">
        <w:t>,</w:t>
      </w:r>
      <w:r w:rsidR="00212829">
        <w:t xml:space="preserve"> and in what form?</w:t>
      </w:r>
    </w:p>
    <w:p w14:paraId="533A8D23" w14:textId="77777777" w:rsidR="00E9734E" w:rsidRDefault="00E9734E" w:rsidP="00E9734E"/>
    <w:p w14:paraId="084569FC" w14:textId="0DE5C01C" w:rsidR="00E9734E" w:rsidRDefault="00E9734E" w:rsidP="002044D9">
      <w:pPr>
        <w:ind w:left="1134" w:hanging="567"/>
      </w:pPr>
      <w:r>
        <w:t>(</w:t>
      </w:r>
      <w:r w:rsidR="002044D9">
        <w:t>iii</w:t>
      </w:r>
      <w:r>
        <w:t>)</w:t>
      </w:r>
      <w:r>
        <w:tab/>
        <w:t xml:space="preserve">Who may apply for an import </w:t>
      </w:r>
      <w:r w:rsidR="003E4E30">
        <w:t>licence,</w:t>
      </w:r>
      <w:r>
        <w:t xml:space="preserve"> and are there any restrictions </w:t>
      </w:r>
      <w:r w:rsidR="003E4E30">
        <w:t>on</w:t>
      </w:r>
      <w:r>
        <w:t xml:space="preserve"> who can apply?</w:t>
      </w:r>
    </w:p>
    <w:p w14:paraId="69FF9C18" w14:textId="77777777" w:rsidR="00E9734E" w:rsidRDefault="00E9734E" w:rsidP="00E9734E"/>
    <w:p w14:paraId="0E1443BA" w14:textId="3AC0DF19" w:rsidR="00E9734E" w:rsidRDefault="00E9734E" w:rsidP="00212829">
      <w:pPr>
        <w:ind w:firstLine="567"/>
      </w:pPr>
      <w:r>
        <w:t>(</w:t>
      </w:r>
      <w:r w:rsidR="002044D9">
        <w:t>iv</w:t>
      </w:r>
      <w:r>
        <w:t>)</w:t>
      </w:r>
      <w:r>
        <w:tab/>
        <w:t xml:space="preserve">How are import </w:t>
      </w:r>
      <w:r w:rsidR="003E4E30">
        <w:t xml:space="preserve">licences </w:t>
      </w:r>
      <w:r>
        <w:t>granted</w:t>
      </w:r>
      <w:r w:rsidR="003E4E30">
        <w:t>,</w:t>
      </w:r>
      <w:r>
        <w:t xml:space="preserve"> and are there any pre-conditions for approval?</w:t>
      </w:r>
    </w:p>
    <w:p w14:paraId="3A76E57A" w14:textId="77777777" w:rsidR="00E9734E" w:rsidRDefault="00E9734E" w:rsidP="00E9734E"/>
    <w:p w14:paraId="7E4E47EB" w14:textId="4C808DED" w:rsidR="00E9734E" w:rsidRDefault="00E9734E" w:rsidP="00212829">
      <w:pPr>
        <w:ind w:firstLine="567"/>
      </w:pPr>
      <w:r>
        <w:t>(</w:t>
      </w:r>
      <w:r w:rsidR="002044D9">
        <w:t>v</w:t>
      </w:r>
      <w:r>
        <w:t>)</w:t>
      </w:r>
      <w:r>
        <w:tab/>
        <w:t xml:space="preserve">How many </w:t>
      </w:r>
      <w:r w:rsidR="003E4E30">
        <w:t xml:space="preserve">licences </w:t>
      </w:r>
      <w:r>
        <w:t xml:space="preserve">were issued in </w:t>
      </w:r>
      <w:r w:rsidR="003E4E30">
        <w:t xml:space="preserve">the </w:t>
      </w:r>
      <w:r>
        <w:t>financial year</w:t>
      </w:r>
      <w:r w:rsidR="003E4E30">
        <w:t> </w:t>
      </w:r>
      <w:r>
        <w:t>2017/2018?</w:t>
      </w:r>
    </w:p>
    <w:p w14:paraId="1C29F0F8" w14:textId="77777777" w:rsidR="00E9734E" w:rsidRDefault="00E9734E" w:rsidP="00E9734E"/>
    <w:p w14:paraId="100E1178" w14:textId="7A98BCFD" w:rsidR="00E9734E" w:rsidRDefault="00E9734E" w:rsidP="00212829">
      <w:pPr>
        <w:ind w:left="1134" w:hanging="567"/>
      </w:pPr>
      <w:r>
        <w:t>(</w:t>
      </w:r>
      <w:r w:rsidR="002044D9">
        <w:t>vi</w:t>
      </w:r>
      <w:r>
        <w:t>)</w:t>
      </w:r>
      <w:r>
        <w:tab/>
        <w:t xml:space="preserve">What steps </w:t>
      </w:r>
      <w:r w:rsidR="003E4E30">
        <w:t xml:space="preserve">had </w:t>
      </w:r>
      <w:r>
        <w:t xml:space="preserve">India taken to ensure transparency in administrative procedures </w:t>
      </w:r>
      <w:r w:rsidR="003E4E30">
        <w:t xml:space="preserve">authorizing </w:t>
      </w:r>
      <w:r>
        <w:t xml:space="preserve">import </w:t>
      </w:r>
      <w:r w:rsidR="003E4E30">
        <w:t>licences,</w:t>
      </w:r>
      <w:r>
        <w:t xml:space="preserve"> and may </w:t>
      </w:r>
      <w:r w:rsidR="003E4E30">
        <w:t xml:space="preserve">licence </w:t>
      </w:r>
      <w:r>
        <w:t xml:space="preserve">applicants appeal </w:t>
      </w:r>
      <w:r w:rsidR="003E4E30">
        <w:t xml:space="preserve">licence </w:t>
      </w:r>
      <w:r>
        <w:t>approvals?</w:t>
      </w:r>
    </w:p>
    <w:p w14:paraId="06C0E4FD" w14:textId="77777777" w:rsidR="00E9734E" w:rsidRDefault="00E9734E" w:rsidP="00E9734E"/>
    <w:p w14:paraId="311D80D3" w14:textId="50C536DD" w:rsidR="00E9734E" w:rsidRDefault="00E9734E" w:rsidP="00212829">
      <w:pPr>
        <w:ind w:left="1134" w:hanging="567"/>
      </w:pPr>
      <w:r>
        <w:t>(</w:t>
      </w:r>
      <w:r w:rsidR="002044D9">
        <w:t>vii</w:t>
      </w:r>
      <w:r>
        <w:t>)</w:t>
      </w:r>
      <w:r>
        <w:tab/>
        <w:t xml:space="preserve">What </w:t>
      </w:r>
      <w:r w:rsidR="003E4E30">
        <w:t xml:space="preserve">was </w:t>
      </w:r>
      <w:r>
        <w:t xml:space="preserve">the process to redistribute unused quota allocation? What was the </w:t>
      </w:r>
      <w:r w:rsidR="003E4E30">
        <w:t xml:space="preserve">utilization </w:t>
      </w:r>
      <w:r>
        <w:t>of quotas in 2017</w:t>
      </w:r>
      <w:r w:rsidR="003E4E30">
        <w:t>–20</w:t>
      </w:r>
      <w:r>
        <w:t xml:space="preserve">18? What has been the </w:t>
      </w:r>
      <w:r w:rsidR="003E4E30">
        <w:t xml:space="preserve">utilization </w:t>
      </w:r>
      <w:r>
        <w:t>of the quota to date</w:t>
      </w:r>
      <w:r w:rsidR="003E4E30">
        <w:t>,</w:t>
      </w:r>
      <w:r>
        <w:t xml:space="preserve"> in 2018</w:t>
      </w:r>
      <w:r w:rsidR="00964995">
        <w:noBreakHyphen/>
      </w:r>
      <w:r w:rsidR="003E4E30">
        <w:t>20</w:t>
      </w:r>
      <w:r>
        <w:t>19?</w:t>
      </w:r>
    </w:p>
    <w:p w14:paraId="53E3D9FF" w14:textId="77777777" w:rsidR="00E9734E" w:rsidRDefault="00E9734E" w:rsidP="00E9734E"/>
    <w:p w14:paraId="672EE014" w14:textId="7B20C4AA" w:rsidR="00E9734E" w:rsidRDefault="00E9734E" w:rsidP="00212829">
      <w:pPr>
        <w:ind w:left="1134" w:hanging="567"/>
      </w:pPr>
      <w:r>
        <w:t>(</w:t>
      </w:r>
      <w:r w:rsidR="002044D9">
        <w:t>viii</w:t>
      </w:r>
      <w:r>
        <w:t>)</w:t>
      </w:r>
      <w:r>
        <w:tab/>
      </w:r>
      <w:r w:rsidR="003E4E30">
        <w:t xml:space="preserve">Could </w:t>
      </w:r>
      <w:r>
        <w:t xml:space="preserve">India clarify on what WTO legal basis it </w:t>
      </w:r>
      <w:r w:rsidR="003E4E30">
        <w:t xml:space="preserve">had </w:t>
      </w:r>
      <w:r>
        <w:t>exempted Mozambique from India</w:t>
      </w:r>
      <w:r w:rsidR="00A03F00">
        <w:t>'</w:t>
      </w:r>
      <w:r>
        <w:t>s licensing arrangements?</w:t>
      </w:r>
    </w:p>
    <w:p w14:paraId="0C57544F" w14:textId="77777777" w:rsidR="00E9734E" w:rsidRDefault="00E9734E" w:rsidP="00E9734E"/>
    <w:p w14:paraId="0D4A038A" w14:textId="45959EE0" w:rsidR="00E9734E" w:rsidRDefault="00E9734E" w:rsidP="00212829">
      <w:pPr>
        <w:ind w:left="1134" w:hanging="567"/>
      </w:pPr>
      <w:r>
        <w:t>(</w:t>
      </w:r>
      <w:r w:rsidR="002044D9">
        <w:t>ix</w:t>
      </w:r>
      <w:r>
        <w:t>)</w:t>
      </w:r>
      <w:r>
        <w:tab/>
        <w:t xml:space="preserve">When </w:t>
      </w:r>
      <w:r w:rsidR="003E4E30">
        <w:t xml:space="preserve">would </w:t>
      </w:r>
      <w:r>
        <w:t>India notify these quantitative restrictions to the WTO Committee on Market Access, pursuant to the Decision on Notification Procedures for Quantitative Restrictions?</w:t>
      </w:r>
    </w:p>
    <w:p w14:paraId="6B767862" w14:textId="77777777" w:rsidR="00E9734E" w:rsidRDefault="00E9734E" w:rsidP="00E9734E"/>
    <w:p w14:paraId="3AF52ABB" w14:textId="7D08923F" w:rsidR="00E9734E" w:rsidRDefault="00E9734E" w:rsidP="00212829">
      <w:pPr>
        <w:ind w:left="1134" w:hanging="567"/>
      </w:pPr>
      <w:r>
        <w:t>(</w:t>
      </w:r>
      <w:r w:rsidR="002044D9">
        <w:t>x</w:t>
      </w:r>
      <w:r>
        <w:t>)</w:t>
      </w:r>
      <w:r>
        <w:tab/>
        <w:t>Over what period is the annual quota open</w:t>
      </w:r>
      <w:r w:rsidR="003E4E30">
        <w:t>;</w:t>
      </w:r>
      <w:r>
        <w:t xml:space="preserve"> does it run </w:t>
      </w:r>
      <w:r w:rsidR="003E4E30">
        <w:t xml:space="preserve">according </w:t>
      </w:r>
      <w:r>
        <w:t>to India</w:t>
      </w:r>
      <w:r w:rsidR="00A03F00">
        <w:t>'</w:t>
      </w:r>
      <w:r w:rsidR="00964995">
        <w:t xml:space="preserve">s fiscal year </w:t>
      </w:r>
      <w:r w:rsidR="003E4E30">
        <w:t>1 </w:t>
      </w:r>
      <w:r>
        <w:t>April–</w:t>
      </w:r>
      <w:r w:rsidR="003E4E30">
        <w:t>31 </w:t>
      </w:r>
      <w:r>
        <w:t xml:space="preserve">March, or </w:t>
      </w:r>
      <w:proofErr w:type="gramStart"/>
      <w:r w:rsidR="003E4E30">
        <w:t>on the basis of</w:t>
      </w:r>
      <w:proofErr w:type="gramEnd"/>
      <w:r w:rsidR="003E4E30">
        <w:t xml:space="preserve"> </w:t>
      </w:r>
      <w:r>
        <w:t>som</w:t>
      </w:r>
      <w:r w:rsidR="003E4E30">
        <w:t>e other time period?</w:t>
      </w:r>
    </w:p>
    <w:p w14:paraId="6A752DC2" w14:textId="77777777" w:rsidR="00E9734E" w:rsidRDefault="00E9734E" w:rsidP="00E9734E"/>
    <w:p w14:paraId="2C6965E9" w14:textId="3066DEB6" w:rsidR="00E9734E" w:rsidRDefault="00E9734E" w:rsidP="00212829">
      <w:pPr>
        <w:ind w:firstLine="567"/>
      </w:pPr>
      <w:r>
        <w:t>(</w:t>
      </w:r>
      <w:r w:rsidR="002044D9">
        <w:t>xi</w:t>
      </w:r>
      <w:r>
        <w:t>)</w:t>
      </w:r>
      <w:r>
        <w:tab/>
        <w:t xml:space="preserve">When </w:t>
      </w:r>
      <w:r w:rsidR="003E4E30">
        <w:t xml:space="preserve">did </w:t>
      </w:r>
      <w:r>
        <w:t>India intend to terminate these quantitative restrictions?</w:t>
      </w:r>
    </w:p>
    <w:p w14:paraId="62776DD7" w14:textId="77777777" w:rsidR="00E9734E" w:rsidRDefault="00E9734E" w:rsidP="00E9734E"/>
    <w:p w14:paraId="1ABDB4EA" w14:textId="70C28D2E" w:rsidR="00E9734E" w:rsidRDefault="00E9734E" w:rsidP="00212829">
      <w:pPr>
        <w:pStyle w:val="BodyText"/>
      </w:pPr>
      <w:r>
        <w:t xml:space="preserve">The representative of the </w:t>
      </w:r>
      <w:r w:rsidRPr="00B93C6B">
        <w:rPr>
          <w:u w:val="single"/>
        </w:rPr>
        <w:t>European Union</w:t>
      </w:r>
      <w:r>
        <w:t xml:space="preserve"> stated that the EU </w:t>
      </w:r>
      <w:r w:rsidR="00BA2FC3">
        <w:t xml:space="preserve">shared </w:t>
      </w:r>
      <w:r>
        <w:t xml:space="preserve">the preoccupations raised by Australia and reiterated its concerns about the effect of these measures on trade. She indicated that the issue had already been raised </w:t>
      </w:r>
      <w:r w:rsidR="00BA2FC3">
        <w:t xml:space="preserve">at </w:t>
      </w:r>
      <w:r>
        <w:t xml:space="preserve">the Committee on Agriculture and </w:t>
      </w:r>
      <w:r w:rsidR="00BA2FC3">
        <w:t xml:space="preserve">at </w:t>
      </w:r>
      <w:r>
        <w:t xml:space="preserve">the Council for Trade in Goods, but </w:t>
      </w:r>
      <w:r w:rsidR="00BA2FC3">
        <w:t xml:space="preserve">India's </w:t>
      </w:r>
      <w:r>
        <w:t>response had so far</w:t>
      </w:r>
      <w:r w:rsidR="00BA2FC3">
        <w:t xml:space="preserve"> been limited</w:t>
      </w:r>
      <w:r>
        <w:t>. The EU noted that India had not submitted its annual notification under Article</w:t>
      </w:r>
      <w:r w:rsidR="00C32CC5">
        <w:t> </w:t>
      </w:r>
      <w:r>
        <w:t xml:space="preserve">7.3 of the Import Licensing Agreement and asked India to clarify </w:t>
      </w:r>
      <w:r w:rsidR="00BA2FC3">
        <w:t xml:space="preserve">its </w:t>
      </w:r>
      <w:r>
        <w:t>reasons</w:t>
      </w:r>
      <w:r w:rsidR="00BA2FC3">
        <w:t xml:space="preserve"> for not yet having done so</w:t>
      </w:r>
      <w:r>
        <w:t>.</w:t>
      </w:r>
    </w:p>
    <w:p w14:paraId="7AD22662" w14:textId="1FA4990F" w:rsidR="00E9734E" w:rsidRDefault="00E9734E" w:rsidP="00212829">
      <w:pPr>
        <w:pStyle w:val="BodyText"/>
      </w:pPr>
      <w:r>
        <w:t xml:space="preserve">She asked India </w:t>
      </w:r>
      <w:proofErr w:type="gramStart"/>
      <w:r>
        <w:t xml:space="preserve">whether </w:t>
      </w:r>
      <w:r w:rsidR="00BA2FC3">
        <w:t>or not</w:t>
      </w:r>
      <w:proofErr w:type="gramEnd"/>
      <w:r w:rsidR="00BA2FC3">
        <w:t xml:space="preserve"> </w:t>
      </w:r>
      <w:r>
        <w:t>it intended to notify the measures at stake and, in particular</w:t>
      </w:r>
      <w:r w:rsidR="00BA2FC3">
        <w:t>,</w:t>
      </w:r>
      <w:r>
        <w:t xml:space="preserve"> to explain these measures </w:t>
      </w:r>
      <w:r w:rsidR="00BA2FC3">
        <w:t xml:space="preserve">in light of </w:t>
      </w:r>
      <w:r>
        <w:t xml:space="preserve">the statement contained in </w:t>
      </w:r>
      <w:r w:rsidR="00BA2FC3">
        <w:t xml:space="preserve">India's latest </w:t>
      </w:r>
      <w:r>
        <w:t>annual notification (document</w:t>
      </w:r>
      <w:r w:rsidR="00C32CC5">
        <w:t> </w:t>
      </w:r>
      <w:r>
        <w:t>G/LIC/N/3/IND/16)</w:t>
      </w:r>
      <w:r w:rsidR="00BA2FC3">
        <w:t>,</w:t>
      </w:r>
      <w:r>
        <w:t xml:space="preserve"> affirming that India normally did not apply quota restrictions on imports. The EU </w:t>
      </w:r>
      <w:r w:rsidR="00BA2FC3">
        <w:t>emphasized how important it was</w:t>
      </w:r>
      <w:r>
        <w:t xml:space="preserve"> for WTO</w:t>
      </w:r>
      <w:r w:rsidR="00BA2FC3">
        <w:t> </w:t>
      </w:r>
      <w:r>
        <w:t xml:space="preserve">Members to respect their transparency obligations and to notify </w:t>
      </w:r>
      <w:r w:rsidR="00BA2FC3">
        <w:t xml:space="preserve">to the WTO </w:t>
      </w:r>
      <w:r>
        <w:t>the introduction of any quantitative import restrictions and relevant import licensing procedures.</w:t>
      </w:r>
    </w:p>
    <w:p w14:paraId="6B177256" w14:textId="189703C8" w:rsidR="00E9734E" w:rsidRDefault="00E9734E" w:rsidP="00212829">
      <w:pPr>
        <w:pStyle w:val="BodyText"/>
      </w:pPr>
      <w:r>
        <w:t xml:space="preserve">The representative of </w:t>
      </w:r>
      <w:r w:rsidRPr="00B93C6B">
        <w:rPr>
          <w:u w:val="single"/>
        </w:rPr>
        <w:t>Canada</w:t>
      </w:r>
      <w:r>
        <w:t xml:space="preserve"> shared </w:t>
      </w:r>
      <w:r w:rsidR="00BA2FC3">
        <w:t xml:space="preserve">Australia's </w:t>
      </w:r>
      <w:r>
        <w:t>concerns regarding India</w:t>
      </w:r>
      <w:r w:rsidR="00A03F00">
        <w:t>'</w:t>
      </w:r>
      <w:r>
        <w:t xml:space="preserve">s use of quantitative restrictions on certain beans and pointed out that Canada had </w:t>
      </w:r>
      <w:r w:rsidR="00911211">
        <w:t xml:space="preserve">also expressed its </w:t>
      </w:r>
      <w:r>
        <w:t xml:space="preserve">support </w:t>
      </w:r>
      <w:r w:rsidR="00911211">
        <w:t xml:space="preserve">for Australia's </w:t>
      </w:r>
      <w:r>
        <w:t>similar statement</w:t>
      </w:r>
      <w:r w:rsidR="00911211">
        <w:t>s</w:t>
      </w:r>
      <w:r>
        <w:t xml:space="preserve"> </w:t>
      </w:r>
      <w:r w:rsidR="00911211">
        <w:t xml:space="preserve">at </w:t>
      </w:r>
      <w:r>
        <w:t>the Committee on Agriculture and the CTG. His delegation would like to understand the WTO</w:t>
      </w:r>
      <w:r w:rsidR="00C32CC5">
        <w:t> </w:t>
      </w:r>
      <w:r>
        <w:t xml:space="preserve">legal basis on which India implemented these import restrictions. Canada was also concerned </w:t>
      </w:r>
      <w:r w:rsidR="00911211">
        <w:t xml:space="preserve">by India's </w:t>
      </w:r>
      <w:r>
        <w:t xml:space="preserve">lack of transparency </w:t>
      </w:r>
      <w:r w:rsidR="00911211">
        <w:t xml:space="preserve">in not </w:t>
      </w:r>
      <w:r>
        <w:t>providing information on these measures to WTO</w:t>
      </w:r>
      <w:r w:rsidR="00C32CC5">
        <w:t> </w:t>
      </w:r>
      <w:r>
        <w:t xml:space="preserve">Members. He encouraged India to notify these measures as soon as possible and </w:t>
      </w:r>
      <w:r w:rsidR="00911211">
        <w:t xml:space="preserve">to </w:t>
      </w:r>
      <w:r>
        <w:t xml:space="preserve">provide as much information </w:t>
      </w:r>
      <w:r w:rsidR="00911211">
        <w:t xml:space="preserve">as required </w:t>
      </w:r>
      <w:r>
        <w:t>to justify these measures.</w:t>
      </w:r>
    </w:p>
    <w:p w14:paraId="7D8A4D71" w14:textId="093A965B" w:rsidR="00E9734E" w:rsidRDefault="00E9734E" w:rsidP="00212829">
      <w:pPr>
        <w:pStyle w:val="BodyText"/>
      </w:pPr>
      <w:r>
        <w:t xml:space="preserve">The representative of the </w:t>
      </w:r>
      <w:r w:rsidRPr="00B93C6B">
        <w:rPr>
          <w:u w:val="single"/>
        </w:rPr>
        <w:t>United States</w:t>
      </w:r>
      <w:r>
        <w:t xml:space="preserve"> </w:t>
      </w:r>
      <w:r w:rsidR="00911211">
        <w:t xml:space="preserve">shared </w:t>
      </w:r>
      <w:r>
        <w:t>Australia</w:t>
      </w:r>
      <w:r w:rsidR="00A03F00">
        <w:t>'</w:t>
      </w:r>
      <w:r>
        <w:t>s concerns regarding India</w:t>
      </w:r>
      <w:r w:rsidR="00A03F00">
        <w:t>'</w:t>
      </w:r>
      <w:r>
        <w:t xml:space="preserve">s import requirements </w:t>
      </w:r>
      <w:r w:rsidR="00C1633B">
        <w:t xml:space="preserve">on </w:t>
      </w:r>
      <w:r>
        <w:t>select</w:t>
      </w:r>
      <w:r w:rsidR="00C1633B">
        <w:t>ed</w:t>
      </w:r>
      <w:r>
        <w:t xml:space="preserve"> varieties of beans. She indicated that the US had also </w:t>
      </w:r>
      <w:r w:rsidR="00C1633B">
        <w:t>requested India,</w:t>
      </w:r>
      <w:r>
        <w:t xml:space="preserve"> </w:t>
      </w:r>
      <w:r w:rsidR="00C1633B">
        <w:t xml:space="preserve">at </w:t>
      </w:r>
      <w:r>
        <w:t>various Committees</w:t>
      </w:r>
      <w:r w:rsidR="00C1633B">
        <w:t>,</w:t>
      </w:r>
      <w:r>
        <w:t xml:space="preserve"> to provide clarification </w:t>
      </w:r>
      <w:r w:rsidR="00C1633B">
        <w:t>of</w:t>
      </w:r>
      <w:r>
        <w:t xml:space="preserve"> its quantitative restrictions (QRs)</w:t>
      </w:r>
      <w:r w:rsidR="00C1633B">
        <w:t>,</w:t>
      </w:r>
      <w:r>
        <w:t xml:space="preserve"> including </w:t>
      </w:r>
      <w:proofErr w:type="gramStart"/>
      <w:r>
        <w:t>with regard to</w:t>
      </w:r>
      <w:proofErr w:type="gramEnd"/>
      <w:r>
        <w:t xml:space="preserve"> time</w:t>
      </w:r>
      <w:r w:rsidR="00CA385D">
        <w:t>-</w:t>
      </w:r>
      <w:r>
        <w:t xml:space="preserve">frames and any plans India might have to institute additional QRs on agricultural imports. To date, no responses from India had been received. The United States also </w:t>
      </w:r>
      <w:r w:rsidR="00C1633B">
        <w:t xml:space="preserve">supported </w:t>
      </w:r>
      <w:r>
        <w:t>Australia</w:t>
      </w:r>
      <w:r w:rsidR="00A03F00">
        <w:t>'</w:t>
      </w:r>
      <w:r>
        <w:t xml:space="preserve">s request for India to provide more detail </w:t>
      </w:r>
      <w:r w:rsidR="00C1633B">
        <w:t xml:space="preserve">at this Committee meeting </w:t>
      </w:r>
      <w:r>
        <w:t xml:space="preserve">on </w:t>
      </w:r>
      <w:r w:rsidR="00C1633B">
        <w:t xml:space="preserve">its </w:t>
      </w:r>
      <w:r>
        <w:t>import requirements for mung beans and pigeon peas</w:t>
      </w:r>
      <w:r w:rsidR="00C1633B">
        <w:t>,</w:t>
      </w:r>
      <w:r>
        <w:t xml:space="preserve"> and </w:t>
      </w:r>
      <w:r w:rsidR="00C1633B">
        <w:t xml:space="preserve">at the same time </w:t>
      </w:r>
      <w:r>
        <w:t xml:space="preserve">requested India formally </w:t>
      </w:r>
      <w:r w:rsidR="00C1633B">
        <w:t xml:space="preserve">to </w:t>
      </w:r>
      <w:r>
        <w:t xml:space="preserve">notify </w:t>
      </w:r>
      <w:r w:rsidR="00C1633B">
        <w:t xml:space="preserve">to </w:t>
      </w:r>
      <w:r>
        <w:t>the WTO any related import licensing measures</w:t>
      </w:r>
      <w:r w:rsidR="00C1633B">
        <w:t xml:space="preserve"> that may also be in place</w:t>
      </w:r>
      <w:r>
        <w:t>.</w:t>
      </w:r>
    </w:p>
    <w:p w14:paraId="3DC9E029" w14:textId="74240031" w:rsidR="00E9734E" w:rsidRDefault="00E9734E" w:rsidP="00212829">
      <w:pPr>
        <w:pStyle w:val="BodyText"/>
      </w:pPr>
      <w:r>
        <w:t xml:space="preserve">The representative of </w:t>
      </w:r>
      <w:r w:rsidRPr="00C32CC5">
        <w:rPr>
          <w:u w:val="single"/>
        </w:rPr>
        <w:t>Ukraine</w:t>
      </w:r>
      <w:r>
        <w:t xml:space="preserve"> indicated that his delegation had also expressed similar concerns to India </w:t>
      </w:r>
      <w:r w:rsidR="00C1633B">
        <w:t xml:space="preserve">at </w:t>
      </w:r>
      <w:proofErr w:type="gramStart"/>
      <w:r>
        <w:t>a number of</w:t>
      </w:r>
      <w:proofErr w:type="gramEnd"/>
      <w:r>
        <w:t xml:space="preserve"> </w:t>
      </w:r>
      <w:r w:rsidR="00C1633B">
        <w:t xml:space="preserve">the </w:t>
      </w:r>
      <w:r>
        <w:t xml:space="preserve">regular </w:t>
      </w:r>
      <w:r w:rsidR="00C1633B">
        <w:t>committees</w:t>
      </w:r>
      <w:r>
        <w:t xml:space="preserve">. Ukraine </w:t>
      </w:r>
      <w:r w:rsidR="00C1633B">
        <w:t xml:space="preserve">shared Australia's </w:t>
      </w:r>
      <w:r>
        <w:t xml:space="preserve">position regarding the QRs imposed by India on imports of beans. He encouraged India to submit </w:t>
      </w:r>
      <w:r w:rsidR="00C1633B">
        <w:t xml:space="preserve">a </w:t>
      </w:r>
      <w:r>
        <w:t>notification on the import licensing procedures for mungo beans and pigeon peas as soon as possible.</w:t>
      </w:r>
    </w:p>
    <w:p w14:paraId="04A96555" w14:textId="77777777" w:rsidR="00E9734E" w:rsidRDefault="00E9734E" w:rsidP="00212829">
      <w:pPr>
        <w:pStyle w:val="BodyText"/>
      </w:pPr>
      <w:r>
        <w:lastRenderedPageBreak/>
        <w:t xml:space="preserve">The representative of </w:t>
      </w:r>
      <w:r w:rsidRPr="00C32CC5">
        <w:rPr>
          <w:u w:val="single"/>
        </w:rPr>
        <w:t>Japan</w:t>
      </w:r>
      <w:r>
        <w:t xml:space="preserve"> expressed its systemic interest in this issue and noted that his delegation would monitor its further development closely.</w:t>
      </w:r>
    </w:p>
    <w:p w14:paraId="71A11896" w14:textId="4BA9C08B" w:rsidR="00E9734E" w:rsidRDefault="00E9734E" w:rsidP="00212829">
      <w:pPr>
        <w:pStyle w:val="BodyText"/>
      </w:pPr>
      <w:r>
        <w:t xml:space="preserve">In response, the representative of </w:t>
      </w:r>
      <w:r w:rsidRPr="00C32CC5">
        <w:rPr>
          <w:u w:val="single"/>
        </w:rPr>
        <w:t>India</w:t>
      </w:r>
      <w:r>
        <w:t xml:space="preserve"> appreciated </w:t>
      </w:r>
      <w:r w:rsidR="008863D1">
        <w:t xml:space="preserve">the interest shown by </w:t>
      </w:r>
      <w:r>
        <w:t xml:space="preserve">Australia, Canada, </w:t>
      </w:r>
      <w:r w:rsidR="008863D1">
        <w:t>the EU, Japan, Ukraine,</w:t>
      </w:r>
      <w:r>
        <w:t xml:space="preserve"> and </w:t>
      </w:r>
      <w:r w:rsidR="008863D1">
        <w:t xml:space="preserve">the US concerning </w:t>
      </w:r>
      <w:r>
        <w:t>India</w:t>
      </w:r>
      <w:r w:rsidR="00A03F00">
        <w:t>'</w:t>
      </w:r>
      <w:r>
        <w:t>s import measures on the agricultural products</w:t>
      </w:r>
      <w:r w:rsidR="008863D1">
        <w:t xml:space="preserve"> in question</w:t>
      </w:r>
      <w:r>
        <w:t>. He stated that</w:t>
      </w:r>
      <w:r w:rsidR="008863D1">
        <w:t>,</w:t>
      </w:r>
      <w:r>
        <w:t xml:space="preserve"> apart from information </w:t>
      </w:r>
      <w:r w:rsidR="008863D1">
        <w:t xml:space="preserve">already </w:t>
      </w:r>
      <w:r>
        <w:t xml:space="preserve">sought </w:t>
      </w:r>
      <w:r w:rsidR="008863D1">
        <w:t xml:space="preserve">at </w:t>
      </w:r>
      <w:r>
        <w:t xml:space="preserve">other </w:t>
      </w:r>
      <w:r w:rsidR="008863D1">
        <w:t>c</w:t>
      </w:r>
      <w:r>
        <w:t xml:space="preserve">ommittees, Members were </w:t>
      </w:r>
      <w:r w:rsidR="008863D1">
        <w:t xml:space="preserve">on this occasion </w:t>
      </w:r>
      <w:r>
        <w:t>seeking additional information</w:t>
      </w:r>
      <w:r w:rsidR="008863D1">
        <w:t>;</w:t>
      </w:r>
      <w:r>
        <w:t xml:space="preserve"> </w:t>
      </w:r>
      <w:r w:rsidR="008863D1">
        <w:t xml:space="preserve">for this reason, </w:t>
      </w:r>
      <w:r>
        <w:t xml:space="preserve">he would forward the questions to </w:t>
      </w:r>
      <w:r w:rsidR="008863D1">
        <w:t>Capital so that the relevant</w:t>
      </w:r>
      <w:r>
        <w:t xml:space="preserve"> information </w:t>
      </w:r>
      <w:r w:rsidR="008863D1">
        <w:t xml:space="preserve">could be collected </w:t>
      </w:r>
      <w:r>
        <w:t xml:space="preserve">from </w:t>
      </w:r>
      <w:r w:rsidR="008863D1">
        <w:t xml:space="preserve">the </w:t>
      </w:r>
      <w:r>
        <w:t xml:space="preserve">departments concerned, </w:t>
      </w:r>
      <w:r w:rsidR="008863D1">
        <w:t xml:space="preserve">and </w:t>
      </w:r>
      <w:r>
        <w:t>primarily</w:t>
      </w:r>
      <w:r w:rsidR="00673BC8">
        <w:t xml:space="preserve"> </w:t>
      </w:r>
      <w:r w:rsidR="008863D1">
        <w:t xml:space="preserve">from </w:t>
      </w:r>
      <w:r w:rsidR="00673BC8">
        <w:t>the Department of Agriculture.</w:t>
      </w:r>
    </w:p>
    <w:p w14:paraId="4C3920DC" w14:textId="389F9C10" w:rsidR="00E9734E" w:rsidRDefault="00E9734E" w:rsidP="00212829">
      <w:pPr>
        <w:pStyle w:val="BodyText"/>
      </w:pPr>
      <w:r>
        <w:t>He also informed the Committee that</w:t>
      </w:r>
      <w:r w:rsidR="008863D1">
        <w:t>.</w:t>
      </w:r>
      <w:r>
        <w:t xml:space="preserve"> as part of </w:t>
      </w:r>
      <w:r w:rsidR="008863D1">
        <w:t xml:space="preserve">its </w:t>
      </w:r>
      <w:r>
        <w:t xml:space="preserve">biannual notification on QRs, India was in the process of consolidating QR-related information and would </w:t>
      </w:r>
      <w:r w:rsidR="008863D1">
        <w:t xml:space="preserve">shortly </w:t>
      </w:r>
      <w:r>
        <w:t>notify the consolidated QR</w:t>
      </w:r>
      <w:r w:rsidR="00C32CC5">
        <w:t> </w:t>
      </w:r>
      <w:r>
        <w:t>notification to the Committee on Market Access and</w:t>
      </w:r>
      <w:r w:rsidR="008863D1">
        <w:t>,</w:t>
      </w:r>
      <w:r>
        <w:t xml:space="preserve"> if required, to the Committee on Import Licensing as well.</w:t>
      </w:r>
    </w:p>
    <w:p w14:paraId="46AE8731" w14:textId="74E4C34A" w:rsidR="00E9734E" w:rsidRDefault="00E9734E" w:rsidP="00212829">
      <w:pPr>
        <w:pStyle w:val="BodyText"/>
      </w:pPr>
      <w:r>
        <w:t xml:space="preserve">The measure </w:t>
      </w:r>
      <w:r w:rsidR="00CE289D">
        <w:t xml:space="preserve">that </w:t>
      </w:r>
      <w:r>
        <w:t xml:space="preserve">had been taken </w:t>
      </w:r>
      <w:r w:rsidR="00CE289D">
        <w:t>was a</w:t>
      </w:r>
      <w:r>
        <w:t xml:space="preserve"> temporary measure</w:t>
      </w:r>
      <w:r w:rsidR="00CE289D">
        <w:t>,</w:t>
      </w:r>
      <w:r>
        <w:t xml:space="preserve"> as </w:t>
      </w:r>
      <w:r w:rsidR="00CE289D">
        <w:t xml:space="preserve">permitted </w:t>
      </w:r>
      <w:r>
        <w:t>under WTO</w:t>
      </w:r>
      <w:r w:rsidR="00CE289D">
        <w:t> rules</w:t>
      </w:r>
      <w:r>
        <w:t xml:space="preserve">. Some </w:t>
      </w:r>
      <w:r w:rsidR="00CE289D">
        <w:t xml:space="preserve">Members </w:t>
      </w:r>
      <w:r>
        <w:t>had also raised the issue of the trans-fiscal element. On this issue</w:t>
      </w:r>
      <w:r w:rsidR="00CE289D">
        <w:t>,</w:t>
      </w:r>
      <w:r>
        <w:t xml:space="preserve"> </w:t>
      </w:r>
      <w:r w:rsidR="00CE289D">
        <w:t xml:space="preserve">India </w:t>
      </w:r>
      <w:r>
        <w:t xml:space="preserve">informed </w:t>
      </w:r>
      <w:r w:rsidR="00CE289D">
        <w:t xml:space="preserve">Members </w:t>
      </w:r>
      <w:r>
        <w:t>that</w:t>
      </w:r>
      <w:r w:rsidR="00CE289D">
        <w:t>,</w:t>
      </w:r>
      <w:r>
        <w:t xml:space="preserve"> although the restriction on polici</w:t>
      </w:r>
      <w:r w:rsidR="00CE289D">
        <w:t xml:space="preserve">es was imposed through DGFT Notifications </w:t>
      </w:r>
      <w:r>
        <w:t>No.</w:t>
      </w:r>
      <w:r w:rsidR="00C32CC5">
        <w:t> </w:t>
      </w:r>
      <w:r>
        <w:t>19 and 22</w:t>
      </w:r>
      <w:r w:rsidR="00CE289D">
        <w:t>,</w:t>
      </w:r>
      <w:r>
        <w:t xml:space="preserve"> dated </w:t>
      </w:r>
      <w:r w:rsidR="00CE289D">
        <w:t>21 August 2017</w:t>
      </w:r>
      <w:r>
        <w:t xml:space="preserve">, all the statements made prior to the date of notification </w:t>
      </w:r>
      <w:r w:rsidR="00CE289D">
        <w:t xml:space="preserve">had been </w:t>
      </w:r>
      <w:r>
        <w:t>cleared by the customs authorities</w:t>
      </w:r>
      <w:r w:rsidR="00CE289D">
        <w:t>,</w:t>
      </w:r>
      <w:r>
        <w:t xml:space="preserve"> </w:t>
      </w:r>
      <w:proofErr w:type="gramStart"/>
      <w:r>
        <w:t>taking into account</w:t>
      </w:r>
      <w:proofErr w:type="gramEnd"/>
      <w:r>
        <w:t xml:space="preserve"> the provisions of </w:t>
      </w:r>
      <w:r w:rsidR="00CE289D">
        <w:t>paragraphs </w:t>
      </w:r>
      <w:r>
        <w:t xml:space="preserve">2.1.7 and 9.1.1 of the </w:t>
      </w:r>
      <w:r w:rsidR="00CE289D">
        <w:t xml:space="preserve">Handbook </w:t>
      </w:r>
      <w:r>
        <w:t xml:space="preserve">of </w:t>
      </w:r>
      <w:r w:rsidR="00CE289D">
        <w:t xml:space="preserve">Procedures </w:t>
      </w:r>
      <w:r>
        <w:t>under foreign trade policy 2015</w:t>
      </w:r>
      <w:r w:rsidR="00C32CC5">
        <w:t>–</w:t>
      </w:r>
      <w:r>
        <w:t>2020 of the Government of India. Further</w:t>
      </w:r>
      <w:r w:rsidR="00CE289D">
        <w:t>more,</w:t>
      </w:r>
      <w:r>
        <w:t xml:space="preserve"> those </w:t>
      </w:r>
      <w:r w:rsidR="00CE289D">
        <w:t xml:space="preserve">shipments that </w:t>
      </w:r>
      <w:r>
        <w:t>were bagged with the confirmed de-regulator were also allowed for imports for the application of the notification and were allowed clearance by the customs authorities. Since the aforesaid quotas for the period April</w:t>
      </w:r>
      <w:r w:rsidR="00C32CC5">
        <w:t> </w:t>
      </w:r>
      <w:r>
        <w:t>2017</w:t>
      </w:r>
      <w:r w:rsidR="00C32CC5">
        <w:t>–</w:t>
      </w:r>
      <w:r>
        <w:t>March</w:t>
      </w:r>
      <w:r w:rsidR="00C32CC5">
        <w:t> </w:t>
      </w:r>
      <w:r>
        <w:t xml:space="preserve">2020 there was a financial year counted from April to March, adjusted </w:t>
      </w:r>
      <w:proofErr w:type="gramStart"/>
      <w:r>
        <w:t>on account of</w:t>
      </w:r>
      <w:proofErr w:type="gramEnd"/>
      <w:r>
        <w:t xml:space="preserve"> already affected imports before the imposition of the measure and thereafter on the account of the already shipped consignments in between. Therefore, the procedure was not laid down for any quota during that period but for the financial year 2018</w:t>
      </w:r>
      <w:r w:rsidR="00C32CC5">
        <w:t>–</w:t>
      </w:r>
      <w:r>
        <w:t xml:space="preserve">2019. The process of allocation of quota was being worked out by the administrative ministry and would be notified soon. The procedure for the same would be available in the public domain at http://www.DGFT.gov.in. It is also understood that allocated time would be provided to the Members for making an application. Quotas would be available to all Members </w:t>
      </w:r>
      <w:proofErr w:type="gramStart"/>
      <w:r>
        <w:t>as long as</w:t>
      </w:r>
      <w:proofErr w:type="gramEnd"/>
      <w:r>
        <w:t xml:space="preserve"> the applicant met the required criteria therein.</w:t>
      </w:r>
    </w:p>
    <w:p w14:paraId="30853287" w14:textId="4E59F7F7" w:rsidR="00E9734E" w:rsidRDefault="00E9734E" w:rsidP="00212829">
      <w:pPr>
        <w:pStyle w:val="BodyText"/>
      </w:pPr>
      <w:r>
        <w:t xml:space="preserve">He noted </w:t>
      </w:r>
      <w:r w:rsidR="00260326">
        <w:t xml:space="preserve">again </w:t>
      </w:r>
      <w:r>
        <w:t xml:space="preserve">that Members </w:t>
      </w:r>
      <w:r w:rsidR="00CE289D">
        <w:t xml:space="preserve">had </w:t>
      </w:r>
      <w:r>
        <w:t xml:space="preserve">raised a few issues for the first time </w:t>
      </w:r>
      <w:r w:rsidR="00260326">
        <w:t xml:space="preserve">at </w:t>
      </w:r>
      <w:r>
        <w:t xml:space="preserve">this </w:t>
      </w:r>
      <w:r w:rsidR="00260326">
        <w:t xml:space="preserve">meeting of the </w:t>
      </w:r>
      <w:r>
        <w:t xml:space="preserve">Committee. In this context, India requested Members to provide their questions in writing so that his </w:t>
      </w:r>
      <w:r w:rsidR="00260326">
        <w:t xml:space="preserve">authorities </w:t>
      </w:r>
      <w:r>
        <w:t xml:space="preserve">could better understand </w:t>
      </w:r>
      <w:r w:rsidR="00260326">
        <w:t xml:space="preserve">Members' </w:t>
      </w:r>
      <w:r>
        <w:t xml:space="preserve">concerns </w:t>
      </w:r>
      <w:r w:rsidR="00260326">
        <w:t xml:space="preserve">with a view to resolving </w:t>
      </w:r>
      <w:r>
        <w:t xml:space="preserve">the issue. He also requested </w:t>
      </w:r>
      <w:r w:rsidR="00260326">
        <w:t xml:space="preserve">those </w:t>
      </w:r>
      <w:r>
        <w:t xml:space="preserve">Members </w:t>
      </w:r>
      <w:r w:rsidR="00260326">
        <w:t xml:space="preserve">that had </w:t>
      </w:r>
      <w:r>
        <w:t>intervened at the meeting to provide their comments in writ</w:t>
      </w:r>
      <w:r w:rsidR="00673BC8">
        <w:t>ing.</w:t>
      </w:r>
    </w:p>
    <w:p w14:paraId="00F022B7" w14:textId="77777777" w:rsidR="00E9734E" w:rsidRDefault="00E9734E" w:rsidP="00212829">
      <w:pPr>
        <w:pStyle w:val="BodyText"/>
      </w:pPr>
      <w:r>
        <w:t xml:space="preserve">The Committee </w:t>
      </w:r>
      <w:r w:rsidRPr="00C32CC5">
        <w:rPr>
          <w:u w:val="single"/>
        </w:rPr>
        <w:t>took note</w:t>
      </w:r>
      <w:r>
        <w:t xml:space="preserve"> of the statements made.</w:t>
      </w:r>
    </w:p>
    <w:p w14:paraId="17706667" w14:textId="77777777" w:rsidR="00E9734E" w:rsidRDefault="00E9734E" w:rsidP="00187760">
      <w:pPr>
        <w:pStyle w:val="Heading1"/>
      </w:pPr>
      <w:bookmarkStart w:id="18" w:name="_Toc525116420"/>
      <w:r>
        <w:t>IMPROVING TRANSPARENCY IN NOTIFICATION PROCEDURES OF THE AGREEMENT – REPORT OF THE CHAIRPERSON</w:t>
      </w:r>
      <w:bookmarkEnd w:id="18"/>
    </w:p>
    <w:p w14:paraId="4E153F6E" w14:textId="2795E921" w:rsidR="00E9734E" w:rsidRDefault="00E9734E" w:rsidP="00673BC8">
      <w:pPr>
        <w:pStyle w:val="BodyText"/>
      </w:pPr>
      <w:r>
        <w:t xml:space="preserve">The </w:t>
      </w:r>
      <w:r w:rsidR="00C32CC5">
        <w:rPr>
          <w:u w:val="single"/>
        </w:rPr>
        <w:t>Chairperson</w:t>
      </w:r>
      <w:r w:rsidR="00C32CC5">
        <w:t xml:space="preserve"> </w:t>
      </w:r>
      <w:r>
        <w:t xml:space="preserve">stated that in the past few years a lot of work and effort </w:t>
      </w:r>
      <w:r w:rsidR="00260326">
        <w:t xml:space="preserve">had </w:t>
      </w:r>
      <w:r>
        <w:t xml:space="preserve">gone into improving transparency and notification compliance in this Committee. At the last Committee meeting, he sought views from Members on </w:t>
      </w:r>
      <w:proofErr w:type="gramStart"/>
      <w:r>
        <w:t xml:space="preserve">whether </w:t>
      </w:r>
      <w:r w:rsidR="00260326">
        <w:t>or not</w:t>
      </w:r>
      <w:proofErr w:type="gramEnd"/>
      <w:r w:rsidR="00260326">
        <w:t xml:space="preserve"> </w:t>
      </w:r>
      <w:r>
        <w:t xml:space="preserve">the Committee should continue </w:t>
      </w:r>
      <w:r w:rsidR="00260326">
        <w:t xml:space="preserve">its </w:t>
      </w:r>
      <w:r>
        <w:t>discussions</w:t>
      </w:r>
      <w:r w:rsidR="00260326">
        <w:t>,</w:t>
      </w:r>
      <w:r>
        <w:t xml:space="preserve"> and what would be the best approach. He recalled that all </w:t>
      </w:r>
      <w:r w:rsidR="00260326">
        <w:t xml:space="preserve">those </w:t>
      </w:r>
      <w:r>
        <w:t xml:space="preserve">Members </w:t>
      </w:r>
      <w:r w:rsidR="00260326">
        <w:t>that had previously taken</w:t>
      </w:r>
      <w:r>
        <w:t xml:space="preserve"> the floor had expressed </w:t>
      </w:r>
      <w:r w:rsidR="00260326">
        <w:t xml:space="preserve">their </w:t>
      </w:r>
      <w:r>
        <w:t xml:space="preserve">support </w:t>
      </w:r>
      <w:r w:rsidR="00260326">
        <w:t xml:space="preserve">for </w:t>
      </w:r>
      <w:r>
        <w:t>re-examin</w:t>
      </w:r>
      <w:r w:rsidR="00260326">
        <w:t>ing</w:t>
      </w:r>
      <w:r>
        <w:t xml:space="preserve"> and simplify</w:t>
      </w:r>
      <w:r w:rsidR="00260326">
        <w:t>ing</w:t>
      </w:r>
      <w:r>
        <w:t xml:space="preserve"> notification procedures. Some Members believed that streamlining notification procedures</w:t>
      </w:r>
      <w:r w:rsidR="00A56616">
        <w:t>,</w:t>
      </w:r>
      <w:r>
        <w:t xml:space="preserve"> and </w:t>
      </w:r>
      <w:r w:rsidR="00A56616">
        <w:t xml:space="preserve">templates </w:t>
      </w:r>
      <w:proofErr w:type="gramStart"/>
      <w:r>
        <w:t>in particular</w:t>
      </w:r>
      <w:r w:rsidR="00A56616">
        <w:t>,</w:t>
      </w:r>
      <w:r>
        <w:t xml:space="preserve"> could</w:t>
      </w:r>
      <w:proofErr w:type="gramEnd"/>
      <w:r>
        <w:t xml:space="preserve"> reduce duplication and increase notification compliance. Most Members </w:t>
      </w:r>
      <w:r w:rsidR="000D0A93">
        <w:t xml:space="preserve">had </w:t>
      </w:r>
      <w:r>
        <w:t>expressed the</w:t>
      </w:r>
      <w:r w:rsidR="000D0A93">
        <w:t>ir</w:t>
      </w:r>
      <w:r>
        <w:t xml:space="preserve"> willingness to continue the discussion or consultations in this regard. </w:t>
      </w:r>
      <w:r w:rsidR="000D0A93">
        <w:t xml:space="preserve">Nevertheless, he </w:t>
      </w:r>
      <w:r>
        <w:t>acknowledged that</w:t>
      </w:r>
      <w:r w:rsidR="000D0A93">
        <w:t>,</w:t>
      </w:r>
      <w:r>
        <w:t xml:space="preserve"> </w:t>
      </w:r>
      <w:proofErr w:type="gramStart"/>
      <w:r w:rsidR="000D0A93">
        <w:t>as a consequence of</w:t>
      </w:r>
      <w:proofErr w:type="gramEnd"/>
      <w:r w:rsidR="000D0A93">
        <w:t xml:space="preserve"> his </w:t>
      </w:r>
      <w:r>
        <w:t xml:space="preserve">busy schedule, he </w:t>
      </w:r>
      <w:r w:rsidR="000D0A93">
        <w:t xml:space="preserve">had </w:t>
      </w:r>
      <w:r>
        <w:t xml:space="preserve">not </w:t>
      </w:r>
      <w:r w:rsidR="000D0A93">
        <w:t xml:space="preserve">been </w:t>
      </w:r>
      <w:r>
        <w:t xml:space="preserve">able </w:t>
      </w:r>
      <w:r w:rsidR="000D0A93">
        <w:t xml:space="preserve">in recent months </w:t>
      </w:r>
      <w:r>
        <w:t>to organize any informal meetings. However, he believed that this work would continue very soon</w:t>
      </w:r>
      <w:r w:rsidR="000D0A93">
        <w:t>,</w:t>
      </w:r>
      <w:r>
        <w:t xml:space="preserve"> based on the work and discussion</w:t>
      </w:r>
      <w:r w:rsidR="000D0A93">
        <w:t>s</w:t>
      </w:r>
      <w:r>
        <w:t xml:space="preserve"> undertaken so far</w:t>
      </w:r>
      <w:r w:rsidR="000D0A93">
        <w:t>, and under the leadership of his successor</w:t>
      </w:r>
      <w:r>
        <w:t>.</w:t>
      </w:r>
    </w:p>
    <w:p w14:paraId="202F4547" w14:textId="4E2BA658" w:rsidR="00E9734E" w:rsidRDefault="00E9734E" w:rsidP="00673BC8">
      <w:pPr>
        <w:pStyle w:val="BodyText"/>
      </w:pPr>
      <w:r>
        <w:t xml:space="preserve">On a separate note, he informed the Committee that, continuing </w:t>
      </w:r>
      <w:r w:rsidR="00D7662D">
        <w:t xml:space="preserve">with last year's </w:t>
      </w:r>
      <w:r>
        <w:t>success</w:t>
      </w:r>
      <w:r w:rsidR="00D7662D">
        <w:t>ful</w:t>
      </w:r>
      <w:r>
        <w:t xml:space="preserve"> practice, the Secretariat had organized the second Geneva-based Workshop on Import Licensing for developing Members, LDCs</w:t>
      </w:r>
      <w:r w:rsidR="00D7662D">
        <w:t>,</w:t>
      </w:r>
      <w:r>
        <w:t xml:space="preserve"> and countries in accession, from 17 to 20</w:t>
      </w:r>
      <w:r w:rsidR="00D7662D">
        <w:t> </w:t>
      </w:r>
      <w:r>
        <w:t>April</w:t>
      </w:r>
      <w:r w:rsidR="00D7662D">
        <w:t> </w:t>
      </w:r>
      <w:r>
        <w:t>2018. Thirty</w:t>
      </w:r>
      <w:r w:rsidR="00D7662D">
        <w:t> </w:t>
      </w:r>
      <w:r>
        <w:t>participants from thirty</w:t>
      </w:r>
      <w:r w:rsidR="00D7662D">
        <w:t> </w:t>
      </w:r>
      <w:r>
        <w:t xml:space="preserve">developing Members </w:t>
      </w:r>
      <w:r w:rsidR="003C7D6D">
        <w:t xml:space="preserve">had </w:t>
      </w:r>
      <w:r>
        <w:t xml:space="preserve">participated in this workshop, </w:t>
      </w:r>
      <w:r w:rsidR="003C7D6D">
        <w:t xml:space="preserve">and </w:t>
      </w:r>
      <w:r>
        <w:t xml:space="preserve">had also </w:t>
      </w:r>
      <w:r w:rsidR="003C7D6D">
        <w:t>sat</w:t>
      </w:r>
      <w:r>
        <w:t xml:space="preserve">-in </w:t>
      </w:r>
      <w:r w:rsidR="003C7D6D">
        <w:t xml:space="preserve">at </w:t>
      </w:r>
      <w:r>
        <w:t xml:space="preserve">this </w:t>
      </w:r>
      <w:r>
        <w:lastRenderedPageBreak/>
        <w:t xml:space="preserve">Committee meeting. He indicated that the Secretariat could </w:t>
      </w:r>
      <w:r w:rsidR="003C7D6D">
        <w:t xml:space="preserve">perhaps </w:t>
      </w:r>
      <w:r>
        <w:t xml:space="preserve">organize </w:t>
      </w:r>
      <w:r w:rsidR="003C7D6D">
        <w:t xml:space="preserve">a </w:t>
      </w:r>
      <w:r>
        <w:t>similar workshop</w:t>
      </w:r>
      <w:r w:rsidR="003C7D6D">
        <w:t>,</w:t>
      </w:r>
      <w:r>
        <w:t xml:space="preserve"> open to all </w:t>
      </w:r>
      <w:r w:rsidR="003C7D6D">
        <w:t xml:space="preserve">Geneva </w:t>
      </w:r>
      <w:r>
        <w:t xml:space="preserve">delegates, if </w:t>
      </w:r>
      <w:r w:rsidR="00DF5F6D">
        <w:t>Members would consider it useful</w:t>
      </w:r>
      <w:r>
        <w:t>.</w:t>
      </w:r>
    </w:p>
    <w:p w14:paraId="50817C93" w14:textId="1CC58D31" w:rsidR="00E9734E" w:rsidRDefault="00DF5F6D" w:rsidP="00673BC8">
      <w:pPr>
        <w:pStyle w:val="BodyText"/>
      </w:pPr>
      <w:r>
        <w:t>In addition</w:t>
      </w:r>
      <w:r w:rsidR="00E9734E">
        <w:t>, he informed the Committee that the Secretariat had been working on a new WTO</w:t>
      </w:r>
      <w:r>
        <w:t> </w:t>
      </w:r>
      <w:r w:rsidR="00E9734E">
        <w:t xml:space="preserve">website on Import Licensing. </w:t>
      </w:r>
      <w:r>
        <w:t>Once this</w:t>
      </w:r>
      <w:r w:rsidR="00E9734E">
        <w:t xml:space="preserve"> work was complete the Secretariat would give a presentation to all Members </w:t>
      </w:r>
      <w:proofErr w:type="gramStart"/>
      <w:r>
        <w:t>so as to</w:t>
      </w:r>
      <w:proofErr w:type="gramEnd"/>
      <w:r>
        <w:t xml:space="preserve"> receive their </w:t>
      </w:r>
      <w:r w:rsidR="00E9734E">
        <w:t>comments</w:t>
      </w:r>
      <w:r>
        <w:t xml:space="preserve"> and feedback</w:t>
      </w:r>
      <w:r w:rsidR="00E9734E">
        <w:t>.</w:t>
      </w:r>
    </w:p>
    <w:p w14:paraId="1294EDB2" w14:textId="691F83D1" w:rsidR="00E9734E" w:rsidRDefault="00E9734E" w:rsidP="00673BC8">
      <w:pPr>
        <w:pStyle w:val="BodyText"/>
      </w:pPr>
      <w:r>
        <w:t xml:space="preserve">The representative of the </w:t>
      </w:r>
      <w:r w:rsidRPr="00B93C6B">
        <w:rPr>
          <w:u w:val="single"/>
        </w:rPr>
        <w:t>European Union</w:t>
      </w:r>
      <w:r>
        <w:t xml:space="preserve"> confirmed that the EU stood ready to participate in any kind of initiative if Members joined </w:t>
      </w:r>
      <w:r w:rsidR="00DF5F6D">
        <w:t xml:space="preserve">in a </w:t>
      </w:r>
      <w:r>
        <w:t xml:space="preserve">consensus to work on </w:t>
      </w:r>
      <w:r w:rsidR="00DF5F6D">
        <w:t xml:space="preserve">a </w:t>
      </w:r>
      <w:r>
        <w:t>revision of the notification templates. She reiterated that, in the EU</w:t>
      </w:r>
      <w:r w:rsidR="00A03F00">
        <w:t>'</w:t>
      </w:r>
      <w:r>
        <w:t xml:space="preserve">s view, there was room for improving the current rules </w:t>
      </w:r>
      <w:proofErr w:type="gramStart"/>
      <w:r>
        <w:t>in order to</w:t>
      </w:r>
      <w:proofErr w:type="gramEnd"/>
      <w:r>
        <w:t xml:space="preserve"> streamline the process and </w:t>
      </w:r>
      <w:r w:rsidR="00DF5F6D">
        <w:t xml:space="preserve">to </w:t>
      </w:r>
      <w:r>
        <w:t xml:space="preserve">make the preparation of the annual notification less burdensome for Members. On the other hand, the EU also considered </w:t>
      </w:r>
      <w:r w:rsidR="00DF5F6D">
        <w:t xml:space="preserve">it </w:t>
      </w:r>
      <w:r>
        <w:t>necessary that Members first agree on the process</w:t>
      </w:r>
      <w:r w:rsidR="00DF5F6D">
        <w:t>;</w:t>
      </w:r>
      <w:r>
        <w:t xml:space="preserve"> </w:t>
      </w:r>
      <w:r w:rsidR="00DF5F6D">
        <w:t xml:space="preserve">for this reason, the EU </w:t>
      </w:r>
      <w:r>
        <w:t xml:space="preserve">encouraged those Members that had objected in the past to reconsider their position and to engage in this process with the aim </w:t>
      </w:r>
      <w:r w:rsidR="00DF5F6D">
        <w:t>of improving overall</w:t>
      </w:r>
      <w:r>
        <w:t xml:space="preserve"> transparency. The EU welcomed and appreciated </w:t>
      </w:r>
      <w:proofErr w:type="gramStart"/>
      <w:r>
        <w:t>all</w:t>
      </w:r>
      <w:r w:rsidR="00DF5F6D">
        <w:t xml:space="preserve"> of</w:t>
      </w:r>
      <w:proofErr w:type="gramEnd"/>
      <w:r>
        <w:t xml:space="preserve"> the work </w:t>
      </w:r>
      <w:r w:rsidR="00DF5F6D">
        <w:t xml:space="preserve">that had been carried out </w:t>
      </w:r>
      <w:r>
        <w:t>by the Secretariat and welcomed the creation of a WTO</w:t>
      </w:r>
      <w:r w:rsidR="00DF5F6D">
        <w:t> </w:t>
      </w:r>
      <w:r>
        <w:t>Website dedicated to import licensing</w:t>
      </w:r>
      <w:r w:rsidR="00DF5F6D">
        <w:t>.</w:t>
      </w:r>
    </w:p>
    <w:p w14:paraId="766F746B" w14:textId="17599959" w:rsidR="00E9734E" w:rsidRDefault="00E9734E" w:rsidP="00673BC8">
      <w:pPr>
        <w:pStyle w:val="BodyText"/>
      </w:pPr>
      <w:r>
        <w:t xml:space="preserve">The representative of </w:t>
      </w:r>
      <w:r w:rsidRPr="00B93C6B">
        <w:rPr>
          <w:u w:val="single"/>
        </w:rPr>
        <w:t>Japan</w:t>
      </w:r>
      <w:r>
        <w:t xml:space="preserve"> thanked the Chair and the Secretariat for their initiative in seeking to improve </w:t>
      </w:r>
      <w:r w:rsidR="00080FFF">
        <w:t xml:space="preserve">import licensing </w:t>
      </w:r>
      <w:r>
        <w:t xml:space="preserve">notification procedures. Japan attached great importance to </w:t>
      </w:r>
      <w:r w:rsidR="00080FFF">
        <w:t xml:space="preserve">the </w:t>
      </w:r>
      <w:r>
        <w:t>implementation of the transparency obligation and supported the Committee</w:t>
      </w:r>
      <w:r w:rsidR="00A03F00">
        <w:t>'</w:t>
      </w:r>
      <w:r>
        <w:t xml:space="preserve">s previous efforts to streamline </w:t>
      </w:r>
      <w:r w:rsidR="00080FFF">
        <w:t xml:space="preserve">its </w:t>
      </w:r>
      <w:r>
        <w:t xml:space="preserve">notification requirements. He highlighted that Japan </w:t>
      </w:r>
      <w:r w:rsidR="00080FFF">
        <w:t xml:space="preserve">had </w:t>
      </w:r>
      <w:r>
        <w:t>made its latest notification under Article</w:t>
      </w:r>
      <w:r w:rsidR="00080FFF">
        <w:t> </w:t>
      </w:r>
      <w:r>
        <w:t xml:space="preserve">5 by using the suggested template as a voluntary exercise. Japan was ready to engage in any future discussion </w:t>
      </w:r>
      <w:proofErr w:type="gramStart"/>
      <w:r w:rsidR="00080FFF">
        <w:t>on the subject of</w:t>
      </w:r>
      <w:r w:rsidR="00673BC8">
        <w:t xml:space="preserve"> improving</w:t>
      </w:r>
      <w:proofErr w:type="gramEnd"/>
      <w:r w:rsidR="00673BC8">
        <w:t xml:space="preserve"> transparency.</w:t>
      </w:r>
    </w:p>
    <w:p w14:paraId="2CD213E6" w14:textId="28C8CCEE" w:rsidR="00E9734E" w:rsidRDefault="00E9734E" w:rsidP="00673BC8">
      <w:pPr>
        <w:pStyle w:val="BodyText"/>
      </w:pPr>
      <w:r>
        <w:t xml:space="preserve">The representative of the </w:t>
      </w:r>
      <w:r w:rsidRPr="00B93C6B">
        <w:rPr>
          <w:u w:val="single"/>
        </w:rPr>
        <w:t>United States</w:t>
      </w:r>
      <w:r>
        <w:t xml:space="preserve"> thanked the </w:t>
      </w:r>
      <w:r w:rsidR="00080FFF">
        <w:t xml:space="preserve">Chair </w:t>
      </w:r>
      <w:r>
        <w:t xml:space="preserve">and the Secretariat for all their work in seeking to improve transparency at the Import Licensing Committee. However, the United States remained disappointed with the difficulties that had arisen in </w:t>
      </w:r>
      <w:r w:rsidR="00080FFF">
        <w:t xml:space="preserve">advancing </w:t>
      </w:r>
      <w:r>
        <w:t>the work.</w:t>
      </w:r>
    </w:p>
    <w:p w14:paraId="12522F1B" w14:textId="43E43AD3" w:rsidR="00E9734E" w:rsidRDefault="00E9734E" w:rsidP="00673BC8">
      <w:pPr>
        <w:pStyle w:val="BodyText"/>
      </w:pPr>
      <w:r>
        <w:t xml:space="preserve">Recognizing that compliance with the notification requirements </w:t>
      </w:r>
      <w:r w:rsidR="00B67988">
        <w:t xml:space="preserve">in </w:t>
      </w:r>
      <w:r>
        <w:t xml:space="preserve">the </w:t>
      </w:r>
      <w:r w:rsidR="00B67988">
        <w:t xml:space="preserve">Import Licensing Agreement </w:t>
      </w:r>
      <w:r>
        <w:t>could be challenging, especially for lesser-developed countries</w:t>
      </w:r>
      <w:r w:rsidR="00B67988">
        <w:t>, which often had</w:t>
      </w:r>
      <w:r>
        <w:t xml:space="preserve"> capacity constraints, the </w:t>
      </w:r>
      <w:r w:rsidR="00881183">
        <w:t>US</w:t>
      </w:r>
      <w:r>
        <w:t xml:space="preserve"> strongly supported the recent workshop for lesser-developed countries provided by the Secretariat</w:t>
      </w:r>
      <w:r w:rsidR="00B67988">
        <w:t>,</w:t>
      </w:r>
      <w:r>
        <w:t xml:space="preserve"> and looked forward to increased participation from those countries in the coming Committee meet</w:t>
      </w:r>
      <w:r w:rsidR="00673BC8">
        <w:t>ings.</w:t>
      </w:r>
    </w:p>
    <w:p w14:paraId="75E5DC66" w14:textId="2482D352" w:rsidR="00E9734E" w:rsidRDefault="00B67988" w:rsidP="00673BC8">
      <w:pPr>
        <w:pStyle w:val="BodyText"/>
      </w:pPr>
      <w:r>
        <w:t xml:space="preserve">At the same time, she </w:t>
      </w:r>
      <w:r w:rsidR="00E9734E">
        <w:t xml:space="preserve">expressed continued disappointment with the low level of compliance by Members </w:t>
      </w:r>
      <w:r>
        <w:t xml:space="preserve">in terms of </w:t>
      </w:r>
      <w:r w:rsidR="00E9734E">
        <w:t>their import licensing notification obligations. In this context, her delegation welcomed an examination of the notification procedures, recognizing that the substantive obligations could not be modified through this process, and provided that any changes contemplated would be realistically designed to increase the level of compliance with the notification obligations.</w:t>
      </w:r>
    </w:p>
    <w:p w14:paraId="0E451ABC" w14:textId="6D1862A7" w:rsidR="00E9734E" w:rsidRDefault="00E9734E" w:rsidP="00673BC8">
      <w:pPr>
        <w:pStyle w:val="BodyText"/>
      </w:pPr>
      <w:r>
        <w:t xml:space="preserve">She advocated further </w:t>
      </w:r>
      <w:r w:rsidR="00BA0AB1">
        <w:t xml:space="preserve">reflection on </w:t>
      </w:r>
      <w:r>
        <w:t>any attempt to improve transparency and streamline notification obligation</w:t>
      </w:r>
      <w:r w:rsidR="00BA0AB1">
        <w:t>s</w:t>
      </w:r>
      <w:r>
        <w:t xml:space="preserve">, </w:t>
      </w:r>
      <w:r w:rsidR="00BA0AB1">
        <w:t xml:space="preserve">with an emphasis </w:t>
      </w:r>
      <w:r>
        <w:t xml:space="preserve">on providing legislation to the Secretariat in an electronic format that </w:t>
      </w:r>
      <w:r w:rsidR="00BA0AB1">
        <w:t xml:space="preserve">could be </w:t>
      </w:r>
      <w:r>
        <w:t xml:space="preserve">easily </w:t>
      </w:r>
      <w:r w:rsidR="00BA0AB1">
        <w:t>accessed and transmitted</w:t>
      </w:r>
      <w:r>
        <w:t>.</w:t>
      </w:r>
    </w:p>
    <w:p w14:paraId="0C1F6482" w14:textId="243FB3CB" w:rsidR="00E9734E" w:rsidRDefault="00E9734E" w:rsidP="00673BC8">
      <w:pPr>
        <w:pStyle w:val="BodyText"/>
      </w:pPr>
      <w:r>
        <w:t>The representative of</w:t>
      </w:r>
      <w:r w:rsidR="00881183">
        <w:t xml:space="preserve"> the</w:t>
      </w:r>
      <w:r>
        <w:t xml:space="preserve"> </w:t>
      </w:r>
      <w:r w:rsidR="00881183" w:rsidRPr="00B93C6B">
        <w:rPr>
          <w:u w:val="single"/>
        </w:rPr>
        <w:t xml:space="preserve">Republic of </w:t>
      </w:r>
      <w:r w:rsidRPr="00B93C6B">
        <w:rPr>
          <w:u w:val="single"/>
        </w:rPr>
        <w:t>Korea</w:t>
      </w:r>
      <w:r>
        <w:t xml:space="preserve"> appreciated all the efforts that had been made</w:t>
      </w:r>
      <w:r w:rsidR="00BA0AB1">
        <w:t xml:space="preserve"> so far</w:t>
      </w:r>
      <w:r>
        <w:t xml:space="preserve"> to improve transparency through streamlining </w:t>
      </w:r>
      <w:r w:rsidR="00BA0AB1">
        <w:t xml:space="preserve">of </w:t>
      </w:r>
      <w:r>
        <w:t xml:space="preserve">the notification procedures in </w:t>
      </w:r>
      <w:r w:rsidR="00BA0AB1">
        <w:t xml:space="preserve">the </w:t>
      </w:r>
      <w:r>
        <w:t>Committee</w:t>
      </w:r>
      <w:r w:rsidR="00BA0AB1">
        <w:t>,</w:t>
      </w:r>
      <w:r>
        <w:t xml:space="preserve"> and Korea was ready to engage in any consultation </w:t>
      </w:r>
      <w:r w:rsidR="00BA0AB1">
        <w:t xml:space="preserve">that </w:t>
      </w:r>
      <w:r>
        <w:t>could lead to concrete results.</w:t>
      </w:r>
    </w:p>
    <w:p w14:paraId="2B5F8A46" w14:textId="6ACC9F4E" w:rsidR="00E9734E" w:rsidRDefault="00E9734E" w:rsidP="00673BC8">
      <w:pPr>
        <w:pStyle w:val="BodyText"/>
      </w:pPr>
      <w:r>
        <w:t xml:space="preserve">The representative of </w:t>
      </w:r>
      <w:r w:rsidRPr="00B93C6B">
        <w:rPr>
          <w:u w:val="single"/>
        </w:rPr>
        <w:t>Chinese Taipei</w:t>
      </w:r>
      <w:r>
        <w:t xml:space="preserve"> appreciated the hard work </w:t>
      </w:r>
      <w:r w:rsidR="00BA0AB1">
        <w:t xml:space="preserve">carried out by </w:t>
      </w:r>
      <w:r>
        <w:t xml:space="preserve">the Secretariat and the Committee so far on improving transparency and capacity building for Members. She pointed out that the two workshops on import licensing organized in last May and this April </w:t>
      </w:r>
      <w:r w:rsidR="00BA0AB1">
        <w:t xml:space="preserve">had </w:t>
      </w:r>
      <w:r>
        <w:t xml:space="preserve">indeed </w:t>
      </w:r>
      <w:r w:rsidR="00BA0AB1">
        <w:t xml:space="preserve">been very </w:t>
      </w:r>
      <w:r>
        <w:t xml:space="preserve">helpful to Members. Her delegation hoped that the Secretariat </w:t>
      </w:r>
      <w:r w:rsidR="00BA0AB1">
        <w:t xml:space="preserve">would </w:t>
      </w:r>
      <w:r>
        <w:t xml:space="preserve">also consider holding a similar workshop for </w:t>
      </w:r>
      <w:r w:rsidR="00BA0AB1">
        <w:t xml:space="preserve">Geneva-based </w:t>
      </w:r>
      <w:r>
        <w:t xml:space="preserve">delegates so that all Members could </w:t>
      </w:r>
      <w:r w:rsidR="00BA0AB1">
        <w:t xml:space="preserve">then </w:t>
      </w:r>
      <w:r>
        <w:t>benefit from it.</w:t>
      </w:r>
    </w:p>
    <w:p w14:paraId="0B485801" w14:textId="569EAC0E" w:rsidR="00E9734E" w:rsidRDefault="00E9734E" w:rsidP="00673BC8">
      <w:pPr>
        <w:pStyle w:val="BodyText"/>
      </w:pPr>
      <w:r>
        <w:t xml:space="preserve">The representative of </w:t>
      </w:r>
      <w:r w:rsidRPr="00B93C6B">
        <w:rPr>
          <w:u w:val="single"/>
        </w:rPr>
        <w:t>Hong Kong</w:t>
      </w:r>
      <w:r w:rsidR="00881183" w:rsidRPr="00B93C6B">
        <w:rPr>
          <w:u w:val="single"/>
        </w:rPr>
        <w:t>,</w:t>
      </w:r>
      <w:r w:rsidRPr="00B93C6B">
        <w:rPr>
          <w:u w:val="single"/>
        </w:rPr>
        <w:t xml:space="preserve"> China</w:t>
      </w:r>
      <w:r>
        <w:t xml:space="preserve"> noted that </w:t>
      </w:r>
      <w:r w:rsidR="00DD2121">
        <w:t xml:space="preserve">all </w:t>
      </w:r>
      <w:r>
        <w:t xml:space="preserve">Members </w:t>
      </w:r>
      <w:r w:rsidR="00DD2121">
        <w:t xml:space="preserve">agreed on </w:t>
      </w:r>
      <w:r>
        <w:t>the importance of transparency</w:t>
      </w:r>
      <w:r w:rsidR="00DD2121">
        <w:t>,</w:t>
      </w:r>
      <w:r>
        <w:t xml:space="preserve"> </w:t>
      </w:r>
      <w:r w:rsidR="00DD2121">
        <w:t xml:space="preserve">although </w:t>
      </w:r>
      <w:r>
        <w:t>it was regrettable that Members could not yet agree on notification templates. She pointed out that</w:t>
      </w:r>
      <w:r w:rsidR="00DD2121">
        <w:t>,</w:t>
      </w:r>
      <w:r>
        <w:t xml:space="preserve"> in an electronic era, what </w:t>
      </w:r>
      <w:r w:rsidR="00DD2121">
        <w:t xml:space="preserve">mattered </w:t>
      </w:r>
      <w:r>
        <w:t xml:space="preserve">most was to have all </w:t>
      </w:r>
      <w:r w:rsidR="0069618B">
        <w:t xml:space="preserve">relevant </w:t>
      </w:r>
      <w:r>
        <w:t xml:space="preserve">information </w:t>
      </w:r>
      <w:r w:rsidR="00733C3C">
        <w:t xml:space="preserve">available in </w:t>
      </w:r>
      <w:r>
        <w:t xml:space="preserve">a database </w:t>
      </w:r>
      <w:r w:rsidR="00DD2121">
        <w:t>a</w:t>
      </w:r>
      <w:r w:rsidR="0069618B">
        <w:t>nd</w:t>
      </w:r>
      <w:r w:rsidR="00DD2121">
        <w:t xml:space="preserve"> </w:t>
      </w:r>
      <w:r>
        <w:t xml:space="preserve">website </w:t>
      </w:r>
      <w:r w:rsidR="00DD2121">
        <w:t xml:space="preserve">that was </w:t>
      </w:r>
      <w:r>
        <w:t xml:space="preserve">easily accessible </w:t>
      </w:r>
      <w:r w:rsidR="00DD2121">
        <w:t xml:space="preserve">to </w:t>
      </w:r>
      <w:r>
        <w:t>traders, governments</w:t>
      </w:r>
      <w:r w:rsidR="00DD2121">
        <w:t>,</w:t>
      </w:r>
      <w:r>
        <w:t xml:space="preserve"> and other interested parties. </w:t>
      </w:r>
      <w:r w:rsidR="0069618B">
        <w:t>For this reason, a certain flexibility could be introduced into</w:t>
      </w:r>
      <w:r>
        <w:t xml:space="preserve"> the notification format</w:t>
      </w:r>
      <w:r w:rsidR="0069618B">
        <w:t>,</w:t>
      </w:r>
      <w:r>
        <w:t xml:space="preserve"> </w:t>
      </w:r>
      <w:r w:rsidR="0069618B">
        <w:t>as in</w:t>
      </w:r>
      <w:r>
        <w:t xml:space="preserve"> the </w:t>
      </w:r>
      <w:r w:rsidR="00967ADD">
        <w:t>Trade Facilitation Agreement</w:t>
      </w:r>
      <w:r w:rsidR="0069618B">
        <w:t xml:space="preserve">, </w:t>
      </w:r>
      <w:r w:rsidR="00733C3C">
        <w:t xml:space="preserve">which did not have a standard notification template but relied instead on </w:t>
      </w:r>
      <w:r w:rsidR="0069618B">
        <w:t xml:space="preserve">Members presenting the pertinent information in the format that they </w:t>
      </w:r>
      <w:r w:rsidR="00733C3C">
        <w:lastRenderedPageBreak/>
        <w:t>deemed</w:t>
      </w:r>
      <w:r w:rsidR="0069618B">
        <w:t xml:space="preserve"> most appropriate</w:t>
      </w:r>
      <w:r w:rsidR="00733C3C">
        <w:t xml:space="preserve">. </w:t>
      </w:r>
      <w:r w:rsidR="0069618B">
        <w:t>This information was then compiled by</w:t>
      </w:r>
      <w:r>
        <w:t xml:space="preserve"> the Secretariat </w:t>
      </w:r>
      <w:r w:rsidR="0069618B">
        <w:t xml:space="preserve">and entered </w:t>
      </w:r>
      <w:r>
        <w:t>in</w:t>
      </w:r>
      <w:r w:rsidR="0069618B">
        <w:t>to</w:t>
      </w:r>
      <w:r>
        <w:t xml:space="preserve"> the TF</w:t>
      </w:r>
      <w:r w:rsidR="0069618B">
        <w:t> </w:t>
      </w:r>
      <w:r>
        <w:t xml:space="preserve">database. </w:t>
      </w:r>
      <w:r w:rsidR="0069618B">
        <w:t>She considered that such an approach could</w:t>
      </w:r>
      <w:r>
        <w:t xml:space="preserve"> shed light on </w:t>
      </w:r>
      <w:r w:rsidR="0069618B">
        <w:t xml:space="preserve">a possible direction for </w:t>
      </w:r>
      <w:r>
        <w:t xml:space="preserve">future discussion on </w:t>
      </w:r>
      <w:r w:rsidR="0069618B">
        <w:t xml:space="preserve">the issue of </w:t>
      </w:r>
      <w:r>
        <w:t>notification template</w:t>
      </w:r>
      <w:r w:rsidR="0069618B">
        <w:t>s</w:t>
      </w:r>
      <w:r>
        <w:t xml:space="preserve"> </w:t>
      </w:r>
      <w:r w:rsidR="0069618B">
        <w:t xml:space="preserve">also </w:t>
      </w:r>
      <w:r>
        <w:t xml:space="preserve">in this </w:t>
      </w:r>
      <w:r w:rsidR="0069618B">
        <w:t>Committee</w:t>
      </w:r>
      <w:r>
        <w:t xml:space="preserve">. </w:t>
      </w:r>
      <w:r w:rsidR="0069618B">
        <w:t>She added that</w:t>
      </w:r>
      <w:r>
        <w:t xml:space="preserve"> training for </w:t>
      </w:r>
      <w:r w:rsidR="0069618B">
        <w:t xml:space="preserve">Members </w:t>
      </w:r>
      <w:r>
        <w:t xml:space="preserve">also </w:t>
      </w:r>
      <w:r w:rsidR="0069618B">
        <w:t xml:space="preserve">played </w:t>
      </w:r>
      <w:r>
        <w:t xml:space="preserve">a crucial role in improving notification performance. </w:t>
      </w:r>
      <w:r w:rsidR="00101027">
        <w:t xml:space="preserve">In this regard, she </w:t>
      </w:r>
      <w:r>
        <w:t>congratulate</w:t>
      </w:r>
      <w:r w:rsidR="00101027">
        <w:t>d</w:t>
      </w:r>
      <w:r>
        <w:t xml:space="preserve"> the Secretariat </w:t>
      </w:r>
      <w:r w:rsidR="00101027">
        <w:t xml:space="preserve">for having </w:t>
      </w:r>
      <w:r w:rsidR="00D347AC">
        <w:t>that day</w:t>
      </w:r>
      <w:r w:rsidR="00101027">
        <w:t xml:space="preserve"> successfully completed</w:t>
      </w:r>
      <w:r>
        <w:t xml:space="preserve"> another workshop on notifications. The high quality of </w:t>
      </w:r>
      <w:r w:rsidR="00101027">
        <w:t>this</w:t>
      </w:r>
      <w:r>
        <w:t xml:space="preserve"> workshop </w:t>
      </w:r>
      <w:r w:rsidR="00101027">
        <w:t xml:space="preserve">had </w:t>
      </w:r>
      <w:r>
        <w:t xml:space="preserve">set a </w:t>
      </w:r>
      <w:r w:rsidR="00101027">
        <w:t xml:space="preserve">precedent </w:t>
      </w:r>
      <w:r>
        <w:t xml:space="preserve">for similar efforts in other areas. </w:t>
      </w:r>
      <w:r w:rsidR="00101027">
        <w:t>It provided</w:t>
      </w:r>
      <w:r>
        <w:t xml:space="preserve"> solid support to </w:t>
      </w:r>
      <w:r w:rsidR="00101027">
        <w:t xml:space="preserve">Members </w:t>
      </w:r>
      <w:r>
        <w:t xml:space="preserve">in </w:t>
      </w:r>
      <w:r w:rsidR="00101027">
        <w:t xml:space="preserve">assisting them to comply </w:t>
      </w:r>
      <w:r>
        <w:t>with the notification requirements.</w:t>
      </w:r>
      <w:r w:rsidR="00733C3C">
        <w:t xml:space="preserve"> Finally, Hong Kong, China looked forward to further discussion with Members on the theme of enhancing transparency in import licensing notifications.</w:t>
      </w:r>
    </w:p>
    <w:p w14:paraId="7164D728" w14:textId="5BDBF37C" w:rsidR="00E9734E" w:rsidRDefault="00E9734E" w:rsidP="00673BC8">
      <w:pPr>
        <w:pStyle w:val="BodyText"/>
      </w:pPr>
      <w:r>
        <w:t xml:space="preserve">The representative of </w:t>
      </w:r>
      <w:r w:rsidRPr="00B93C6B">
        <w:rPr>
          <w:u w:val="single"/>
        </w:rPr>
        <w:t>Canada</w:t>
      </w:r>
      <w:r>
        <w:t xml:space="preserve"> thanked the Chair for his report. Canada supported the work </w:t>
      </w:r>
      <w:r w:rsidR="00346E2A">
        <w:t xml:space="preserve">being carried out </w:t>
      </w:r>
      <w:r>
        <w:t xml:space="preserve">on revision of the notification template. Like other </w:t>
      </w:r>
      <w:r w:rsidR="00346E2A">
        <w:t xml:space="preserve">Members, his </w:t>
      </w:r>
      <w:r>
        <w:t xml:space="preserve">delegation also saw room for improvement </w:t>
      </w:r>
      <w:r w:rsidR="00346E2A">
        <w:t xml:space="preserve">in terms of streamlining </w:t>
      </w:r>
      <w:r>
        <w:t>the notification process without changing</w:t>
      </w:r>
      <w:r w:rsidR="00346E2A">
        <w:t xml:space="preserve"> any of</w:t>
      </w:r>
      <w:r>
        <w:t xml:space="preserve"> the obligations. Canada supported the objective of improving transparency and stood ready to engage in any discussion with the new Chair </w:t>
      </w:r>
      <w:proofErr w:type="gramStart"/>
      <w:r w:rsidR="00346E2A">
        <w:t>in order to</w:t>
      </w:r>
      <w:proofErr w:type="gramEnd"/>
      <w:r w:rsidR="00346E2A">
        <w:t xml:space="preserve"> </w:t>
      </w:r>
      <w:r>
        <w:t>move the process forward.</w:t>
      </w:r>
    </w:p>
    <w:p w14:paraId="449F0D98" w14:textId="6CD73B37" w:rsidR="00E9734E" w:rsidRDefault="00E9734E" w:rsidP="00673BC8">
      <w:pPr>
        <w:pStyle w:val="BodyText"/>
      </w:pPr>
      <w:r>
        <w:t xml:space="preserve">The representative of </w:t>
      </w:r>
      <w:r w:rsidRPr="00B93C6B">
        <w:rPr>
          <w:u w:val="single"/>
        </w:rPr>
        <w:t>China</w:t>
      </w:r>
      <w:r>
        <w:t xml:space="preserve"> supported the discussions in this Committee</w:t>
      </w:r>
      <w:r w:rsidR="001D5E8E">
        <w:t xml:space="preserve"> on improving transparency</w:t>
      </w:r>
      <w:r>
        <w:t xml:space="preserve">, and appreciated the efforts made by the Secretariat in this regard. While attaching great importance to implementation of transparency obligations, China believed that the discussion should </w:t>
      </w:r>
      <w:r w:rsidR="001D5E8E">
        <w:t xml:space="preserve">be directed </w:t>
      </w:r>
      <w:r>
        <w:t>at simplifying notification procedures, improving efficiency</w:t>
      </w:r>
      <w:r w:rsidR="001D5E8E">
        <w:t>,</w:t>
      </w:r>
      <w:r>
        <w:t xml:space="preserve"> and reducing the </w:t>
      </w:r>
      <w:r w:rsidR="001D5E8E">
        <w:t xml:space="preserve">administrative </w:t>
      </w:r>
      <w:r>
        <w:t xml:space="preserve">burden on Members. At the same time, the work should avoid </w:t>
      </w:r>
      <w:r w:rsidR="001D5E8E">
        <w:t xml:space="preserve">any duplication in </w:t>
      </w:r>
      <w:r>
        <w:t>notifications</w:t>
      </w:r>
      <w:r w:rsidR="001D5E8E">
        <w:t>,</w:t>
      </w:r>
      <w:r>
        <w:t xml:space="preserve"> or creating any new notification obligation. His delegation </w:t>
      </w:r>
      <w:r w:rsidR="001D5E8E">
        <w:t xml:space="preserve">stood </w:t>
      </w:r>
      <w:r>
        <w:t>ready to engage in any future discussion in this regard</w:t>
      </w:r>
      <w:r w:rsidR="00673BC8">
        <w:t>.</w:t>
      </w:r>
    </w:p>
    <w:p w14:paraId="24D967FF" w14:textId="7A29CEC8" w:rsidR="00E9734E" w:rsidRDefault="00E9734E" w:rsidP="00673BC8">
      <w:pPr>
        <w:pStyle w:val="BodyText"/>
      </w:pPr>
      <w:r>
        <w:t xml:space="preserve">The representative of </w:t>
      </w:r>
      <w:r w:rsidRPr="00B93C6B">
        <w:rPr>
          <w:u w:val="single"/>
        </w:rPr>
        <w:t>Switzerland</w:t>
      </w:r>
      <w:r>
        <w:t xml:space="preserve"> thanked the Chair and the Secretariat for all the efforts </w:t>
      </w:r>
      <w:r w:rsidR="002519D4">
        <w:t xml:space="preserve">that had been </w:t>
      </w:r>
      <w:r>
        <w:t xml:space="preserve">made to help Members to improve </w:t>
      </w:r>
      <w:proofErr w:type="gramStart"/>
      <w:r w:rsidR="002519D4">
        <w:t>in the area of</w:t>
      </w:r>
      <w:proofErr w:type="gramEnd"/>
      <w:r w:rsidR="002519D4">
        <w:t xml:space="preserve"> </w:t>
      </w:r>
      <w:r>
        <w:t xml:space="preserve">notifications. Switzerland attached great importance to transparency and shared the concerns expressed by other delegations. His delegation </w:t>
      </w:r>
      <w:r w:rsidR="002519D4">
        <w:t xml:space="preserve">stood </w:t>
      </w:r>
      <w:r>
        <w:t xml:space="preserve">ready to support all efforts </w:t>
      </w:r>
      <w:r w:rsidR="002519D4">
        <w:t>made towards</w:t>
      </w:r>
      <w:r>
        <w:t xml:space="preserve"> improving notifications, including </w:t>
      </w:r>
      <w:r w:rsidR="002519D4">
        <w:t xml:space="preserve">in </w:t>
      </w:r>
      <w:r>
        <w:t>establishing a new template.</w:t>
      </w:r>
    </w:p>
    <w:p w14:paraId="43776B11" w14:textId="30D3CF65" w:rsidR="00E9734E" w:rsidRDefault="00E9734E" w:rsidP="00673BC8">
      <w:pPr>
        <w:pStyle w:val="BodyText"/>
      </w:pPr>
      <w:r>
        <w:t xml:space="preserve">The representative of </w:t>
      </w:r>
      <w:r w:rsidRPr="00B93C6B">
        <w:rPr>
          <w:u w:val="single"/>
        </w:rPr>
        <w:t>Australia</w:t>
      </w:r>
      <w:r>
        <w:t xml:space="preserve"> thanked the Chair and the Secretariat </w:t>
      </w:r>
      <w:r w:rsidR="002519D4">
        <w:t xml:space="preserve">for </w:t>
      </w:r>
      <w:r>
        <w:t xml:space="preserve">their efforts </w:t>
      </w:r>
      <w:r w:rsidR="002519D4">
        <w:t>to improve</w:t>
      </w:r>
      <w:r>
        <w:t xml:space="preserve"> notifications and transparency. </w:t>
      </w:r>
      <w:r w:rsidR="002519D4">
        <w:t xml:space="preserve">Australia </w:t>
      </w:r>
      <w:r>
        <w:t xml:space="preserve">supported </w:t>
      </w:r>
      <w:proofErr w:type="gramStart"/>
      <w:r>
        <w:t>all of</w:t>
      </w:r>
      <w:proofErr w:type="gramEnd"/>
      <w:r>
        <w:t xml:space="preserve"> the statements made </w:t>
      </w:r>
      <w:r w:rsidR="002519D4">
        <w:t xml:space="preserve">thus </w:t>
      </w:r>
      <w:r>
        <w:t xml:space="preserve">far on this issue. He </w:t>
      </w:r>
      <w:r w:rsidR="002519D4">
        <w:t xml:space="preserve">also </w:t>
      </w:r>
      <w:r>
        <w:t>recalled that</w:t>
      </w:r>
      <w:r w:rsidR="002519D4">
        <w:t>,</w:t>
      </w:r>
      <w:r>
        <w:t xml:space="preserve"> every time </w:t>
      </w:r>
      <w:r w:rsidR="002519D4">
        <w:t xml:space="preserve">that </w:t>
      </w:r>
      <w:r>
        <w:t xml:space="preserve">the Committee </w:t>
      </w:r>
      <w:r w:rsidR="002519D4">
        <w:t xml:space="preserve">turned </w:t>
      </w:r>
      <w:r>
        <w:t xml:space="preserve">to this agenda item, significant support </w:t>
      </w:r>
      <w:r w:rsidR="002519D4">
        <w:t xml:space="preserve">was expressed </w:t>
      </w:r>
      <w:r>
        <w:t>for making improvements in this area</w:t>
      </w:r>
      <w:r w:rsidR="002519D4">
        <w:t>;</w:t>
      </w:r>
      <w:r>
        <w:t xml:space="preserve"> and </w:t>
      </w:r>
      <w:r w:rsidR="002519D4">
        <w:t xml:space="preserve">Australia </w:t>
      </w:r>
      <w:r>
        <w:t xml:space="preserve">believed that this was </w:t>
      </w:r>
      <w:r w:rsidR="002519D4">
        <w:t xml:space="preserve">certainly </w:t>
      </w:r>
      <w:r>
        <w:t xml:space="preserve">an area where Members should continue </w:t>
      </w:r>
      <w:r w:rsidR="002519D4">
        <w:t xml:space="preserve">in </w:t>
      </w:r>
      <w:r>
        <w:t xml:space="preserve">their efforts. In this context, Australia was willing to engage with the new Chairperson in any </w:t>
      </w:r>
      <w:r w:rsidR="002519D4">
        <w:t xml:space="preserve">eventual </w:t>
      </w:r>
      <w:r>
        <w:t xml:space="preserve">consultation. </w:t>
      </w:r>
      <w:r w:rsidR="002519D4">
        <w:t xml:space="preserve">Australia </w:t>
      </w:r>
      <w:r>
        <w:t>shared the ideas expressed by the representative of Hong Kong</w:t>
      </w:r>
      <w:r w:rsidR="002519D4">
        <w:t>,</w:t>
      </w:r>
      <w:r>
        <w:t xml:space="preserve"> China and believed that the new import licensing website might provide some user-friendly information regarding Members</w:t>
      </w:r>
      <w:r w:rsidR="00A03F00">
        <w:t>'</w:t>
      </w:r>
      <w:r>
        <w:t xml:space="preserve"> import licensing regime</w:t>
      </w:r>
      <w:r w:rsidR="002519D4">
        <w:t>s</w:t>
      </w:r>
      <w:r>
        <w:t xml:space="preserve">. </w:t>
      </w:r>
      <w:r w:rsidR="002519D4">
        <w:t xml:space="preserve">Australia </w:t>
      </w:r>
      <w:r>
        <w:t xml:space="preserve">supported the idea of holding workshops in Geneva for all Members, arguing that transparency was an issue that </w:t>
      </w:r>
      <w:r w:rsidR="002519D4">
        <w:t xml:space="preserve">had an impact upon </w:t>
      </w:r>
      <w:r>
        <w:t xml:space="preserve">all Members, and it was not just developing </w:t>
      </w:r>
      <w:r w:rsidR="002519D4">
        <w:t xml:space="preserve">Members </w:t>
      </w:r>
      <w:r>
        <w:t>who were deficient</w:t>
      </w:r>
      <w:r w:rsidR="002519D4">
        <w:t>,</w:t>
      </w:r>
      <w:r>
        <w:t xml:space="preserve"> </w:t>
      </w:r>
      <w:r w:rsidR="002519D4">
        <w:t xml:space="preserve">but also </w:t>
      </w:r>
      <w:r>
        <w:t xml:space="preserve">developed </w:t>
      </w:r>
      <w:r w:rsidR="002519D4">
        <w:t>Members</w:t>
      </w:r>
      <w:r>
        <w:t xml:space="preserve">. </w:t>
      </w:r>
      <w:r w:rsidR="002519D4">
        <w:t xml:space="preserve">Therefore, such </w:t>
      </w:r>
      <w:r>
        <w:t>activities could help all Members to impr</w:t>
      </w:r>
      <w:r w:rsidR="00673BC8">
        <w:t xml:space="preserve">ove </w:t>
      </w:r>
      <w:r w:rsidR="002519D4">
        <w:t xml:space="preserve">their </w:t>
      </w:r>
      <w:r w:rsidR="00673BC8">
        <w:t>notifications.</w:t>
      </w:r>
    </w:p>
    <w:p w14:paraId="57534550" w14:textId="77777777" w:rsidR="00E9734E" w:rsidRDefault="00E9734E" w:rsidP="00673BC8">
      <w:pPr>
        <w:pStyle w:val="BodyText"/>
      </w:pPr>
      <w:r>
        <w:t xml:space="preserve">The Committee </w:t>
      </w:r>
      <w:r w:rsidRPr="00B93C6B">
        <w:rPr>
          <w:u w:val="single"/>
        </w:rPr>
        <w:t>took note</w:t>
      </w:r>
      <w:r>
        <w:t xml:space="preserve"> of the Chair</w:t>
      </w:r>
      <w:r w:rsidR="00A03F00">
        <w:t>'</w:t>
      </w:r>
      <w:r>
        <w:t>s report and the statements made.</w:t>
      </w:r>
    </w:p>
    <w:p w14:paraId="3096FB9C" w14:textId="77777777" w:rsidR="00E9734E" w:rsidRDefault="00E9734E" w:rsidP="00187760">
      <w:pPr>
        <w:pStyle w:val="Heading1"/>
      </w:pPr>
      <w:bookmarkStart w:id="19" w:name="_Toc525116421"/>
      <w:r>
        <w:t>DATE OF THE NEXT MEETING</w:t>
      </w:r>
      <w:bookmarkEnd w:id="19"/>
    </w:p>
    <w:p w14:paraId="2B3F5894" w14:textId="15F040DC" w:rsidR="00E9734E" w:rsidRDefault="00E9734E" w:rsidP="00673BC8">
      <w:pPr>
        <w:pStyle w:val="BodyText"/>
      </w:pPr>
      <w:r>
        <w:t xml:space="preserve">The </w:t>
      </w:r>
      <w:r w:rsidR="00CC30DD" w:rsidRPr="00013AFE">
        <w:rPr>
          <w:u w:val="single"/>
        </w:rPr>
        <w:t>Chair</w:t>
      </w:r>
      <w:r w:rsidR="00CC30DD">
        <w:rPr>
          <w:u w:val="single"/>
        </w:rPr>
        <w:t>person</w:t>
      </w:r>
      <w:r w:rsidR="00CC30DD">
        <w:t xml:space="preserve"> </w:t>
      </w:r>
      <w:r>
        <w:t xml:space="preserve">informed the Committee that the Secretariat had tentatively reserved </w:t>
      </w:r>
      <w:r w:rsidR="00CC30DD">
        <w:t xml:space="preserve">the date of </w:t>
      </w:r>
      <w:r>
        <w:t>Friday, 2 November 2018, for the Committee</w:t>
      </w:r>
      <w:r w:rsidR="00CC30DD">
        <w:t>'s</w:t>
      </w:r>
      <w:r>
        <w:t xml:space="preserve"> </w:t>
      </w:r>
      <w:r w:rsidR="00CC30DD">
        <w:t xml:space="preserve">next formal </w:t>
      </w:r>
      <w:r>
        <w:t xml:space="preserve">meeting and on the understanding that additional meetings may </w:t>
      </w:r>
      <w:r w:rsidR="002044D9">
        <w:t xml:space="preserve">also </w:t>
      </w:r>
      <w:r>
        <w:t>be convened</w:t>
      </w:r>
      <w:r w:rsidR="002044D9">
        <w:t>,</w:t>
      </w:r>
      <w:r>
        <w:t xml:space="preserve"> as necessary.</w:t>
      </w:r>
    </w:p>
    <w:p w14:paraId="3835F57D" w14:textId="77777777" w:rsidR="00E9734E" w:rsidRDefault="00E9734E" w:rsidP="00673BC8">
      <w:pPr>
        <w:pStyle w:val="BodyText"/>
      </w:pPr>
      <w:r>
        <w:t xml:space="preserve">The Committee </w:t>
      </w:r>
      <w:r w:rsidRPr="00013AFE">
        <w:rPr>
          <w:u w:val="single"/>
        </w:rPr>
        <w:t>took note</w:t>
      </w:r>
      <w:r>
        <w:t>.</w:t>
      </w:r>
    </w:p>
    <w:p w14:paraId="0917A071" w14:textId="77777777" w:rsidR="00E9734E" w:rsidRDefault="00E9734E" w:rsidP="00187760">
      <w:pPr>
        <w:pStyle w:val="Heading1"/>
      </w:pPr>
      <w:bookmarkStart w:id="20" w:name="_Toc525116422"/>
      <w:r>
        <w:t>ELECTION OF OFFICERS</w:t>
      </w:r>
      <w:bookmarkEnd w:id="20"/>
    </w:p>
    <w:p w14:paraId="6A72D555" w14:textId="771C1631" w:rsidR="00E9734E" w:rsidRDefault="00E9734E" w:rsidP="00673BC8">
      <w:pPr>
        <w:pStyle w:val="BodyText"/>
      </w:pPr>
      <w:r>
        <w:t>Mrs</w:t>
      </w:r>
      <w:r w:rsidR="002044D9">
        <w:t> </w:t>
      </w:r>
      <w:r>
        <w:t xml:space="preserve">Lorena RIVERA of Colombia was elected </w:t>
      </w:r>
      <w:r w:rsidR="002044D9">
        <w:t xml:space="preserve">by acclamation </w:t>
      </w:r>
      <w:r>
        <w:t>as Chairperson of the Committee for 2018 and Mr</w:t>
      </w:r>
      <w:r w:rsidR="002044D9">
        <w:t> </w:t>
      </w:r>
      <w:r>
        <w:t>Kazunori FUKUDA of Japan was elected as Vice-</w:t>
      </w:r>
      <w:r w:rsidR="002044D9">
        <w:t>Chairperson</w:t>
      </w:r>
      <w:r>
        <w:t>.</w:t>
      </w:r>
    </w:p>
    <w:p w14:paraId="526F0641" w14:textId="77777777" w:rsidR="00E9734E" w:rsidRDefault="00673BC8" w:rsidP="00673BC8">
      <w:pPr>
        <w:pStyle w:val="BodyText"/>
      </w:pPr>
      <w:r>
        <w:t xml:space="preserve">The Committee so </w:t>
      </w:r>
      <w:r w:rsidRPr="00013AFE">
        <w:rPr>
          <w:u w:val="single"/>
        </w:rPr>
        <w:t>agreed</w:t>
      </w:r>
      <w:r>
        <w:t>.</w:t>
      </w:r>
    </w:p>
    <w:p w14:paraId="084FC66E" w14:textId="77777777" w:rsidR="00673BC8" w:rsidRPr="00673BC8" w:rsidRDefault="00673BC8" w:rsidP="00673BC8">
      <w:pPr>
        <w:jc w:val="center"/>
      </w:pPr>
      <w:r>
        <w:rPr>
          <w:b/>
        </w:rPr>
        <w:t>__________</w:t>
      </w:r>
    </w:p>
    <w:sectPr w:rsidR="00673BC8" w:rsidRPr="00673BC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AA32" w14:textId="77777777" w:rsidR="00B93C6B" w:rsidRDefault="00B93C6B" w:rsidP="00ED54E0">
      <w:r>
        <w:separator/>
      </w:r>
    </w:p>
  </w:endnote>
  <w:endnote w:type="continuationSeparator" w:id="0">
    <w:p w14:paraId="254ECC8D" w14:textId="77777777" w:rsidR="00B93C6B" w:rsidRDefault="00B93C6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52B" w14:textId="77777777" w:rsidR="00B93C6B" w:rsidRPr="00E9734E" w:rsidRDefault="00B93C6B" w:rsidP="00E973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C21" w14:textId="77777777" w:rsidR="00B93C6B" w:rsidRPr="00E9734E" w:rsidRDefault="00B93C6B" w:rsidP="00E973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33DB" w14:textId="77777777" w:rsidR="00C72B26" w:rsidRDefault="00C7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51D7" w14:textId="77777777" w:rsidR="00B93C6B" w:rsidRDefault="00B93C6B" w:rsidP="00ED54E0">
      <w:r>
        <w:separator/>
      </w:r>
    </w:p>
  </w:footnote>
  <w:footnote w:type="continuationSeparator" w:id="0">
    <w:p w14:paraId="18AD17A7" w14:textId="77777777" w:rsidR="00B93C6B" w:rsidRDefault="00B93C6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F3DA" w14:textId="77777777" w:rsidR="00B93C6B" w:rsidRPr="00E9734E" w:rsidRDefault="00B93C6B" w:rsidP="00E9734E">
    <w:pPr>
      <w:pStyle w:val="Header"/>
      <w:pBdr>
        <w:bottom w:val="single" w:sz="4" w:space="1" w:color="auto"/>
      </w:pBdr>
      <w:tabs>
        <w:tab w:val="clear" w:pos="4513"/>
        <w:tab w:val="clear" w:pos="9027"/>
      </w:tabs>
      <w:jc w:val="center"/>
    </w:pPr>
    <w:r w:rsidRPr="00E9734E">
      <w:t>G/LIC/M/47</w:t>
    </w:r>
  </w:p>
  <w:p w14:paraId="25C0C0A6" w14:textId="77777777" w:rsidR="00B93C6B" w:rsidRPr="00E9734E" w:rsidRDefault="00B93C6B" w:rsidP="00E9734E">
    <w:pPr>
      <w:pStyle w:val="Header"/>
      <w:pBdr>
        <w:bottom w:val="single" w:sz="4" w:space="1" w:color="auto"/>
      </w:pBdr>
      <w:tabs>
        <w:tab w:val="clear" w:pos="4513"/>
        <w:tab w:val="clear" w:pos="9027"/>
      </w:tabs>
      <w:jc w:val="center"/>
    </w:pPr>
  </w:p>
  <w:p w14:paraId="6EAB5A99" w14:textId="77777777" w:rsidR="00B93C6B" w:rsidRPr="00E9734E" w:rsidRDefault="00B93C6B" w:rsidP="00E9734E">
    <w:pPr>
      <w:pStyle w:val="Header"/>
      <w:pBdr>
        <w:bottom w:val="single" w:sz="4" w:space="1" w:color="auto"/>
      </w:pBdr>
      <w:tabs>
        <w:tab w:val="clear" w:pos="4513"/>
        <w:tab w:val="clear" w:pos="9027"/>
      </w:tabs>
      <w:jc w:val="center"/>
    </w:pPr>
    <w:r w:rsidRPr="00E9734E">
      <w:t xml:space="preserve">- </w:t>
    </w:r>
    <w:r w:rsidRPr="00E9734E">
      <w:fldChar w:fldCharType="begin"/>
    </w:r>
    <w:r w:rsidRPr="00E9734E">
      <w:instrText xml:space="preserve"> PAGE </w:instrText>
    </w:r>
    <w:r w:rsidRPr="00E9734E">
      <w:fldChar w:fldCharType="separate"/>
    </w:r>
    <w:r w:rsidRPr="00E9734E">
      <w:rPr>
        <w:noProof/>
      </w:rPr>
      <w:t>1</w:t>
    </w:r>
    <w:r w:rsidRPr="00E9734E">
      <w:fldChar w:fldCharType="end"/>
    </w:r>
    <w:r w:rsidRPr="00E9734E">
      <w:t xml:space="preserve"> -</w:t>
    </w:r>
  </w:p>
  <w:p w14:paraId="3EBF858F" w14:textId="77777777" w:rsidR="00B93C6B" w:rsidRPr="00E9734E" w:rsidRDefault="00B93C6B" w:rsidP="00E973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80D3" w14:textId="77777777" w:rsidR="00B93C6B" w:rsidRPr="00E9734E" w:rsidRDefault="00B93C6B" w:rsidP="00E9734E">
    <w:pPr>
      <w:pStyle w:val="Header"/>
      <w:pBdr>
        <w:bottom w:val="single" w:sz="4" w:space="1" w:color="auto"/>
      </w:pBdr>
      <w:tabs>
        <w:tab w:val="clear" w:pos="4513"/>
        <w:tab w:val="clear" w:pos="9027"/>
      </w:tabs>
      <w:jc w:val="center"/>
    </w:pPr>
    <w:r w:rsidRPr="00E9734E">
      <w:t>G/LIC/M/47</w:t>
    </w:r>
  </w:p>
  <w:p w14:paraId="4F5C2573" w14:textId="77777777" w:rsidR="00B93C6B" w:rsidRPr="00E9734E" w:rsidRDefault="00B93C6B" w:rsidP="00E9734E">
    <w:pPr>
      <w:pStyle w:val="Header"/>
      <w:pBdr>
        <w:bottom w:val="single" w:sz="4" w:space="1" w:color="auto"/>
      </w:pBdr>
      <w:tabs>
        <w:tab w:val="clear" w:pos="4513"/>
        <w:tab w:val="clear" w:pos="9027"/>
      </w:tabs>
      <w:jc w:val="center"/>
    </w:pPr>
  </w:p>
  <w:p w14:paraId="1D157DED" w14:textId="32D7478F" w:rsidR="00B93C6B" w:rsidRPr="00E9734E" w:rsidRDefault="00B93C6B" w:rsidP="00E9734E">
    <w:pPr>
      <w:pStyle w:val="Header"/>
      <w:pBdr>
        <w:bottom w:val="single" w:sz="4" w:space="1" w:color="auto"/>
      </w:pBdr>
      <w:tabs>
        <w:tab w:val="clear" w:pos="4513"/>
        <w:tab w:val="clear" w:pos="9027"/>
      </w:tabs>
      <w:jc w:val="center"/>
    </w:pPr>
    <w:r w:rsidRPr="00E9734E">
      <w:t xml:space="preserve">- </w:t>
    </w:r>
    <w:r w:rsidRPr="00E9734E">
      <w:fldChar w:fldCharType="begin"/>
    </w:r>
    <w:r w:rsidRPr="00E9734E">
      <w:instrText xml:space="preserve"> PAGE </w:instrText>
    </w:r>
    <w:r w:rsidRPr="00E9734E">
      <w:fldChar w:fldCharType="separate"/>
    </w:r>
    <w:r w:rsidR="00FA1D74">
      <w:rPr>
        <w:noProof/>
      </w:rPr>
      <w:t>2</w:t>
    </w:r>
    <w:r w:rsidRPr="00E9734E">
      <w:fldChar w:fldCharType="end"/>
    </w:r>
    <w:r w:rsidRPr="00E9734E">
      <w:t xml:space="preserve"> -</w:t>
    </w:r>
  </w:p>
  <w:p w14:paraId="5C8CBC12" w14:textId="77777777" w:rsidR="00B93C6B" w:rsidRPr="00E9734E" w:rsidRDefault="00B93C6B" w:rsidP="00E973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C6B" w:rsidRPr="00182B84" w14:paraId="5DD8D928" w14:textId="77777777" w:rsidTr="00544326">
      <w:trPr>
        <w:trHeight w:val="240"/>
        <w:jc w:val="center"/>
      </w:trPr>
      <w:tc>
        <w:tcPr>
          <w:tcW w:w="3794" w:type="dxa"/>
          <w:shd w:val="clear" w:color="auto" w:fill="FFFFFF"/>
          <w:tcMar>
            <w:left w:w="108" w:type="dxa"/>
            <w:right w:w="108" w:type="dxa"/>
          </w:tcMar>
          <w:vAlign w:val="center"/>
        </w:tcPr>
        <w:p w14:paraId="7B2A5F06" w14:textId="77777777" w:rsidR="00B93C6B" w:rsidRPr="00182B84" w:rsidRDefault="00B93C6B" w:rsidP="0062360A">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238C7107" w14:textId="77777777" w:rsidR="00B93C6B" w:rsidRPr="00182B84" w:rsidRDefault="00B93C6B" w:rsidP="0062360A">
          <w:pPr>
            <w:jc w:val="right"/>
            <w:rPr>
              <w:b/>
              <w:color w:val="FF0000"/>
              <w:szCs w:val="16"/>
            </w:rPr>
          </w:pPr>
          <w:r>
            <w:rPr>
              <w:b/>
              <w:color w:val="FF0000"/>
              <w:szCs w:val="16"/>
            </w:rPr>
            <w:t>RESTRICTED</w:t>
          </w:r>
        </w:p>
      </w:tc>
    </w:tr>
    <w:bookmarkEnd w:id="21"/>
    <w:tr w:rsidR="00B93C6B" w:rsidRPr="00182B84" w14:paraId="58FEE58B" w14:textId="77777777" w:rsidTr="00544326">
      <w:trPr>
        <w:trHeight w:val="213"/>
        <w:jc w:val="center"/>
      </w:trPr>
      <w:tc>
        <w:tcPr>
          <w:tcW w:w="3794" w:type="dxa"/>
          <w:vMerge w:val="restart"/>
          <w:shd w:val="clear" w:color="auto" w:fill="FFFFFF"/>
          <w:tcMar>
            <w:left w:w="0" w:type="dxa"/>
            <w:right w:w="0" w:type="dxa"/>
          </w:tcMar>
        </w:tcPr>
        <w:p w14:paraId="630FB589" w14:textId="77777777" w:rsidR="00B93C6B" w:rsidRPr="00182B84" w:rsidRDefault="00B93C6B" w:rsidP="0062360A">
          <w:pPr>
            <w:jc w:val="left"/>
          </w:pPr>
          <w:r w:rsidRPr="00182B84">
            <w:rPr>
              <w:noProof/>
              <w:lang w:val="en-US"/>
            </w:rPr>
            <w:drawing>
              <wp:inline distT="0" distB="0" distL="0" distR="0" wp14:anchorId="3E922866" wp14:editId="0824AEF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B43916" w14:textId="77777777" w:rsidR="00B93C6B" w:rsidRPr="00182B84" w:rsidRDefault="00B93C6B" w:rsidP="0062360A">
          <w:pPr>
            <w:jc w:val="right"/>
            <w:rPr>
              <w:b/>
              <w:szCs w:val="16"/>
            </w:rPr>
          </w:pPr>
        </w:p>
      </w:tc>
    </w:tr>
    <w:tr w:rsidR="00B93C6B" w:rsidRPr="00182B84" w14:paraId="4A0197C4" w14:textId="77777777" w:rsidTr="00544326">
      <w:trPr>
        <w:trHeight w:val="868"/>
        <w:jc w:val="center"/>
      </w:trPr>
      <w:tc>
        <w:tcPr>
          <w:tcW w:w="3794" w:type="dxa"/>
          <w:vMerge/>
          <w:shd w:val="clear" w:color="auto" w:fill="FFFFFF"/>
          <w:tcMar>
            <w:left w:w="108" w:type="dxa"/>
            <w:right w:w="108" w:type="dxa"/>
          </w:tcMar>
        </w:tcPr>
        <w:p w14:paraId="45B8FCB5" w14:textId="77777777" w:rsidR="00B93C6B" w:rsidRPr="00182B84" w:rsidRDefault="00B93C6B" w:rsidP="0062360A">
          <w:pPr>
            <w:jc w:val="left"/>
            <w:rPr>
              <w:noProof/>
              <w:lang w:eastAsia="en-GB"/>
            </w:rPr>
          </w:pPr>
        </w:p>
      </w:tc>
      <w:tc>
        <w:tcPr>
          <w:tcW w:w="5448" w:type="dxa"/>
          <w:gridSpan w:val="2"/>
          <w:shd w:val="clear" w:color="auto" w:fill="FFFFFF"/>
          <w:tcMar>
            <w:left w:w="108" w:type="dxa"/>
            <w:right w:w="108" w:type="dxa"/>
          </w:tcMar>
        </w:tcPr>
        <w:p w14:paraId="64C38537" w14:textId="77777777" w:rsidR="00B93C6B" w:rsidRDefault="00B93C6B" w:rsidP="0062360A">
          <w:pPr>
            <w:jc w:val="right"/>
            <w:rPr>
              <w:b/>
              <w:szCs w:val="16"/>
            </w:rPr>
          </w:pPr>
          <w:bookmarkStart w:id="22" w:name="bmkSymbols"/>
          <w:r>
            <w:rPr>
              <w:b/>
              <w:szCs w:val="16"/>
            </w:rPr>
            <w:t>G/LIC/M/47</w:t>
          </w:r>
        </w:p>
        <w:bookmarkEnd w:id="22"/>
        <w:p w14:paraId="3BDA8A8A" w14:textId="77777777" w:rsidR="00B93C6B" w:rsidRPr="00182B84" w:rsidRDefault="00B93C6B" w:rsidP="0062360A">
          <w:pPr>
            <w:jc w:val="right"/>
            <w:rPr>
              <w:b/>
              <w:szCs w:val="16"/>
            </w:rPr>
          </w:pPr>
        </w:p>
      </w:tc>
    </w:tr>
    <w:tr w:rsidR="00B93C6B" w:rsidRPr="00182B84" w14:paraId="37CAF431" w14:textId="77777777" w:rsidTr="00544326">
      <w:trPr>
        <w:trHeight w:val="240"/>
        <w:jc w:val="center"/>
      </w:trPr>
      <w:tc>
        <w:tcPr>
          <w:tcW w:w="3794" w:type="dxa"/>
          <w:vMerge/>
          <w:shd w:val="clear" w:color="auto" w:fill="FFFFFF"/>
          <w:tcMar>
            <w:left w:w="108" w:type="dxa"/>
            <w:right w:w="108" w:type="dxa"/>
          </w:tcMar>
          <w:vAlign w:val="center"/>
        </w:tcPr>
        <w:p w14:paraId="3A28068E" w14:textId="77777777" w:rsidR="00B93C6B" w:rsidRPr="00182B84" w:rsidRDefault="00B93C6B" w:rsidP="0062360A"/>
      </w:tc>
      <w:tc>
        <w:tcPr>
          <w:tcW w:w="5448" w:type="dxa"/>
          <w:gridSpan w:val="2"/>
          <w:shd w:val="clear" w:color="auto" w:fill="FFFFFF"/>
          <w:tcMar>
            <w:left w:w="108" w:type="dxa"/>
            <w:right w:w="108" w:type="dxa"/>
          </w:tcMar>
          <w:vAlign w:val="center"/>
        </w:tcPr>
        <w:p w14:paraId="2C9052F3" w14:textId="6A3A19B6" w:rsidR="00B93C6B" w:rsidRPr="00182B84" w:rsidRDefault="008C43AA" w:rsidP="0062360A">
          <w:pPr>
            <w:jc w:val="right"/>
            <w:rPr>
              <w:szCs w:val="16"/>
            </w:rPr>
          </w:pPr>
          <w:r>
            <w:rPr>
              <w:szCs w:val="16"/>
            </w:rPr>
            <w:t>2</w:t>
          </w:r>
          <w:r w:rsidR="00C72B26">
            <w:rPr>
              <w:szCs w:val="16"/>
            </w:rPr>
            <w:t>5</w:t>
          </w:r>
          <w:r w:rsidR="00B93C6B">
            <w:rPr>
              <w:szCs w:val="16"/>
            </w:rPr>
            <w:t xml:space="preserve"> September 2018</w:t>
          </w:r>
        </w:p>
      </w:tc>
    </w:tr>
    <w:tr w:rsidR="00B93C6B" w:rsidRPr="00182B84" w14:paraId="25C18C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06D352" w14:textId="6C61D3B3" w:rsidR="00B93C6B" w:rsidRPr="00182B84" w:rsidRDefault="002B106B" w:rsidP="0062360A">
          <w:pPr>
            <w:jc w:val="left"/>
            <w:rPr>
              <w:b/>
            </w:rPr>
          </w:pPr>
          <w:bookmarkStart w:id="23" w:name="bmkSerial" w:colFirst="0" w:colLast="0"/>
          <w:r>
            <w:rPr>
              <w:color w:val="FF0000"/>
              <w:szCs w:val="16"/>
            </w:rPr>
            <w:t>(18-5934</w:t>
          </w:r>
          <w:r w:rsidR="00B93C6B"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0E5AA43" w14:textId="66A9A53E" w:rsidR="00B93C6B" w:rsidRPr="00182B84" w:rsidRDefault="00B93C6B" w:rsidP="0062360A">
          <w:pPr>
            <w:jc w:val="right"/>
            <w:rPr>
              <w:szCs w:val="16"/>
            </w:rPr>
          </w:pPr>
          <w:bookmarkStart w:id="2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A1D74">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A1D74">
            <w:rPr>
              <w:bCs/>
              <w:noProof/>
              <w:szCs w:val="16"/>
            </w:rPr>
            <w:t>17</w:t>
          </w:r>
          <w:r w:rsidRPr="00182B84">
            <w:rPr>
              <w:bCs/>
              <w:szCs w:val="16"/>
            </w:rPr>
            <w:fldChar w:fldCharType="end"/>
          </w:r>
          <w:bookmarkEnd w:id="24"/>
        </w:p>
      </w:tc>
    </w:tr>
    <w:tr w:rsidR="00B93C6B" w:rsidRPr="00182B84" w14:paraId="63B95BD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25DF28" w14:textId="77777777" w:rsidR="00B93C6B" w:rsidRPr="00182B84" w:rsidRDefault="00B93C6B" w:rsidP="0062360A">
          <w:pPr>
            <w:jc w:val="left"/>
            <w:rPr>
              <w:sz w:val="14"/>
              <w:szCs w:val="16"/>
            </w:rPr>
          </w:pPr>
          <w:bookmarkStart w:id="25" w:name="bmkCommittee"/>
          <w:bookmarkStart w:id="26" w:name="bmkLanguage" w:colFirst="1" w:colLast="1"/>
          <w:bookmarkEnd w:id="23"/>
          <w:r>
            <w:rPr>
              <w:b/>
            </w:rPr>
            <w:t>Committee on Import Licensing</w:t>
          </w:r>
          <w:bookmarkEnd w:id="25"/>
        </w:p>
      </w:tc>
      <w:tc>
        <w:tcPr>
          <w:tcW w:w="3325" w:type="dxa"/>
          <w:tcBorders>
            <w:top w:val="single" w:sz="4" w:space="0" w:color="auto"/>
          </w:tcBorders>
          <w:tcMar>
            <w:top w:w="113" w:type="dxa"/>
            <w:left w:w="108" w:type="dxa"/>
            <w:bottom w:w="57" w:type="dxa"/>
            <w:right w:w="108" w:type="dxa"/>
          </w:tcMar>
          <w:vAlign w:val="center"/>
        </w:tcPr>
        <w:p w14:paraId="00EEC99E" w14:textId="77777777" w:rsidR="00B93C6B" w:rsidRPr="00182B84" w:rsidRDefault="00B93C6B" w:rsidP="0062360A">
          <w:pPr>
            <w:jc w:val="right"/>
            <w:rPr>
              <w:bCs/>
              <w:szCs w:val="18"/>
            </w:rPr>
          </w:pPr>
          <w:r>
            <w:rPr>
              <w:szCs w:val="18"/>
            </w:rPr>
            <w:t xml:space="preserve"> </w:t>
          </w:r>
        </w:p>
      </w:tc>
    </w:tr>
    <w:bookmarkEnd w:id="26"/>
  </w:tbl>
  <w:p w14:paraId="5904E560" w14:textId="77777777" w:rsidR="00B93C6B" w:rsidRDefault="00B93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4E"/>
    <w:rsid w:val="00002E89"/>
    <w:rsid w:val="00011018"/>
    <w:rsid w:val="00011817"/>
    <w:rsid w:val="00013AFE"/>
    <w:rsid w:val="00017AA3"/>
    <w:rsid w:val="000202E0"/>
    <w:rsid w:val="000272F6"/>
    <w:rsid w:val="00031697"/>
    <w:rsid w:val="00036356"/>
    <w:rsid w:val="00037AC4"/>
    <w:rsid w:val="000423BF"/>
    <w:rsid w:val="000519FC"/>
    <w:rsid w:val="00052B05"/>
    <w:rsid w:val="00080FFF"/>
    <w:rsid w:val="0008468E"/>
    <w:rsid w:val="000A4945"/>
    <w:rsid w:val="000B31E1"/>
    <w:rsid w:val="000D0408"/>
    <w:rsid w:val="000D0A93"/>
    <w:rsid w:val="000E3C47"/>
    <w:rsid w:val="000F45ED"/>
    <w:rsid w:val="00101027"/>
    <w:rsid w:val="001014A9"/>
    <w:rsid w:val="00106A9D"/>
    <w:rsid w:val="0011356B"/>
    <w:rsid w:val="00124CFB"/>
    <w:rsid w:val="0013337F"/>
    <w:rsid w:val="00140A29"/>
    <w:rsid w:val="00153C1E"/>
    <w:rsid w:val="001723C4"/>
    <w:rsid w:val="00182B84"/>
    <w:rsid w:val="00187760"/>
    <w:rsid w:val="001B6976"/>
    <w:rsid w:val="001C1B7D"/>
    <w:rsid w:val="001D5E8E"/>
    <w:rsid w:val="001E291F"/>
    <w:rsid w:val="001F23DE"/>
    <w:rsid w:val="002044D9"/>
    <w:rsid w:val="00212829"/>
    <w:rsid w:val="00233408"/>
    <w:rsid w:val="00234778"/>
    <w:rsid w:val="0024279C"/>
    <w:rsid w:val="00247D48"/>
    <w:rsid w:val="002519D4"/>
    <w:rsid w:val="00260326"/>
    <w:rsid w:val="0026420D"/>
    <w:rsid w:val="0027067B"/>
    <w:rsid w:val="0027596C"/>
    <w:rsid w:val="002A0BB0"/>
    <w:rsid w:val="002B106B"/>
    <w:rsid w:val="002B1589"/>
    <w:rsid w:val="002D03CE"/>
    <w:rsid w:val="002D3E13"/>
    <w:rsid w:val="002E7590"/>
    <w:rsid w:val="00305117"/>
    <w:rsid w:val="003156C6"/>
    <w:rsid w:val="00346E2A"/>
    <w:rsid w:val="00350C0D"/>
    <w:rsid w:val="003572B4"/>
    <w:rsid w:val="003741B1"/>
    <w:rsid w:val="003B4089"/>
    <w:rsid w:val="003C434F"/>
    <w:rsid w:val="003C7D6D"/>
    <w:rsid w:val="003E097A"/>
    <w:rsid w:val="003E1A12"/>
    <w:rsid w:val="003E4E30"/>
    <w:rsid w:val="003F1083"/>
    <w:rsid w:val="003F66D6"/>
    <w:rsid w:val="00402C02"/>
    <w:rsid w:val="00410B97"/>
    <w:rsid w:val="00450D93"/>
    <w:rsid w:val="00467032"/>
    <w:rsid w:val="0046754A"/>
    <w:rsid w:val="00495E11"/>
    <w:rsid w:val="004A3691"/>
    <w:rsid w:val="004A5D8E"/>
    <w:rsid w:val="004F1479"/>
    <w:rsid w:val="004F203A"/>
    <w:rsid w:val="004F2E80"/>
    <w:rsid w:val="004F5A40"/>
    <w:rsid w:val="005113E8"/>
    <w:rsid w:val="00523769"/>
    <w:rsid w:val="005336B8"/>
    <w:rsid w:val="00544326"/>
    <w:rsid w:val="00547B5F"/>
    <w:rsid w:val="00560D06"/>
    <w:rsid w:val="00565E63"/>
    <w:rsid w:val="005A1A22"/>
    <w:rsid w:val="005B04B9"/>
    <w:rsid w:val="005B4CE2"/>
    <w:rsid w:val="005B4DE0"/>
    <w:rsid w:val="005B68C7"/>
    <w:rsid w:val="005B7054"/>
    <w:rsid w:val="005D5981"/>
    <w:rsid w:val="005E3F0B"/>
    <w:rsid w:val="005F30CB"/>
    <w:rsid w:val="005F4078"/>
    <w:rsid w:val="006006B4"/>
    <w:rsid w:val="00601AB4"/>
    <w:rsid w:val="00603ECD"/>
    <w:rsid w:val="006109B6"/>
    <w:rsid w:val="00612644"/>
    <w:rsid w:val="006216B3"/>
    <w:rsid w:val="0062360A"/>
    <w:rsid w:val="00673BC8"/>
    <w:rsid w:val="00674CCD"/>
    <w:rsid w:val="0067602D"/>
    <w:rsid w:val="00681054"/>
    <w:rsid w:val="00683966"/>
    <w:rsid w:val="0069618B"/>
    <w:rsid w:val="006A0354"/>
    <w:rsid w:val="006B0B94"/>
    <w:rsid w:val="006B5ECD"/>
    <w:rsid w:val="006B62C7"/>
    <w:rsid w:val="006B6ADF"/>
    <w:rsid w:val="006F5826"/>
    <w:rsid w:val="00700181"/>
    <w:rsid w:val="007141CF"/>
    <w:rsid w:val="0072694A"/>
    <w:rsid w:val="00733C3C"/>
    <w:rsid w:val="007410DC"/>
    <w:rsid w:val="00745146"/>
    <w:rsid w:val="00747C65"/>
    <w:rsid w:val="00752467"/>
    <w:rsid w:val="007577E3"/>
    <w:rsid w:val="00760DB3"/>
    <w:rsid w:val="00772E47"/>
    <w:rsid w:val="00773F2B"/>
    <w:rsid w:val="00773F8D"/>
    <w:rsid w:val="007759DF"/>
    <w:rsid w:val="00781AC5"/>
    <w:rsid w:val="0078259E"/>
    <w:rsid w:val="007977E1"/>
    <w:rsid w:val="007A3A06"/>
    <w:rsid w:val="007E6507"/>
    <w:rsid w:val="007F2B8E"/>
    <w:rsid w:val="007F32D1"/>
    <w:rsid w:val="00807247"/>
    <w:rsid w:val="00840C2B"/>
    <w:rsid w:val="0084755F"/>
    <w:rsid w:val="00855EBF"/>
    <w:rsid w:val="00856E03"/>
    <w:rsid w:val="00860A03"/>
    <w:rsid w:val="008739FD"/>
    <w:rsid w:val="00875B98"/>
    <w:rsid w:val="00881183"/>
    <w:rsid w:val="00884EC3"/>
    <w:rsid w:val="008863D1"/>
    <w:rsid w:val="00893E85"/>
    <w:rsid w:val="008A380E"/>
    <w:rsid w:val="008C43AA"/>
    <w:rsid w:val="008C6259"/>
    <w:rsid w:val="008E372C"/>
    <w:rsid w:val="00911211"/>
    <w:rsid w:val="00912BE3"/>
    <w:rsid w:val="00915886"/>
    <w:rsid w:val="009553A0"/>
    <w:rsid w:val="00964995"/>
    <w:rsid w:val="00967ADD"/>
    <w:rsid w:val="00980DA6"/>
    <w:rsid w:val="00981D4D"/>
    <w:rsid w:val="00983446"/>
    <w:rsid w:val="009A5015"/>
    <w:rsid w:val="009A68AF"/>
    <w:rsid w:val="009A6F54"/>
    <w:rsid w:val="009D7328"/>
    <w:rsid w:val="009E5307"/>
    <w:rsid w:val="00A013D8"/>
    <w:rsid w:val="00A03F00"/>
    <w:rsid w:val="00A05EA4"/>
    <w:rsid w:val="00A12DA0"/>
    <w:rsid w:val="00A202A3"/>
    <w:rsid w:val="00A22F1F"/>
    <w:rsid w:val="00A42727"/>
    <w:rsid w:val="00A50159"/>
    <w:rsid w:val="00A56616"/>
    <w:rsid w:val="00A6057A"/>
    <w:rsid w:val="00A70ACB"/>
    <w:rsid w:val="00A74017"/>
    <w:rsid w:val="00A916E8"/>
    <w:rsid w:val="00A96E81"/>
    <w:rsid w:val="00AA332C"/>
    <w:rsid w:val="00AA4067"/>
    <w:rsid w:val="00AB298D"/>
    <w:rsid w:val="00AC27F8"/>
    <w:rsid w:val="00AD4C72"/>
    <w:rsid w:val="00AE2AEE"/>
    <w:rsid w:val="00AF5908"/>
    <w:rsid w:val="00B00276"/>
    <w:rsid w:val="00B11F42"/>
    <w:rsid w:val="00B13F0E"/>
    <w:rsid w:val="00B15979"/>
    <w:rsid w:val="00B230EC"/>
    <w:rsid w:val="00B261C0"/>
    <w:rsid w:val="00B35945"/>
    <w:rsid w:val="00B421DC"/>
    <w:rsid w:val="00B47E48"/>
    <w:rsid w:val="00B5223B"/>
    <w:rsid w:val="00B52738"/>
    <w:rsid w:val="00B56EDC"/>
    <w:rsid w:val="00B577A2"/>
    <w:rsid w:val="00B67988"/>
    <w:rsid w:val="00B70CA6"/>
    <w:rsid w:val="00B71696"/>
    <w:rsid w:val="00B83736"/>
    <w:rsid w:val="00B8415B"/>
    <w:rsid w:val="00B93C6B"/>
    <w:rsid w:val="00BA0AB1"/>
    <w:rsid w:val="00BA2FC3"/>
    <w:rsid w:val="00BB1F84"/>
    <w:rsid w:val="00BE5468"/>
    <w:rsid w:val="00BE5F67"/>
    <w:rsid w:val="00C11EAC"/>
    <w:rsid w:val="00C15F6D"/>
    <w:rsid w:val="00C1633B"/>
    <w:rsid w:val="00C1745A"/>
    <w:rsid w:val="00C22C7C"/>
    <w:rsid w:val="00C305D7"/>
    <w:rsid w:val="00C30F2A"/>
    <w:rsid w:val="00C32847"/>
    <w:rsid w:val="00C32CC5"/>
    <w:rsid w:val="00C43456"/>
    <w:rsid w:val="00C44DB5"/>
    <w:rsid w:val="00C55D4E"/>
    <w:rsid w:val="00C567F4"/>
    <w:rsid w:val="00C5684F"/>
    <w:rsid w:val="00C61511"/>
    <w:rsid w:val="00C65C0C"/>
    <w:rsid w:val="00C6753F"/>
    <w:rsid w:val="00C72B26"/>
    <w:rsid w:val="00C808FC"/>
    <w:rsid w:val="00CA385D"/>
    <w:rsid w:val="00CB346A"/>
    <w:rsid w:val="00CB56E7"/>
    <w:rsid w:val="00CC30DD"/>
    <w:rsid w:val="00CC5318"/>
    <w:rsid w:val="00CD7D97"/>
    <w:rsid w:val="00CE289D"/>
    <w:rsid w:val="00CE3EE6"/>
    <w:rsid w:val="00CE4BA1"/>
    <w:rsid w:val="00CF1301"/>
    <w:rsid w:val="00D000C7"/>
    <w:rsid w:val="00D100DA"/>
    <w:rsid w:val="00D221B8"/>
    <w:rsid w:val="00D347AC"/>
    <w:rsid w:val="00D35716"/>
    <w:rsid w:val="00D5196E"/>
    <w:rsid w:val="00D52A9D"/>
    <w:rsid w:val="00D53D2B"/>
    <w:rsid w:val="00D55AAD"/>
    <w:rsid w:val="00D65D80"/>
    <w:rsid w:val="00D747AE"/>
    <w:rsid w:val="00D7662D"/>
    <w:rsid w:val="00D9226C"/>
    <w:rsid w:val="00D92573"/>
    <w:rsid w:val="00DA20BD"/>
    <w:rsid w:val="00DD2121"/>
    <w:rsid w:val="00DE50DB"/>
    <w:rsid w:val="00DE6731"/>
    <w:rsid w:val="00DF5F6D"/>
    <w:rsid w:val="00DF6AE1"/>
    <w:rsid w:val="00DF7316"/>
    <w:rsid w:val="00E01C0F"/>
    <w:rsid w:val="00E06264"/>
    <w:rsid w:val="00E146D0"/>
    <w:rsid w:val="00E22A1B"/>
    <w:rsid w:val="00E46FD5"/>
    <w:rsid w:val="00E51958"/>
    <w:rsid w:val="00E544BB"/>
    <w:rsid w:val="00E56545"/>
    <w:rsid w:val="00E63A18"/>
    <w:rsid w:val="00E65904"/>
    <w:rsid w:val="00E9734E"/>
    <w:rsid w:val="00EA5D4F"/>
    <w:rsid w:val="00EB6C56"/>
    <w:rsid w:val="00EB7A79"/>
    <w:rsid w:val="00ED1D47"/>
    <w:rsid w:val="00ED54E0"/>
    <w:rsid w:val="00ED64D2"/>
    <w:rsid w:val="00F04A9D"/>
    <w:rsid w:val="00F32397"/>
    <w:rsid w:val="00F34116"/>
    <w:rsid w:val="00F367AE"/>
    <w:rsid w:val="00F40595"/>
    <w:rsid w:val="00F525F0"/>
    <w:rsid w:val="00F62836"/>
    <w:rsid w:val="00F744E9"/>
    <w:rsid w:val="00F7511D"/>
    <w:rsid w:val="00FA1D74"/>
    <w:rsid w:val="00FA5EBC"/>
    <w:rsid w:val="00FB41C5"/>
    <w:rsid w:val="00FC3711"/>
    <w:rsid w:val="00FD0159"/>
    <w:rsid w:val="00FD224A"/>
    <w:rsid w:val="00FF4616"/>
    <w:rsid w:val="00FF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ig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4D81-E592-46F2-ACA7-5B4D9601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27</TotalTime>
  <Pages>17</Pages>
  <Words>10759</Words>
  <Characters>60244</Characters>
  <Application>Microsoft Office Word</Application>
  <DocSecurity>0</DocSecurity>
  <Lines>868</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2018-09-24T15:57:00Z</cp:lastPrinted>
  <dcterms:created xsi:type="dcterms:W3CDTF">2018-09-17T08:11:00Z</dcterms:created>
  <dcterms:modified xsi:type="dcterms:W3CDTF">2018-09-25T14:37:00Z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G/LIC/M/47</vt:lpwstr>
  </property>
</Properties>
</file>