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A20" w:rsidRPr="00675D17" w:rsidRDefault="00893E85" w:rsidP="006D3A20">
      <w:pPr>
        <w:pStyle w:val="Title"/>
        <w:rPr>
          <w:caps w:val="0"/>
          <w:kern w:val="0"/>
        </w:rPr>
      </w:pPr>
      <w:r w:rsidRPr="00675D17">
        <w:t xml:space="preserve"> </w:t>
      </w:r>
      <w:r w:rsidR="006D3A20" w:rsidRPr="00675D17">
        <w:rPr>
          <w:caps w:val="0"/>
          <w:kern w:val="0"/>
        </w:rPr>
        <w:t>AGREEMENT ON IMPORT LICENSING PROCEDURES</w:t>
      </w:r>
    </w:p>
    <w:p w:rsidR="006D3A20" w:rsidRPr="0068136C" w:rsidRDefault="006D3A20" w:rsidP="006D3A20">
      <w:pPr>
        <w:pStyle w:val="Title2"/>
      </w:pPr>
      <w:r w:rsidRPr="0068136C">
        <w:t>Notification under Article 1.4(a)</w:t>
      </w:r>
      <w:r w:rsidR="008D09DA">
        <w:rPr>
          <w:rStyle w:val="EndnoteReference"/>
        </w:rPr>
        <w:endnoteReference w:id="1"/>
      </w:r>
      <w:r w:rsidRPr="0068136C">
        <w:t xml:space="preserve"> and/or 8.2(b</w:t>
      </w:r>
      <w:r w:rsidRPr="00A25CDB">
        <w:t>)</w:t>
      </w:r>
      <w:r w:rsidR="008D09DA">
        <w:rPr>
          <w:rStyle w:val="EndnoteReference"/>
        </w:rPr>
        <w:endnoteReference w:id="2"/>
      </w:r>
      <w:r>
        <w:t xml:space="preserve"> </w:t>
      </w:r>
      <w:r w:rsidRPr="0068136C">
        <w:t>of the Agreement</w:t>
      </w:r>
    </w:p>
    <w:p w:rsidR="006D3A20" w:rsidRPr="0068136C" w:rsidRDefault="009318E5" w:rsidP="006D3A20">
      <w:pPr>
        <w:pStyle w:val="TitleCountry"/>
      </w:pPr>
      <w:r>
        <w:t>Israel</w:t>
      </w:r>
    </w:p>
    <w:p w:rsidR="006D3A20" w:rsidRDefault="006D3A20" w:rsidP="006D3A20">
      <w:pPr>
        <w:rPr>
          <w:color w:val="000000"/>
        </w:rPr>
      </w:pPr>
      <w:r w:rsidRPr="0068136C">
        <w:rPr>
          <w:color w:val="000000"/>
        </w:rPr>
        <w:t xml:space="preserve">The following notification, dated </w:t>
      </w:r>
      <w:r w:rsidR="009318E5">
        <w:rPr>
          <w:color w:val="000000"/>
        </w:rPr>
        <w:t>9</w:t>
      </w:r>
      <w:r w:rsidR="0051769E">
        <w:rPr>
          <w:color w:val="000000"/>
        </w:rPr>
        <w:t xml:space="preserve"> Ju</w:t>
      </w:r>
      <w:r w:rsidR="009318E5">
        <w:rPr>
          <w:color w:val="000000"/>
        </w:rPr>
        <w:t>ly</w:t>
      </w:r>
      <w:r w:rsidR="0051769E">
        <w:rPr>
          <w:color w:val="000000"/>
        </w:rPr>
        <w:t xml:space="preserve"> 2018</w:t>
      </w:r>
      <w:r w:rsidRPr="0068136C">
        <w:rPr>
          <w:color w:val="000000"/>
        </w:rPr>
        <w:t xml:space="preserve">, is being circulated at the request of the delegation of </w:t>
      </w:r>
      <w:r w:rsidR="009318E5">
        <w:rPr>
          <w:color w:val="000000"/>
        </w:rPr>
        <w:t>Israel</w:t>
      </w:r>
      <w:r w:rsidRPr="0068136C">
        <w:rPr>
          <w:color w:val="000000"/>
        </w:rPr>
        <w:t>.</w:t>
      </w:r>
    </w:p>
    <w:p w:rsidR="006D3A20" w:rsidRPr="0068136C" w:rsidRDefault="006D3A20" w:rsidP="006D3A20">
      <w:pPr>
        <w:rPr>
          <w:color w:val="000000"/>
        </w:rPr>
      </w:pPr>
    </w:p>
    <w:tbl>
      <w:tblPr>
        <w:tblW w:w="902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13" w:type="dxa"/>
          <w:right w:w="113" w:type="dxa"/>
        </w:tblCellMar>
        <w:tblLook w:val="01E0" w:firstRow="1" w:lastRow="1" w:firstColumn="1" w:lastColumn="1" w:noHBand="0" w:noVBand="0"/>
      </w:tblPr>
      <w:tblGrid>
        <w:gridCol w:w="9026"/>
      </w:tblGrid>
      <w:tr w:rsidR="006D3A20" w:rsidRPr="00542FB8" w:rsidTr="009A282B">
        <w:trPr>
          <w:cantSplit/>
          <w:jc w:val="center"/>
        </w:trPr>
        <w:tc>
          <w:tcPr>
            <w:tcW w:w="9026" w:type="dxa"/>
            <w:shd w:val="clear" w:color="auto" w:fill="auto"/>
          </w:tcPr>
          <w:p w:rsidR="006D3A20" w:rsidRPr="00542FB8" w:rsidRDefault="006D3A20" w:rsidP="009A282B">
            <w:pPr>
              <w:spacing w:before="120" w:after="120"/>
              <w:ind w:left="720" w:hanging="720"/>
              <w:rPr>
                <w:b/>
                <w:color w:val="000000"/>
                <w:szCs w:val="18"/>
              </w:rPr>
            </w:pPr>
            <w:r w:rsidRPr="00542FB8">
              <w:rPr>
                <w:b/>
                <w:color w:val="000000"/>
                <w:szCs w:val="18"/>
              </w:rPr>
              <w:t>1.</w:t>
            </w:r>
            <w:r w:rsidRPr="00542FB8">
              <w:rPr>
                <w:b/>
                <w:color w:val="000000"/>
                <w:szCs w:val="18"/>
              </w:rPr>
              <w:tab/>
              <w:t>Notification under Article 1.4(a) [X];  Article 8.2(b) [</w:t>
            </w:r>
            <w:r w:rsidRPr="003A59B3">
              <w:rPr>
                <w:b/>
                <w:color w:val="000000"/>
                <w:szCs w:val="18"/>
              </w:rPr>
              <w:t>X</w:t>
            </w:r>
            <w:r w:rsidRPr="00542FB8">
              <w:rPr>
                <w:b/>
                <w:color w:val="000000"/>
                <w:szCs w:val="18"/>
              </w:rPr>
              <w:t xml:space="preserve">] </w:t>
            </w:r>
            <w:r w:rsidRPr="00542FB8">
              <w:rPr>
                <w:i/>
                <w:color w:val="000000"/>
                <w:szCs w:val="18"/>
              </w:rPr>
              <w:t>(If the notification is made under both Articles please mark both with an X)</w:t>
            </w:r>
          </w:p>
        </w:tc>
      </w:tr>
      <w:tr w:rsidR="006D3A20" w:rsidRPr="00542FB8" w:rsidTr="001A28F7">
        <w:trPr>
          <w:cantSplit/>
          <w:jc w:val="center"/>
        </w:trPr>
        <w:tc>
          <w:tcPr>
            <w:tcW w:w="9026" w:type="dxa"/>
            <w:tcBorders>
              <w:bottom w:val="single" w:sz="6" w:space="0" w:color="auto"/>
            </w:tcBorders>
            <w:shd w:val="clear" w:color="auto" w:fill="auto"/>
          </w:tcPr>
          <w:p w:rsidR="006D3A20" w:rsidRPr="00542FB8" w:rsidRDefault="006D3A20" w:rsidP="009A282B">
            <w:pPr>
              <w:spacing w:before="120" w:after="120"/>
              <w:ind w:left="720" w:hanging="720"/>
              <w:rPr>
                <w:b/>
                <w:color w:val="000000"/>
                <w:szCs w:val="18"/>
              </w:rPr>
            </w:pPr>
            <w:r w:rsidRPr="00542FB8">
              <w:rPr>
                <w:b/>
                <w:color w:val="000000"/>
                <w:szCs w:val="18"/>
              </w:rPr>
              <w:t>2.</w:t>
            </w:r>
            <w:r w:rsidRPr="00542FB8">
              <w:rPr>
                <w:b/>
                <w:color w:val="000000"/>
                <w:szCs w:val="18"/>
              </w:rPr>
              <w:tab/>
              <w:t>Source(s) where the Import Licensing Procedure(s) has(</w:t>
            </w:r>
            <w:proofErr w:type="spellStart"/>
            <w:r w:rsidRPr="00542FB8">
              <w:rPr>
                <w:b/>
                <w:color w:val="000000"/>
                <w:szCs w:val="18"/>
              </w:rPr>
              <w:t>ve</w:t>
            </w:r>
            <w:proofErr w:type="spellEnd"/>
            <w:r w:rsidRPr="00542FB8">
              <w:rPr>
                <w:b/>
                <w:color w:val="000000"/>
                <w:szCs w:val="18"/>
              </w:rPr>
              <w:t>) been published (Official Gazette, publication, website, etc.):</w:t>
            </w:r>
          </w:p>
          <w:p w:rsidR="006D3A20" w:rsidRPr="00542FB8" w:rsidRDefault="009318E5" w:rsidP="009A282B">
            <w:pPr>
              <w:spacing w:before="120" w:after="120"/>
              <w:ind w:left="720"/>
              <w:rPr>
                <w:b/>
                <w:color w:val="000000"/>
                <w:szCs w:val="18"/>
              </w:rPr>
            </w:pPr>
            <w:proofErr w:type="spellStart"/>
            <w:r>
              <w:t>Reshumot</w:t>
            </w:r>
            <w:proofErr w:type="spellEnd"/>
            <w:r>
              <w:t xml:space="preserve">­ the Official Gazette, </w:t>
            </w:r>
            <w:hyperlink r:id="rId8">
              <w:r>
                <w:rPr>
                  <w:color w:val="0000FF"/>
                  <w:u w:val="single" w:color="0000FF"/>
                </w:rPr>
                <w:t>http://www.jus</w:t>
              </w:r>
              <w:bookmarkStart w:id="0" w:name="_GoBack"/>
              <w:bookmarkEnd w:id="0"/>
              <w:r>
                <w:rPr>
                  <w:color w:val="0000FF"/>
                  <w:u w:val="single" w:color="0000FF"/>
                </w:rPr>
                <w:t>tice.gov.il./MOJHeb/Reshumot/</w:t>
              </w:r>
            </w:hyperlink>
          </w:p>
        </w:tc>
      </w:tr>
      <w:tr w:rsidR="006D3A20" w:rsidRPr="00542FB8" w:rsidTr="001A28F7">
        <w:trPr>
          <w:cantSplit/>
          <w:jc w:val="center"/>
        </w:trPr>
        <w:tc>
          <w:tcPr>
            <w:tcW w:w="9026" w:type="dxa"/>
            <w:tcBorders>
              <w:top w:val="single" w:sz="6" w:space="0" w:color="auto"/>
              <w:bottom w:val="single" w:sz="6" w:space="0" w:color="auto"/>
            </w:tcBorders>
            <w:shd w:val="clear" w:color="auto" w:fill="auto"/>
          </w:tcPr>
          <w:p w:rsidR="00FE1253" w:rsidRDefault="006D3A20" w:rsidP="00FE1253">
            <w:pPr>
              <w:spacing w:before="120" w:after="120"/>
              <w:ind w:left="720" w:hanging="720"/>
            </w:pPr>
            <w:r w:rsidRPr="00542FB8">
              <w:rPr>
                <w:b/>
                <w:color w:val="000000"/>
                <w:szCs w:val="18"/>
              </w:rPr>
              <w:t>3.</w:t>
            </w:r>
            <w:r w:rsidRPr="00542FB8">
              <w:rPr>
                <w:b/>
                <w:color w:val="000000"/>
                <w:szCs w:val="18"/>
              </w:rPr>
              <w:tab/>
              <w:t xml:space="preserve">Date of </w:t>
            </w:r>
            <w:proofErr w:type="spellStart"/>
            <w:r w:rsidRPr="00542FB8">
              <w:rPr>
                <w:b/>
                <w:color w:val="000000"/>
                <w:szCs w:val="18"/>
              </w:rPr>
              <w:t>publication:</w:t>
            </w:r>
            <w:r w:rsidRPr="00542FB8">
              <w:rPr>
                <w:szCs w:val="18"/>
                <w:vertAlign w:val="superscript"/>
              </w:rPr>
              <w:t>i</w:t>
            </w:r>
            <w:proofErr w:type="spellEnd"/>
            <w:r w:rsidRPr="00542FB8">
              <w:rPr>
                <w:szCs w:val="18"/>
                <w:vertAlign w:val="superscript"/>
              </w:rPr>
              <w:t xml:space="preserve"> </w:t>
            </w:r>
            <w:r w:rsidR="00906122">
              <w:rPr>
                <w:szCs w:val="18"/>
                <w:vertAlign w:val="superscript"/>
              </w:rPr>
              <w:t xml:space="preserve"> </w:t>
            </w:r>
          </w:p>
          <w:p w:rsidR="009318E5" w:rsidRPr="00E04837" w:rsidRDefault="006306FC" w:rsidP="006306FC">
            <w:pPr>
              <w:spacing w:before="120" w:after="120"/>
              <w:ind w:left="720"/>
            </w:pPr>
            <w:r>
              <w:t xml:space="preserve">1. </w:t>
            </w:r>
            <w:r w:rsidR="009318E5" w:rsidRPr="00E04837">
              <w:t>Free Import Order 5774­2014 ­  20/1/2014</w:t>
            </w:r>
          </w:p>
          <w:p w:rsidR="009318E5" w:rsidRPr="00E04837" w:rsidRDefault="006306FC" w:rsidP="006306FC">
            <w:pPr>
              <w:spacing w:before="120" w:after="120"/>
              <w:ind w:left="720"/>
            </w:pPr>
            <w:r>
              <w:t xml:space="preserve">2. </w:t>
            </w:r>
            <w:r w:rsidR="009318E5" w:rsidRPr="00E04837">
              <w:t xml:space="preserve">Free Import Order 5774 - 2014 </w:t>
            </w:r>
            <w:r w:rsidR="009318E5">
              <w:t>(1</w:t>
            </w:r>
            <w:r w:rsidR="009318E5" w:rsidRPr="009318E5">
              <w:t>st</w:t>
            </w:r>
            <w:r w:rsidR="009318E5" w:rsidRPr="00E04837">
              <w:t xml:space="preserve"> Amendment) – 30/7/2014</w:t>
            </w:r>
          </w:p>
          <w:p w:rsidR="009318E5" w:rsidRPr="00E04837" w:rsidRDefault="006306FC" w:rsidP="006306FC">
            <w:pPr>
              <w:spacing w:before="120" w:after="120"/>
              <w:ind w:left="720"/>
            </w:pPr>
            <w:r>
              <w:t xml:space="preserve">3. </w:t>
            </w:r>
            <w:r w:rsidR="009318E5" w:rsidRPr="00E04837">
              <w:t>Free Import Order (1</w:t>
            </w:r>
            <w:r w:rsidR="009318E5" w:rsidRPr="009318E5">
              <w:t>st</w:t>
            </w:r>
            <w:r w:rsidR="009318E5">
              <w:t xml:space="preserve"> Amendment) 5776–2015 -</w:t>
            </w:r>
            <w:r w:rsidR="009318E5" w:rsidRPr="00E04837">
              <w:t xml:space="preserve"> 31/3/2015</w:t>
            </w:r>
          </w:p>
          <w:p w:rsidR="009318E5" w:rsidRPr="00E04837" w:rsidRDefault="006306FC" w:rsidP="006306FC">
            <w:pPr>
              <w:spacing w:before="120" w:after="120"/>
              <w:ind w:left="720"/>
            </w:pPr>
            <w:r>
              <w:t xml:space="preserve">4. </w:t>
            </w:r>
            <w:r w:rsidR="009318E5" w:rsidRPr="00E04837">
              <w:t>Free Import Order (2</w:t>
            </w:r>
            <w:r w:rsidR="009318E5" w:rsidRPr="009318E5">
              <w:t>nd</w:t>
            </w:r>
            <w:r w:rsidR="009318E5" w:rsidRPr="00E04837">
              <w:t xml:space="preserve"> </w:t>
            </w:r>
            <w:r w:rsidR="009318E5">
              <w:t xml:space="preserve"> Amendment) 5775–</w:t>
            </w:r>
            <w:r w:rsidR="009318E5" w:rsidRPr="00E04837">
              <w:t>2015 -  27/10/2015</w:t>
            </w:r>
          </w:p>
          <w:p w:rsidR="009318E5" w:rsidRPr="00E04837" w:rsidRDefault="006306FC" w:rsidP="006306FC">
            <w:pPr>
              <w:spacing w:before="120" w:after="120"/>
              <w:ind w:left="720"/>
            </w:pPr>
            <w:r>
              <w:t xml:space="preserve">5. </w:t>
            </w:r>
            <w:r w:rsidR="009318E5" w:rsidRPr="00E04837">
              <w:t>Free Import Order (1</w:t>
            </w:r>
            <w:r w:rsidR="009318E5" w:rsidRPr="009318E5">
              <w:t>st</w:t>
            </w:r>
            <w:r w:rsidR="009318E5" w:rsidRPr="00E04837">
              <w:t xml:space="preserve"> Amendment) 5776­2016 – 13/4/2016</w:t>
            </w:r>
          </w:p>
          <w:p w:rsidR="009318E5" w:rsidRPr="00E04837" w:rsidRDefault="006306FC" w:rsidP="006306FC">
            <w:pPr>
              <w:spacing w:before="120" w:after="120"/>
              <w:ind w:left="720"/>
            </w:pPr>
            <w:r>
              <w:t xml:space="preserve">6. </w:t>
            </w:r>
            <w:r w:rsidR="009318E5" w:rsidRPr="00E04837">
              <w:t>Free Import Order (2</w:t>
            </w:r>
            <w:r w:rsidR="009318E5" w:rsidRPr="009318E5">
              <w:t>nd</w:t>
            </w:r>
            <w:r w:rsidR="009318E5" w:rsidRPr="00E04837">
              <w:t xml:space="preserve"> Amendment) 5776­2016 - 23/8/2016</w:t>
            </w:r>
          </w:p>
          <w:p w:rsidR="009318E5" w:rsidRPr="00E04837" w:rsidRDefault="006306FC" w:rsidP="006306FC">
            <w:pPr>
              <w:spacing w:before="120" w:after="120"/>
              <w:ind w:left="720"/>
            </w:pPr>
            <w:r>
              <w:t xml:space="preserve">7. </w:t>
            </w:r>
            <w:r w:rsidR="009318E5" w:rsidRPr="00E04837">
              <w:t>Free Import Order (</w:t>
            </w:r>
            <w:r w:rsidR="009318E5">
              <w:t>1</w:t>
            </w:r>
            <w:r w:rsidR="009318E5" w:rsidRPr="009318E5">
              <w:t>st</w:t>
            </w:r>
            <w:r w:rsidR="009318E5" w:rsidRPr="00E04837">
              <w:t xml:space="preserve">  Amendment) 5777­2017</w:t>
            </w:r>
            <w:r w:rsidR="009318E5">
              <w:t xml:space="preserve"> </w:t>
            </w:r>
            <w:r w:rsidR="009318E5" w:rsidRPr="00E04837">
              <w:t>- 9/1/2017</w:t>
            </w:r>
          </w:p>
          <w:p w:rsidR="009318E5" w:rsidRPr="00E04837" w:rsidRDefault="006306FC" w:rsidP="006306FC">
            <w:pPr>
              <w:spacing w:before="120" w:after="120"/>
              <w:ind w:left="720"/>
            </w:pPr>
            <w:r>
              <w:t xml:space="preserve">8. </w:t>
            </w:r>
            <w:r w:rsidR="009318E5" w:rsidRPr="00E04837">
              <w:t>Free Import Order (2</w:t>
            </w:r>
            <w:r w:rsidR="009318E5" w:rsidRPr="009318E5">
              <w:t>nd</w:t>
            </w:r>
            <w:r w:rsidR="009318E5" w:rsidRPr="00E04837">
              <w:t xml:space="preserve">  Amendment) 5777­2017</w:t>
            </w:r>
            <w:r w:rsidR="009318E5">
              <w:t xml:space="preserve"> </w:t>
            </w:r>
            <w:r w:rsidR="009318E5" w:rsidRPr="00E04837">
              <w:t>-</w:t>
            </w:r>
            <w:r w:rsidR="009318E5">
              <w:t xml:space="preserve"> </w:t>
            </w:r>
            <w:r w:rsidR="009318E5" w:rsidRPr="00E04837">
              <w:t>6/4/2017</w:t>
            </w:r>
          </w:p>
          <w:p w:rsidR="009318E5" w:rsidRPr="00E04837" w:rsidRDefault="006306FC" w:rsidP="006306FC">
            <w:pPr>
              <w:spacing w:before="120" w:after="120"/>
              <w:ind w:left="720"/>
            </w:pPr>
            <w:r>
              <w:t xml:space="preserve">9. </w:t>
            </w:r>
            <w:r w:rsidR="009318E5" w:rsidRPr="00E04837">
              <w:t xml:space="preserve">Import and Export Order (Import vehicles through </w:t>
            </w:r>
            <w:proofErr w:type="spellStart"/>
            <w:r w:rsidR="009318E5" w:rsidRPr="00E04837">
              <w:t>Eilat</w:t>
            </w:r>
            <w:proofErr w:type="spellEnd"/>
            <w:r w:rsidR="009318E5" w:rsidRPr="00E04837">
              <w:t xml:space="preserve"> port) 5773–2013 -  25/7/2013 - 31/01/2016 </w:t>
            </w:r>
          </w:p>
          <w:p w:rsidR="009318E5" w:rsidRPr="00E04837" w:rsidRDefault="006306FC" w:rsidP="006306FC">
            <w:pPr>
              <w:spacing w:before="120" w:after="120"/>
              <w:ind w:left="720"/>
            </w:pPr>
            <w:r>
              <w:t xml:space="preserve">10. </w:t>
            </w:r>
            <w:r w:rsidR="009318E5" w:rsidRPr="00E04837">
              <w:t xml:space="preserve">Import and Export Order (Prohibition on </w:t>
            </w:r>
            <w:r w:rsidR="009318E5">
              <w:t>i</w:t>
            </w:r>
            <w:r w:rsidR="009318E5" w:rsidRPr="00E04837">
              <w:t xml:space="preserve">mport of </w:t>
            </w:r>
            <w:proofErr w:type="gramStart"/>
            <w:r w:rsidR="009318E5" w:rsidRPr="00E04837">
              <w:t>fireworks)(</w:t>
            </w:r>
            <w:proofErr w:type="gramEnd"/>
            <w:r w:rsidR="009318E5" w:rsidRPr="00E04837">
              <w:t>Temporary Order) 5774 – 2014 23/11/2014 expired in 30/6/2015.</w:t>
            </w:r>
          </w:p>
          <w:p w:rsidR="009318E5" w:rsidRPr="00E04837" w:rsidRDefault="009318E5" w:rsidP="006306FC">
            <w:pPr>
              <w:spacing w:before="120" w:after="120"/>
              <w:ind w:left="720"/>
            </w:pPr>
            <w:r w:rsidRPr="00E04837">
              <w:t xml:space="preserve">Import and Export Order (Prohibition on </w:t>
            </w:r>
            <w:r>
              <w:t>i</w:t>
            </w:r>
            <w:r w:rsidRPr="00E04837">
              <w:t>mport of fireworks) 5776 – 2015  -  1/12/2015</w:t>
            </w:r>
          </w:p>
          <w:p w:rsidR="006D3A20" w:rsidRDefault="006D3A20" w:rsidP="009318E5">
            <w:pPr>
              <w:spacing w:before="120" w:after="120"/>
              <w:ind w:left="720"/>
              <w:rPr>
                <w:b/>
                <w:color w:val="000000"/>
                <w:szCs w:val="18"/>
              </w:rPr>
            </w:pPr>
            <w:r w:rsidRPr="00542FB8">
              <w:rPr>
                <w:b/>
                <w:color w:val="000000"/>
                <w:szCs w:val="18"/>
              </w:rPr>
              <w:t xml:space="preserve">Effective date of requirement:  </w:t>
            </w:r>
          </w:p>
          <w:p w:rsidR="009318E5" w:rsidRPr="00462681" w:rsidRDefault="006306FC" w:rsidP="006306FC">
            <w:pPr>
              <w:spacing w:before="120" w:after="120"/>
              <w:ind w:left="720"/>
            </w:pPr>
            <w:r>
              <w:t xml:space="preserve">1. </w:t>
            </w:r>
            <w:r w:rsidR="009318E5" w:rsidRPr="00462681">
              <w:t>The Free Import Order 5774­2014 came into force at the date of its publication (20/01/2014) except for:</w:t>
            </w:r>
          </w:p>
          <w:p w:rsidR="009318E5" w:rsidRPr="00462681" w:rsidRDefault="009318E5" w:rsidP="009318E5">
            <w:pPr>
              <w:pStyle w:val="TableParagraph"/>
              <w:spacing w:before="120"/>
              <w:ind w:left="1134" w:right="-15" w:hanging="1134"/>
              <w:rPr>
                <w:rFonts w:eastAsia="Calibri" w:cs="Times New Roman"/>
                <w:sz w:val="18"/>
                <w:lang w:val="en-GB"/>
              </w:rPr>
            </w:pPr>
            <w:r>
              <w:rPr>
                <w:rFonts w:eastAsia="Calibri" w:cs="Times New Roman"/>
                <w:sz w:val="18"/>
                <w:lang w:val="en-GB"/>
              </w:rPr>
              <w:tab/>
            </w:r>
            <w:r w:rsidRPr="00462681">
              <w:rPr>
                <w:rFonts w:eastAsia="Calibri" w:cs="Times New Roman"/>
                <w:sz w:val="18"/>
                <w:lang w:val="en-GB"/>
              </w:rPr>
              <w:t xml:space="preserve">(a) </w:t>
            </w:r>
            <w:r>
              <w:rPr>
                <w:rFonts w:eastAsia="Calibri" w:cs="Times New Roman"/>
                <w:sz w:val="18"/>
                <w:lang w:val="en-GB"/>
              </w:rPr>
              <w:tab/>
            </w:r>
            <w:r w:rsidRPr="00462681">
              <w:rPr>
                <w:rFonts w:eastAsia="Calibri" w:cs="Times New Roman"/>
                <w:sz w:val="18"/>
                <w:lang w:val="en-GB"/>
              </w:rPr>
              <w:t xml:space="preserve">The following provisions came into force 30 days after the day of its </w:t>
            </w:r>
            <w:r>
              <w:rPr>
                <w:rFonts w:eastAsia="Calibri" w:cs="Times New Roman"/>
                <w:sz w:val="18"/>
                <w:lang w:val="en-GB"/>
              </w:rPr>
              <w:tab/>
            </w:r>
            <w:r w:rsidRPr="00462681">
              <w:rPr>
                <w:rFonts w:eastAsia="Calibri" w:cs="Times New Roman"/>
                <w:sz w:val="18"/>
                <w:lang w:val="en-GB"/>
              </w:rPr>
              <w:t>publication (</w:t>
            </w:r>
            <w:r>
              <w:rPr>
                <w:rFonts w:eastAsia="Calibri" w:cs="Times New Roman"/>
                <w:sz w:val="18"/>
                <w:lang w:val="en-GB"/>
              </w:rPr>
              <w:tab/>
            </w:r>
            <w:r w:rsidRPr="00462681">
              <w:rPr>
                <w:rFonts w:eastAsia="Calibri" w:cs="Times New Roman"/>
                <w:sz w:val="18"/>
                <w:lang w:val="en-GB"/>
              </w:rPr>
              <w:t>20/02/2014):</w:t>
            </w:r>
          </w:p>
          <w:p w:rsidR="009318E5" w:rsidRPr="00542FB8" w:rsidRDefault="009318E5" w:rsidP="009318E5">
            <w:pPr>
              <w:tabs>
                <w:tab w:val="left" w:pos="1730"/>
              </w:tabs>
              <w:spacing w:before="120" w:after="120"/>
              <w:ind w:left="2268" w:hanging="1548"/>
              <w:rPr>
                <w:b/>
                <w:color w:val="000000"/>
                <w:szCs w:val="18"/>
              </w:rPr>
            </w:pPr>
            <w:r>
              <w:tab/>
              <w:t>(</w:t>
            </w:r>
            <w:proofErr w:type="spellStart"/>
            <w:r>
              <w:t>i</w:t>
            </w:r>
            <w:proofErr w:type="spellEnd"/>
            <w:r>
              <w:t xml:space="preserve">) </w:t>
            </w:r>
            <w:r>
              <w:tab/>
            </w:r>
            <w:r w:rsidRPr="00462681">
              <w:t>The provisions in the First Schedule regarding HS products 84.27.1011, 84.27.1019, 84.27.1090, 84.27.2011, 84.27.2019, 84.27.2090, 84.27.9000, 84.30, 84.79.1090, 85.13, 85.26, 85.43, 90.15 and 96.08.</w:t>
            </w:r>
          </w:p>
        </w:tc>
      </w:tr>
      <w:tr w:rsidR="009318E5" w:rsidRPr="00542FB8" w:rsidTr="00485217">
        <w:trPr>
          <w:cantSplit/>
          <w:jc w:val="center"/>
        </w:trPr>
        <w:tc>
          <w:tcPr>
            <w:tcW w:w="9026" w:type="dxa"/>
            <w:tcBorders>
              <w:top w:val="single" w:sz="6" w:space="0" w:color="auto"/>
              <w:bottom w:val="nil"/>
            </w:tcBorders>
            <w:shd w:val="clear" w:color="auto" w:fill="auto"/>
          </w:tcPr>
          <w:p w:rsidR="009318E5" w:rsidRDefault="009318E5" w:rsidP="009318E5">
            <w:pPr>
              <w:tabs>
                <w:tab w:val="left" w:pos="1730"/>
              </w:tabs>
              <w:spacing w:before="120" w:after="120"/>
              <w:ind w:left="2268" w:hanging="1548"/>
            </w:pPr>
            <w:r>
              <w:lastRenderedPageBreak/>
              <w:tab/>
              <w:t xml:space="preserve">(ii) </w:t>
            </w:r>
            <w:r>
              <w:tab/>
              <w:t xml:space="preserve">The provisions in the Second Schedule regarding HS products 22.08 Section beginning with the words “except of homeopathic products", 22.08.9090, 36.04.1090, 40.10, 40.13.1000, 68.07, 73.23.9000, ­ Section beginning with the words "tableware or kitchenware" to the words "polymer or </w:t>
            </w:r>
            <w:proofErr w:type="spellStart"/>
            <w:r>
              <w:t>elastom</w:t>
            </w:r>
            <w:proofErr w:type="spellEnd"/>
            <w:r>
              <w:t xml:space="preserve">", 84, 84.09, 84.14.8011, 84.14.8019, 84.18.6960.84.21, 85, 85.17, 85.17.6000, 85.41.4000, 90.13.2000, 90.18.9090. </w:t>
            </w:r>
          </w:p>
          <w:p w:rsidR="009318E5" w:rsidRPr="009318E5" w:rsidRDefault="009318E5" w:rsidP="009318E5">
            <w:pPr>
              <w:pStyle w:val="TableParagraph"/>
              <w:spacing w:before="120"/>
              <w:ind w:left="1134" w:right="-15" w:hanging="1134"/>
              <w:jc w:val="both"/>
              <w:rPr>
                <w:rFonts w:eastAsia="Calibri" w:cs="Times New Roman"/>
                <w:sz w:val="18"/>
                <w:lang w:val="en-GB"/>
              </w:rPr>
            </w:pPr>
            <w:r>
              <w:rPr>
                <w:sz w:val="18"/>
              </w:rPr>
              <w:tab/>
              <w:t>(b)</w:t>
            </w:r>
            <w:r>
              <w:rPr>
                <w:sz w:val="18"/>
              </w:rPr>
              <w:tab/>
              <w:t xml:space="preserve">The </w:t>
            </w:r>
            <w:r w:rsidRPr="009318E5">
              <w:rPr>
                <w:rFonts w:eastAsia="Calibri" w:cs="Times New Roman"/>
                <w:sz w:val="18"/>
                <w:lang w:val="en-GB"/>
              </w:rPr>
              <w:t xml:space="preserve">provisions in the Second Schedule regarding HS product 85.41.4000. </w:t>
            </w:r>
            <w:r>
              <w:rPr>
                <w:rFonts w:eastAsia="Calibri" w:cs="Times New Roman"/>
                <w:sz w:val="18"/>
                <w:lang w:val="en-GB"/>
              </w:rPr>
              <w:tab/>
            </w:r>
            <w:r w:rsidRPr="009318E5">
              <w:rPr>
                <w:rFonts w:eastAsia="Calibri" w:cs="Times New Roman"/>
                <w:sz w:val="18"/>
                <w:lang w:val="en-GB"/>
              </w:rPr>
              <w:t>came into force 60 days after the day of its publication (20/03/2014).</w:t>
            </w:r>
          </w:p>
          <w:p w:rsidR="009318E5" w:rsidRDefault="009318E5" w:rsidP="009318E5">
            <w:pPr>
              <w:pStyle w:val="TableParagraph"/>
              <w:tabs>
                <w:tab w:val="left" w:pos="1147"/>
              </w:tabs>
              <w:spacing w:before="120"/>
              <w:ind w:left="1701" w:right="-15" w:hanging="1701"/>
              <w:jc w:val="both"/>
              <w:rPr>
                <w:sz w:val="18"/>
              </w:rPr>
            </w:pPr>
            <w:r>
              <w:rPr>
                <w:rFonts w:eastAsia="Calibri" w:cs="Times New Roman"/>
                <w:sz w:val="18"/>
                <w:lang w:val="en-GB"/>
              </w:rPr>
              <w:tab/>
              <w:t>(c)</w:t>
            </w:r>
            <w:r>
              <w:rPr>
                <w:rFonts w:eastAsia="Calibri" w:cs="Times New Roman"/>
                <w:sz w:val="18"/>
                <w:lang w:val="en-GB"/>
              </w:rPr>
              <w:tab/>
            </w:r>
            <w:r w:rsidRPr="009318E5">
              <w:rPr>
                <w:rFonts w:eastAsia="Calibri" w:cs="Times New Roman"/>
                <w:sz w:val="18"/>
                <w:lang w:val="en-GB"/>
              </w:rPr>
              <w:t xml:space="preserve">The </w:t>
            </w:r>
            <w:r w:rsidRPr="009318E5">
              <w:rPr>
                <w:sz w:val="18"/>
              </w:rPr>
              <w:t>provisions</w:t>
            </w:r>
            <w:r w:rsidRPr="009318E5">
              <w:rPr>
                <w:rFonts w:eastAsia="Calibri" w:cs="Times New Roman"/>
                <w:sz w:val="18"/>
                <w:lang w:val="en-GB"/>
              </w:rPr>
              <w:t xml:space="preserve"> in the Second Schedule regarding HS product 70.13, 90.19.2000 came into force</w:t>
            </w:r>
            <w:r>
              <w:rPr>
                <w:spacing w:val="2"/>
                <w:sz w:val="18"/>
              </w:rPr>
              <w:t xml:space="preserve"> 90 </w:t>
            </w:r>
            <w:r>
              <w:rPr>
                <w:spacing w:val="-4"/>
                <w:sz w:val="18"/>
              </w:rPr>
              <w:t xml:space="preserve">days </w:t>
            </w:r>
            <w:r>
              <w:rPr>
                <w:sz w:val="18"/>
              </w:rPr>
              <w:t xml:space="preserve">after </w:t>
            </w:r>
            <w:r>
              <w:rPr>
                <w:spacing w:val="3"/>
                <w:sz w:val="18"/>
              </w:rPr>
              <w:t xml:space="preserve">the </w:t>
            </w:r>
            <w:r>
              <w:rPr>
                <w:spacing w:val="-4"/>
                <w:sz w:val="18"/>
              </w:rPr>
              <w:t xml:space="preserve">day </w:t>
            </w:r>
            <w:r>
              <w:rPr>
                <w:spacing w:val="-3"/>
                <w:sz w:val="18"/>
              </w:rPr>
              <w:t xml:space="preserve">of </w:t>
            </w:r>
            <w:r>
              <w:rPr>
                <w:sz w:val="18"/>
              </w:rPr>
              <w:t xml:space="preserve">its </w:t>
            </w:r>
            <w:r>
              <w:rPr>
                <w:spacing w:val="-4"/>
                <w:sz w:val="18"/>
              </w:rPr>
              <w:t xml:space="preserve">publication </w:t>
            </w:r>
            <w:r>
              <w:rPr>
                <w:sz w:val="18"/>
              </w:rPr>
              <w:t>(20/04/2014).</w:t>
            </w:r>
          </w:p>
          <w:p w:rsidR="006306FC" w:rsidRDefault="006306FC" w:rsidP="006306FC">
            <w:pPr>
              <w:spacing w:before="120" w:after="120"/>
              <w:ind w:left="720"/>
            </w:pPr>
            <w:r w:rsidRPr="006306FC">
              <w:rPr>
                <w:color w:val="000000"/>
                <w:szCs w:val="18"/>
                <w:lang w:val="en-US"/>
              </w:rPr>
              <w:t>2.</w:t>
            </w:r>
            <w:r w:rsidRPr="006306FC">
              <w:rPr>
                <w:b/>
                <w:color w:val="000000"/>
                <w:szCs w:val="18"/>
                <w:lang w:val="en-US"/>
              </w:rPr>
              <w:t xml:space="preserve"> </w:t>
            </w:r>
            <w:r w:rsidRPr="00462681">
              <w:t>Free Import Order 5774 - 2014 (1</w:t>
            </w:r>
            <w:r w:rsidRPr="006306FC">
              <w:rPr>
                <w:vertAlign w:val="superscript"/>
              </w:rPr>
              <w:t>st</w:t>
            </w:r>
            <w:r w:rsidRPr="00462681">
              <w:t xml:space="preserve"> Amendment) came into force at the date of its publication</w:t>
            </w:r>
            <w:r w:rsidR="00690843">
              <w:t xml:space="preserve"> </w:t>
            </w:r>
            <w:r w:rsidRPr="00462681">
              <w:t xml:space="preserve">(30/7/2014) except for the provisions in the second schedule regarding HS products: 39.23, 84.18.6962, 84.18.6990 and 94.03 came into force 60 days after its publication (30/9/2014). </w:t>
            </w:r>
          </w:p>
          <w:p w:rsidR="006306FC" w:rsidRPr="00462681" w:rsidRDefault="006306FC" w:rsidP="006306FC">
            <w:pPr>
              <w:spacing w:before="120" w:after="120"/>
              <w:ind w:left="720"/>
            </w:pPr>
            <w:r>
              <w:t xml:space="preserve">3. </w:t>
            </w:r>
            <w:r w:rsidRPr="00462681">
              <w:t>Free Import Order (1</w:t>
            </w:r>
            <w:r w:rsidRPr="006306FC">
              <w:t>st</w:t>
            </w:r>
            <w:r w:rsidRPr="00462681">
              <w:t xml:space="preserve">  Amendment) 5776 – 2015 came into force at the date of its publication (31/3/2015) except for:</w:t>
            </w:r>
          </w:p>
          <w:p w:rsidR="006306FC" w:rsidRPr="006306FC" w:rsidRDefault="006306FC" w:rsidP="006306FC">
            <w:pPr>
              <w:pStyle w:val="TableParagraph"/>
              <w:tabs>
                <w:tab w:val="left" w:pos="1163"/>
              </w:tabs>
              <w:spacing w:before="120"/>
              <w:ind w:left="1701" w:right="-15" w:hanging="1701"/>
              <w:jc w:val="both"/>
              <w:rPr>
                <w:sz w:val="18"/>
                <w:szCs w:val="18"/>
              </w:rPr>
            </w:pPr>
            <w:r>
              <w:tab/>
            </w:r>
            <w:r w:rsidRPr="006306FC">
              <w:rPr>
                <w:sz w:val="18"/>
                <w:szCs w:val="18"/>
              </w:rPr>
              <w:t xml:space="preserve">(a) </w:t>
            </w:r>
            <w:r w:rsidRPr="006306FC">
              <w:rPr>
                <w:sz w:val="18"/>
                <w:szCs w:val="18"/>
              </w:rPr>
              <w:tab/>
            </w:r>
            <w:r w:rsidRPr="006306FC">
              <w:rPr>
                <w:sz w:val="18"/>
                <w:szCs w:val="18"/>
                <w:lang w:val="en-GB"/>
              </w:rPr>
              <w:t xml:space="preserve">The provisions in the First Schedule regarding HS products </w:t>
            </w:r>
            <w:r w:rsidRPr="00462681">
              <w:rPr>
                <w:sz w:val="18"/>
              </w:rPr>
              <w:t>93.01, 93.05.9100 and 93.06.9090 came into force 60 days after its publication (31/05/2015)</w:t>
            </w:r>
            <w:r w:rsidRPr="006306FC">
              <w:rPr>
                <w:sz w:val="18"/>
                <w:szCs w:val="18"/>
                <w:lang w:val="en-GB"/>
              </w:rPr>
              <w:t>.</w:t>
            </w:r>
          </w:p>
          <w:p w:rsidR="006306FC" w:rsidRDefault="006306FC" w:rsidP="006306FC">
            <w:pPr>
              <w:pStyle w:val="TableParagraph"/>
              <w:tabs>
                <w:tab w:val="left" w:pos="1147"/>
              </w:tabs>
              <w:spacing w:before="120"/>
              <w:ind w:left="1701" w:right="-15" w:hanging="1701"/>
              <w:jc w:val="both"/>
              <w:rPr>
                <w:sz w:val="18"/>
              </w:rPr>
            </w:pPr>
            <w:r>
              <w:rPr>
                <w:sz w:val="18"/>
              </w:rPr>
              <w:tab/>
              <w:t xml:space="preserve">(b) </w:t>
            </w:r>
            <w:r>
              <w:tab/>
            </w:r>
            <w:r>
              <w:rPr>
                <w:sz w:val="18"/>
              </w:rPr>
              <w:t xml:space="preserve">The provisions in the Second Schedule regarding HS products </w:t>
            </w:r>
            <w:r w:rsidRPr="00462681">
              <w:rPr>
                <w:sz w:val="18"/>
              </w:rPr>
              <w:t>39.24.9000 (toilet bowls), 39.24.9000, 69.10.1000 and 69.10.9000 came into force on 5.3.2015</w:t>
            </w:r>
            <w:r>
              <w:rPr>
                <w:sz w:val="18"/>
              </w:rPr>
              <w:t xml:space="preserve">. </w:t>
            </w:r>
          </w:p>
          <w:p w:rsidR="006306FC" w:rsidRPr="00462681" w:rsidRDefault="006306FC" w:rsidP="006306FC">
            <w:pPr>
              <w:spacing w:before="120" w:after="120"/>
              <w:ind w:left="720"/>
            </w:pPr>
            <w:r>
              <w:t xml:space="preserve">4. </w:t>
            </w:r>
            <w:r w:rsidRPr="00462681">
              <w:t>Free Import Order (2</w:t>
            </w:r>
            <w:r w:rsidRPr="006306FC">
              <w:t>nd</w:t>
            </w:r>
            <w:r w:rsidRPr="00462681">
              <w:t xml:space="preserve">  Amendment) 5775 – 2015 came into force at the </w:t>
            </w:r>
            <w:r w:rsidRPr="006306FC">
              <w:t xml:space="preserve">date </w:t>
            </w:r>
            <w:r w:rsidRPr="00462681">
              <w:t xml:space="preserve">of </w:t>
            </w:r>
            <w:r w:rsidRPr="006306FC">
              <w:t xml:space="preserve">its publication (27/10/2015) </w:t>
            </w:r>
            <w:r w:rsidRPr="00462681">
              <w:t>except for:</w:t>
            </w:r>
          </w:p>
          <w:p w:rsidR="006306FC" w:rsidRPr="006306FC" w:rsidRDefault="006306FC" w:rsidP="006306FC">
            <w:pPr>
              <w:pStyle w:val="TableParagraph"/>
              <w:tabs>
                <w:tab w:val="left" w:pos="1163"/>
              </w:tabs>
              <w:spacing w:before="120"/>
              <w:ind w:left="1701" w:right="-15" w:hanging="1701"/>
              <w:jc w:val="both"/>
              <w:rPr>
                <w:sz w:val="18"/>
                <w:szCs w:val="18"/>
              </w:rPr>
            </w:pPr>
            <w:r>
              <w:rPr>
                <w:sz w:val="18"/>
              </w:rPr>
              <w:tab/>
            </w:r>
            <w:r w:rsidRPr="006306FC">
              <w:rPr>
                <w:sz w:val="18"/>
                <w:szCs w:val="18"/>
              </w:rPr>
              <w:t xml:space="preserve">(a) </w:t>
            </w:r>
            <w:r w:rsidRPr="006306FC">
              <w:rPr>
                <w:sz w:val="18"/>
                <w:szCs w:val="18"/>
              </w:rPr>
              <w:tab/>
            </w:r>
            <w:r w:rsidRPr="006306FC">
              <w:rPr>
                <w:sz w:val="18"/>
                <w:szCs w:val="18"/>
                <w:lang w:val="en-GB"/>
              </w:rPr>
              <w:t xml:space="preserve">The provisions in the First Schedule regarding HS products </w:t>
            </w:r>
            <w:r w:rsidRPr="00462681">
              <w:rPr>
                <w:sz w:val="18"/>
              </w:rPr>
              <w:t>86.06 and the provisions in the second schedule regarding HS product 85.06.1090 came into force 30 days after its publication (27/11/2015)</w:t>
            </w:r>
            <w:r w:rsidRPr="006306FC">
              <w:rPr>
                <w:sz w:val="18"/>
                <w:szCs w:val="18"/>
                <w:lang w:val="en-GB"/>
              </w:rPr>
              <w:t>.</w:t>
            </w:r>
          </w:p>
          <w:p w:rsidR="006306FC" w:rsidRDefault="006306FC" w:rsidP="006306FC">
            <w:pPr>
              <w:pStyle w:val="TableParagraph"/>
              <w:tabs>
                <w:tab w:val="left" w:pos="1147"/>
              </w:tabs>
              <w:spacing w:before="120"/>
              <w:ind w:left="1701" w:right="-15" w:hanging="1701"/>
              <w:jc w:val="both"/>
              <w:rPr>
                <w:sz w:val="18"/>
              </w:rPr>
            </w:pPr>
            <w:r>
              <w:rPr>
                <w:sz w:val="18"/>
              </w:rPr>
              <w:tab/>
              <w:t xml:space="preserve">(b) </w:t>
            </w:r>
            <w:r>
              <w:tab/>
            </w:r>
            <w:r>
              <w:rPr>
                <w:sz w:val="18"/>
              </w:rPr>
              <w:t>The p</w:t>
            </w:r>
            <w:r w:rsidRPr="00462681">
              <w:rPr>
                <w:sz w:val="18"/>
              </w:rPr>
              <w:t>rovisions in the first schedule regarding HS product 86.06 came into force at the date 1.1.2016</w:t>
            </w:r>
            <w:r>
              <w:rPr>
                <w:sz w:val="18"/>
              </w:rPr>
              <w:t xml:space="preserve">. </w:t>
            </w:r>
          </w:p>
          <w:p w:rsidR="006306FC" w:rsidRDefault="006306FC" w:rsidP="006306FC">
            <w:pPr>
              <w:pStyle w:val="TableParagraph"/>
              <w:tabs>
                <w:tab w:val="left" w:pos="1147"/>
              </w:tabs>
              <w:spacing w:before="120"/>
              <w:ind w:left="1701" w:right="-15" w:hanging="1701"/>
              <w:jc w:val="both"/>
              <w:rPr>
                <w:sz w:val="18"/>
              </w:rPr>
            </w:pPr>
            <w:r>
              <w:rPr>
                <w:sz w:val="18"/>
              </w:rPr>
              <w:tab/>
              <w:t xml:space="preserve">(c) </w:t>
            </w:r>
            <w:r>
              <w:tab/>
            </w:r>
            <w:r>
              <w:rPr>
                <w:sz w:val="18"/>
              </w:rPr>
              <w:t>The p</w:t>
            </w:r>
            <w:r w:rsidRPr="00462681">
              <w:rPr>
                <w:sz w:val="18"/>
              </w:rPr>
              <w:t>rovisions in the second schedule regarding HS products: 39.26 and 40.13.2000 came into force 6 months after its publication (27/04/2016)</w:t>
            </w:r>
            <w:r>
              <w:rPr>
                <w:sz w:val="18"/>
              </w:rPr>
              <w:t xml:space="preserve">. </w:t>
            </w:r>
          </w:p>
          <w:p w:rsidR="006306FC" w:rsidRDefault="006306FC" w:rsidP="006306FC">
            <w:pPr>
              <w:spacing w:before="120" w:after="120"/>
              <w:ind w:left="720"/>
            </w:pPr>
            <w:r>
              <w:t xml:space="preserve">5. </w:t>
            </w:r>
            <w:r w:rsidRPr="00462681">
              <w:t>Free Import Order (1st   Amendment) 5776­2016 – came into force at the date of its publication (13/4/2016) except for the provisions in the second schedule regarding HS products: 8.12, 8.14, 9.01, 9.01.1000, 9.02,9.03, 09.10.9910, 10.06.3000, 39.17.3900,39.25.9090, 72.27 and 72.28 came into force 30 days after its publication (13/5/2016</w:t>
            </w:r>
            <w:r>
              <w:t>).</w:t>
            </w:r>
          </w:p>
          <w:p w:rsidR="009318E5" w:rsidRPr="006306FC" w:rsidRDefault="006306FC" w:rsidP="006306FC">
            <w:pPr>
              <w:spacing w:before="120" w:after="120"/>
              <w:ind w:left="720"/>
              <w:rPr>
                <w:b/>
                <w:color w:val="000000"/>
                <w:szCs w:val="18"/>
              </w:rPr>
            </w:pPr>
            <w:r>
              <w:t xml:space="preserve">6. </w:t>
            </w:r>
            <w:r w:rsidRPr="00462681">
              <w:t>Free Import Order (2</w:t>
            </w:r>
            <w:r w:rsidRPr="00462681">
              <w:rPr>
                <w:vertAlign w:val="superscript"/>
              </w:rPr>
              <w:t>nd</w:t>
            </w:r>
            <w:r w:rsidRPr="00462681">
              <w:t xml:space="preserve">   Amendment) 5776­2016  came into force at the date of its publication (23/8/2016) except for the provisions in the first schedule regarding HS products: 85.25, 88.01, 88.02, 89.01, 89.02, 89.03, 89.06, 201, 207, and 212 came into force 30 days after its publication (23/9/2016)</w:t>
            </w:r>
          </w:p>
        </w:tc>
      </w:tr>
      <w:tr w:rsidR="006306FC" w:rsidRPr="00542FB8" w:rsidTr="00485217">
        <w:trPr>
          <w:cantSplit/>
          <w:jc w:val="center"/>
        </w:trPr>
        <w:tc>
          <w:tcPr>
            <w:tcW w:w="9026" w:type="dxa"/>
            <w:tcBorders>
              <w:top w:val="nil"/>
              <w:bottom w:val="single" w:sz="6" w:space="0" w:color="auto"/>
            </w:tcBorders>
            <w:shd w:val="clear" w:color="auto" w:fill="auto"/>
          </w:tcPr>
          <w:p w:rsidR="006306FC" w:rsidRDefault="006306FC" w:rsidP="006306FC">
            <w:pPr>
              <w:spacing w:before="120" w:after="120"/>
              <w:ind w:left="720"/>
            </w:pPr>
            <w:r>
              <w:t xml:space="preserve">7. </w:t>
            </w:r>
            <w:r w:rsidRPr="00462681">
              <w:t>Free Import Order  (1</w:t>
            </w:r>
            <w:r w:rsidRPr="00462681">
              <w:rPr>
                <w:vertAlign w:val="superscript"/>
              </w:rPr>
              <w:t>st</w:t>
            </w:r>
            <w:r w:rsidRPr="00462681">
              <w:t xml:space="preserve"> Amendment) 5777­2017 came into force at the date of its publication (9/1/2017) except for</w:t>
            </w:r>
            <w:r>
              <w:t>:</w:t>
            </w:r>
          </w:p>
          <w:p w:rsidR="002B494C" w:rsidRPr="006306FC" w:rsidRDefault="002B494C" w:rsidP="002B494C">
            <w:pPr>
              <w:pStyle w:val="TableParagraph"/>
              <w:tabs>
                <w:tab w:val="left" w:pos="1163"/>
              </w:tabs>
              <w:spacing w:before="120"/>
              <w:ind w:left="1701" w:right="-15" w:hanging="1701"/>
              <w:jc w:val="both"/>
              <w:rPr>
                <w:sz w:val="18"/>
                <w:szCs w:val="18"/>
              </w:rPr>
            </w:pPr>
            <w:r>
              <w:rPr>
                <w:sz w:val="18"/>
                <w:szCs w:val="18"/>
              </w:rPr>
              <w:tab/>
            </w:r>
            <w:r w:rsidRPr="006306FC">
              <w:rPr>
                <w:sz w:val="18"/>
                <w:szCs w:val="18"/>
              </w:rPr>
              <w:t xml:space="preserve">(a) </w:t>
            </w:r>
            <w:r w:rsidRPr="006306FC">
              <w:rPr>
                <w:sz w:val="18"/>
                <w:szCs w:val="18"/>
              </w:rPr>
              <w:tab/>
            </w:r>
            <w:r w:rsidRPr="006306FC">
              <w:rPr>
                <w:sz w:val="18"/>
                <w:szCs w:val="18"/>
                <w:lang w:val="en-GB"/>
              </w:rPr>
              <w:t xml:space="preserve">The provisions </w:t>
            </w:r>
            <w:r w:rsidRPr="00462681">
              <w:rPr>
                <w:sz w:val="18"/>
              </w:rPr>
              <w:t>in the second schedule regarding HS products 63.02.2900, 63.02.3200, 63.02.3900 and 87.03 came into force 30 days after its publication (09/02/2017</w:t>
            </w:r>
            <w:r>
              <w:rPr>
                <w:sz w:val="18"/>
              </w:rPr>
              <w:t>).</w:t>
            </w:r>
          </w:p>
          <w:p w:rsidR="002B494C" w:rsidRPr="00462681" w:rsidRDefault="002B494C" w:rsidP="001A28F7">
            <w:pPr>
              <w:pStyle w:val="TableParagraph"/>
              <w:tabs>
                <w:tab w:val="left" w:pos="1147"/>
              </w:tabs>
              <w:spacing w:before="120"/>
              <w:ind w:left="1701" w:right="-15" w:hanging="1701"/>
              <w:jc w:val="both"/>
              <w:rPr>
                <w:sz w:val="18"/>
              </w:rPr>
            </w:pPr>
            <w:r>
              <w:rPr>
                <w:sz w:val="18"/>
              </w:rPr>
              <w:tab/>
              <w:t xml:space="preserve">(b) </w:t>
            </w:r>
            <w:r>
              <w:tab/>
            </w:r>
            <w:r>
              <w:rPr>
                <w:sz w:val="18"/>
              </w:rPr>
              <w:t>The p</w:t>
            </w:r>
            <w:r w:rsidRPr="00462681">
              <w:rPr>
                <w:sz w:val="18"/>
              </w:rPr>
              <w:t>rovisions in the first schedule regarding HS product 87.11 and the provisions in the second schedule regarding HS product 87.11 came into force 60 days after its publication (09/03/2017).</w:t>
            </w:r>
          </w:p>
          <w:p w:rsidR="002B494C" w:rsidRDefault="002B494C" w:rsidP="002B494C">
            <w:pPr>
              <w:pStyle w:val="TableParagraph"/>
              <w:tabs>
                <w:tab w:val="left" w:pos="1147"/>
              </w:tabs>
              <w:spacing w:before="120"/>
              <w:ind w:left="1701" w:right="-15" w:hanging="1701"/>
              <w:jc w:val="both"/>
            </w:pPr>
          </w:p>
        </w:tc>
      </w:tr>
      <w:tr w:rsidR="002B494C" w:rsidRPr="00542FB8" w:rsidTr="001A28F7">
        <w:trPr>
          <w:cantSplit/>
          <w:jc w:val="center"/>
        </w:trPr>
        <w:tc>
          <w:tcPr>
            <w:tcW w:w="9026" w:type="dxa"/>
            <w:tcBorders>
              <w:top w:val="single" w:sz="6" w:space="0" w:color="auto"/>
            </w:tcBorders>
            <w:shd w:val="clear" w:color="auto" w:fill="auto"/>
          </w:tcPr>
          <w:p w:rsidR="002B494C" w:rsidRPr="002B494C" w:rsidRDefault="002B494C" w:rsidP="002B494C">
            <w:pPr>
              <w:pStyle w:val="TableParagraph"/>
              <w:tabs>
                <w:tab w:val="left" w:pos="1147"/>
              </w:tabs>
              <w:spacing w:before="120"/>
              <w:ind w:left="1701" w:right="-15" w:hanging="1701"/>
              <w:jc w:val="both"/>
            </w:pPr>
            <w:r>
              <w:rPr>
                <w:sz w:val="18"/>
              </w:rPr>
              <w:lastRenderedPageBreak/>
              <w:tab/>
              <w:t xml:space="preserve">(c) </w:t>
            </w:r>
            <w:r>
              <w:tab/>
            </w:r>
            <w:r>
              <w:rPr>
                <w:sz w:val="18"/>
              </w:rPr>
              <w:t>The p</w:t>
            </w:r>
            <w:r w:rsidRPr="00462681">
              <w:rPr>
                <w:sz w:val="18"/>
              </w:rPr>
              <w:t>rovisions in in the second schedule regarding HS product 39.17.3390, 39.17.3900 and 74.18.2090 came into force 90 days after its publication (09/04/2017).</w:t>
            </w:r>
          </w:p>
          <w:p w:rsidR="002B494C" w:rsidRDefault="001A28F7" w:rsidP="001A28F7">
            <w:pPr>
              <w:spacing w:before="120" w:after="120"/>
              <w:ind w:left="720"/>
            </w:pPr>
            <w:r>
              <w:t>8. F</w:t>
            </w:r>
            <w:r w:rsidRPr="00462681">
              <w:t>ree Import Order (2</w:t>
            </w:r>
            <w:proofErr w:type="gramStart"/>
            <w:r w:rsidRPr="00462681">
              <w:rPr>
                <w:vertAlign w:val="superscript"/>
              </w:rPr>
              <w:t>nd</w:t>
            </w:r>
            <w:r w:rsidRPr="00462681">
              <w:t xml:space="preserve">  Amendment</w:t>
            </w:r>
            <w:proofErr w:type="gramEnd"/>
            <w:r w:rsidRPr="00462681">
              <w:t>) 5777­2017 came into force at the date of its publication (6/4/2017).</w:t>
            </w:r>
          </w:p>
          <w:p w:rsidR="001A28F7" w:rsidRDefault="001A28F7" w:rsidP="001A28F7">
            <w:pPr>
              <w:spacing w:before="120" w:after="120"/>
              <w:ind w:left="720"/>
            </w:pPr>
            <w:r w:rsidRPr="00462681">
              <w:t xml:space="preserve">9. Import and Export Order (Import vehicles through </w:t>
            </w:r>
            <w:proofErr w:type="spellStart"/>
            <w:r w:rsidRPr="00462681">
              <w:t>Eilat</w:t>
            </w:r>
            <w:proofErr w:type="spellEnd"/>
            <w:r w:rsidRPr="00462681">
              <w:t xml:space="preserve"> port) 5773 – 2013 came into force at the date of its publication 25/7/2013 with the expiration date of 31/01/2016</w:t>
            </w:r>
          </w:p>
          <w:p w:rsidR="001A28F7" w:rsidRDefault="001A28F7" w:rsidP="001A28F7">
            <w:pPr>
              <w:spacing w:before="120" w:after="120"/>
              <w:ind w:left="720"/>
            </w:pPr>
            <w:r w:rsidRPr="00462681">
              <w:t>10. Import and Export Order (Prohibition on import of fireworks)(Temporary Order) 5774 – 2014 came into force at the date of its publication (23/11/2014) and expired on 30/6/2015</w:t>
            </w:r>
          </w:p>
          <w:p w:rsidR="001A28F7" w:rsidRPr="001A28F7" w:rsidRDefault="001A28F7" w:rsidP="001A28F7">
            <w:pPr>
              <w:pStyle w:val="TableParagraph"/>
              <w:tabs>
                <w:tab w:val="left" w:pos="996"/>
              </w:tabs>
              <w:spacing w:before="100" w:line="247" w:lineRule="auto"/>
              <w:ind w:right="1"/>
            </w:pPr>
            <w:r w:rsidRPr="00462681">
              <w:rPr>
                <w:sz w:val="18"/>
              </w:rPr>
              <w:t xml:space="preserve">11. Import and Export Order (Prohibition on import of fireworks) 5776 – 2015 came into force at the date of its publication (1/12/2015). </w:t>
            </w:r>
          </w:p>
        </w:tc>
      </w:tr>
      <w:tr w:rsidR="006D3A20" w:rsidRPr="00542FB8" w:rsidTr="0051769E">
        <w:trPr>
          <w:cantSplit/>
          <w:trHeight w:val="3038"/>
          <w:jc w:val="center"/>
        </w:trPr>
        <w:tc>
          <w:tcPr>
            <w:tcW w:w="9026" w:type="dxa"/>
            <w:tcBorders>
              <w:bottom w:val="single" w:sz="6" w:space="0" w:color="auto"/>
            </w:tcBorders>
            <w:shd w:val="clear" w:color="auto" w:fill="auto"/>
          </w:tcPr>
          <w:p w:rsidR="006D3A20" w:rsidRPr="00542FB8" w:rsidRDefault="006D3A20" w:rsidP="009A282B">
            <w:pPr>
              <w:spacing w:before="120" w:after="120"/>
              <w:ind w:left="720" w:hanging="720"/>
              <w:rPr>
                <w:b/>
                <w:color w:val="000000"/>
                <w:szCs w:val="18"/>
              </w:rPr>
            </w:pPr>
            <w:r w:rsidRPr="00542FB8">
              <w:rPr>
                <w:b/>
                <w:color w:val="000000"/>
                <w:szCs w:val="18"/>
              </w:rPr>
              <w:t>4.</w:t>
            </w:r>
            <w:r w:rsidRPr="00542FB8">
              <w:rPr>
                <w:b/>
                <w:color w:val="000000"/>
                <w:szCs w:val="18"/>
              </w:rPr>
              <w:tab/>
              <w:t>Copy(</w:t>
            </w:r>
            <w:proofErr w:type="spellStart"/>
            <w:r w:rsidRPr="00542FB8">
              <w:rPr>
                <w:b/>
                <w:color w:val="000000"/>
                <w:szCs w:val="18"/>
              </w:rPr>
              <w:t>ies</w:t>
            </w:r>
            <w:proofErr w:type="spellEnd"/>
            <w:r w:rsidRPr="00542FB8">
              <w:rPr>
                <w:b/>
                <w:color w:val="000000"/>
                <w:szCs w:val="18"/>
              </w:rPr>
              <w:t>) of publication (in case of Art. 1.4(a))</w:t>
            </w:r>
            <w:r w:rsidR="008D09DA">
              <w:rPr>
                <w:rStyle w:val="EndnoteReference"/>
                <w:b/>
                <w:color w:val="000000"/>
                <w:szCs w:val="18"/>
              </w:rPr>
              <w:endnoteReference w:id="3"/>
            </w:r>
            <w:r w:rsidRPr="00886CDC">
              <w:rPr>
                <w:b/>
                <w:color w:val="000000"/>
                <w:szCs w:val="18"/>
              </w:rPr>
              <w:t xml:space="preserve"> </w:t>
            </w:r>
            <w:r w:rsidRPr="00542FB8">
              <w:rPr>
                <w:b/>
                <w:color w:val="000000"/>
                <w:szCs w:val="18"/>
              </w:rPr>
              <w:t xml:space="preserve"> and/or legislation (in case of Art. 8.2(b))</w:t>
            </w:r>
            <w:r w:rsidRPr="00542FB8">
              <w:rPr>
                <w:rStyle w:val="EndnoteReference"/>
                <w:b/>
                <w:color w:val="000000"/>
                <w:szCs w:val="18"/>
              </w:rPr>
              <w:endnoteReference w:id="4"/>
            </w:r>
            <w:r w:rsidRPr="00542FB8">
              <w:rPr>
                <w:color w:val="000000"/>
                <w:szCs w:val="18"/>
              </w:rPr>
              <w:t xml:space="preserve"> </w:t>
            </w:r>
            <w:r w:rsidRPr="00542FB8">
              <w:rPr>
                <w:b/>
                <w:color w:val="000000"/>
                <w:szCs w:val="18"/>
              </w:rPr>
              <w:t>is(are) available for consultation by Members:</w:t>
            </w:r>
          </w:p>
          <w:p w:rsidR="006D3A20" w:rsidRDefault="006D3A20" w:rsidP="009A282B">
            <w:pPr>
              <w:spacing w:before="120" w:after="120"/>
              <w:ind w:left="720"/>
              <w:rPr>
                <w:i/>
                <w:color w:val="000000"/>
                <w:szCs w:val="18"/>
              </w:rPr>
            </w:pPr>
            <w:r w:rsidRPr="00542FB8">
              <w:rPr>
                <w:b/>
                <w:szCs w:val="18"/>
              </w:rPr>
              <w:t>[]</w:t>
            </w:r>
            <w:r w:rsidRPr="00542FB8">
              <w:rPr>
                <w:b/>
                <w:color w:val="000000"/>
                <w:szCs w:val="18"/>
              </w:rPr>
              <w:t xml:space="preserve"> at the WTO Secretariat (Market Access Division)</w:t>
            </w:r>
            <w:r w:rsidRPr="00542FB8">
              <w:rPr>
                <w:i/>
                <w:color w:val="000000"/>
                <w:szCs w:val="18"/>
              </w:rPr>
              <w:t xml:space="preserve"> (In this case please attach copies of the publication and/or legislation, if possible in electronic format:  Microsoft Word or compatible software)</w:t>
            </w:r>
          </w:p>
          <w:p w:rsidR="006D3A20" w:rsidRPr="00542FB8" w:rsidRDefault="006D3A20" w:rsidP="009A282B">
            <w:pPr>
              <w:spacing w:before="120" w:after="120"/>
              <w:ind w:left="720"/>
              <w:rPr>
                <w:b/>
                <w:color w:val="000000"/>
                <w:szCs w:val="18"/>
              </w:rPr>
            </w:pPr>
            <w:r w:rsidRPr="00542FB8">
              <w:rPr>
                <w:b/>
                <w:color w:val="000000"/>
                <w:szCs w:val="18"/>
              </w:rPr>
              <w:t>and/or</w:t>
            </w:r>
          </w:p>
          <w:p w:rsidR="006D3A20" w:rsidRPr="00542FB8" w:rsidRDefault="006D3A20" w:rsidP="009A282B">
            <w:pPr>
              <w:spacing w:before="120" w:after="120"/>
              <w:ind w:left="720"/>
              <w:rPr>
                <w:b/>
                <w:color w:val="000000"/>
                <w:szCs w:val="18"/>
              </w:rPr>
            </w:pPr>
            <w:r w:rsidRPr="00542FB8">
              <w:rPr>
                <w:b/>
                <w:color w:val="000000"/>
                <w:szCs w:val="18"/>
              </w:rPr>
              <w:t>[X] by request at the following address and fax numbers, and/or e</w:t>
            </w:r>
            <w:r w:rsidRPr="00542FB8">
              <w:rPr>
                <w:b/>
                <w:color w:val="000000"/>
                <w:szCs w:val="18"/>
              </w:rPr>
              <w:noBreakHyphen/>
              <w:t>mail and website:</w:t>
            </w:r>
          </w:p>
          <w:p w:rsidR="006D3A20" w:rsidRPr="00542FB8" w:rsidRDefault="00F02145" w:rsidP="0051769E">
            <w:pPr>
              <w:spacing w:before="120" w:after="120"/>
              <w:ind w:left="720"/>
              <w:rPr>
                <w:rStyle w:val="Hyperlink"/>
                <w:szCs w:val="18"/>
              </w:rPr>
            </w:pPr>
            <w:hyperlink r:id="rId9">
              <w:r w:rsidR="001A28F7">
                <w:rPr>
                  <w:color w:val="0000FF"/>
                  <w:u w:val="single" w:color="0000FF"/>
                </w:rPr>
                <w:t>http://www.justice.gov.il./MOJHeb/Reshumot/</w:t>
              </w:r>
            </w:hyperlink>
            <w:r w:rsidR="001A28F7">
              <w:rPr>
                <w:color w:val="0000FF"/>
              </w:rPr>
              <w:t xml:space="preserve"> </w:t>
            </w:r>
            <w:hyperlink r:id="rId10">
              <w:r w:rsidR="001A28F7">
                <w:rPr>
                  <w:color w:val="0000FF"/>
                  <w:u w:val="single" w:color="0000FF"/>
                </w:rPr>
                <w:t>http://www.moital.gov.il/NR/exeres/977D088A</w:t>
              </w:r>
              <w:r w:rsidR="001A28F7">
                <w:rPr>
                  <w:color w:val="0000FF"/>
                  <w:u w:val="single" w:color="0000FF"/>
                </w:rPr>
                <w:t>­</w:t>
              </w:r>
              <w:r w:rsidR="001A28F7">
                <w:rPr>
                  <w:color w:val="0000FF"/>
                  <w:u w:val="single" w:color="0000FF"/>
                </w:rPr>
                <w:t>D4BC­4EF6­A5AC­06E2B61A9A3C.htm</w:t>
              </w:r>
            </w:hyperlink>
          </w:p>
        </w:tc>
      </w:tr>
      <w:tr w:rsidR="006D3A20" w:rsidRPr="00542FB8" w:rsidTr="00E64747">
        <w:trPr>
          <w:cantSplit/>
          <w:trHeight w:val="1183"/>
          <w:jc w:val="center"/>
        </w:trPr>
        <w:tc>
          <w:tcPr>
            <w:tcW w:w="9026" w:type="dxa"/>
            <w:tcBorders>
              <w:top w:val="single" w:sz="6" w:space="0" w:color="auto"/>
              <w:bottom w:val="single" w:sz="6" w:space="0" w:color="auto"/>
            </w:tcBorders>
            <w:shd w:val="clear" w:color="auto" w:fill="auto"/>
          </w:tcPr>
          <w:p w:rsidR="006D3A20" w:rsidRDefault="006D3A20" w:rsidP="006D3A20">
            <w:pPr>
              <w:numPr>
                <w:ilvl w:val="0"/>
                <w:numId w:val="16"/>
              </w:numPr>
              <w:spacing w:before="120" w:after="120"/>
              <w:ind w:hanging="720"/>
              <w:rPr>
                <w:color w:val="000000"/>
                <w:szCs w:val="18"/>
                <w:vertAlign w:val="superscript"/>
              </w:rPr>
            </w:pPr>
            <w:r w:rsidRPr="00542FB8">
              <w:rPr>
                <w:b/>
                <w:color w:val="000000"/>
                <w:szCs w:val="18"/>
              </w:rPr>
              <w:t xml:space="preserve">In the case that they are not in one of the three WTO official languages, </w:t>
            </w:r>
            <w:r w:rsidRPr="00542FB8">
              <w:rPr>
                <w:b/>
                <w:i/>
                <w:color w:val="000000"/>
                <w:szCs w:val="18"/>
              </w:rPr>
              <w:t>(English, French or Spanish)</w:t>
            </w:r>
            <w:r w:rsidRPr="00542FB8">
              <w:rPr>
                <w:b/>
                <w:color w:val="000000"/>
                <w:szCs w:val="18"/>
              </w:rPr>
              <w:t xml:space="preserve"> a SUMMARY of the </w:t>
            </w:r>
            <w:r w:rsidRPr="00542FB8">
              <w:rPr>
                <w:b/>
                <w:color w:val="000000"/>
                <w:szCs w:val="18"/>
                <w:u w:val="single"/>
              </w:rPr>
              <w:t>publication (in case of Art. 1.4(a</w:t>
            </w:r>
            <w:r w:rsidRPr="00542FB8">
              <w:rPr>
                <w:b/>
                <w:color w:val="000000"/>
                <w:szCs w:val="18"/>
              </w:rPr>
              <w:t xml:space="preserve">)) and/or </w:t>
            </w:r>
            <w:r w:rsidRPr="00542FB8">
              <w:rPr>
                <w:b/>
                <w:color w:val="000000"/>
                <w:szCs w:val="18"/>
                <w:u w:val="single"/>
              </w:rPr>
              <w:t>the legislation (in case of Art. 8.2(b</w:t>
            </w:r>
            <w:r w:rsidRPr="00542FB8">
              <w:rPr>
                <w:b/>
                <w:color w:val="000000"/>
                <w:szCs w:val="18"/>
              </w:rPr>
              <w:t>)):</w:t>
            </w:r>
            <w:r w:rsidRPr="00542FB8">
              <w:rPr>
                <w:color w:val="000000"/>
                <w:szCs w:val="18"/>
                <w:vertAlign w:val="superscript"/>
              </w:rPr>
              <w:t>iv</w:t>
            </w:r>
          </w:p>
          <w:p w:rsidR="006D3A20" w:rsidRPr="00542FB8" w:rsidRDefault="001A28F7" w:rsidP="001A28F7">
            <w:pPr>
              <w:spacing w:before="120" w:after="120"/>
              <w:ind w:left="720"/>
              <w:rPr>
                <w:color w:val="000000"/>
                <w:szCs w:val="18"/>
              </w:rPr>
            </w:pPr>
            <w:r>
              <w:t>Non official translation of the Free Import Order 2014 and its Amendments are attached</w:t>
            </w:r>
            <w:r>
              <w:rPr>
                <w:rStyle w:val="FootnoteReference"/>
              </w:rPr>
              <w:footnoteReference w:id="1"/>
            </w:r>
          </w:p>
        </w:tc>
      </w:tr>
      <w:tr w:rsidR="006D3A20" w:rsidRPr="00542FB8" w:rsidTr="009A282B">
        <w:trPr>
          <w:cantSplit/>
          <w:jc w:val="center"/>
        </w:trPr>
        <w:tc>
          <w:tcPr>
            <w:tcW w:w="9026" w:type="dxa"/>
            <w:tcBorders>
              <w:top w:val="single" w:sz="6" w:space="0" w:color="auto"/>
              <w:bottom w:val="double" w:sz="6" w:space="0" w:color="auto"/>
            </w:tcBorders>
            <w:shd w:val="clear" w:color="auto" w:fill="auto"/>
          </w:tcPr>
          <w:p w:rsidR="006D3A20" w:rsidRPr="00542FB8" w:rsidRDefault="006D3A20" w:rsidP="009A282B">
            <w:pPr>
              <w:spacing w:before="120" w:after="120"/>
              <w:ind w:left="720" w:hanging="720"/>
              <w:rPr>
                <w:b/>
                <w:szCs w:val="18"/>
              </w:rPr>
            </w:pPr>
            <w:r w:rsidRPr="00542FB8">
              <w:rPr>
                <w:b/>
                <w:color w:val="000000"/>
                <w:szCs w:val="18"/>
              </w:rPr>
              <w:t>6.</w:t>
            </w:r>
            <w:r w:rsidRPr="00542FB8">
              <w:rPr>
                <w:b/>
                <w:color w:val="000000"/>
                <w:szCs w:val="18"/>
              </w:rPr>
              <w:tab/>
            </w:r>
            <w:r w:rsidRPr="00542FB8">
              <w:rPr>
                <w:b/>
                <w:szCs w:val="18"/>
              </w:rPr>
              <w:t>Other pertinent data or information (i.e. title of the proposed or adopted law/regulation establishing the Import Licensing Procedure):</w:t>
            </w:r>
          </w:p>
          <w:p w:rsidR="006D3A20" w:rsidRPr="00542FB8" w:rsidRDefault="00FF6946" w:rsidP="001A28F7">
            <w:pPr>
              <w:spacing w:before="120" w:after="120"/>
              <w:ind w:left="720"/>
              <w:rPr>
                <w:b/>
                <w:color w:val="000000"/>
                <w:szCs w:val="18"/>
              </w:rPr>
            </w:pPr>
            <w:r>
              <w:t>-</w:t>
            </w:r>
          </w:p>
        </w:tc>
      </w:tr>
    </w:tbl>
    <w:p w:rsidR="00C5229E" w:rsidRDefault="00C5229E" w:rsidP="00607C10">
      <w:pPr>
        <w:jc w:val="center"/>
        <w:rPr>
          <w:b/>
        </w:rPr>
      </w:pPr>
    </w:p>
    <w:p w:rsidR="00D0599C" w:rsidRDefault="00D0599C" w:rsidP="00D0599C">
      <w:pPr>
        <w:jc w:val="center"/>
        <w:rPr>
          <w:b/>
        </w:rPr>
      </w:pPr>
      <w:r>
        <w:rPr>
          <w:b/>
        </w:rPr>
        <w:t>__________</w:t>
      </w:r>
    </w:p>
    <w:p w:rsidR="00D0599C" w:rsidRDefault="00D0599C" w:rsidP="00D0599C">
      <w:pPr>
        <w:jc w:val="center"/>
        <w:rPr>
          <w:b/>
        </w:rPr>
      </w:pPr>
    </w:p>
    <w:p w:rsidR="00D0599C" w:rsidRPr="00D0599C" w:rsidRDefault="00D0599C" w:rsidP="00D0599C">
      <w:pPr>
        <w:jc w:val="center"/>
      </w:pPr>
    </w:p>
    <w:sectPr w:rsidR="00D0599C" w:rsidRPr="00D0599C" w:rsidSect="009318E5">
      <w:headerReference w:type="even" r:id="rId11"/>
      <w:headerReference w:type="default" r:id="rId12"/>
      <w:footerReference w:type="even" r:id="rId13"/>
      <w:footerReference w:type="default" r:id="rId14"/>
      <w:head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15A" w:rsidRDefault="00A9015A" w:rsidP="00ED54E0">
      <w:r>
        <w:separator/>
      </w:r>
    </w:p>
  </w:endnote>
  <w:endnote w:type="continuationSeparator" w:id="0">
    <w:p w:rsidR="00A9015A" w:rsidRDefault="00A9015A" w:rsidP="00ED54E0">
      <w:r>
        <w:continuationSeparator/>
      </w:r>
    </w:p>
  </w:endnote>
  <w:endnote w:id="1">
    <w:p w:rsidR="008D09DA" w:rsidRDefault="008D09DA">
      <w:pPr>
        <w:pStyle w:val="EndnoteText"/>
      </w:pPr>
      <w:r>
        <w:rPr>
          <w:rStyle w:val="EndnoteReference"/>
        </w:rPr>
        <w:endnoteRef/>
      </w:r>
      <w:r>
        <w:t xml:space="preserve"> </w:t>
      </w:r>
      <w:r w:rsidRPr="0068136C">
        <w:rPr>
          <w:color w:val="000000"/>
        </w:rPr>
        <w:t>"[...] Publication shall take place, whenever practicable, 21 days prior to the effective date of the requirement but in all events not later than such effective date.  Any exception, derogations or changes in or from the rules concerning licensing procedures or the list of products subject to import licensing shall also be published in the same manner and within the same time</w:t>
      </w:r>
      <w:r>
        <w:rPr>
          <w:color w:val="000000"/>
        </w:rPr>
        <w:noBreakHyphen/>
      </w:r>
      <w:r w:rsidRPr="0068136C">
        <w:rPr>
          <w:color w:val="000000"/>
        </w:rPr>
        <w:t>periods as specified above</w:t>
      </w:r>
      <w:r w:rsidRPr="0068136C">
        <w:t>."  S</w:t>
      </w:r>
      <w:r w:rsidRPr="0068136C">
        <w:rPr>
          <w:color w:val="000000"/>
        </w:rPr>
        <w:t>ee Article 1.4(a) of the Agreement.</w:t>
      </w:r>
    </w:p>
  </w:endnote>
  <w:endnote w:id="2">
    <w:p w:rsidR="008D09DA" w:rsidRDefault="008D09DA" w:rsidP="008D09DA">
      <w:pPr>
        <w:pStyle w:val="EndnoteText"/>
      </w:pPr>
      <w:r>
        <w:rPr>
          <w:rStyle w:val="EndnoteReference"/>
        </w:rPr>
        <w:endnoteRef/>
      </w:r>
      <w:r>
        <w:t xml:space="preserve"> </w:t>
      </w:r>
      <w:r w:rsidRPr="0068136C">
        <w:rPr>
          <w:color w:val="000000"/>
        </w:rPr>
        <w:t>"Each Member shall inform the Committee of any changes in its laws and regulations relevant to this Agreement and in the administration of such laws and regulations."</w:t>
      </w:r>
    </w:p>
  </w:endnote>
  <w:endnote w:id="3">
    <w:p w:rsidR="008D09DA" w:rsidRDefault="008D09DA">
      <w:pPr>
        <w:pStyle w:val="EndnoteText"/>
      </w:pPr>
      <w:r>
        <w:rPr>
          <w:rStyle w:val="EndnoteReference"/>
        </w:rPr>
        <w:endnoteRef/>
      </w:r>
      <w:r>
        <w:t xml:space="preserve"> </w:t>
      </w:r>
      <w:r w:rsidRPr="00297EB8">
        <w:t>"The rules and all information concerning procedures for the submission of applications, including the eligibility of persons, firms and institutions to make such applications, the administrative body(</w:t>
      </w:r>
      <w:proofErr w:type="spellStart"/>
      <w:r w:rsidRPr="00297EB8">
        <w:t>ies</w:t>
      </w:r>
      <w:proofErr w:type="spellEnd"/>
      <w:r w:rsidRPr="00297EB8">
        <w:t xml:space="preserve">) to be approached, and the lists of products </w:t>
      </w:r>
      <w:proofErr w:type="gramStart"/>
      <w:r w:rsidRPr="00297EB8">
        <w:t>subject</w:t>
      </w:r>
      <w:proofErr w:type="gramEnd"/>
      <w:r w:rsidRPr="00297EB8">
        <w:t xml:space="preserve"> to the licensing requirement shall be published, in the sources notified to the Committee on Import Licensing [...] Copies of these publications shall also be made available to the Secretariat."  See Art. 1.4(a) of the Agreement and document G/LIC/3 "Procedures for Notification and Review under the Agreement on Import Licensing Procedures".</w:t>
      </w:r>
    </w:p>
  </w:endnote>
  <w:endnote w:id="4">
    <w:p w:rsidR="006D3A20" w:rsidRDefault="006D3A20" w:rsidP="006D3A20">
      <w:pPr>
        <w:pStyle w:val="EndnoteText"/>
      </w:pPr>
      <w:r>
        <w:rPr>
          <w:rStyle w:val="EndnoteReference"/>
        </w:rPr>
        <w:endnoteRef/>
      </w:r>
      <w:r>
        <w:t xml:space="preserve"> </w:t>
      </w:r>
      <w:r w:rsidRPr="00DC2D1A">
        <w:t>See document G/LIC/3 "Procedures for Notification and Review under the Agreement on Import Licensing Procedures".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9318E5" w:rsidRDefault="009318E5" w:rsidP="009318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9318E5" w:rsidRDefault="009318E5" w:rsidP="009318E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15A" w:rsidRDefault="00A9015A" w:rsidP="00ED54E0">
      <w:r>
        <w:separator/>
      </w:r>
    </w:p>
  </w:footnote>
  <w:footnote w:type="continuationSeparator" w:id="0">
    <w:p w:rsidR="00A9015A" w:rsidRDefault="00A9015A" w:rsidP="00ED54E0">
      <w:r>
        <w:continuationSeparator/>
      </w:r>
    </w:p>
  </w:footnote>
  <w:footnote w:id="1">
    <w:p w:rsidR="001A28F7" w:rsidRDefault="001A28F7">
      <w:pPr>
        <w:pStyle w:val="FootnoteText"/>
      </w:pPr>
      <w:r>
        <w:rPr>
          <w:rStyle w:val="FootnoteReference"/>
        </w:rPr>
        <w:footnoteRef/>
      </w:r>
      <w:r>
        <w:t xml:space="preserve"> Available in the Market Access Division (original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E5" w:rsidRPr="009318E5" w:rsidRDefault="009318E5" w:rsidP="009318E5">
    <w:pPr>
      <w:pStyle w:val="Header"/>
      <w:pBdr>
        <w:bottom w:val="single" w:sz="4" w:space="1" w:color="auto"/>
      </w:pBdr>
      <w:tabs>
        <w:tab w:val="clear" w:pos="4513"/>
        <w:tab w:val="clear" w:pos="9027"/>
      </w:tabs>
      <w:jc w:val="center"/>
    </w:pPr>
    <w:r w:rsidRPr="009318E5">
      <w:t>G/LIC/N/1/ISR/4</w:t>
    </w:r>
  </w:p>
  <w:p w:rsidR="009318E5" w:rsidRPr="009318E5" w:rsidRDefault="009318E5" w:rsidP="009318E5">
    <w:pPr>
      <w:pStyle w:val="Header"/>
      <w:pBdr>
        <w:bottom w:val="single" w:sz="4" w:space="1" w:color="auto"/>
      </w:pBdr>
      <w:tabs>
        <w:tab w:val="clear" w:pos="4513"/>
        <w:tab w:val="clear" w:pos="9027"/>
      </w:tabs>
      <w:jc w:val="center"/>
    </w:pPr>
  </w:p>
  <w:p w:rsidR="009318E5" w:rsidRPr="009318E5" w:rsidRDefault="009318E5" w:rsidP="009318E5">
    <w:pPr>
      <w:pStyle w:val="Header"/>
      <w:pBdr>
        <w:bottom w:val="single" w:sz="4" w:space="1" w:color="auto"/>
      </w:pBdr>
      <w:tabs>
        <w:tab w:val="clear" w:pos="4513"/>
        <w:tab w:val="clear" w:pos="9027"/>
      </w:tabs>
      <w:jc w:val="center"/>
    </w:pPr>
    <w:r w:rsidRPr="009318E5">
      <w:t xml:space="preserve">- </w:t>
    </w:r>
    <w:r w:rsidRPr="009318E5">
      <w:fldChar w:fldCharType="begin"/>
    </w:r>
    <w:r w:rsidRPr="009318E5">
      <w:instrText xml:space="preserve"> PAGE </w:instrText>
    </w:r>
    <w:r w:rsidRPr="009318E5">
      <w:fldChar w:fldCharType="separate"/>
    </w:r>
    <w:r w:rsidR="00F02145">
      <w:rPr>
        <w:noProof/>
      </w:rPr>
      <w:t>2</w:t>
    </w:r>
    <w:r w:rsidRPr="009318E5">
      <w:fldChar w:fldCharType="end"/>
    </w:r>
    <w:r w:rsidRPr="009318E5">
      <w:t xml:space="preserve"> -</w:t>
    </w:r>
  </w:p>
  <w:p w:rsidR="00544326" w:rsidRPr="009318E5" w:rsidRDefault="00544326" w:rsidP="009318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E5" w:rsidRPr="009318E5" w:rsidRDefault="009318E5" w:rsidP="009318E5">
    <w:pPr>
      <w:pStyle w:val="Header"/>
      <w:pBdr>
        <w:bottom w:val="single" w:sz="4" w:space="1" w:color="auto"/>
      </w:pBdr>
      <w:tabs>
        <w:tab w:val="clear" w:pos="4513"/>
        <w:tab w:val="clear" w:pos="9027"/>
      </w:tabs>
      <w:jc w:val="center"/>
    </w:pPr>
    <w:r w:rsidRPr="009318E5">
      <w:t>G/LIC/N/1/ISR/4</w:t>
    </w:r>
  </w:p>
  <w:p w:rsidR="009318E5" w:rsidRPr="009318E5" w:rsidRDefault="009318E5" w:rsidP="009318E5">
    <w:pPr>
      <w:pStyle w:val="Header"/>
      <w:pBdr>
        <w:bottom w:val="single" w:sz="4" w:space="1" w:color="auto"/>
      </w:pBdr>
      <w:tabs>
        <w:tab w:val="clear" w:pos="4513"/>
        <w:tab w:val="clear" w:pos="9027"/>
      </w:tabs>
      <w:jc w:val="center"/>
    </w:pPr>
  </w:p>
  <w:p w:rsidR="009318E5" w:rsidRPr="009318E5" w:rsidRDefault="009318E5" w:rsidP="009318E5">
    <w:pPr>
      <w:pStyle w:val="Header"/>
      <w:pBdr>
        <w:bottom w:val="single" w:sz="4" w:space="1" w:color="auto"/>
      </w:pBdr>
      <w:tabs>
        <w:tab w:val="clear" w:pos="4513"/>
        <w:tab w:val="clear" w:pos="9027"/>
      </w:tabs>
      <w:jc w:val="center"/>
    </w:pPr>
    <w:r w:rsidRPr="009318E5">
      <w:t xml:space="preserve">- </w:t>
    </w:r>
    <w:r w:rsidRPr="009318E5">
      <w:fldChar w:fldCharType="begin"/>
    </w:r>
    <w:r w:rsidRPr="009318E5">
      <w:instrText xml:space="preserve"> PAGE </w:instrText>
    </w:r>
    <w:r w:rsidRPr="009318E5">
      <w:fldChar w:fldCharType="separate"/>
    </w:r>
    <w:r w:rsidR="00F02145">
      <w:rPr>
        <w:noProof/>
      </w:rPr>
      <w:t>3</w:t>
    </w:r>
    <w:r w:rsidRPr="009318E5">
      <w:fldChar w:fldCharType="end"/>
    </w:r>
    <w:r w:rsidRPr="009318E5">
      <w:t xml:space="preserve"> -</w:t>
    </w:r>
  </w:p>
  <w:p w:rsidR="00544326" w:rsidRPr="009318E5" w:rsidRDefault="00544326" w:rsidP="009318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D3A20" w:rsidTr="00544326">
      <w:trPr>
        <w:trHeight w:val="240"/>
        <w:jc w:val="center"/>
      </w:trPr>
      <w:tc>
        <w:tcPr>
          <w:tcW w:w="3794" w:type="dxa"/>
          <w:shd w:val="clear" w:color="auto" w:fill="FFFFFF"/>
          <w:tcMar>
            <w:left w:w="108" w:type="dxa"/>
            <w:right w:w="108" w:type="dxa"/>
          </w:tcMar>
          <w:vAlign w:val="center"/>
        </w:tcPr>
        <w:p w:rsidR="00ED54E0" w:rsidRPr="006D3A20" w:rsidRDefault="00ED54E0" w:rsidP="009A282B">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D3A20" w:rsidRDefault="009318E5" w:rsidP="009A282B">
          <w:pPr>
            <w:jc w:val="right"/>
            <w:rPr>
              <w:b/>
              <w:color w:val="FF0000"/>
              <w:szCs w:val="16"/>
            </w:rPr>
          </w:pPr>
          <w:r>
            <w:rPr>
              <w:b/>
              <w:color w:val="FF0000"/>
              <w:szCs w:val="16"/>
            </w:rPr>
            <w:t xml:space="preserve"> </w:t>
          </w:r>
        </w:p>
      </w:tc>
    </w:tr>
    <w:bookmarkEnd w:id="1"/>
    <w:tr w:rsidR="00ED54E0" w:rsidRPr="006D3A20" w:rsidTr="00544326">
      <w:trPr>
        <w:trHeight w:val="213"/>
        <w:jc w:val="center"/>
      </w:trPr>
      <w:tc>
        <w:tcPr>
          <w:tcW w:w="3794" w:type="dxa"/>
          <w:vMerge w:val="restart"/>
          <w:shd w:val="clear" w:color="auto" w:fill="FFFFFF"/>
          <w:tcMar>
            <w:left w:w="0" w:type="dxa"/>
            <w:right w:w="0" w:type="dxa"/>
          </w:tcMar>
        </w:tcPr>
        <w:p w:rsidR="00ED54E0" w:rsidRPr="006D3A20" w:rsidRDefault="0051769E" w:rsidP="009A282B">
          <w:pPr>
            <w:jc w:val="left"/>
          </w:pPr>
          <w:r>
            <w:rPr>
              <w:noProof/>
              <w:lang w:val="en-US"/>
            </w:rPr>
            <w:drawing>
              <wp:inline distT="0" distB="0" distL="0" distR="0" wp14:anchorId="38D3DB3D" wp14:editId="328E8B80">
                <wp:extent cx="2399030" cy="720725"/>
                <wp:effectExtent l="0" t="0" r="127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2072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D3A20" w:rsidRDefault="00ED54E0" w:rsidP="009A282B">
          <w:pPr>
            <w:jc w:val="right"/>
            <w:rPr>
              <w:b/>
              <w:szCs w:val="16"/>
            </w:rPr>
          </w:pPr>
        </w:p>
      </w:tc>
    </w:tr>
    <w:tr w:rsidR="00ED54E0" w:rsidRPr="006D3A20" w:rsidTr="00544326">
      <w:trPr>
        <w:trHeight w:val="868"/>
        <w:jc w:val="center"/>
      </w:trPr>
      <w:tc>
        <w:tcPr>
          <w:tcW w:w="3794" w:type="dxa"/>
          <w:vMerge/>
          <w:shd w:val="clear" w:color="auto" w:fill="FFFFFF"/>
          <w:tcMar>
            <w:left w:w="108" w:type="dxa"/>
            <w:right w:w="108" w:type="dxa"/>
          </w:tcMar>
        </w:tcPr>
        <w:p w:rsidR="00ED54E0" w:rsidRPr="006D3A20" w:rsidRDefault="00ED54E0" w:rsidP="009A282B">
          <w:pPr>
            <w:jc w:val="left"/>
            <w:rPr>
              <w:noProof/>
              <w:lang w:eastAsia="en-GB"/>
            </w:rPr>
          </w:pPr>
        </w:p>
      </w:tc>
      <w:tc>
        <w:tcPr>
          <w:tcW w:w="5448" w:type="dxa"/>
          <w:gridSpan w:val="2"/>
          <w:shd w:val="clear" w:color="auto" w:fill="FFFFFF"/>
          <w:tcMar>
            <w:left w:w="108" w:type="dxa"/>
            <w:right w:w="108" w:type="dxa"/>
          </w:tcMar>
        </w:tcPr>
        <w:p w:rsidR="009318E5" w:rsidRDefault="009318E5" w:rsidP="009A282B">
          <w:pPr>
            <w:jc w:val="right"/>
            <w:rPr>
              <w:b/>
              <w:szCs w:val="16"/>
            </w:rPr>
          </w:pPr>
          <w:bookmarkStart w:id="2" w:name="bmkSymbols"/>
          <w:r>
            <w:rPr>
              <w:b/>
              <w:szCs w:val="16"/>
            </w:rPr>
            <w:t>G/LIC/N/1/ISR/4</w:t>
          </w:r>
        </w:p>
        <w:bookmarkEnd w:id="2"/>
        <w:p w:rsidR="00ED54E0" w:rsidRPr="006D3A20" w:rsidRDefault="00ED54E0" w:rsidP="009A282B">
          <w:pPr>
            <w:jc w:val="right"/>
            <w:rPr>
              <w:b/>
              <w:szCs w:val="16"/>
            </w:rPr>
          </w:pPr>
        </w:p>
      </w:tc>
    </w:tr>
    <w:tr w:rsidR="00ED54E0" w:rsidRPr="006D3A20" w:rsidTr="00544326">
      <w:trPr>
        <w:trHeight w:val="240"/>
        <w:jc w:val="center"/>
      </w:trPr>
      <w:tc>
        <w:tcPr>
          <w:tcW w:w="3794" w:type="dxa"/>
          <w:vMerge/>
          <w:shd w:val="clear" w:color="auto" w:fill="FFFFFF"/>
          <w:tcMar>
            <w:left w:w="108" w:type="dxa"/>
            <w:right w:w="108" w:type="dxa"/>
          </w:tcMar>
          <w:vAlign w:val="center"/>
        </w:tcPr>
        <w:p w:rsidR="00ED54E0" w:rsidRPr="006D3A20" w:rsidRDefault="00ED54E0" w:rsidP="009A282B"/>
      </w:tc>
      <w:tc>
        <w:tcPr>
          <w:tcW w:w="5448" w:type="dxa"/>
          <w:gridSpan w:val="2"/>
          <w:shd w:val="clear" w:color="auto" w:fill="FFFFFF"/>
          <w:tcMar>
            <w:left w:w="108" w:type="dxa"/>
            <w:right w:w="108" w:type="dxa"/>
          </w:tcMar>
          <w:vAlign w:val="center"/>
        </w:tcPr>
        <w:p w:rsidR="00ED54E0" w:rsidRPr="006D3A20" w:rsidRDefault="009318E5" w:rsidP="00850DC7">
          <w:pPr>
            <w:jc w:val="right"/>
            <w:rPr>
              <w:szCs w:val="16"/>
            </w:rPr>
          </w:pPr>
          <w:r>
            <w:rPr>
              <w:szCs w:val="16"/>
            </w:rPr>
            <w:t>1</w:t>
          </w:r>
          <w:r w:rsidR="00F02145">
            <w:rPr>
              <w:szCs w:val="16"/>
            </w:rPr>
            <w:t>7</w:t>
          </w:r>
          <w:r w:rsidR="00906122">
            <w:rPr>
              <w:szCs w:val="16"/>
            </w:rPr>
            <w:t xml:space="preserve"> </w:t>
          </w:r>
          <w:r w:rsidR="00A93394">
            <w:rPr>
              <w:szCs w:val="16"/>
            </w:rPr>
            <w:t>September</w:t>
          </w:r>
          <w:r w:rsidR="00FE1253">
            <w:rPr>
              <w:szCs w:val="16"/>
            </w:rPr>
            <w:t xml:space="preserve"> 201</w:t>
          </w:r>
          <w:r w:rsidR="0051769E">
            <w:rPr>
              <w:szCs w:val="16"/>
            </w:rPr>
            <w:t>8</w:t>
          </w:r>
        </w:p>
      </w:tc>
    </w:tr>
    <w:tr w:rsidR="00ED54E0" w:rsidRPr="006D3A2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D3A20" w:rsidRDefault="00ED54E0" w:rsidP="009318E5">
          <w:pPr>
            <w:jc w:val="left"/>
            <w:rPr>
              <w:b/>
            </w:rPr>
          </w:pPr>
          <w:bookmarkStart w:id="3" w:name="bmkSerial" w:colFirst="0" w:colLast="0"/>
          <w:r w:rsidRPr="006D3A20">
            <w:rPr>
              <w:color w:val="FF0000"/>
              <w:szCs w:val="16"/>
            </w:rPr>
            <w:t>(</w:t>
          </w:r>
          <w:r w:rsidR="00FC231C">
            <w:rPr>
              <w:color w:val="FF0000"/>
              <w:szCs w:val="16"/>
            </w:rPr>
            <w:t>1</w:t>
          </w:r>
          <w:r w:rsidR="0051769E">
            <w:rPr>
              <w:color w:val="FF0000"/>
              <w:szCs w:val="16"/>
            </w:rPr>
            <w:t>8</w:t>
          </w:r>
          <w:r w:rsidRPr="006D3A20">
            <w:rPr>
              <w:color w:val="FF0000"/>
              <w:szCs w:val="16"/>
            </w:rPr>
            <w:t>-</w:t>
          </w:r>
          <w:r w:rsidR="00F02145">
            <w:rPr>
              <w:color w:val="FF0000"/>
              <w:szCs w:val="16"/>
            </w:rPr>
            <w:t>5739</w:t>
          </w:r>
          <w:r w:rsidRPr="006D3A2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D3A20" w:rsidRDefault="00ED54E0" w:rsidP="009A282B">
          <w:pPr>
            <w:jc w:val="right"/>
            <w:rPr>
              <w:szCs w:val="16"/>
            </w:rPr>
          </w:pPr>
          <w:bookmarkStart w:id="4" w:name="bmkTotPages"/>
          <w:r w:rsidRPr="006D3A20">
            <w:rPr>
              <w:bCs/>
              <w:szCs w:val="16"/>
            </w:rPr>
            <w:t xml:space="preserve">Page: </w:t>
          </w:r>
          <w:r w:rsidRPr="006D3A20">
            <w:rPr>
              <w:bCs/>
              <w:szCs w:val="16"/>
            </w:rPr>
            <w:fldChar w:fldCharType="begin"/>
          </w:r>
          <w:r w:rsidRPr="006D3A20">
            <w:rPr>
              <w:bCs/>
              <w:szCs w:val="16"/>
            </w:rPr>
            <w:instrText xml:space="preserve"> PAGE  \* Arabic  \* MERGEFORMAT </w:instrText>
          </w:r>
          <w:r w:rsidRPr="006D3A20">
            <w:rPr>
              <w:bCs/>
              <w:szCs w:val="16"/>
            </w:rPr>
            <w:fldChar w:fldCharType="separate"/>
          </w:r>
          <w:r w:rsidR="00F02145">
            <w:rPr>
              <w:bCs/>
              <w:noProof/>
              <w:szCs w:val="16"/>
            </w:rPr>
            <w:t>1</w:t>
          </w:r>
          <w:r w:rsidRPr="006D3A20">
            <w:rPr>
              <w:bCs/>
              <w:szCs w:val="16"/>
            </w:rPr>
            <w:fldChar w:fldCharType="end"/>
          </w:r>
          <w:r w:rsidRPr="006D3A20">
            <w:rPr>
              <w:bCs/>
              <w:szCs w:val="16"/>
            </w:rPr>
            <w:t>/</w:t>
          </w:r>
          <w:r w:rsidRPr="006D3A20">
            <w:rPr>
              <w:bCs/>
              <w:szCs w:val="16"/>
            </w:rPr>
            <w:fldChar w:fldCharType="begin"/>
          </w:r>
          <w:r w:rsidRPr="006D3A20">
            <w:rPr>
              <w:bCs/>
              <w:szCs w:val="16"/>
            </w:rPr>
            <w:instrText xml:space="preserve"> NUMPAGES  \* Arabic  \* MERGEFORMAT </w:instrText>
          </w:r>
          <w:r w:rsidRPr="006D3A20">
            <w:rPr>
              <w:bCs/>
              <w:szCs w:val="16"/>
            </w:rPr>
            <w:fldChar w:fldCharType="separate"/>
          </w:r>
          <w:r w:rsidR="00F02145">
            <w:rPr>
              <w:bCs/>
              <w:noProof/>
              <w:szCs w:val="16"/>
            </w:rPr>
            <w:t>3</w:t>
          </w:r>
          <w:r w:rsidRPr="006D3A20">
            <w:rPr>
              <w:bCs/>
              <w:szCs w:val="16"/>
            </w:rPr>
            <w:fldChar w:fldCharType="end"/>
          </w:r>
          <w:bookmarkEnd w:id="4"/>
        </w:p>
      </w:tc>
    </w:tr>
    <w:tr w:rsidR="00ED54E0" w:rsidRPr="006D3A2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D3A20" w:rsidRDefault="009318E5" w:rsidP="009A282B">
          <w:pPr>
            <w:jc w:val="left"/>
            <w:rPr>
              <w:sz w:val="14"/>
              <w:szCs w:val="16"/>
            </w:rPr>
          </w:pPr>
          <w:bookmarkStart w:id="5" w:name="bmkCommittee"/>
          <w:bookmarkStart w:id="6" w:name="bmkLanguage" w:colFirst="1" w:colLast="1"/>
          <w:bookmarkEnd w:id="3"/>
          <w:r>
            <w:rPr>
              <w:b/>
            </w:rPr>
            <w:t>Committee on Import Licensing</w:t>
          </w:r>
          <w:bookmarkEnd w:id="5"/>
        </w:p>
      </w:tc>
      <w:tc>
        <w:tcPr>
          <w:tcW w:w="3325" w:type="dxa"/>
          <w:tcBorders>
            <w:top w:val="single" w:sz="4" w:space="0" w:color="auto"/>
          </w:tcBorders>
          <w:tcMar>
            <w:top w:w="113" w:type="dxa"/>
            <w:left w:w="108" w:type="dxa"/>
            <w:bottom w:w="57" w:type="dxa"/>
            <w:right w:w="108" w:type="dxa"/>
          </w:tcMar>
          <w:vAlign w:val="center"/>
        </w:tcPr>
        <w:p w:rsidR="00ED54E0" w:rsidRPr="006D3A20" w:rsidRDefault="009318E5" w:rsidP="009A282B">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37703"/>
    <w:multiLevelType w:val="hybridMultilevel"/>
    <w:tmpl w:val="EA1498E8"/>
    <w:lvl w:ilvl="0" w:tplc="A17470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51302"/>
    <w:multiLevelType w:val="hybridMultilevel"/>
    <w:tmpl w:val="FC8E9674"/>
    <w:lvl w:ilvl="0" w:tplc="787A535C">
      <w:start w:val="5"/>
      <w:numFmt w:val="decimal"/>
      <w:lvlText w:val="%1."/>
      <w:lvlJc w:val="left"/>
      <w:pPr>
        <w:tabs>
          <w:tab w:val="num" w:pos="720"/>
        </w:tabs>
        <w:ind w:left="720" w:hanging="360"/>
      </w:pPr>
      <w:rPr>
        <w:rFonts w:hint="default"/>
        <w:b/>
        <w:vertAlign w:val="baseline"/>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0E31DE"/>
    <w:multiLevelType w:val="hybridMultilevel"/>
    <w:tmpl w:val="94CA760C"/>
    <w:lvl w:ilvl="0" w:tplc="065C6014">
      <w:start w:val="3"/>
      <w:numFmt w:val="decimal"/>
      <w:lvlText w:val="%1."/>
      <w:lvlJc w:val="left"/>
      <w:pPr>
        <w:ind w:left="335" w:hanging="316"/>
      </w:pPr>
      <w:rPr>
        <w:rFonts w:ascii="Verdana" w:eastAsia="Verdana" w:hAnsi="Verdana" w:cs="Verdana" w:hint="default"/>
        <w:b/>
        <w:bCs/>
        <w:spacing w:val="-8"/>
        <w:w w:val="100"/>
        <w:sz w:val="18"/>
        <w:szCs w:val="18"/>
      </w:rPr>
    </w:lvl>
    <w:lvl w:ilvl="1" w:tplc="3F5ACF88">
      <w:start w:val="1"/>
      <w:numFmt w:val="decimal"/>
      <w:lvlText w:val="%2."/>
      <w:lvlJc w:val="left"/>
      <w:pPr>
        <w:ind w:left="740" w:hanging="286"/>
      </w:pPr>
      <w:rPr>
        <w:rFonts w:ascii="Verdana" w:eastAsia="Verdana" w:hAnsi="Verdana" w:cs="Verdana" w:hint="default"/>
        <w:b/>
        <w:bCs/>
        <w:spacing w:val="0"/>
        <w:w w:val="100"/>
        <w:sz w:val="18"/>
        <w:szCs w:val="18"/>
      </w:rPr>
    </w:lvl>
    <w:lvl w:ilvl="2" w:tplc="3FE2567C">
      <w:numFmt w:val="bullet"/>
      <w:lvlText w:val="•"/>
      <w:lvlJc w:val="left"/>
      <w:pPr>
        <w:ind w:left="1653" w:hanging="286"/>
      </w:pPr>
      <w:rPr>
        <w:rFonts w:hint="default"/>
      </w:rPr>
    </w:lvl>
    <w:lvl w:ilvl="3" w:tplc="3864ABE4">
      <w:numFmt w:val="bullet"/>
      <w:lvlText w:val="•"/>
      <w:lvlJc w:val="left"/>
      <w:pPr>
        <w:ind w:left="2566" w:hanging="286"/>
      </w:pPr>
      <w:rPr>
        <w:rFonts w:hint="default"/>
      </w:rPr>
    </w:lvl>
    <w:lvl w:ilvl="4" w:tplc="CDE68A12">
      <w:numFmt w:val="bullet"/>
      <w:lvlText w:val="•"/>
      <w:lvlJc w:val="left"/>
      <w:pPr>
        <w:ind w:left="3479" w:hanging="286"/>
      </w:pPr>
      <w:rPr>
        <w:rFonts w:hint="default"/>
      </w:rPr>
    </w:lvl>
    <w:lvl w:ilvl="5" w:tplc="52FE75A0">
      <w:numFmt w:val="bullet"/>
      <w:lvlText w:val="•"/>
      <w:lvlJc w:val="left"/>
      <w:pPr>
        <w:ind w:left="4392" w:hanging="286"/>
      </w:pPr>
      <w:rPr>
        <w:rFonts w:hint="default"/>
      </w:rPr>
    </w:lvl>
    <w:lvl w:ilvl="6" w:tplc="E2846336">
      <w:numFmt w:val="bullet"/>
      <w:lvlText w:val="•"/>
      <w:lvlJc w:val="left"/>
      <w:pPr>
        <w:ind w:left="5305" w:hanging="286"/>
      </w:pPr>
      <w:rPr>
        <w:rFonts w:hint="default"/>
      </w:rPr>
    </w:lvl>
    <w:lvl w:ilvl="7" w:tplc="9A760F48">
      <w:numFmt w:val="bullet"/>
      <w:lvlText w:val="•"/>
      <w:lvlJc w:val="left"/>
      <w:pPr>
        <w:ind w:left="6218" w:hanging="286"/>
      </w:pPr>
      <w:rPr>
        <w:rFonts w:hint="default"/>
      </w:rPr>
    </w:lvl>
    <w:lvl w:ilvl="8" w:tplc="B06EF952">
      <w:numFmt w:val="bullet"/>
      <w:lvlText w:val="•"/>
      <w:lvlJc w:val="left"/>
      <w:pPr>
        <w:ind w:left="7131" w:hanging="286"/>
      </w:pPr>
      <w:rPr>
        <w:rFonts w:hint="default"/>
      </w:rPr>
    </w:lvl>
  </w:abstractNum>
  <w:abstractNum w:abstractNumId="17" w15:restartNumberingAfterBreak="0">
    <w:nsid w:val="7AD74DE3"/>
    <w:multiLevelType w:val="hybridMultilevel"/>
    <w:tmpl w:val="4EA44090"/>
    <w:lvl w:ilvl="0" w:tplc="4310175A">
      <w:start w:val="2"/>
      <w:numFmt w:val="lowerLetter"/>
      <w:lvlText w:val="(%1)"/>
      <w:lvlJc w:val="left"/>
      <w:pPr>
        <w:ind w:left="1461" w:hanging="395"/>
      </w:pPr>
      <w:rPr>
        <w:rFonts w:ascii="Verdana" w:eastAsia="Verdana" w:hAnsi="Verdana" w:cs="Verdana" w:hint="default"/>
        <w:spacing w:val="-10"/>
        <w:w w:val="100"/>
        <w:sz w:val="18"/>
        <w:szCs w:val="18"/>
      </w:rPr>
    </w:lvl>
    <w:lvl w:ilvl="1" w:tplc="615ECC22">
      <w:start w:val="2"/>
      <w:numFmt w:val="decimal"/>
      <w:lvlText w:val="%2."/>
      <w:lvlJc w:val="left"/>
      <w:pPr>
        <w:ind w:left="740" w:hanging="271"/>
      </w:pPr>
      <w:rPr>
        <w:rFonts w:ascii="Verdana" w:eastAsia="Verdana" w:hAnsi="Verdana" w:cs="Verdana" w:hint="default"/>
        <w:b/>
        <w:bCs/>
        <w:spacing w:val="0"/>
        <w:w w:val="100"/>
        <w:sz w:val="18"/>
        <w:szCs w:val="18"/>
      </w:rPr>
    </w:lvl>
    <w:lvl w:ilvl="2" w:tplc="D4CE5A1A">
      <w:numFmt w:val="bullet"/>
      <w:lvlText w:val="•"/>
      <w:lvlJc w:val="left"/>
      <w:pPr>
        <w:ind w:left="2293" w:hanging="271"/>
      </w:pPr>
      <w:rPr>
        <w:rFonts w:hint="default"/>
      </w:rPr>
    </w:lvl>
    <w:lvl w:ilvl="3" w:tplc="2782110C">
      <w:numFmt w:val="bullet"/>
      <w:lvlText w:val="•"/>
      <w:lvlJc w:val="left"/>
      <w:pPr>
        <w:ind w:left="3126" w:hanging="271"/>
      </w:pPr>
      <w:rPr>
        <w:rFonts w:hint="default"/>
      </w:rPr>
    </w:lvl>
    <w:lvl w:ilvl="4" w:tplc="499C392C">
      <w:numFmt w:val="bullet"/>
      <w:lvlText w:val="•"/>
      <w:lvlJc w:val="left"/>
      <w:pPr>
        <w:ind w:left="3959" w:hanging="271"/>
      </w:pPr>
      <w:rPr>
        <w:rFonts w:hint="default"/>
      </w:rPr>
    </w:lvl>
    <w:lvl w:ilvl="5" w:tplc="ACE8B9A2">
      <w:numFmt w:val="bullet"/>
      <w:lvlText w:val="•"/>
      <w:lvlJc w:val="left"/>
      <w:pPr>
        <w:ind w:left="4792" w:hanging="271"/>
      </w:pPr>
      <w:rPr>
        <w:rFonts w:hint="default"/>
      </w:rPr>
    </w:lvl>
    <w:lvl w:ilvl="6" w:tplc="061EF466">
      <w:numFmt w:val="bullet"/>
      <w:lvlText w:val="•"/>
      <w:lvlJc w:val="left"/>
      <w:pPr>
        <w:ind w:left="5625" w:hanging="271"/>
      </w:pPr>
      <w:rPr>
        <w:rFonts w:hint="default"/>
      </w:rPr>
    </w:lvl>
    <w:lvl w:ilvl="7" w:tplc="758A92BA">
      <w:numFmt w:val="bullet"/>
      <w:lvlText w:val="•"/>
      <w:lvlJc w:val="left"/>
      <w:pPr>
        <w:ind w:left="6458" w:hanging="271"/>
      </w:pPr>
      <w:rPr>
        <w:rFonts w:hint="default"/>
      </w:rPr>
    </w:lvl>
    <w:lvl w:ilvl="8" w:tplc="5DB67E7C">
      <w:numFmt w:val="bullet"/>
      <w:lvlText w:val="•"/>
      <w:lvlJc w:val="left"/>
      <w:pPr>
        <w:ind w:left="7291" w:hanging="27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20"/>
    <w:rsid w:val="000272F6"/>
    <w:rsid w:val="00037AC4"/>
    <w:rsid w:val="000423BF"/>
    <w:rsid w:val="00043D65"/>
    <w:rsid w:val="000A4945"/>
    <w:rsid w:val="000B31E1"/>
    <w:rsid w:val="00101A59"/>
    <w:rsid w:val="0011356B"/>
    <w:rsid w:val="0013337F"/>
    <w:rsid w:val="0014676D"/>
    <w:rsid w:val="001659D3"/>
    <w:rsid w:val="00182B84"/>
    <w:rsid w:val="001A28F7"/>
    <w:rsid w:val="001B204D"/>
    <w:rsid w:val="001D0FF8"/>
    <w:rsid w:val="001E0459"/>
    <w:rsid w:val="001E291F"/>
    <w:rsid w:val="00233408"/>
    <w:rsid w:val="00264C71"/>
    <w:rsid w:val="0027067B"/>
    <w:rsid w:val="00286F42"/>
    <w:rsid w:val="002B494C"/>
    <w:rsid w:val="002C6C32"/>
    <w:rsid w:val="003156C6"/>
    <w:rsid w:val="003572B4"/>
    <w:rsid w:val="003F7453"/>
    <w:rsid w:val="004626C8"/>
    <w:rsid w:val="00467032"/>
    <w:rsid w:val="0046754A"/>
    <w:rsid w:val="00485217"/>
    <w:rsid w:val="004A59A9"/>
    <w:rsid w:val="004F203A"/>
    <w:rsid w:val="0051769E"/>
    <w:rsid w:val="005336B8"/>
    <w:rsid w:val="00544326"/>
    <w:rsid w:val="00547B5F"/>
    <w:rsid w:val="005B04B9"/>
    <w:rsid w:val="005B41EA"/>
    <w:rsid w:val="005B68C7"/>
    <w:rsid w:val="005B7054"/>
    <w:rsid w:val="005D5981"/>
    <w:rsid w:val="005F30CB"/>
    <w:rsid w:val="00601DEE"/>
    <w:rsid w:val="00607C10"/>
    <w:rsid w:val="00612644"/>
    <w:rsid w:val="00615336"/>
    <w:rsid w:val="006306FC"/>
    <w:rsid w:val="00667D50"/>
    <w:rsid w:val="00674CCD"/>
    <w:rsid w:val="00675D17"/>
    <w:rsid w:val="00685758"/>
    <w:rsid w:val="00690843"/>
    <w:rsid w:val="006941D6"/>
    <w:rsid w:val="006C057E"/>
    <w:rsid w:val="006D3A20"/>
    <w:rsid w:val="006F5826"/>
    <w:rsid w:val="00700181"/>
    <w:rsid w:val="007038E9"/>
    <w:rsid w:val="00712140"/>
    <w:rsid w:val="007141CF"/>
    <w:rsid w:val="00745146"/>
    <w:rsid w:val="007529E8"/>
    <w:rsid w:val="007577E3"/>
    <w:rsid w:val="00760DB3"/>
    <w:rsid w:val="007E6507"/>
    <w:rsid w:val="007F2B8E"/>
    <w:rsid w:val="00806D16"/>
    <w:rsid w:val="00807247"/>
    <w:rsid w:val="00840C2B"/>
    <w:rsid w:val="00850DC7"/>
    <w:rsid w:val="008739FD"/>
    <w:rsid w:val="00880F23"/>
    <w:rsid w:val="00893E85"/>
    <w:rsid w:val="008A3000"/>
    <w:rsid w:val="008D09DA"/>
    <w:rsid w:val="008D54D9"/>
    <w:rsid w:val="008E372C"/>
    <w:rsid w:val="00906122"/>
    <w:rsid w:val="009062D6"/>
    <w:rsid w:val="009318E5"/>
    <w:rsid w:val="009A282B"/>
    <w:rsid w:val="009A6F54"/>
    <w:rsid w:val="009C15B2"/>
    <w:rsid w:val="009D6586"/>
    <w:rsid w:val="00A6057A"/>
    <w:rsid w:val="00A74017"/>
    <w:rsid w:val="00A9015A"/>
    <w:rsid w:val="00A93394"/>
    <w:rsid w:val="00AA332C"/>
    <w:rsid w:val="00AC27F8"/>
    <w:rsid w:val="00AD4C72"/>
    <w:rsid w:val="00AD79B8"/>
    <w:rsid w:val="00AE2AEE"/>
    <w:rsid w:val="00AF3DC3"/>
    <w:rsid w:val="00B00276"/>
    <w:rsid w:val="00B230EC"/>
    <w:rsid w:val="00B26603"/>
    <w:rsid w:val="00B52738"/>
    <w:rsid w:val="00B56EDC"/>
    <w:rsid w:val="00B71B6D"/>
    <w:rsid w:val="00B80D7A"/>
    <w:rsid w:val="00B96DB7"/>
    <w:rsid w:val="00BA0B0D"/>
    <w:rsid w:val="00BB045A"/>
    <w:rsid w:val="00BB1F84"/>
    <w:rsid w:val="00BE5468"/>
    <w:rsid w:val="00BF3A0A"/>
    <w:rsid w:val="00C11EAC"/>
    <w:rsid w:val="00C15F6D"/>
    <w:rsid w:val="00C17D4B"/>
    <w:rsid w:val="00C305D7"/>
    <w:rsid w:val="00C30F2A"/>
    <w:rsid w:val="00C43456"/>
    <w:rsid w:val="00C435A2"/>
    <w:rsid w:val="00C43DA0"/>
    <w:rsid w:val="00C5229E"/>
    <w:rsid w:val="00C65C0C"/>
    <w:rsid w:val="00C808FC"/>
    <w:rsid w:val="00C82654"/>
    <w:rsid w:val="00C85AE7"/>
    <w:rsid w:val="00C91D6A"/>
    <w:rsid w:val="00CB41AA"/>
    <w:rsid w:val="00CC3875"/>
    <w:rsid w:val="00CC4496"/>
    <w:rsid w:val="00CD7D97"/>
    <w:rsid w:val="00CE3EE6"/>
    <w:rsid w:val="00CE4BA1"/>
    <w:rsid w:val="00D000C7"/>
    <w:rsid w:val="00D0599C"/>
    <w:rsid w:val="00D1604D"/>
    <w:rsid w:val="00D221B8"/>
    <w:rsid w:val="00D52A9D"/>
    <w:rsid w:val="00D5478D"/>
    <w:rsid w:val="00D55AAD"/>
    <w:rsid w:val="00D730E5"/>
    <w:rsid w:val="00D747AE"/>
    <w:rsid w:val="00D9226C"/>
    <w:rsid w:val="00DA20BD"/>
    <w:rsid w:val="00DC1A48"/>
    <w:rsid w:val="00DE50DB"/>
    <w:rsid w:val="00DF6AE1"/>
    <w:rsid w:val="00E41B1B"/>
    <w:rsid w:val="00E46FD5"/>
    <w:rsid w:val="00E544BB"/>
    <w:rsid w:val="00E56545"/>
    <w:rsid w:val="00E64747"/>
    <w:rsid w:val="00EA5D4F"/>
    <w:rsid w:val="00EB6C56"/>
    <w:rsid w:val="00ED54E0"/>
    <w:rsid w:val="00EF42DC"/>
    <w:rsid w:val="00EF5D86"/>
    <w:rsid w:val="00F02145"/>
    <w:rsid w:val="00F32397"/>
    <w:rsid w:val="00F40595"/>
    <w:rsid w:val="00FA5EBC"/>
    <w:rsid w:val="00FC231C"/>
    <w:rsid w:val="00FD224A"/>
    <w:rsid w:val="00FE1253"/>
    <w:rsid w:val="00FF4616"/>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9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rsid w:val="0046754A"/>
    <w:rPr>
      <w:szCs w:val="20"/>
    </w:rPr>
  </w:style>
  <w:style w:type="character" w:customStyle="1" w:styleId="EndnoteTextChar">
    <w:name w:val="Endnote Text Char"/>
    <w:link w:val="EndnoteText"/>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1"/>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Default">
    <w:name w:val="Default"/>
    <w:rsid w:val="00C85AE7"/>
    <w:pPr>
      <w:autoSpaceDE w:val="0"/>
      <w:autoSpaceDN w:val="0"/>
      <w:adjustRightInd w:val="0"/>
    </w:pPr>
    <w:rPr>
      <w:rFonts w:ascii="EUAlbertina" w:hAnsi="EUAlbertina" w:cs="EUAlbertina"/>
      <w:color w:val="000000"/>
      <w:sz w:val="24"/>
      <w:szCs w:val="24"/>
      <w:lang w:val="en-GB" w:eastAsia="en-GB"/>
    </w:rPr>
  </w:style>
  <w:style w:type="paragraph" w:customStyle="1" w:styleId="TableParagraph">
    <w:name w:val="Table Paragraph"/>
    <w:basedOn w:val="Normal"/>
    <w:uiPriority w:val="1"/>
    <w:qFormat/>
    <w:rsid w:val="009318E5"/>
    <w:pPr>
      <w:widowControl w:val="0"/>
      <w:autoSpaceDE w:val="0"/>
      <w:autoSpaceDN w:val="0"/>
      <w:spacing w:before="127"/>
      <w:ind w:left="740"/>
      <w:jc w:val="left"/>
    </w:pPr>
    <w:rPr>
      <w:rFonts w:eastAsia="Verdana" w:cs="Verdan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AutonomyImageProxy.aspx?TargetImage=http%3A%2F%2Fwww%2Ejustice%2Egov%2Eil%2E%2FMOJHeb%2FReshumot%2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wto.org/dol2fe/pages/AutonomyImageProxy.aspx?TargetImage=http%3A%2F%2Fwww%2Emoital%2Egov%2Eil%2FNR%2Fexeres%2F977D088A%2DD4BC%2D4EF6%2DA5AC%2D06E2B61A9A3C%2Ehtm" TargetMode="External"/><Relationship Id="rId4" Type="http://schemas.openxmlformats.org/officeDocument/2006/relationships/settings" Target="settings.xml"/><Relationship Id="rId9" Type="http://schemas.openxmlformats.org/officeDocument/2006/relationships/hyperlink" Target="https://docs.wto.org/dol2fe/pages/AutonomyImageProxy.aspx?TargetImage=http%3A%2F%2Fwww%2Ejustice%2Egov%2Eil%2E%2FMOJHeb%2FReshumot%2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5DC7-CBB8-4D92-BADB-639E362D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0</TotalTime>
  <Pages>3</Pages>
  <Words>1076</Words>
  <Characters>6180</Characters>
  <Application>Microsoft Office Word</Application>
  <DocSecurity>0</DocSecurity>
  <Lines>126</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7188</CharactersWithSpaces>
  <SharedDoc>false</SharedDoc>
  <HLinks>
    <vt:vector size="18" baseType="variant">
      <vt:variant>
        <vt:i4>3276848</vt:i4>
      </vt:variant>
      <vt:variant>
        <vt:i4>6</vt:i4>
      </vt:variant>
      <vt:variant>
        <vt:i4>0</vt:i4>
      </vt:variant>
      <vt:variant>
        <vt:i4>5</vt:i4>
      </vt:variant>
      <vt:variant>
        <vt:lpwstr>http://eur-lex.europa.eu/legal-content/ES/TXT/PDF/?uri=CELEX:32017R1092&amp;from=EN</vt:lpwstr>
      </vt:variant>
      <vt:variant>
        <vt:lpwstr/>
      </vt:variant>
      <vt:variant>
        <vt:i4>3211313</vt:i4>
      </vt:variant>
      <vt:variant>
        <vt:i4>3</vt:i4>
      </vt:variant>
      <vt:variant>
        <vt:i4>0</vt:i4>
      </vt:variant>
      <vt:variant>
        <vt:i4>5</vt:i4>
      </vt:variant>
      <vt:variant>
        <vt:lpwstr>http://eur-lex.europa.eu/legal-content/FR/TXT/PDF/?uri=CELEX:32017R1092&amp;from=EN</vt:lpwstr>
      </vt:variant>
      <vt:variant>
        <vt:lpwstr/>
      </vt:variant>
      <vt:variant>
        <vt:i4>3276845</vt:i4>
      </vt:variant>
      <vt:variant>
        <vt:i4>0</vt:i4>
      </vt:variant>
      <vt:variant>
        <vt:i4>0</vt:i4>
      </vt:variant>
      <vt:variant>
        <vt:i4>5</vt:i4>
      </vt:variant>
      <vt:variant>
        <vt:lpwstr>http://eur-lex.europa.eu/legal-content/EN/TXT/PDF/?uri=CELEX:32017R1092&amp;from=EN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2013-08-13T09:13:00Z</cp:lastPrinted>
  <dcterms:created xsi:type="dcterms:W3CDTF">2018-07-11T08:19:00Z</dcterms:created>
  <dcterms:modified xsi:type="dcterms:W3CDTF">2018-09-17T14:47:00Z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G/LIC/N/1/ISR/4</vt:lpwstr>
  </property>
</Properties>
</file>