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4D7E" w14:textId="73BF4BEB" w:rsidR="00337700" w:rsidRDefault="007D756D" w:rsidP="007D756D">
      <w:pPr>
        <w:pStyle w:val="Title"/>
      </w:pPr>
      <w:bookmarkStart w:id="16" w:name="_Hlk115081086"/>
      <w:r>
        <w:t>REPLIES TO QUESTIONNAIRE ON</w:t>
      </w:r>
      <w:r w:rsidR="00D9027D">
        <w:t xml:space="preserve"> </w:t>
      </w:r>
      <w:r>
        <w:t>IMPORT LICENSING PROCEDURES</w:t>
      </w:r>
    </w:p>
    <w:p w14:paraId="2E080D63" w14:textId="6A90136C" w:rsidR="00613472" w:rsidRPr="000E134C" w:rsidRDefault="00613472" w:rsidP="00613472">
      <w:pPr>
        <w:pStyle w:val="Title2"/>
      </w:pPr>
      <w:r>
        <w:t>NOTIFICATION UNDER ARTICLE 7.3 OF THE</w:t>
      </w:r>
      <w:r w:rsidR="00D9027D">
        <w:t xml:space="preserve"> </w:t>
      </w:r>
      <w:r>
        <w:t>AGREEMENT</w:t>
      </w:r>
      <w:r w:rsidR="00D9027D">
        <w:br/>
      </w:r>
      <w:r>
        <w:t>ON</w:t>
      </w:r>
      <w:r w:rsidR="00D9027D">
        <w:t xml:space="preserve"> </w:t>
      </w:r>
      <w:r>
        <w:t>IMPORT LICENSING PROCEDURES</w:t>
      </w:r>
      <w:r w:rsidR="00D9027D">
        <w:br/>
      </w:r>
      <w:r>
        <w:t>NOTIFICATION FOR 2022</w:t>
      </w:r>
    </w:p>
    <w:p w14:paraId="7F55CF41" w14:textId="4CC7E307" w:rsidR="00613472" w:rsidRPr="000E134C" w:rsidRDefault="00613472" w:rsidP="00613472">
      <w:pPr>
        <w:pStyle w:val="TitleCountry"/>
      </w:pPr>
      <w:r>
        <w:t>Argentina</w:t>
      </w:r>
    </w:p>
    <w:p w14:paraId="5CDBE0F8" w14:textId="69B85A9F" w:rsidR="007D756D" w:rsidRDefault="00613472" w:rsidP="00613472">
      <w:r>
        <w:t>The following notification, dated 14 September 2022, is being circulated at the request of the delegation of Argentina.</w:t>
      </w:r>
    </w:p>
    <w:p w14:paraId="098F4B2C" w14:textId="59438477" w:rsidR="00613472" w:rsidRDefault="00613472" w:rsidP="00613472"/>
    <w:p w14:paraId="0E3DACE3" w14:textId="78140FAE" w:rsidR="00613472" w:rsidRDefault="00613472" w:rsidP="00613472">
      <w:pPr>
        <w:jc w:val="center"/>
        <w:rPr>
          <w:b/>
        </w:rPr>
      </w:pPr>
      <w:r>
        <w:rPr>
          <w:b/>
        </w:rPr>
        <w:t>_______________</w:t>
      </w:r>
    </w:p>
    <w:p w14:paraId="34AA8584" w14:textId="77D580B1" w:rsidR="00613472" w:rsidRDefault="00613472" w:rsidP="00613472"/>
    <w:p w14:paraId="54B70574" w14:textId="77777777" w:rsidR="0017568E" w:rsidRDefault="0017568E" w:rsidP="00613472"/>
    <w:p w14:paraId="1BABBE11" w14:textId="77777777" w:rsidR="00613472" w:rsidRPr="000E134C" w:rsidRDefault="00613472" w:rsidP="00613472">
      <w:pPr>
        <w:pStyle w:val="Ttulo11"/>
        <w:spacing w:after="240"/>
        <w:ind w:left="0"/>
      </w:pPr>
      <w:r>
        <w:rPr>
          <w:color w:val="006183"/>
        </w:rPr>
        <w:t>Outline of systems</w:t>
      </w:r>
    </w:p>
    <w:p w14:paraId="26A74774" w14:textId="489EB4F2" w:rsidR="00613472" w:rsidRPr="000E134C" w:rsidRDefault="00613472" w:rsidP="00613472">
      <w:pPr>
        <w:spacing w:after="240"/>
      </w:pPr>
      <w:r>
        <w:t>1. Argentina currently has two types of import licensing system, one automatic and the other non</w:t>
      </w:r>
      <w:r w:rsidR="00156FBF">
        <w:noBreakHyphen/>
      </w:r>
      <w:r>
        <w:t>automatic, both of which are established under Resolution No. 523/2017 of the former Secretariat for Trade and the supplementary and amending regulations thereto, former Secretariat for Trade Resolutions No. 898/2017, No. 5-E/2018, No. 170/2018, No. 507/2018 and No. 526/2018, Secretariat for Industry, the Knowledge Economy and Foreign Trade Management Resolutions No. 1/2020, No. 133/2020 and No. 102/2021, and Under</w:t>
      </w:r>
      <w:r w:rsidR="00E625B1">
        <w:t>-S</w:t>
      </w:r>
      <w:r>
        <w:t>ecretariat for Trade Policy and Management Provisions No. 3/2020, No. 5/2020, No. 9/2020, No. 10/2020, No. 29/2020, No. 30/2020, No. 5/2021, No. 7/2021, No. 21/2021, No. 35/2021, No. 36/2021, No. 38/2021, No.</w:t>
      </w:r>
      <w:r w:rsidR="00156FBF">
        <w:t> </w:t>
      </w:r>
      <w:r>
        <w:t>8/2022 and No. 9/2022, and Secretariat for Trade Resolution No. 1/2022.</w:t>
      </w:r>
    </w:p>
    <w:p w14:paraId="7A6CE63C" w14:textId="77777777" w:rsidR="00613472" w:rsidRPr="000E134C" w:rsidRDefault="00613472" w:rsidP="00613472">
      <w:pPr>
        <w:pStyle w:val="Ttulo11"/>
        <w:spacing w:after="240"/>
        <w:ind w:left="0"/>
      </w:pPr>
      <w:bookmarkStart w:id="17" w:name="Finalidades_y_ámbito_de_aplicación_del_t"/>
      <w:bookmarkEnd w:id="17"/>
      <w:r>
        <w:rPr>
          <w:color w:val="006183"/>
        </w:rPr>
        <w:t>Purposes and coverage of licences</w:t>
      </w:r>
    </w:p>
    <w:p w14:paraId="3EC9755F" w14:textId="4D26FEF3" w:rsidR="00613472" w:rsidRPr="000E134C" w:rsidRDefault="00613472" w:rsidP="00613472">
      <w:pPr>
        <w:spacing w:after="240"/>
      </w:pPr>
      <w:r>
        <w:t xml:space="preserve">2. Goods classified under all MERCOSUR Common Nomenclature (NCM) tariff headings and intended for definitive entry for consumption are subject to </w:t>
      </w:r>
      <w:r>
        <w:rPr>
          <w:u w:val="single"/>
        </w:rPr>
        <w:t>automatic import licensing</w:t>
      </w:r>
      <w:r>
        <w:t>, with the exception of those listed in Annex II to former Secretariat for Trade Resolution No. 523/2017, as clarified and amended by former Secretariat for Trade Resolutions No. 898/2017, No. 5-E/2018, No. 170/2018, No. 507/2018 and No. 526/2018, former Secretariat for Industry, the Knowledge Economy and Foreign Trade Management Resolutions No. 1/2020, No. 133/2020 and No. 102/2021, and Under</w:t>
      </w:r>
      <w:r w:rsidR="00284119">
        <w:t>-S</w:t>
      </w:r>
      <w:r>
        <w:t>ecretariat for Trade Policy and Management Provisions No. 3/2020, No. 5/2020, No. 9/2020, No.</w:t>
      </w:r>
      <w:r w:rsidR="00156FBF">
        <w:t> </w:t>
      </w:r>
      <w:r>
        <w:t>10/2020, No. 29/2020, No. 30/2020, No. 5/2021, No. 7/2021, No. 21/2021, No. 35/2021, No.</w:t>
      </w:r>
      <w:r w:rsidR="00156FBF">
        <w:t> </w:t>
      </w:r>
      <w:r>
        <w:t>36/2021, No. 38/2021, No. 8/2022 and No. 9/2022, and Secretariat for Trade Resolution No.</w:t>
      </w:r>
      <w:r w:rsidR="00156FBF">
        <w:t> </w:t>
      </w:r>
      <w:r>
        <w:t xml:space="preserve">1/2022, which are subject to </w:t>
      </w:r>
      <w:r>
        <w:rPr>
          <w:u w:val="single"/>
        </w:rPr>
        <w:t>non-automatic import licensing</w:t>
      </w:r>
      <w:r>
        <w:t>.</w:t>
      </w:r>
    </w:p>
    <w:p w14:paraId="4B616DC4" w14:textId="6C2B37D9" w:rsidR="00613472" w:rsidRPr="000E134C" w:rsidRDefault="00613472" w:rsidP="00613472">
      <w:pPr>
        <w:spacing w:after="240"/>
      </w:pPr>
      <w:r>
        <w:t>3. Both types of licence apply to goods of all origins, without distinction.</w:t>
      </w:r>
    </w:p>
    <w:p w14:paraId="2BC1D977" w14:textId="26925EA7" w:rsidR="00613472" w:rsidRDefault="00613472" w:rsidP="00613472">
      <w:pPr>
        <w:spacing w:after="240"/>
      </w:pPr>
      <w:r>
        <w:t>4. Import licensing is not intended to restrict either the quantity or the value of imports. The purpose of the automatic licensing regime is to obtain an advance supply of descriptive statistical information for the historical records. The purpose of the non-automatic licensing regime is to establish an appropriate prior verification system for ensuring compliance with the conditions governing the importation of goods, in accordance with the provisions of Annex II to former Secretariat for Trade Resolution No. 523/2017 and the supplementary and amending regulations thereto.</w:t>
      </w:r>
    </w:p>
    <w:p w14:paraId="46C07AC7" w14:textId="2CB3A13E" w:rsidR="00613472" w:rsidRPr="000E134C" w:rsidRDefault="00613472" w:rsidP="00613472">
      <w:pPr>
        <w:spacing w:after="240"/>
      </w:pPr>
      <w:r>
        <w:t>5. The legal basis of the Argentine import licensing system consists of former Secretariat for Trade Resolution No. 523/2017 (Official Journal of 7 July 2017)</w:t>
      </w:r>
      <w:r w:rsidR="00284119">
        <w:t>, as clarified and amended by</w:t>
      </w:r>
      <w:r>
        <w:t xml:space="preserve"> former </w:t>
      </w:r>
      <w:r>
        <w:lastRenderedPageBreak/>
        <w:t>Secretariat for Trade Resolutions No. 898/2017, No. 5-E/2018, No. 170/2018, No. 507/2018 and No. 526/2018, former Secretariat for Industry, the Knowledge Economy and Foreign Trade Management Resolutions No. 1/2020, No. 133/2020 and No. 102/2021, and Under</w:t>
      </w:r>
      <w:r w:rsidR="00284119">
        <w:t>-S</w:t>
      </w:r>
      <w:r>
        <w:t>ecretariat for Trade Policy and Management Provisions No. 3/2020, No. 5/2020, No. 9/2020, No. 10/2020, No. 29/2020, No.</w:t>
      </w:r>
      <w:r w:rsidR="00284119">
        <w:t xml:space="preserve"> </w:t>
      </w:r>
      <w:r>
        <w:t>30/2020, No. 5/2021, No. 7/2021, No. 21/2021, No. 35/2021, No. 36/2021, No.</w:t>
      </w:r>
      <w:r w:rsidR="00156FBF">
        <w:t> </w:t>
      </w:r>
      <w:r>
        <w:t>38/2021, No. 8/2022 and No. 9/2022, and Secretariat for Trade Resolution No. 1/2022.</w:t>
      </w:r>
    </w:p>
    <w:p w14:paraId="6133083F" w14:textId="77777777" w:rsidR="00613472" w:rsidRPr="000E134C" w:rsidRDefault="00613472" w:rsidP="00613472">
      <w:pPr>
        <w:tabs>
          <w:tab w:val="left" w:pos="344"/>
        </w:tabs>
        <w:spacing w:after="240"/>
      </w:pPr>
      <w:r>
        <w:t>The updated text of Resolution No. 523/2017 may be viewed at:</w:t>
      </w:r>
    </w:p>
    <w:p w14:paraId="7DD03E90" w14:textId="0CA3A388" w:rsidR="00613472" w:rsidRPr="000E134C" w:rsidRDefault="00EF192A" w:rsidP="00613472">
      <w:pPr>
        <w:spacing w:after="240"/>
      </w:pPr>
      <w:hyperlink r:id="rId9" w:history="1">
        <w:r w:rsidR="00530D5C">
          <w:rPr>
            <w:rStyle w:val="Hyperlink"/>
          </w:rPr>
          <w:t>http://servicios.infoleg.gob.ar/infolegInternet/anexos/275000-279999/276625/texact.htm</w:t>
        </w:r>
      </w:hyperlink>
    </w:p>
    <w:p w14:paraId="38FD06CF" w14:textId="0276E372" w:rsidR="00613472" w:rsidRPr="000E134C" w:rsidRDefault="00613472" w:rsidP="00613472">
      <w:pPr>
        <w:spacing w:after="240"/>
      </w:pPr>
      <w:r>
        <w:t xml:space="preserve">Goods classified under all MERCOSUR Common Nomenclature (NCM) tariff headings and intended for definitive entry for consumption are subject to automatic import licensing, </w:t>
      </w:r>
      <w:proofErr w:type="gramStart"/>
      <w:r>
        <w:t>with the exception of</w:t>
      </w:r>
      <w:proofErr w:type="gramEnd"/>
      <w:r>
        <w:t xml:space="preserve"> those tariff headings listed in Annex II to former Secretariat for Trade Resolution No. 523/2017 and the supplementary and amending regulations thereto, which are subject to non-automatic import licensing. The executive branch does not need legislative approval to abolish the licensing regime. The Under</w:t>
      </w:r>
      <w:r w:rsidR="00284119">
        <w:t>-S</w:t>
      </w:r>
      <w:r>
        <w:t>ecretariat for Trade Policy and Management of the Secretariat for Trade</w:t>
      </w:r>
      <w:r w:rsidR="00284119">
        <w:t>,</w:t>
      </w:r>
      <w:r>
        <w:t xml:space="preserve"> under the Ministry of the Economy</w:t>
      </w:r>
      <w:r w:rsidR="00284119">
        <w:t>,</w:t>
      </w:r>
      <w:r>
        <w:t xml:space="preserve"> is the implementing authority and is empowered to issue the supplementary regulations necessary for implementation, and to make changes to the universe of goods subject to automatic and non-automatic import licensing.</w:t>
      </w:r>
    </w:p>
    <w:p w14:paraId="5DFB0DA3" w14:textId="77777777" w:rsidR="00613472" w:rsidRPr="000E134C" w:rsidRDefault="00613472" w:rsidP="00613472">
      <w:pPr>
        <w:pStyle w:val="Ttulo11"/>
        <w:spacing w:after="240"/>
        <w:ind w:left="0"/>
      </w:pPr>
      <w:bookmarkStart w:id="18" w:name="Procedimientos"/>
      <w:bookmarkEnd w:id="18"/>
      <w:r>
        <w:rPr>
          <w:color w:val="006183"/>
        </w:rPr>
        <w:t>Procedures</w:t>
      </w:r>
    </w:p>
    <w:p w14:paraId="03470946" w14:textId="0D41DB20" w:rsidR="00613472" w:rsidRPr="000E134C" w:rsidRDefault="00613472" w:rsidP="00613472">
      <w:pPr>
        <w:spacing w:after="240"/>
      </w:pPr>
      <w:r>
        <w:t>6. I-XI. Not applicable. The import licensing regime established pursuant to the above-mentioned regulations is not subject to quotas.</w:t>
      </w:r>
    </w:p>
    <w:p w14:paraId="573B7AD9" w14:textId="764DA5BE" w:rsidR="00613472" w:rsidRPr="000E134C" w:rsidRDefault="00613472" w:rsidP="00613472">
      <w:pPr>
        <w:spacing w:after="240"/>
      </w:pPr>
      <w:r>
        <w:t>7.(a)</w:t>
      </w:r>
      <w:r>
        <w:tab/>
        <w:t>Licences must be presented before the goods are cleared.</w:t>
      </w:r>
    </w:p>
    <w:p w14:paraId="1FE4CE6C" w14:textId="5341D4AC" w:rsidR="00613472" w:rsidRPr="000E134C" w:rsidRDefault="00613472" w:rsidP="00613472">
      <w:pPr>
        <w:spacing w:after="240"/>
        <w:ind w:left="567" w:hanging="567"/>
      </w:pPr>
      <w:r>
        <w:t>(b)</w:t>
      </w:r>
      <w:r>
        <w:tab/>
        <w:t xml:space="preserve">The time limits for obtaining licences meet the requirements laid down in the regulations in force and fall within the maximum periods stipulated in Article 2.2(a)(iii), for </w:t>
      </w:r>
      <w:r>
        <w:rPr>
          <w:u w:val="single"/>
        </w:rPr>
        <w:t>automatic licensing</w:t>
      </w:r>
      <w:r>
        <w:t xml:space="preserve">, and Article 3.5(f), for </w:t>
      </w:r>
      <w:r>
        <w:rPr>
          <w:u w:val="single"/>
        </w:rPr>
        <w:t>non-automatic licensing</w:t>
      </w:r>
      <w:r>
        <w:t>, of the Agreement on Import Licensing Procedures.</w:t>
      </w:r>
    </w:p>
    <w:p w14:paraId="27CFCBD2" w14:textId="1E5B6795" w:rsidR="00613472" w:rsidRPr="000E134C" w:rsidRDefault="00613472" w:rsidP="00613472">
      <w:pPr>
        <w:spacing w:after="240"/>
        <w:ind w:left="567" w:hanging="567"/>
      </w:pPr>
      <w:r>
        <w:t>(c)</w:t>
      </w:r>
      <w:r>
        <w:tab/>
        <w:t>There are no limitations as to the period of the year during which a licence application and/or importation may be made.</w:t>
      </w:r>
    </w:p>
    <w:p w14:paraId="69CAEECF" w14:textId="27D5E30C" w:rsidR="00613472" w:rsidRPr="000E134C" w:rsidRDefault="00613472" w:rsidP="00613472">
      <w:pPr>
        <w:spacing w:after="240"/>
        <w:ind w:left="567" w:hanging="567"/>
      </w:pPr>
      <w:r>
        <w:t>(d)</w:t>
      </w:r>
      <w:r>
        <w:tab/>
        <w:t>Pursuant to former Secretariat for Trade Resolution No. 523/2017, and the supplementary and amending regulations thereto, the administrative body for the submission of import licence applications and the implementing authority for the system is the Under</w:t>
      </w:r>
      <w:r w:rsidR="00634259">
        <w:t>-S</w:t>
      </w:r>
      <w:r>
        <w:t>ecretariat for Trade Policy and Management, attached to the Secretariat for Trade, under the Ministry of Economy, and may, at any time during the procedure, request the involvement of the competent technical bodies, in accordance with Article 5 of</w:t>
      </w:r>
      <w:r w:rsidR="00634259">
        <w:t xml:space="preserve"> the aforementioned</w:t>
      </w:r>
      <w:r>
        <w:t xml:space="preserve"> Resolution.</w:t>
      </w:r>
    </w:p>
    <w:p w14:paraId="29386BE5" w14:textId="11936CBB" w:rsidR="00613472" w:rsidRPr="000E134C" w:rsidRDefault="00613472" w:rsidP="00613472">
      <w:pPr>
        <w:spacing w:after="240"/>
      </w:pPr>
      <w:r>
        <w:t>8. The only reason for refusal is failure by applicants to meet the requirements set forth in the relevant regulations. Applicants are duly informed of the reasons for any refusal. All applicants have the right to plead an excuse before the assessment body.</w:t>
      </w:r>
    </w:p>
    <w:p w14:paraId="748FEADB" w14:textId="77777777" w:rsidR="00613472" w:rsidRPr="000E134C" w:rsidRDefault="00613472" w:rsidP="00613472">
      <w:pPr>
        <w:pStyle w:val="Ttulo11"/>
        <w:spacing w:after="240"/>
        <w:ind w:left="0"/>
      </w:pPr>
      <w:bookmarkStart w:id="19" w:name="Condiciones_que_deben_reunir_los_importa"/>
      <w:bookmarkEnd w:id="19"/>
      <w:r>
        <w:rPr>
          <w:color w:val="006183"/>
        </w:rPr>
        <w:t>Eligibility of importers to apply for licence</w:t>
      </w:r>
    </w:p>
    <w:p w14:paraId="5031DC61" w14:textId="0F0E595C" w:rsidR="00613472" w:rsidRPr="000E134C" w:rsidRDefault="00613472" w:rsidP="00613472">
      <w:pPr>
        <w:spacing w:after="240"/>
      </w:pPr>
      <w:r>
        <w:t>9. All persons, firms and institutions engaged in import activities and entered as such in the Federal Public Revenue Administration (AFIP) Register of Importers are eligible to apply for import licences. To obtain a non-automatic licence, registration in the Production Matrix Single Register (RUMP), established pursuant to former Ministry of Production Resolution No. 442/2016 (Official Journal of 9</w:t>
      </w:r>
      <w:r w:rsidR="00156FBF">
        <w:t> </w:t>
      </w:r>
      <w:r>
        <w:t>September 2016) and the supplementary and amending regulations thereto is also required.</w:t>
      </w:r>
    </w:p>
    <w:p w14:paraId="23E042CB" w14:textId="77777777" w:rsidR="00613472" w:rsidRPr="000E134C" w:rsidRDefault="00613472" w:rsidP="00613472">
      <w:pPr>
        <w:pStyle w:val="Ttulo11"/>
        <w:spacing w:after="240"/>
        <w:ind w:left="0"/>
      </w:pPr>
      <w:bookmarkStart w:id="20" w:name="Documentos_y_otros_requisitos_necesarios"/>
      <w:bookmarkEnd w:id="20"/>
      <w:r>
        <w:rPr>
          <w:color w:val="006183"/>
        </w:rPr>
        <w:t>Documentational and other requirements for application for licence</w:t>
      </w:r>
    </w:p>
    <w:p w14:paraId="6D6F1925" w14:textId="3517F73F" w:rsidR="00613472" w:rsidRPr="000E134C" w:rsidRDefault="00613472" w:rsidP="00613472">
      <w:pPr>
        <w:spacing w:after="240"/>
      </w:pPr>
      <w:r>
        <w:t>10. Importers submitting applications for automatic import licences are required to use the Comprehensive Import Monitoring System (SIMI), as approved by Joint Resolution No. 4.185</w:t>
      </w:r>
      <w:r w:rsidR="00156FBF">
        <w:noBreakHyphen/>
      </w:r>
      <w:r>
        <w:t xml:space="preserve">E/2018 (Official Journal of 8 January 2018), and the supplementing and amending regulations thereto, of the AFIP and the former Secretariat for Trade, and to provide the information </w:t>
      </w:r>
      <w:r>
        <w:lastRenderedPageBreak/>
        <w:t>specified in Annex I to former Secretariat for Trade Resolution No. 523/2017 and the supplementing and amending regulations thereto.</w:t>
      </w:r>
    </w:p>
    <w:p w14:paraId="5A249182" w14:textId="687B43FE" w:rsidR="00613472" w:rsidRPr="000E134C" w:rsidRDefault="00613472" w:rsidP="00613472">
      <w:pPr>
        <w:spacing w:after="240"/>
      </w:pPr>
      <w:r>
        <w:t xml:space="preserve">In addition to meeting the indicated requirement for automatic licences, interested parties submitting applications for non-automatic import licences must be enrolled on the </w:t>
      </w:r>
      <w:r w:rsidR="00634259">
        <w:t>Production Matrix Single Register (RUMP)</w:t>
      </w:r>
      <w:r>
        <w:t xml:space="preserve">, </w:t>
      </w:r>
      <w:r w:rsidR="00634259">
        <w:t>established pursuant to</w:t>
      </w:r>
      <w:r>
        <w:t xml:space="preserve"> former Ministry of Production Resolution No. 442/2016 (Official Journal of 9 September 2016), and the supplementary and amending regulations thereto, and must enter into the system, for the tariff headings of the goods to be imported, the information specified in Annex II(2) to former Ministry of Trade Resolution No.</w:t>
      </w:r>
      <w:r w:rsidR="00156FBF">
        <w:t> </w:t>
      </w:r>
      <w:r>
        <w:t>523/2017 and the supplementing and amending regulations thereto.</w:t>
      </w:r>
    </w:p>
    <w:p w14:paraId="47EF05D0" w14:textId="7DB2A2E9" w:rsidR="00613472" w:rsidRPr="000E134C" w:rsidRDefault="00613472" w:rsidP="00613472">
      <w:pPr>
        <w:spacing w:after="240"/>
      </w:pPr>
      <w:r>
        <w:t xml:space="preserve">Required information, as well as the tariff headings subject to the non-automatic licensing system, </w:t>
      </w:r>
      <w:r>
        <w:rPr>
          <w:u w:val="single"/>
        </w:rPr>
        <w:t>can be found in the updated text of Resolution No. 523/2017</w:t>
      </w:r>
      <w:r w:rsidR="00634259">
        <w:rPr>
          <w:u w:val="single"/>
        </w:rPr>
        <w:t>,</w:t>
      </w:r>
      <w:r>
        <w:rPr>
          <w:u w:val="single"/>
        </w:rPr>
        <w:t xml:space="preserve"> available at</w:t>
      </w:r>
      <w:r>
        <w:t>:</w:t>
      </w:r>
    </w:p>
    <w:p w14:paraId="37BED162" w14:textId="77777777" w:rsidR="00613472" w:rsidRPr="000E134C" w:rsidRDefault="00EF192A" w:rsidP="00613472">
      <w:pPr>
        <w:spacing w:after="240"/>
      </w:pPr>
      <w:hyperlink r:id="rId10">
        <w:r w:rsidR="00530D5C">
          <w:rPr>
            <w:color w:val="0000FF"/>
            <w:u w:val="single" w:color="0000FF"/>
          </w:rPr>
          <w:t>http://servicios.infoleg.gob.ar/infolegInternet/anexos/275000-279999/276625/texact.htm</w:t>
        </w:r>
      </w:hyperlink>
    </w:p>
    <w:p w14:paraId="2E7367C2" w14:textId="7D011172" w:rsidR="00613472" w:rsidRPr="000E134C" w:rsidRDefault="00613472" w:rsidP="00613472">
      <w:pPr>
        <w:spacing w:after="240"/>
      </w:pPr>
      <w:r>
        <w:t xml:space="preserve">In the event that the requirements described above are not duly met within 10 working days of registering the import licence </w:t>
      </w:r>
      <w:r w:rsidR="00634259">
        <w:t>application</w:t>
      </w:r>
      <w:r>
        <w:t xml:space="preserve">, the procedure will automatically be </w:t>
      </w:r>
      <w:proofErr w:type="gramStart"/>
      <w:r>
        <w:t>cancelled</w:t>
      </w:r>
      <w:proofErr w:type="gramEnd"/>
      <w:r>
        <w:t xml:space="preserve"> and its status reflected in the system as "Baja Art. 4" ("Article 4 cancellation").</w:t>
      </w:r>
    </w:p>
    <w:p w14:paraId="1C603813" w14:textId="1772C32F" w:rsidR="00613472" w:rsidRPr="000E134C" w:rsidRDefault="00613472" w:rsidP="00613472">
      <w:pPr>
        <w:spacing w:after="240"/>
      </w:pPr>
      <w:r>
        <w:t>For goods subject to non-automatic import licensing, the implementing authority may require the importer to provide any information and/or additional documents listed in Annex III to Resolution No. 523/2017 and the supplementary and amending regulations thereto. It may also request the intervention of competent technical bodies, use background information from its own sources or those of third parties, and require, should it be deemed necessary, clarifications. This information must be submitted within the time limits and conditions laid down in Article 6 of Resolution No.</w:t>
      </w:r>
      <w:r w:rsidR="00156FBF">
        <w:t> </w:t>
      </w:r>
      <w:r>
        <w:t>523/2017 and its amending regulations.</w:t>
      </w:r>
    </w:p>
    <w:p w14:paraId="3253E607" w14:textId="45AD1A08" w:rsidR="00613472" w:rsidRPr="000E134C" w:rsidRDefault="00613472" w:rsidP="00613472">
      <w:pPr>
        <w:spacing w:after="240"/>
      </w:pPr>
      <w:r>
        <w:t xml:space="preserve">11.All the information that importers are required to provide for import licence applications is set out in former Secretariat for Trade Resolution No. 523/2017 and the supplementary and amending regulations thereto. The required forms and documents can be found at </w:t>
      </w:r>
      <w:hyperlink r:id="rId11">
        <w:r>
          <w:rPr>
            <w:color w:val="0000FF"/>
            <w:u w:val="single" w:color="0000FF"/>
          </w:rPr>
          <w:t>http://www.afip.gob.ar/simi/</w:t>
        </w:r>
      </w:hyperlink>
      <w:r>
        <w:t>. In addition, two explanatory manuals with detailed and updated information on licensing procedures can be found at:</w:t>
      </w:r>
      <w:r>
        <w:rPr>
          <w:color w:val="0000FF"/>
        </w:rPr>
        <w:t xml:space="preserve"> </w:t>
      </w:r>
      <w:hyperlink r:id="rId12" w:history="1">
        <w:r>
          <w:rPr>
            <w:rStyle w:val="Hyperlink"/>
          </w:rPr>
          <w:t>https://www.argentina.gob.ar/comprobar-licencias-automaticas-para-importaciones</w:t>
        </w:r>
      </w:hyperlink>
      <w:r>
        <w:t>.</w:t>
      </w:r>
    </w:p>
    <w:p w14:paraId="57AC6C10" w14:textId="354A0EFE" w:rsidR="00613472" w:rsidRPr="000E134C" w:rsidRDefault="00A81352" w:rsidP="00613472">
      <w:pPr>
        <w:spacing w:after="240"/>
        <w:rPr>
          <w:sz w:val="20"/>
        </w:rPr>
      </w:pPr>
      <w:r>
        <w:t>12. Import licences are processed free of charge.</w:t>
      </w:r>
    </w:p>
    <w:p w14:paraId="0CBA93A2" w14:textId="752DE43C" w:rsidR="00613472" w:rsidRPr="000E134C" w:rsidRDefault="00A81352" w:rsidP="00613472">
      <w:pPr>
        <w:spacing w:after="240"/>
      </w:pPr>
      <w:r>
        <w:t>13. There is no deposit or advance payment requirement associated with the issue of import licences.</w:t>
      </w:r>
    </w:p>
    <w:p w14:paraId="6CBE5DF4" w14:textId="77777777" w:rsidR="00613472" w:rsidRPr="000E134C" w:rsidRDefault="00613472" w:rsidP="00613472">
      <w:pPr>
        <w:pStyle w:val="Ttulo11"/>
        <w:spacing w:after="240"/>
        <w:ind w:left="0"/>
      </w:pPr>
      <w:bookmarkStart w:id="21" w:name="Condiciones_de_la_expedición_de_licencia"/>
      <w:bookmarkEnd w:id="21"/>
      <w:r>
        <w:rPr>
          <w:color w:val="006183"/>
        </w:rPr>
        <w:t>Licensing conditions</w:t>
      </w:r>
    </w:p>
    <w:p w14:paraId="5E274B01" w14:textId="6496EC44" w:rsidR="00613472" w:rsidRPr="000E134C" w:rsidRDefault="00A81352" w:rsidP="00613472">
      <w:pPr>
        <w:spacing w:after="240"/>
      </w:pPr>
      <w:r>
        <w:t xml:space="preserve">14. Import licences are valid for 90 calendar days from the date of their approval in the SIMI. This period may be extended by the implementing authority, at the request of the interested party, at least 15 days prior to expiry, and for good reason. Any extension granted for non-automatic import licences will, by extension, be granted to the period of validity of any automatic licences that are included in the same declaration registered in the SIMI. In this case, if the period of validity of the automatic licence has expired, the granting of the extension shall mean that this period </w:t>
      </w:r>
      <w:r w:rsidR="00C40419">
        <w:t>will</w:t>
      </w:r>
      <w:r>
        <w:t xml:space="preserve"> be renewed until the date that this extension expires.</w:t>
      </w:r>
    </w:p>
    <w:p w14:paraId="24755ED3" w14:textId="2D2D92B2" w:rsidR="00613472" w:rsidRPr="000E134C" w:rsidRDefault="00A81352" w:rsidP="00613472">
      <w:pPr>
        <w:spacing w:after="240"/>
      </w:pPr>
      <w:r>
        <w:t xml:space="preserve">15. There are no penalties for the non-utilization or utilization of </w:t>
      </w:r>
      <w:r w:rsidR="008F0437">
        <w:t xml:space="preserve">a </w:t>
      </w:r>
      <w:r>
        <w:t>portion of a licence.</w:t>
      </w:r>
    </w:p>
    <w:p w14:paraId="45C388FD" w14:textId="3932188E" w:rsidR="00613472" w:rsidRPr="000E134C" w:rsidRDefault="00A81352" w:rsidP="00613472">
      <w:pPr>
        <w:spacing w:after="240"/>
      </w:pPr>
      <w:r>
        <w:t>16. Import licences are non-transferable.</w:t>
      </w:r>
    </w:p>
    <w:p w14:paraId="796B1E8F" w14:textId="4E2E09D1" w:rsidR="00613472" w:rsidRDefault="00613472" w:rsidP="00613472">
      <w:pPr>
        <w:spacing w:after="240"/>
      </w:pPr>
      <w:r>
        <w:t>17.(a)</w:t>
      </w:r>
      <w:r>
        <w:tab/>
      </w:r>
      <w:r w:rsidR="00B22691">
        <w:t xml:space="preserve"> </w:t>
      </w:r>
      <w:r>
        <w:t>Not applicable.</w:t>
      </w:r>
    </w:p>
    <w:p w14:paraId="1D804D30" w14:textId="51A953E6" w:rsidR="00613472" w:rsidRPr="000E134C" w:rsidRDefault="00613472" w:rsidP="00613472">
      <w:pPr>
        <w:spacing w:after="240"/>
      </w:pPr>
      <w:r>
        <w:t>(b)</w:t>
      </w:r>
      <w:r>
        <w:tab/>
        <w:t>No, only the requirements set forth in the above-mentioned regulations.</w:t>
      </w:r>
    </w:p>
    <w:p w14:paraId="3A41B268" w14:textId="77777777" w:rsidR="00613472" w:rsidRPr="000E134C" w:rsidRDefault="00613472" w:rsidP="00D9027D">
      <w:pPr>
        <w:pStyle w:val="Ttulo11"/>
        <w:keepNext/>
        <w:keepLines/>
        <w:spacing w:after="240"/>
        <w:ind w:left="0"/>
      </w:pPr>
      <w:bookmarkStart w:id="22" w:name="Otros_requisitos_en_materia_de_procedimi"/>
      <w:bookmarkEnd w:id="22"/>
      <w:r>
        <w:rPr>
          <w:color w:val="006183"/>
        </w:rPr>
        <w:lastRenderedPageBreak/>
        <w:t>Other procedural requirements</w:t>
      </w:r>
    </w:p>
    <w:p w14:paraId="0566094A" w14:textId="4884AEFA" w:rsidR="00613472" w:rsidRPr="000E134C" w:rsidRDefault="00A81352" w:rsidP="00D9027D">
      <w:pPr>
        <w:keepNext/>
        <w:keepLines/>
        <w:spacing w:after="240"/>
      </w:pPr>
      <w:r>
        <w:t>18. Certificates of compliance or exemption certificates, as appropriate, must be obtained in advance via the Integrated Foreign Trade System (SISCO) for goods covered by the provisions of former Secretariat for Industry, Trade and Small and Medium-Sized Enterprises of the former Ministry of the Economy and Production Resolution No. 220/2003 and the amendments and regulations thereto.</w:t>
      </w:r>
    </w:p>
    <w:p w14:paraId="367F16A1" w14:textId="104AB236" w:rsidR="00613472" w:rsidRPr="000E134C" w:rsidRDefault="00A81352" w:rsidP="00D9027D">
      <w:pPr>
        <w:keepNext/>
        <w:keepLines/>
        <w:spacing w:after="240"/>
      </w:pPr>
      <w:r>
        <w:t>19. There is no relation between the import licensing regime and the foreign currency exchange system.</w:t>
      </w:r>
    </w:p>
    <w:p w14:paraId="0CDAAE7C" w14:textId="3C647588" w:rsidR="00613472" w:rsidRPr="00613472" w:rsidRDefault="00613472" w:rsidP="00613472">
      <w:pPr>
        <w:jc w:val="center"/>
      </w:pPr>
      <w:r>
        <w:rPr>
          <w:b/>
        </w:rPr>
        <w:t>__________</w:t>
      </w:r>
      <w:bookmarkEnd w:id="16"/>
    </w:p>
    <w:sectPr w:rsidR="00613472" w:rsidRPr="00613472" w:rsidSect="00AE3C0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1F05" w14:textId="77777777" w:rsidR="007D756D" w:rsidRDefault="007D756D" w:rsidP="0002424F">
      <w:bookmarkStart w:id="8" w:name="_Hlk115081103"/>
      <w:bookmarkStart w:id="9" w:name="_Hlk115081104"/>
      <w:bookmarkStart w:id="10" w:name="_Hlk116642351"/>
      <w:bookmarkStart w:id="11" w:name="_Hlk116642352"/>
      <w:r>
        <w:separator/>
      </w:r>
      <w:bookmarkEnd w:id="8"/>
      <w:bookmarkEnd w:id="9"/>
      <w:bookmarkEnd w:id="10"/>
      <w:bookmarkEnd w:id="11"/>
    </w:p>
  </w:endnote>
  <w:endnote w:type="continuationSeparator" w:id="0">
    <w:p w14:paraId="63CD27DB" w14:textId="77777777" w:rsidR="007D756D" w:rsidRDefault="007D756D" w:rsidP="0002424F">
      <w:bookmarkStart w:id="12" w:name="_Hlk115081105"/>
      <w:bookmarkStart w:id="13" w:name="_Hlk115081106"/>
      <w:bookmarkStart w:id="14" w:name="_Hlk116642353"/>
      <w:bookmarkStart w:id="15" w:name="_Hlk116642354"/>
      <w:r>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1182" w14:textId="77777777" w:rsidR="007D756D" w:rsidRPr="007D756D" w:rsidRDefault="007D756D" w:rsidP="007D756D">
    <w:pPr>
      <w:pStyle w:val="Footer"/>
    </w:pPr>
    <w:bookmarkStart w:id="31" w:name="_Hlk115081091"/>
    <w:bookmarkStart w:id="32" w:name="_Hlk115081092"/>
    <w:bookmarkStart w:id="33" w:name="_Hlk116642339"/>
    <w:bookmarkStart w:id="34" w:name="_Hlk116642340"/>
    <w:r>
      <w:t xml:space="preserve"> </w:t>
    </w:r>
    <w:bookmarkEnd w:id="31"/>
    <w:bookmarkEnd w:id="32"/>
    <w:bookmarkEnd w:id="33"/>
    <w:bookmarkEnd w:id="3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3CB0" w14:textId="77777777" w:rsidR="00DD65B2" w:rsidRPr="007D756D" w:rsidRDefault="007D756D" w:rsidP="007D756D">
    <w:pPr>
      <w:pStyle w:val="Footer"/>
    </w:pPr>
    <w:bookmarkStart w:id="35" w:name="_Hlk115081093"/>
    <w:bookmarkStart w:id="36" w:name="_Hlk115081094"/>
    <w:bookmarkStart w:id="37" w:name="_Hlk116642341"/>
    <w:bookmarkStart w:id="38" w:name="_Hlk116642342"/>
    <w:r>
      <w:t xml:space="preserve"> </w:t>
    </w:r>
    <w:bookmarkEnd w:id="35"/>
    <w:bookmarkEnd w:id="36"/>
    <w:bookmarkEnd w:id="37"/>
    <w:bookmarkEnd w:id="3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B5FE" w14:textId="1A2B4A24" w:rsidR="00DD65B2" w:rsidRDefault="00DD65B2">
    <w:bookmarkStart w:id="48" w:name="_Hlk115081097"/>
    <w:bookmarkStart w:id="49" w:name="_Hlk115081098"/>
    <w:bookmarkStart w:id="50" w:name="_Hlk116642345"/>
    <w:bookmarkStart w:id="51" w:name="_Hlk116642346"/>
    <w:r>
      <w:t xml:space="preserve"> </w:t>
    </w:r>
    <w:bookmarkEnd w:id="48"/>
    <w:bookmarkEnd w:id="49"/>
    <w:bookmarkEnd w:id="50"/>
    <w:bookmarkEnd w:id="5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275C" w14:textId="77777777" w:rsidR="007D756D" w:rsidRDefault="007D756D" w:rsidP="0002424F">
      <w:bookmarkStart w:id="0" w:name="_Hlk115081099"/>
      <w:bookmarkStart w:id="1" w:name="_Hlk115081100"/>
      <w:bookmarkStart w:id="2" w:name="_Hlk116642347"/>
      <w:bookmarkStart w:id="3" w:name="_Hlk116642348"/>
      <w:r>
        <w:separator/>
      </w:r>
      <w:bookmarkEnd w:id="0"/>
      <w:bookmarkEnd w:id="1"/>
      <w:bookmarkEnd w:id="2"/>
      <w:bookmarkEnd w:id="3"/>
    </w:p>
  </w:footnote>
  <w:footnote w:type="continuationSeparator" w:id="0">
    <w:p w14:paraId="4B6B70C6" w14:textId="77777777" w:rsidR="007D756D" w:rsidRDefault="007D756D" w:rsidP="0002424F">
      <w:bookmarkStart w:id="4" w:name="_Hlk115081101"/>
      <w:bookmarkStart w:id="5" w:name="_Hlk115081102"/>
      <w:bookmarkStart w:id="6" w:name="_Hlk116642349"/>
      <w:bookmarkStart w:id="7" w:name="_Hlk116642350"/>
      <w:r>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AF58" w14:textId="77777777" w:rsidR="007D756D" w:rsidRPr="007D756D" w:rsidRDefault="007D756D" w:rsidP="007D756D">
    <w:pPr>
      <w:pStyle w:val="Header"/>
      <w:pBdr>
        <w:bottom w:val="single" w:sz="4" w:space="1" w:color="auto"/>
      </w:pBdr>
      <w:tabs>
        <w:tab w:val="clear" w:pos="4513"/>
        <w:tab w:val="clear" w:pos="9027"/>
      </w:tabs>
      <w:jc w:val="center"/>
    </w:pPr>
    <w:bookmarkStart w:id="23" w:name="_Hlk115081087"/>
    <w:bookmarkStart w:id="24" w:name="_Hlk115081088"/>
    <w:bookmarkStart w:id="25" w:name="_Hlk116642335"/>
    <w:bookmarkStart w:id="26" w:name="_Hlk116642336"/>
    <w:r>
      <w:t>G/LIC/N/3/ARG/18</w:t>
    </w:r>
  </w:p>
  <w:p w14:paraId="79D28DF8" w14:textId="77777777" w:rsidR="007D756D" w:rsidRPr="007D756D" w:rsidRDefault="007D756D" w:rsidP="007D756D">
    <w:pPr>
      <w:pStyle w:val="Header"/>
      <w:pBdr>
        <w:bottom w:val="single" w:sz="4" w:space="1" w:color="auto"/>
      </w:pBdr>
      <w:tabs>
        <w:tab w:val="clear" w:pos="4513"/>
        <w:tab w:val="clear" w:pos="9027"/>
      </w:tabs>
      <w:jc w:val="center"/>
    </w:pPr>
  </w:p>
  <w:p w14:paraId="1D9D5C7B" w14:textId="77777777" w:rsidR="007D756D" w:rsidRPr="007D756D" w:rsidRDefault="007D756D" w:rsidP="007D756D">
    <w:pPr>
      <w:pStyle w:val="Header"/>
      <w:pBdr>
        <w:bottom w:val="single" w:sz="4" w:space="1" w:color="auto"/>
      </w:pBdr>
      <w:tabs>
        <w:tab w:val="clear" w:pos="4513"/>
        <w:tab w:val="clear" w:pos="9027"/>
      </w:tabs>
      <w:jc w:val="center"/>
    </w:pPr>
    <w:r>
      <w:t xml:space="preserve">- </w:t>
    </w:r>
    <w:r w:rsidRPr="007D756D">
      <w:fldChar w:fldCharType="begin"/>
    </w:r>
    <w:r w:rsidRPr="007D756D">
      <w:instrText xml:space="preserve"> PAGE </w:instrText>
    </w:r>
    <w:r w:rsidRPr="007D756D">
      <w:fldChar w:fldCharType="separate"/>
    </w:r>
    <w:r w:rsidRPr="007D756D">
      <w:t>1</w:t>
    </w:r>
    <w:r w:rsidRPr="007D756D">
      <w:fldChar w:fldCharType="end"/>
    </w:r>
    <w:r>
      <w:t xml:space="preserve"> -</w:t>
    </w:r>
  </w:p>
  <w:bookmarkEnd w:id="23"/>
  <w:bookmarkEnd w:id="24"/>
  <w:bookmarkEnd w:id="25"/>
  <w:bookmarkEnd w:id="26"/>
  <w:p w14:paraId="38F1980D" w14:textId="77777777" w:rsidR="007D756D" w:rsidRPr="007D756D" w:rsidRDefault="007D756D" w:rsidP="007D756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09A3" w14:textId="65C6E425" w:rsidR="007D756D" w:rsidRPr="007D756D" w:rsidRDefault="007D756D" w:rsidP="007D756D">
    <w:pPr>
      <w:pStyle w:val="Header"/>
      <w:pBdr>
        <w:bottom w:val="single" w:sz="4" w:space="1" w:color="auto"/>
      </w:pBdr>
      <w:tabs>
        <w:tab w:val="clear" w:pos="4513"/>
        <w:tab w:val="clear" w:pos="9027"/>
      </w:tabs>
      <w:jc w:val="center"/>
    </w:pPr>
    <w:bookmarkStart w:id="27" w:name="_Hlk115081089"/>
    <w:bookmarkStart w:id="28" w:name="_Hlk115081090"/>
    <w:bookmarkStart w:id="29" w:name="_Hlk116642337"/>
    <w:bookmarkStart w:id="30" w:name="_Hlk116642338"/>
    <w:r>
      <w:t>G/LIC/N/3/ARG/18</w:t>
    </w:r>
  </w:p>
  <w:p w14:paraId="7519652A" w14:textId="77777777" w:rsidR="007D756D" w:rsidRPr="007D756D" w:rsidRDefault="007D756D" w:rsidP="007D756D">
    <w:pPr>
      <w:pStyle w:val="Header"/>
      <w:pBdr>
        <w:bottom w:val="single" w:sz="4" w:space="1" w:color="auto"/>
      </w:pBdr>
      <w:tabs>
        <w:tab w:val="clear" w:pos="4513"/>
        <w:tab w:val="clear" w:pos="9027"/>
      </w:tabs>
      <w:jc w:val="center"/>
    </w:pPr>
  </w:p>
  <w:p w14:paraId="6A4AE9E0" w14:textId="77777777" w:rsidR="007D756D" w:rsidRPr="007D756D" w:rsidRDefault="007D756D" w:rsidP="007D756D">
    <w:pPr>
      <w:pStyle w:val="Header"/>
      <w:pBdr>
        <w:bottom w:val="single" w:sz="4" w:space="1" w:color="auto"/>
      </w:pBdr>
      <w:tabs>
        <w:tab w:val="clear" w:pos="4513"/>
        <w:tab w:val="clear" w:pos="9027"/>
      </w:tabs>
      <w:jc w:val="center"/>
    </w:pPr>
    <w:r>
      <w:t xml:space="preserve">- </w:t>
    </w:r>
    <w:r w:rsidRPr="007D756D">
      <w:fldChar w:fldCharType="begin"/>
    </w:r>
    <w:r w:rsidRPr="007D756D">
      <w:instrText xml:space="preserve"> PAGE </w:instrText>
    </w:r>
    <w:r w:rsidRPr="007D756D">
      <w:fldChar w:fldCharType="separate"/>
    </w:r>
    <w:r w:rsidRPr="007D756D">
      <w:t>1</w:t>
    </w:r>
    <w:r w:rsidRPr="007D756D">
      <w:fldChar w:fldCharType="end"/>
    </w:r>
    <w:r>
      <w:t xml:space="preserve"> -</w:t>
    </w:r>
  </w:p>
  <w:bookmarkEnd w:id="27"/>
  <w:bookmarkEnd w:id="28"/>
  <w:bookmarkEnd w:id="29"/>
  <w:bookmarkEnd w:id="30"/>
  <w:p w14:paraId="56FB2CB0" w14:textId="77777777" w:rsidR="00DD65B2" w:rsidRPr="007D756D" w:rsidRDefault="00DD65B2" w:rsidP="007D756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5D4F0E" w:rsidRPr="00C400B5" w14:paraId="3608BD19" w14:textId="77777777" w:rsidTr="001F5CE0">
      <w:trPr>
        <w:trHeight w:val="240"/>
        <w:jc w:val="center"/>
      </w:trPr>
      <w:tc>
        <w:tcPr>
          <w:tcW w:w="3818" w:type="dxa"/>
          <w:shd w:val="clear" w:color="auto" w:fill="FFFFFF"/>
          <w:tcMar>
            <w:top w:w="0" w:type="dxa"/>
            <w:left w:w="108" w:type="dxa"/>
            <w:bottom w:w="0" w:type="dxa"/>
            <w:right w:w="108" w:type="dxa"/>
          </w:tcMar>
          <w:vAlign w:val="center"/>
        </w:tcPr>
        <w:p w14:paraId="1E30D884" w14:textId="77777777" w:rsidR="005D4F0E" w:rsidRPr="00C400B5" w:rsidRDefault="005D4F0E">
          <w:pPr>
            <w:rPr>
              <w:rFonts w:cs="Times New Roman"/>
              <w:noProof/>
              <w:szCs w:val="18"/>
            </w:rPr>
          </w:pPr>
          <w:bookmarkStart w:id="39" w:name="bmkRestricted"/>
          <w:bookmarkStart w:id="40" w:name="_Hlk115081095"/>
          <w:bookmarkStart w:id="41" w:name="_Hlk115081096"/>
          <w:bookmarkStart w:id="42" w:name="_Hlk116642343"/>
          <w:bookmarkStart w:id="43" w:name="_Hlk116642344"/>
        </w:p>
      </w:tc>
      <w:tc>
        <w:tcPr>
          <w:tcW w:w="5424" w:type="dxa"/>
          <w:gridSpan w:val="2"/>
          <w:shd w:val="clear" w:color="auto" w:fill="FFFFFF"/>
          <w:tcMar>
            <w:top w:w="0" w:type="dxa"/>
            <w:left w:w="108" w:type="dxa"/>
            <w:bottom w:w="0" w:type="dxa"/>
            <w:right w:w="108" w:type="dxa"/>
          </w:tcMar>
          <w:vAlign w:val="center"/>
        </w:tcPr>
        <w:p w14:paraId="52EF0111" w14:textId="77777777" w:rsidR="005D4F0E" w:rsidRPr="00C400B5" w:rsidRDefault="005D4F0E">
          <w:pPr>
            <w:jc w:val="right"/>
            <w:rPr>
              <w:rFonts w:cs="Times New Roman"/>
              <w:b/>
              <w:color w:val="FF0000"/>
              <w:szCs w:val="18"/>
            </w:rPr>
          </w:pPr>
        </w:p>
      </w:tc>
    </w:tr>
    <w:bookmarkEnd w:id="39"/>
    <w:tr w:rsidR="005D4F0E" w:rsidRPr="00C400B5" w14:paraId="24736AA9" w14:textId="77777777" w:rsidTr="001F5CE0">
      <w:trPr>
        <w:trHeight w:val="213"/>
        <w:jc w:val="center"/>
      </w:trPr>
      <w:tc>
        <w:tcPr>
          <w:tcW w:w="3818" w:type="dxa"/>
          <w:vMerge w:val="restart"/>
          <w:shd w:val="clear" w:color="auto" w:fill="FFFFFF"/>
          <w:hideMark/>
        </w:tcPr>
        <w:p w14:paraId="084B2C58" w14:textId="2A47CD18" w:rsidR="005D4F0E" w:rsidRPr="00C400B5" w:rsidRDefault="007C2DED">
          <w:pPr>
            <w:jc w:val="left"/>
            <w:rPr>
              <w:rFonts w:cs="Times New Roman"/>
              <w:szCs w:val="18"/>
            </w:rPr>
          </w:pPr>
          <w:r>
            <w:rPr>
              <w:rFonts w:cs="Times New Roman"/>
              <w:noProof/>
              <w:szCs w:val="18"/>
            </w:rPr>
            <w:drawing>
              <wp:inline distT="0" distB="0" distL="0" distR="0" wp14:anchorId="1F93E39E" wp14:editId="2E338622">
                <wp:extent cx="2424430" cy="72072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4430" cy="720725"/>
                        </a:xfrm>
                        <a:prstGeom prst="rect">
                          <a:avLst/>
                        </a:prstGeom>
                      </pic:spPr>
                    </pic:pic>
                  </a:graphicData>
                </a:graphic>
              </wp:inline>
            </w:drawing>
          </w:r>
        </w:p>
      </w:tc>
      <w:tc>
        <w:tcPr>
          <w:tcW w:w="5424" w:type="dxa"/>
          <w:gridSpan w:val="2"/>
          <w:shd w:val="clear" w:color="auto" w:fill="FFFFFF"/>
          <w:tcMar>
            <w:top w:w="0" w:type="dxa"/>
            <w:left w:w="108" w:type="dxa"/>
            <w:bottom w:w="0" w:type="dxa"/>
            <w:right w:w="108" w:type="dxa"/>
          </w:tcMar>
        </w:tcPr>
        <w:p w14:paraId="46F0F1A7" w14:textId="77777777" w:rsidR="005D4F0E" w:rsidRPr="00C400B5" w:rsidRDefault="005D4F0E">
          <w:pPr>
            <w:jc w:val="right"/>
            <w:rPr>
              <w:rFonts w:cs="Times New Roman"/>
              <w:b/>
              <w:szCs w:val="18"/>
            </w:rPr>
          </w:pPr>
        </w:p>
      </w:tc>
    </w:tr>
    <w:tr w:rsidR="005D4F0E" w:rsidRPr="00C400B5" w14:paraId="7902EBAD" w14:textId="77777777" w:rsidTr="001F5CE0">
      <w:trPr>
        <w:trHeight w:val="868"/>
        <w:jc w:val="center"/>
      </w:trPr>
      <w:tc>
        <w:tcPr>
          <w:tcW w:w="3818" w:type="dxa"/>
          <w:vMerge/>
          <w:vAlign w:val="center"/>
          <w:hideMark/>
        </w:tcPr>
        <w:p w14:paraId="7ACFAACF" w14:textId="77777777" w:rsidR="005D4F0E" w:rsidRPr="00C400B5" w:rsidRDefault="005D4F0E">
          <w:pPr>
            <w:jc w:val="left"/>
            <w:rPr>
              <w:rFonts w:cs="Times New Roman"/>
              <w:szCs w:val="18"/>
            </w:rPr>
          </w:pPr>
        </w:p>
      </w:tc>
      <w:tc>
        <w:tcPr>
          <w:tcW w:w="5424" w:type="dxa"/>
          <w:gridSpan w:val="2"/>
          <w:shd w:val="clear" w:color="auto" w:fill="FFFFFF"/>
          <w:tcMar>
            <w:top w:w="0" w:type="dxa"/>
            <w:left w:w="108" w:type="dxa"/>
            <w:bottom w:w="0" w:type="dxa"/>
            <w:right w:w="108" w:type="dxa"/>
          </w:tcMar>
          <w:hideMark/>
        </w:tcPr>
        <w:p w14:paraId="0BD8CA1A" w14:textId="77777777" w:rsidR="007D756D" w:rsidRDefault="007D756D" w:rsidP="005D4F0E">
          <w:pPr>
            <w:jc w:val="right"/>
            <w:rPr>
              <w:b/>
              <w:szCs w:val="18"/>
            </w:rPr>
          </w:pPr>
          <w:bookmarkStart w:id="44" w:name="bmkSymbols"/>
          <w:r>
            <w:rPr>
              <w:b/>
            </w:rPr>
            <w:t>G/LIC/N/3/ARG/18</w:t>
          </w:r>
        </w:p>
        <w:bookmarkEnd w:id="44"/>
        <w:p w14:paraId="16CE0783" w14:textId="77777777" w:rsidR="005D4F0E" w:rsidRPr="00C400B5" w:rsidRDefault="005D4F0E" w:rsidP="005D4F0E">
          <w:pPr>
            <w:jc w:val="right"/>
            <w:rPr>
              <w:rFonts w:cs="Times New Roman"/>
              <w:b/>
              <w:szCs w:val="18"/>
            </w:rPr>
          </w:pPr>
        </w:p>
      </w:tc>
    </w:tr>
    <w:tr w:rsidR="005D4F0E" w:rsidRPr="00C400B5" w14:paraId="6B83533B" w14:textId="77777777" w:rsidTr="001F5CE0">
      <w:trPr>
        <w:trHeight w:val="240"/>
        <w:jc w:val="center"/>
      </w:trPr>
      <w:tc>
        <w:tcPr>
          <w:tcW w:w="3818" w:type="dxa"/>
          <w:vMerge/>
          <w:vAlign w:val="center"/>
          <w:hideMark/>
        </w:tcPr>
        <w:p w14:paraId="001849CE" w14:textId="77777777" w:rsidR="005D4F0E" w:rsidRPr="00C400B5" w:rsidRDefault="005D4F0E">
          <w:pPr>
            <w:jc w:val="left"/>
            <w:rPr>
              <w:rFonts w:cs="Times New Roman"/>
              <w:szCs w:val="18"/>
            </w:rPr>
          </w:pPr>
        </w:p>
      </w:tc>
      <w:tc>
        <w:tcPr>
          <w:tcW w:w="5424" w:type="dxa"/>
          <w:gridSpan w:val="2"/>
          <w:shd w:val="clear" w:color="auto" w:fill="FFFFFF"/>
          <w:tcMar>
            <w:top w:w="0" w:type="dxa"/>
            <w:left w:w="108" w:type="dxa"/>
            <w:bottom w:w="0" w:type="dxa"/>
            <w:right w:w="108" w:type="dxa"/>
          </w:tcMar>
          <w:vAlign w:val="center"/>
          <w:hideMark/>
        </w:tcPr>
        <w:p w14:paraId="3ED42459" w14:textId="638EA4CE" w:rsidR="005D4F0E" w:rsidRPr="00C400B5" w:rsidRDefault="00007125" w:rsidP="005D4F0E">
          <w:pPr>
            <w:jc w:val="right"/>
            <w:rPr>
              <w:rFonts w:cs="Times New Roman"/>
              <w:szCs w:val="18"/>
            </w:rPr>
          </w:pPr>
          <w:r>
            <w:t>26 September 2022</w:t>
          </w:r>
        </w:p>
      </w:tc>
    </w:tr>
    <w:tr w:rsidR="005D4F0E" w:rsidRPr="00C400B5" w14:paraId="3A411130" w14:textId="77777777" w:rsidTr="001F5C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281CF14D" w14:textId="4133458F" w:rsidR="005D4F0E" w:rsidRPr="00C400B5" w:rsidRDefault="005D4F0E">
          <w:pPr>
            <w:jc w:val="left"/>
            <w:rPr>
              <w:rFonts w:cs="Times New Roman"/>
              <w:b/>
              <w:szCs w:val="18"/>
            </w:rPr>
          </w:pPr>
          <w:bookmarkStart w:id="45" w:name="bmkSerial"/>
          <w:r>
            <w:rPr>
              <w:color w:val="FF0000"/>
            </w:rPr>
            <w:t>(22-</w:t>
          </w:r>
          <w:r w:rsidR="00D9027D">
            <w:rPr>
              <w:color w:val="FF0000"/>
            </w:rPr>
            <w:t>7201</w:t>
          </w:r>
          <w:r>
            <w:rPr>
              <w:color w:val="FF0000"/>
            </w:rPr>
            <w:t>)</w:t>
          </w:r>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7961DBFA" w14:textId="77777777" w:rsidR="005D4F0E" w:rsidRPr="00C400B5" w:rsidRDefault="005D4F0E" w:rsidP="005D4F0E">
          <w:pPr>
            <w:jc w:val="right"/>
            <w:rPr>
              <w:rFonts w:cs="Times New Roman"/>
              <w:szCs w:val="18"/>
            </w:rPr>
          </w:pPr>
          <w:bookmarkStart w:id="46" w:name="bmkTotPages"/>
          <w:r>
            <w:t xml:space="preserve">Page: </w:t>
          </w:r>
          <w:r w:rsidRPr="00C400B5">
            <w:fldChar w:fldCharType="begin"/>
          </w:r>
          <w:r w:rsidRPr="00C400B5">
            <w:instrText xml:space="preserve"> PAGE  \* Arabic  \* MERGEFORMAT </w:instrText>
          </w:r>
          <w:r w:rsidRPr="00C400B5">
            <w:fldChar w:fldCharType="separate"/>
          </w:r>
          <w:r w:rsidR="00957719">
            <w:t>1</w:t>
          </w:r>
          <w:r w:rsidRPr="00C400B5">
            <w:fldChar w:fldCharType="end"/>
          </w:r>
          <w:r>
            <w:t>/</w:t>
          </w:r>
          <w:fldSimple w:instr=" NUMPAGES  \* Arabic  \* MERGEFORMAT ">
            <w:r w:rsidR="00957719">
              <w:t>1</w:t>
            </w:r>
          </w:fldSimple>
          <w:bookmarkEnd w:id="46"/>
        </w:p>
      </w:tc>
    </w:tr>
    <w:bookmarkEnd w:id="45"/>
    <w:tr w:rsidR="005D4F0E" w:rsidRPr="00C400B5" w14:paraId="7083B814" w14:textId="77777777" w:rsidTr="001F5C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6D3D3294" w14:textId="62C8EA54" w:rsidR="005D4F0E" w:rsidRPr="00C400B5" w:rsidRDefault="007D756D">
          <w:pPr>
            <w:jc w:val="left"/>
            <w:rPr>
              <w:rFonts w:cs="Times New Roman"/>
              <w:szCs w:val="18"/>
            </w:rPr>
          </w:pPr>
          <w:r>
            <w:rPr>
              <w:b/>
            </w:rPr>
            <w:t>Committee on Import Licensing</w:t>
          </w:r>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5FCA574B" w14:textId="77777777" w:rsidR="005D4F0E" w:rsidRPr="00C400B5" w:rsidRDefault="007D756D">
          <w:pPr>
            <w:jc w:val="right"/>
            <w:rPr>
              <w:rFonts w:cs="Times New Roman"/>
              <w:bCs/>
              <w:szCs w:val="18"/>
            </w:rPr>
          </w:pPr>
          <w:bookmarkStart w:id="47" w:name="bmkLanguage"/>
          <w:r>
            <w:t>Original: Spanish</w:t>
          </w:r>
          <w:bookmarkEnd w:id="47"/>
        </w:p>
      </w:tc>
    </w:tr>
    <w:bookmarkEnd w:id="40"/>
    <w:bookmarkEnd w:id="41"/>
    <w:bookmarkEnd w:id="42"/>
    <w:bookmarkEnd w:id="43"/>
  </w:tbl>
  <w:p w14:paraId="0839BD52" w14:textId="77777777" w:rsidR="00DD65B2" w:rsidRPr="00B07663"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C0E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806D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980C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0EEA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41804808"/>
    <w:lvl w:ilvl="0">
      <w:start w:val="1"/>
      <w:numFmt w:val="decimal"/>
      <w:pStyle w:val="ListNumber"/>
      <w:lvlText w:val="%1."/>
      <w:lvlJc w:val="left"/>
      <w:pPr>
        <w:tabs>
          <w:tab w:val="num" w:pos="360"/>
        </w:tabs>
        <w:ind w:left="360" w:hanging="360"/>
      </w:pPr>
    </w:lvl>
  </w:abstractNum>
  <w:abstractNum w:abstractNumId="5" w15:restartNumberingAfterBreak="0">
    <w:nsid w:val="057E6DCC"/>
    <w:multiLevelType w:val="hybridMultilevel"/>
    <w:tmpl w:val="FA14574E"/>
    <w:lvl w:ilvl="0" w:tplc="B656870E">
      <w:start w:val="18"/>
      <w:numFmt w:val="decimal"/>
      <w:lvlText w:val="%1."/>
      <w:lvlJc w:val="left"/>
      <w:pPr>
        <w:ind w:left="100" w:hanging="383"/>
      </w:pPr>
      <w:rPr>
        <w:rFonts w:ascii="Verdana" w:eastAsia="Verdana" w:hAnsi="Verdana" w:cs="Verdana" w:hint="default"/>
        <w:spacing w:val="-1"/>
        <w:w w:val="100"/>
        <w:sz w:val="18"/>
        <w:szCs w:val="18"/>
        <w:lang w:val="es-ES" w:eastAsia="en-US" w:bidi="ar-SA"/>
      </w:rPr>
    </w:lvl>
    <w:lvl w:ilvl="1" w:tplc="88A000CA">
      <w:numFmt w:val="bullet"/>
      <w:lvlText w:val="•"/>
      <w:lvlJc w:val="left"/>
      <w:pPr>
        <w:ind w:left="1014" w:hanging="383"/>
      </w:pPr>
      <w:rPr>
        <w:rFonts w:hint="default"/>
        <w:lang w:val="es-ES" w:eastAsia="en-US" w:bidi="ar-SA"/>
      </w:rPr>
    </w:lvl>
    <w:lvl w:ilvl="2" w:tplc="8A660EF0">
      <w:numFmt w:val="bullet"/>
      <w:lvlText w:val="•"/>
      <w:lvlJc w:val="left"/>
      <w:pPr>
        <w:ind w:left="1929" w:hanging="383"/>
      </w:pPr>
      <w:rPr>
        <w:rFonts w:hint="default"/>
        <w:lang w:val="es-ES" w:eastAsia="en-US" w:bidi="ar-SA"/>
      </w:rPr>
    </w:lvl>
    <w:lvl w:ilvl="3" w:tplc="5406FEBE">
      <w:numFmt w:val="bullet"/>
      <w:lvlText w:val="•"/>
      <w:lvlJc w:val="left"/>
      <w:pPr>
        <w:ind w:left="2843" w:hanging="383"/>
      </w:pPr>
      <w:rPr>
        <w:rFonts w:hint="default"/>
        <w:lang w:val="es-ES" w:eastAsia="en-US" w:bidi="ar-SA"/>
      </w:rPr>
    </w:lvl>
    <w:lvl w:ilvl="4" w:tplc="4DCC0CAE">
      <w:numFmt w:val="bullet"/>
      <w:lvlText w:val="•"/>
      <w:lvlJc w:val="left"/>
      <w:pPr>
        <w:ind w:left="3758" w:hanging="383"/>
      </w:pPr>
      <w:rPr>
        <w:rFonts w:hint="default"/>
        <w:lang w:val="es-ES" w:eastAsia="en-US" w:bidi="ar-SA"/>
      </w:rPr>
    </w:lvl>
    <w:lvl w:ilvl="5" w:tplc="C1960FBA">
      <w:numFmt w:val="bullet"/>
      <w:lvlText w:val="•"/>
      <w:lvlJc w:val="left"/>
      <w:pPr>
        <w:ind w:left="4673" w:hanging="383"/>
      </w:pPr>
      <w:rPr>
        <w:rFonts w:hint="default"/>
        <w:lang w:val="es-ES" w:eastAsia="en-US" w:bidi="ar-SA"/>
      </w:rPr>
    </w:lvl>
    <w:lvl w:ilvl="6" w:tplc="A54A97A4">
      <w:numFmt w:val="bullet"/>
      <w:lvlText w:val="•"/>
      <w:lvlJc w:val="left"/>
      <w:pPr>
        <w:ind w:left="5587" w:hanging="383"/>
      </w:pPr>
      <w:rPr>
        <w:rFonts w:hint="default"/>
        <w:lang w:val="es-ES" w:eastAsia="en-US" w:bidi="ar-SA"/>
      </w:rPr>
    </w:lvl>
    <w:lvl w:ilvl="7" w:tplc="D68C5FA2">
      <w:numFmt w:val="bullet"/>
      <w:lvlText w:val="•"/>
      <w:lvlJc w:val="left"/>
      <w:pPr>
        <w:ind w:left="6502" w:hanging="383"/>
      </w:pPr>
      <w:rPr>
        <w:rFonts w:hint="default"/>
        <w:lang w:val="es-ES" w:eastAsia="en-US" w:bidi="ar-SA"/>
      </w:rPr>
    </w:lvl>
    <w:lvl w:ilvl="8" w:tplc="5A1AF642">
      <w:numFmt w:val="bullet"/>
      <w:lvlText w:val="•"/>
      <w:lvlJc w:val="left"/>
      <w:pPr>
        <w:ind w:left="7417" w:hanging="383"/>
      </w:pPr>
      <w:rPr>
        <w:rFonts w:hint="default"/>
        <w:lang w:val="es-ES" w:eastAsia="en-US" w:bidi="ar-SA"/>
      </w:rPr>
    </w:lvl>
  </w:abstractNum>
  <w:abstractNum w:abstractNumId="6" w15:restartNumberingAfterBreak="0">
    <w:nsid w:val="0A756A40"/>
    <w:multiLevelType w:val="hybridMultilevel"/>
    <w:tmpl w:val="D7F45D16"/>
    <w:lvl w:ilvl="0" w:tplc="B2CCE684">
      <w:start w:val="1"/>
      <w:numFmt w:val="decimal"/>
      <w:lvlText w:val="%1."/>
      <w:lvlJc w:val="left"/>
      <w:pPr>
        <w:ind w:left="100" w:hanging="276"/>
      </w:pPr>
      <w:rPr>
        <w:rFonts w:ascii="Verdana" w:eastAsia="Verdana" w:hAnsi="Verdana" w:cs="Verdana" w:hint="default"/>
        <w:w w:val="100"/>
        <w:sz w:val="18"/>
        <w:szCs w:val="18"/>
        <w:lang w:val="es-ES" w:eastAsia="en-US" w:bidi="ar-SA"/>
      </w:rPr>
    </w:lvl>
    <w:lvl w:ilvl="1" w:tplc="1CA2E9A2">
      <w:numFmt w:val="bullet"/>
      <w:lvlText w:val="•"/>
      <w:lvlJc w:val="left"/>
      <w:pPr>
        <w:ind w:left="1014" w:hanging="276"/>
      </w:pPr>
      <w:rPr>
        <w:rFonts w:hint="default"/>
        <w:lang w:val="es-ES" w:eastAsia="en-US" w:bidi="ar-SA"/>
      </w:rPr>
    </w:lvl>
    <w:lvl w:ilvl="2" w:tplc="8C7E29A6">
      <w:numFmt w:val="bullet"/>
      <w:lvlText w:val="•"/>
      <w:lvlJc w:val="left"/>
      <w:pPr>
        <w:ind w:left="1929" w:hanging="276"/>
      </w:pPr>
      <w:rPr>
        <w:rFonts w:hint="default"/>
        <w:lang w:val="es-ES" w:eastAsia="en-US" w:bidi="ar-SA"/>
      </w:rPr>
    </w:lvl>
    <w:lvl w:ilvl="3" w:tplc="2BC81A62">
      <w:numFmt w:val="bullet"/>
      <w:lvlText w:val="•"/>
      <w:lvlJc w:val="left"/>
      <w:pPr>
        <w:ind w:left="2843" w:hanging="276"/>
      </w:pPr>
      <w:rPr>
        <w:rFonts w:hint="default"/>
        <w:lang w:val="es-ES" w:eastAsia="en-US" w:bidi="ar-SA"/>
      </w:rPr>
    </w:lvl>
    <w:lvl w:ilvl="4" w:tplc="89A635B6">
      <w:numFmt w:val="bullet"/>
      <w:lvlText w:val="•"/>
      <w:lvlJc w:val="left"/>
      <w:pPr>
        <w:ind w:left="3758" w:hanging="276"/>
      </w:pPr>
      <w:rPr>
        <w:rFonts w:hint="default"/>
        <w:lang w:val="es-ES" w:eastAsia="en-US" w:bidi="ar-SA"/>
      </w:rPr>
    </w:lvl>
    <w:lvl w:ilvl="5" w:tplc="16D8D13A">
      <w:numFmt w:val="bullet"/>
      <w:lvlText w:val="•"/>
      <w:lvlJc w:val="left"/>
      <w:pPr>
        <w:ind w:left="4673" w:hanging="276"/>
      </w:pPr>
      <w:rPr>
        <w:rFonts w:hint="default"/>
        <w:lang w:val="es-ES" w:eastAsia="en-US" w:bidi="ar-SA"/>
      </w:rPr>
    </w:lvl>
    <w:lvl w:ilvl="6" w:tplc="31003FE0">
      <w:numFmt w:val="bullet"/>
      <w:lvlText w:val="•"/>
      <w:lvlJc w:val="left"/>
      <w:pPr>
        <w:ind w:left="5587" w:hanging="276"/>
      </w:pPr>
      <w:rPr>
        <w:rFonts w:hint="default"/>
        <w:lang w:val="es-ES" w:eastAsia="en-US" w:bidi="ar-SA"/>
      </w:rPr>
    </w:lvl>
    <w:lvl w:ilvl="7" w:tplc="C4E4E1B8">
      <w:numFmt w:val="bullet"/>
      <w:lvlText w:val="•"/>
      <w:lvlJc w:val="left"/>
      <w:pPr>
        <w:ind w:left="6502" w:hanging="276"/>
      </w:pPr>
      <w:rPr>
        <w:rFonts w:hint="default"/>
        <w:lang w:val="es-ES" w:eastAsia="en-US" w:bidi="ar-SA"/>
      </w:rPr>
    </w:lvl>
    <w:lvl w:ilvl="8" w:tplc="F2E4C5FA">
      <w:numFmt w:val="bullet"/>
      <w:lvlText w:val="•"/>
      <w:lvlJc w:val="left"/>
      <w:pPr>
        <w:ind w:left="7417" w:hanging="276"/>
      </w:pPr>
      <w:rPr>
        <w:rFonts w:hint="default"/>
        <w:lang w:val="es-ES" w:eastAsia="en-US" w:bidi="ar-SA"/>
      </w:rPr>
    </w:lvl>
  </w:abstractNum>
  <w:abstractNum w:abstractNumId="7"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9"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0" w15:restartNumberingAfterBreak="0">
    <w:nsid w:val="5BB3330A"/>
    <w:multiLevelType w:val="hybridMultilevel"/>
    <w:tmpl w:val="666EE0A4"/>
    <w:lvl w:ilvl="0" w:tplc="AF00395A">
      <w:start w:val="2"/>
      <w:numFmt w:val="lowerLetter"/>
      <w:lvlText w:val="(%1)"/>
      <w:lvlJc w:val="left"/>
      <w:pPr>
        <w:ind w:left="668" w:hanging="568"/>
      </w:pPr>
      <w:rPr>
        <w:rFonts w:ascii="Verdana" w:eastAsia="Verdana" w:hAnsi="Verdana" w:cs="Verdana" w:hint="default"/>
        <w:spacing w:val="-1"/>
        <w:w w:val="100"/>
        <w:sz w:val="18"/>
        <w:szCs w:val="18"/>
        <w:lang w:val="es-ES" w:eastAsia="en-US" w:bidi="ar-SA"/>
      </w:rPr>
    </w:lvl>
    <w:lvl w:ilvl="1" w:tplc="A934B5D4">
      <w:numFmt w:val="bullet"/>
      <w:lvlText w:val="•"/>
      <w:lvlJc w:val="left"/>
      <w:pPr>
        <w:ind w:left="1518" w:hanging="568"/>
      </w:pPr>
      <w:rPr>
        <w:rFonts w:hint="default"/>
        <w:lang w:val="es-ES" w:eastAsia="en-US" w:bidi="ar-SA"/>
      </w:rPr>
    </w:lvl>
    <w:lvl w:ilvl="2" w:tplc="2836214A">
      <w:numFmt w:val="bullet"/>
      <w:lvlText w:val="•"/>
      <w:lvlJc w:val="left"/>
      <w:pPr>
        <w:ind w:left="2377" w:hanging="568"/>
      </w:pPr>
      <w:rPr>
        <w:rFonts w:hint="default"/>
        <w:lang w:val="es-ES" w:eastAsia="en-US" w:bidi="ar-SA"/>
      </w:rPr>
    </w:lvl>
    <w:lvl w:ilvl="3" w:tplc="69F2DF8A">
      <w:numFmt w:val="bullet"/>
      <w:lvlText w:val="•"/>
      <w:lvlJc w:val="left"/>
      <w:pPr>
        <w:ind w:left="3235" w:hanging="568"/>
      </w:pPr>
      <w:rPr>
        <w:rFonts w:hint="default"/>
        <w:lang w:val="es-ES" w:eastAsia="en-US" w:bidi="ar-SA"/>
      </w:rPr>
    </w:lvl>
    <w:lvl w:ilvl="4" w:tplc="465225C6">
      <w:numFmt w:val="bullet"/>
      <w:lvlText w:val="•"/>
      <w:lvlJc w:val="left"/>
      <w:pPr>
        <w:ind w:left="4094" w:hanging="568"/>
      </w:pPr>
      <w:rPr>
        <w:rFonts w:hint="default"/>
        <w:lang w:val="es-ES" w:eastAsia="en-US" w:bidi="ar-SA"/>
      </w:rPr>
    </w:lvl>
    <w:lvl w:ilvl="5" w:tplc="AA9CD360">
      <w:numFmt w:val="bullet"/>
      <w:lvlText w:val="•"/>
      <w:lvlJc w:val="left"/>
      <w:pPr>
        <w:ind w:left="4953" w:hanging="568"/>
      </w:pPr>
      <w:rPr>
        <w:rFonts w:hint="default"/>
        <w:lang w:val="es-ES" w:eastAsia="en-US" w:bidi="ar-SA"/>
      </w:rPr>
    </w:lvl>
    <w:lvl w:ilvl="6" w:tplc="923CAE80">
      <w:numFmt w:val="bullet"/>
      <w:lvlText w:val="•"/>
      <w:lvlJc w:val="left"/>
      <w:pPr>
        <w:ind w:left="5811" w:hanging="568"/>
      </w:pPr>
      <w:rPr>
        <w:rFonts w:hint="default"/>
        <w:lang w:val="es-ES" w:eastAsia="en-US" w:bidi="ar-SA"/>
      </w:rPr>
    </w:lvl>
    <w:lvl w:ilvl="7" w:tplc="09D81A00">
      <w:numFmt w:val="bullet"/>
      <w:lvlText w:val="•"/>
      <w:lvlJc w:val="left"/>
      <w:pPr>
        <w:ind w:left="6670" w:hanging="568"/>
      </w:pPr>
      <w:rPr>
        <w:rFonts w:hint="default"/>
        <w:lang w:val="es-ES" w:eastAsia="en-US" w:bidi="ar-SA"/>
      </w:rPr>
    </w:lvl>
    <w:lvl w:ilvl="8" w:tplc="E8A0CEC0">
      <w:numFmt w:val="bullet"/>
      <w:lvlText w:val="•"/>
      <w:lvlJc w:val="left"/>
      <w:pPr>
        <w:ind w:left="7529" w:hanging="568"/>
      </w:pPr>
      <w:rPr>
        <w:rFonts w:hint="default"/>
        <w:lang w:val="es-ES" w:eastAsia="en-US" w:bidi="ar-SA"/>
      </w:rPr>
    </w:lvl>
  </w:abstractNum>
  <w:abstractNum w:abstractNumId="11"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913EEC"/>
    <w:multiLevelType w:val="hybridMultilevel"/>
    <w:tmpl w:val="29445B6E"/>
    <w:lvl w:ilvl="0" w:tplc="DF5204A8">
      <w:start w:val="8"/>
      <w:numFmt w:val="decimal"/>
      <w:lvlText w:val="%1."/>
      <w:lvlJc w:val="left"/>
      <w:pPr>
        <w:ind w:left="100" w:hanging="249"/>
      </w:pPr>
      <w:rPr>
        <w:rFonts w:ascii="Verdana" w:eastAsia="Verdana" w:hAnsi="Verdana" w:cs="Verdana" w:hint="default"/>
        <w:w w:val="100"/>
        <w:sz w:val="18"/>
        <w:szCs w:val="18"/>
        <w:lang w:val="es-ES" w:eastAsia="en-US" w:bidi="ar-SA"/>
      </w:rPr>
    </w:lvl>
    <w:lvl w:ilvl="1" w:tplc="ED48A5D8">
      <w:numFmt w:val="bullet"/>
      <w:lvlText w:val="•"/>
      <w:lvlJc w:val="left"/>
      <w:pPr>
        <w:ind w:left="1014" w:hanging="249"/>
      </w:pPr>
      <w:rPr>
        <w:rFonts w:hint="default"/>
        <w:lang w:val="es-ES" w:eastAsia="en-US" w:bidi="ar-SA"/>
      </w:rPr>
    </w:lvl>
    <w:lvl w:ilvl="2" w:tplc="E5BAD6D4">
      <w:numFmt w:val="bullet"/>
      <w:lvlText w:val="•"/>
      <w:lvlJc w:val="left"/>
      <w:pPr>
        <w:ind w:left="1929" w:hanging="249"/>
      </w:pPr>
      <w:rPr>
        <w:rFonts w:hint="default"/>
        <w:lang w:val="es-ES" w:eastAsia="en-US" w:bidi="ar-SA"/>
      </w:rPr>
    </w:lvl>
    <w:lvl w:ilvl="3" w:tplc="0B2CF94C">
      <w:numFmt w:val="bullet"/>
      <w:lvlText w:val="•"/>
      <w:lvlJc w:val="left"/>
      <w:pPr>
        <w:ind w:left="2843" w:hanging="249"/>
      </w:pPr>
      <w:rPr>
        <w:rFonts w:hint="default"/>
        <w:lang w:val="es-ES" w:eastAsia="en-US" w:bidi="ar-SA"/>
      </w:rPr>
    </w:lvl>
    <w:lvl w:ilvl="4" w:tplc="80FE1D68">
      <w:numFmt w:val="bullet"/>
      <w:lvlText w:val="•"/>
      <w:lvlJc w:val="left"/>
      <w:pPr>
        <w:ind w:left="3758" w:hanging="249"/>
      </w:pPr>
      <w:rPr>
        <w:rFonts w:hint="default"/>
        <w:lang w:val="es-ES" w:eastAsia="en-US" w:bidi="ar-SA"/>
      </w:rPr>
    </w:lvl>
    <w:lvl w:ilvl="5" w:tplc="9B8AA15C">
      <w:numFmt w:val="bullet"/>
      <w:lvlText w:val="•"/>
      <w:lvlJc w:val="left"/>
      <w:pPr>
        <w:ind w:left="4673" w:hanging="249"/>
      </w:pPr>
      <w:rPr>
        <w:rFonts w:hint="default"/>
        <w:lang w:val="es-ES" w:eastAsia="en-US" w:bidi="ar-SA"/>
      </w:rPr>
    </w:lvl>
    <w:lvl w:ilvl="6" w:tplc="BE6831D6">
      <w:numFmt w:val="bullet"/>
      <w:lvlText w:val="•"/>
      <w:lvlJc w:val="left"/>
      <w:pPr>
        <w:ind w:left="5587" w:hanging="249"/>
      </w:pPr>
      <w:rPr>
        <w:rFonts w:hint="default"/>
        <w:lang w:val="es-ES" w:eastAsia="en-US" w:bidi="ar-SA"/>
      </w:rPr>
    </w:lvl>
    <w:lvl w:ilvl="7" w:tplc="3C085FB8">
      <w:numFmt w:val="bullet"/>
      <w:lvlText w:val="•"/>
      <w:lvlJc w:val="left"/>
      <w:pPr>
        <w:ind w:left="6502" w:hanging="249"/>
      </w:pPr>
      <w:rPr>
        <w:rFonts w:hint="default"/>
        <w:lang w:val="es-ES" w:eastAsia="en-US" w:bidi="ar-SA"/>
      </w:rPr>
    </w:lvl>
    <w:lvl w:ilvl="8" w:tplc="A6D0ED36">
      <w:numFmt w:val="bullet"/>
      <w:lvlText w:val="•"/>
      <w:lvlJc w:val="left"/>
      <w:pPr>
        <w:ind w:left="7417" w:hanging="249"/>
      </w:pPr>
      <w:rPr>
        <w:rFonts w:hint="default"/>
        <w:lang w:val="es-ES" w:eastAsia="en-US" w:bidi="ar-SA"/>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8"/>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0"/>
  </w:num>
  <w:num w:numId="13">
    <w:abstractNumId w:val="6"/>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6D"/>
    <w:rsid w:val="00007125"/>
    <w:rsid w:val="000074D5"/>
    <w:rsid w:val="0002424F"/>
    <w:rsid w:val="000257B8"/>
    <w:rsid w:val="00033711"/>
    <w:rsid w:val="00057BEF"/>
    <w:rsid w:val="00067D73"/>
    <w:rsid w:val="00071B26"/>
    <w:rsid w:val="0008008F"/>
    <w:rsid w:val="0008796A"/>
    <w:rsid w:val="000A7098"/>
    <w:rsid w:val="000B12FE"/>
    <w:rsid w:val="000C724C"/>
    <w:rsid w:val="000D23F0"/>
    <w:rsid w:val="000D6BD5"/>
    <w:rsid w:val="00104D9E"/>
    <w:rsid w:val="00114B29"/>
    <w:rsid w:val="001171A2"/>
    <w:rsid w:val="00120B96"/>
    <w:rsid w:val="001273FC"/>
    <w:rsid w:val="001338F0"/>
    <w:rsid w:val="0014012F"/>
    <w:rsid w:val="001426D0"/>
    <w:rsid w:val="00156FBF"/>
    <w:rsid w:val="0017568E"/>
    <w:rsid w:val="001B50DF"/>
    <w:rsid w:val="001D0E4B"/>
    <w:rsid w:val="001F5CE0"/>
    <w:rsid w:val="002149CB"/>
    <w:rsid w:val="002242B5"/>
    <w:rsid w:val="00255119"/>
    <w:rsid w:val="00276383"/>
    <w:rsid w:val="00284119"/>
    <w:rsid w:val="00287066"/>
    <w:rsid w:val="003267CD"/>
    <w:rsid w:val="00334600"/>
    <w:rsid w:val="00337700"/>
    <w:rsid w:val="003422F5"/>
    <w:rsid w:val="00342A86"/>
    <w:rsid w:val="003A0E78"/>
    <w:rsid w:val="003A19CB"/>
    <w:rsid w:val="003B0391"/>
    <w:rsid w:val="003B6D4C"/>
    <w:rsid w:val="003C0EE2"/>
    <w:rsid w:val="003F0353"/>
    <w:rsid w:val="003F46BB"/>
    <w:rsid w:val="0043612A"/>
    <w:rsid w:val="004B02E6"/>
    <w:rsid w:val="004E1A35"/>
    <w:rsid w:val="004E55A0"/>
    <w:rsid w:val="004F4ADE"/>
    <w:rsid w:val="00524772"/>
    <w:rsid w:val="00530D5C"/>
    <w:rsid w:val="00533502"/>
    <w:rsid w:val="00563630"/>
    <w:rsid w:val="00571EE1"/>
    <w:rsid w:val="00592965"/>
    <w:rsid w:val="005B571A"/>
    <w:rsid w:val="005C6D4E"/>
    <w:rsid w:val="005D1B1F"/>
    <w:rsid w:val="005D21E5"/>
    <w:rsid w:val="005D4F0E"/>
    <w:rsid w:val="005E14C9"/>
    <w:rsid w:val="00605630"/>
    <w:rsid w:val="00613472"/>
    <w:rsid w:val="00634259"/>
    <w:rsid w:val="00652662"/>
    <w:rsid w:val="006652F7"/>
    <w:rsid w:val="00674833"/>
    <w:rsid w:val="006A2F2A"/>
    <w:rsid w:val="006E0C67"/>
    <w:rsid w:val="006E2E06"/>
    <w:rsid w:val="00727F5B"/>
    <w:rsid w:val="00735ADA"/>
    <w:rsid w:val="00795114"/>
    <w:rsid w:val="007A242D"/>
    <w:rsid w:val="007A761F"/>
    <w:rsid w:val="007B7BB1"/>
    <w:rsid w:val="007C2DED"/>
    <w:rsid w:val="007C4766"/>
    <w:rsid w:val="007D39B5"/>
    <w:rsid w:val="007D756D"/>
    <w:rsid w:val="00827789"/>
    <w:rsid w:val="00834FB6"/>
    <w:rsid w:val="008402D9"/>
    <w:rsid w:val="00842D59"/>
    <w:rsid w:val="0085388D"/>
    <w:rsid w:val="00885409"/>
    <w:rsid w:val="008A1305"/>
    <w:rsid w:val="008A2F61"/>
    <w:rsid w:val="008F0437"/>
    <w:rsid w:val="00912133"/>
    <w:rsid w:val="0091417D"/>
    <w:rsid w:val="00917BFE"/>
    <w:rsid w:val="009304CB"/>
    <w:rsid w:val="0093775F"/>
    <w:rsid w:val="00957719"/>
    <w:rsid w:val="0096482B"/>
    <w:rsid w:val="009A0D78"/>
    <w:rsid w:val="009B12F8"/>
    <w:rsid w:val="009D63FB"/>
    <w:rsid w:val="009F491D"/>
    <w:rsid w:val="00A37C79"/>
    <w:rsid w:val="00A46611"/>
    <w:rsid w:val="00A60556"/>
    <w:rsid w:val="00A67526"/>
    <w:rsid w:val="00A73F8C"/>
    <w:rsid w:val="00A81352"/>
    <w:rsid w:val="00A84BF5"/>
    <w:rsid w:val="00AA3ED8"/>
    <w:rsid w:val="00AC7C4D"/>
    <w:rsid w:val="00AD1003"/>
    <w:rsid w:val="00AD59FD"/>
    <w:rsid w:val="00AE3C0C"/>
    <w:rsid w:val="00AF33E8"/>
    <w:rsid w:val="00B016F2"/>
    <w:rsid w:val="00B07663"/>
    <w:rsid w:val="00B21104"/>
    <w:rsid w:val="00B22691"/>
    <w:rsid w:val="00B24B85"/>
    <w:rsid w:val="00B30392"/>
    <w:rsid w:val="00B4336E"/>
    <w:rsid w:val="00B45F9E"/>
    <w:rsid w:val="00B46156"/>
    <w:rsid w:val="00B83FE6"/>
    <w:rsid w:val="00B86771"/>
    <w:rsid w:val="00BA0E6A"/>
    <w:rsid w:val="00BA5D80"/>
    <w:rsid w:val="00BB432E"/>
    <w:rsid w:val="00BC17E5"/>
    <w:rsid w:val="00BC2650"/>
    <w:rsid w:val="00C05660"/>
    <w:rsid w:val="00C34F2D"/>
    <w:rsid w:val="00C400B5"/>
    <w:rsid w:val="00C40419"/>
    <w:rsid w:val="00C41B3D"/>
    <w:rsid w:val="00C45B8E"/>
    <w:rsid w:val="00C65229"/>
    <w:rsid w:val="00C65F6E"/>
    <w:rsid w:val="00C67AA4"/>
    <w:rsid w:val="00C71274"/>
    <w:rsid w:val="00C97117"/>
    <w:rsid w:val="00CB2591"/>
    <w:rsid w:val="00CD0195"/>
    <w:rsid w:val="00CD5EC3"/>
    <w:rsid w:val="00CE1C9D"/>
    <w:rsid w:val="00D65AF6"/>
    <w:rsid w:val="00D66DCB"/>
    <w:rsid w:val="00D66F5C"/>
    <w:rsid w:val="00D9027D"/>
    <w:rsid w:val="00DB47DD"/>
    <w:rsid w:val="00DB7CB0"/>
    <w:rsid w:val="00DC4D7F"/>
    <w:rsid w:val="00DD65B2"/>
    <w:rsid w:val="00E464CD"/>
    <w:rsid w:val="00E47B1B"/>
    <w:rsid w:val="00E625B1"/>
    <w:rsid w:val="00E81A56"/>
    <w:rsid w:val="00E844E4"/>
    <w:rsid w:val="00E96960"/>
    <w:rsid w:val="00E97806"/>
    <w:rsid w:val="00EA1572"/>
    <w:rsid w:val="00EB1D8F"/>
    <w:rsid w:val="00EB4982"/>
    <w:rsid w:val="00EE50B7"/>
    <w:rsid w:val="00EF192A"/>
    <w:rsid w:val="00F009AC"/>
    <w:rsid w:val="00F11625"/>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A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BE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94181"/>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94181"/>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94181"/>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94181"/>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94181"/>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94181"/>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9418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9418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9418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94181"/>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F94181"/>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F94181"/>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F94181"/>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F94181"/>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F94181"/>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F94181"/>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F94181"/>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F94181"/>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917BFE"/>
    <w:rPr>
      <w:rFonts w:ascii="Tahoma" w:hAnsi="Tahoma" w:cs="Tahoma"/>
      <w:sz w:val="16"/>
      <w:szCs w:val="16"/>
    </w:rPr>
  </w:style>
  <w:style w:type="character" w:customStyle="1" w:styleId="BalloonTextChar">
    <w:name w:val="Balloon Text Char"/>
    <w:basedOn w:val="DefaultParagraphFont"/>
    <w:link w:val="BalloonText"/>
    <w:uiPriority w:val="99"/>
    <w:semiHidden/>
    <w:rsid w:val="00917BFE"/>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917BFE"/>
    <w:pPr>
      <w:spacing w:after="240"/>
      <w:ind w:left="1077"/>
    </w:pPr>
    <w:rPr>
      <w:rFonts w:eastAsia="Calibri" w:cs="Times New Roman"/>
    </w:rPr>
  </w:style>
  <w:style w:type="character" w:customStyle="1" w:styleId="AnswerChar">
    <w:name w:val="Answer Char"/>
    <w:link w:val="Answer"/>
    <w:uiPriority w:val="6"/>
    <w:rsid w:val="00917BFE"/>
    <w:rPr>
      <w:rFonts w:ascii="Verdana" w:hAnsi="Verdana"/>
      <w:sz w:val="18"/>
      <w:szCs w:val="22"/>
      <w:lang w:val="en-GB" w:eastAsia="en-US"/>
    </w:rPr>
  </w:style>
  <w:style w:type="paragraph" w:styleId="BodyText">
    <w:name w:val="Body Text"/>
    <w:basedOn w:val="Normal"/>
    <w:link w:val="BodyTextChar"/>
    <w:uiPriority w:val="1"/>
    <w:qFormat/>
    <w:rsid w:val="00917BFE"/>
    <w:pPr>
      <w:numPr>
        <w:ilvl w:val="6"/>
        <w:numId w:val="6"/>
      </w:numPr>
      <w:spacing w:after="240"/>
    </w:pPr>
  </w:style>
  <w:style w:type="character" w:customStyle="1" w:styleId="BodyTextChar">
    <w:name w:val="Body Text Char"/>
    <w:basedOn w:val="DefaultParagraphFont"/>
    <w:link w:val="BodyText"/>
    <w:uiPriority w:val="1"/>
    <w:rsid w:val="00917BFE"/>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917BFE"/>
    <w:pPr>
      <w:numPr>
        <w:ilvl w:val="7"/>
        <w:numId w:val="6"/>
      </w:numPr>
      <w:spacing w:after="240"/>
    </w:pPr>
  </w:style>
  <w:style w:type="character" w:customStyle="1" w:styleId="BodyText2Char">
    <w:name w:val="Body Text 2 Char"/>
    <w:basedOn w:val="DefaultParagraphFont"/>
    <w:link w:val="BodyText2"/>
    <w:uiPriority w:val="1"/>
    <w:rsid w:val="00917BFE"/>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917BFE"/>
    <w:pPr>
      <w:numPr>
        <w:ilvl w:val="8"/>
        <w:numId w:val="6"/>
      </w:numPr>
      <w:spacing w:after="240"/>
    </w:pPr>
    <w:rPr>
      <w:szCs w:val="16"/>
    </w:rPr>
  </w:style>
  <w:style w:type="character" w:customStyle="1" w:styleId="BodyText3Char">
    <w:name w:val="Body Text 3 Char"/>
    <w:basedOn w:val="DefaultParagraphFont"/>
    <w:link w:val="BodyText3"/>
    <w:uiPriority w:val="1"/>
    <w:rsid w:val="00917BFE"/>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F9418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17BFE"/>
    <w:rPr>
      <w:vertAlign w:val="superscript"/>
    </w:rPr>
  </w:style>
  <w:style w:type="paragraph" w:styleId="FootnoteText">
    <w:name w:val="footnote text"/>
    <w:basedOn w:val="Normal"/>
    <w:link w:val="FootnoteTextChar"/>
    <w:uiPriority w:val="5"/>
    <w:rsid w:val="00917BF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17BFE"/>
    <w:rPr>
      <w:rFonts w:ascii="Verdana" w:hAnsi="Verdana"/>
      <w:sz w:val="16"/>
      <w:szCs w:val="18"/>
      <w:lang w:val="en-GB"/>
    </w:rPr>
  </w:style>
  <w:style w:type="paragraph" w:styleId="EndnoteText">
    <w:name w:val="endnote text"/>
    <w:basedOn w:val="FootnoteText"/>
    <w:link w:val="EndnoteTextChar"/>
    <w:uiPriority w:val="49"/>
    <w:rsid w:val="00917BFE"/>
    <w:rPr>
      <w:szCs w:val="20"/>
    </w:rPr>
  </w:style>
  <w:style w:type="character" w:customStyle="1" w:styleId="EndnoteTextChar">
    <w:name w:val="Endnote Text Char"/>
    <w:link w:val="EndnoteText"/>
    <w:uiPriority w:val="99"/>
    <w:rsid w:val="00917BFE"/>
    <w:rPr>
      <w:rFonts w:ascii="Verdana" w:hAnsi="Verdana"/>
      <w:sz w:val="16"/>
      <w:lang w:val="en-GB"/>
    </w:rPr>
  </w:style>
  <w:style w:type="paragraph" w:customStyle="1" w:styleId="FollowUp">
    <w:name w:val="FollowUp"/>
    <w:basedOn w:val="Normal"/>
    <w:link w:val="FollowUpChar"/>
    <w:uiPriority w:val="6"/>
    <w:qFormat/>
    <w:rsid w:val="00917BFE"/>
    <w:pPr>
      <w:spacing w:after="240"/>
      <w:ind w:left="720"/>
    </w:pPr>
    <w:rPr>
      <w:rFonts w:eastAsia="Calibri" w:cs="Times New Roman"/>
      <w:i/>
    </w:rPr>
  </w:style>
  <w:style w:type="character" w:customStyle="1" w:styleId="FollowUpChar">
    <w:name w:val="FollowUp Char"/>
    <w:link w:val="FollowUp"/>
    <w:uiPriority w:val="6"/>
    <w:rsid w:val="00917BFE"/>
    <w:rPr>
      <w:rFonts w:ascii="Verdana" w:hAnsi="Verdana"/>
      <w:i/>
      <w:sz w:val="18"/>
      <w:szCs w:val="22"/>
      <w:lang w:val="en-GB" w:eastAsia="en-US"/>
    </w:rPr>
  </w:style>
  <w:style w:type="paragraph" w:styleId="Footer">
    <w:name w:val="footer"/>
    <w:basedOn w:val="Normal"/>
    <w:link w:val="FooterChar"/>
    <w:uiPriority w:val="3"/>
    <w:rsid w:val="00917BFE"/>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917BFE"/>
    <w:rPr>
      <w:rFonts w:ascii="Verdana" w:hAnsi="Verdana"/>
      <w:sz w:val="18"/>
      <w:szCs w:val="18"/>
      <w:lang w:val="en-GB"/>
    </w:rPr>
  </w:style>
  <w:style w:type="paragraph" w:customStyle="1" w:styleId="FootnoteQuotation">
    <w:name w:val="Footnote Quotation"/>
    <w:basedOn w:val="FootnoteText"/>
    <w:uiPriority w:val="5"/>
    <w:rsid w:val="00917BFE"/>
    <w:pPr>
      <w:ind w:left="567" w:right="567" w:firstLine="0"/>
    </w:pPr>
  </w:style>
  <w:style w:type="character" w:styleId="FootnoteReference">
    <w:name w:val="footnote reference"/>
    <w:uiPriority w:val="5"/>
    <w:rsid w:val="00917BFE"/>
    <w:rPr>
      <w:vertAlign w:val="superscript"/>
    </w:rPr>
  </w:style>
  <w:style w:type="paragraph" w:styleId="Header">
    <w:name w:val="header"/>
    <w:basedOn w:val="Normal"/>
    <w:link w:val="HeaderChar"/>
    <w:uiPriority w:val="3"/>
    <w:rsid w:val="00917BF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917BFE"/>
    <w:rPr>
      <w:rFonts w:ascii="Verdana" w:hAnsi="Verdana"/>
      <w:sz w:val="18"/>
      <w:szCs w:val="18"/>
      <w:lang w:val="en-GB"/>
    </w:rPr>
  </w:style>
  <w:style w:type="numbering" w:customStyle="1" w:styleId="LegalHeadings">
    <w:name w:val="LegalHeadings"/>
    <w:uiPriority w:val="99"/>
    <w:rsid w:val="00917BFE"/>
    <w:pPr>
      <w:numPr>
        <w:numId w:val="6"/>
      </w:numPr>
    </w:pPr>
  </w:style>
  <w:style w:type="paragraph" w:styleId="ListBullet">
    <w:name w:val="List Bullet"/>
    <w:basedOn w:val="Normal"/>
    <w:uiPriority w:val="1"/>
    <w:rsid w:val="00917BFE"/>
    <w:pPr>
      <w:numPr>
        <w:numId w:val="7"/>
      </w:numPr>
      <w:spacing w:after="240"/>
    </w:pPr>
  </w:style>
  <w:style w:type="paragraph" w:styleId="ListBullet2">
    <w:name w:val="List Bullet 2"/>
    <w:basedOn w:val="Normal"/>
    <w:uiPriority w:val="1"/>
    <w:rsid w:val="00917BFE"/>
    <w:pPr>
      <w:numPr>
        <w:ilvl w:val="1"/>
        <w:numId w:val="7"/>
      </w:numPr>
      <w:spacing w:after="240"/>
    </w:pPr>
  </w:style>
  <w:style w:type="paragraph" w:styleId="ListBullet3">
    <w:name w:val="List Bullet 3"/>
    <w:basedOn w:val="Normal"/>
    <w:uiPriority w:val="1"/>
    <w:rsid w:val="00917BFE"/>
    <w:pPr>
      <w:numPr>
        <w:ilvl w:val="2"/>
        <w:numId w:val="7"/>
      </w:numPr>
      <w:spacing w:after="240"/>
    </w:pPr>
  </w:style>
  <w:style w:type="paragraph" w:styleId="ListBullet4">
    <w:name w:val="List Bullet 4"/>
    <w:basedOn w:val="Normal"/>
    <w:uiPriority w:val="1"/>
    <w:rsid w:val="00917BFE"/>
    <w:pPr>
      <w:numPr>
        <w:ilvl w:val="3"/>
        <w:numId w:val="7"/>
      </w:numPr>
      <w:spacing w:after="240"/>
    </w:pPr>
  </w:style>
  <w:style w:type="paragraph" w:styleId="ListBullet5">
    <w:name w:val="List Bullet 5"/>
    <w:basedOn w:val="Normal"/>
    <w:uiPriority w:val="1"/>
    <w:rsid w:val="00917BFE"/>
    <w:pPr>
      <w:numPr>
        <w:ilvl w:val="4"/>
        <w:numId w:val="7"/>
      </w:numPr>
      <w:spacing w:after="240"/>
    </w:pPr>
  </w:style>
  <w:style w:type="paragraph" w:styleId="ListParagraph">
    <w:name w:val="List Paragraph"/>
    <w:basedOn w:val="Normal"/>
    <w:uiPriority w:val="1"/>
    <w:qFormat/>
    <w:rsid w:val="00917BFE"/>
    <w:pPr>
      <w:ind w:left="720"/>
      <w:contextualSpacing/>
    </w:pPr>
  </w:style>
  <w:style w:type="numbering" w:customStyle="1" w:styleId="ListBullets">
    <w:name w:val="ListBullets"/>
    <w:uiPriority w:val="99"/>
    <w:rsid w:val="00917BFE"/>
    <w:pPr>
      <w:numPr>
        <w:numId w:val="7"/>
      </w:numPr>
    </w:pPr>
  </w:style>
  <w:style w:type="paragraph" w:customStyle="1" w:styleId="Quotation">
    <w:name w:val="Quotation"/>
    <w:basedOn w:val="Normal"/>
    <w:uiPriority w:val="5"/>
    <w:qFormat/>
    <w:rsid w:val="00917BF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17BFE"/>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917BF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917BFE"/>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F9418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E1A35"/>
    <w:pPr>
      <w:spacing w:after="240"/>
      <w:outlineLvl w:val="1"/>
    </w:pPr>
    <w:rPr>
      <w:b/>
      <w:color w:val="006283"/>
    </w:rPr>
  </w:style>
  <w:style w:type="paragraph" w:customStyle="1" w:styleId="SummaryText">
    <w:name w:val="SummaryText"/>
    <w:basedOn w:val="Normal"/>
    <w:uiPriority w:val="4"/>
    <w:qFormat/>
    <w:rsid w:val="003B0391"/>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917BFE"/>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917BFE"/>
    <w:pPr>
      <w:tabs>
        <w:tab w:val="left" w:pos="567"/>
        <w:tab w:val="right" w:leader="dot" w:pos="9027"/>
      </w:tabs>
      <w:spacing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F9418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94181"/>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F9418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9418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94181"/>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917BFE"/>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917BFE"/>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917BFE"/>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917BFE"/>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917BFE"/>
    <w:pPr>
      <w:spacing w:before="240"/>
      <w:jc w:val="center"/>
    </w:pPr>
    <w:rPr>
      <w:rFonts w:eastAsia="Times New Roman" w:cs="Times New Roman"/>
      <w:b/>
      <w:bCs/>
      <w:szCs w:val="28"/>
      <w:lang w:eastAsia="en-GB"/>
    </w:rPr>
  </w:style>
  <w:style w:type="table" w:customStyle="1" w:styleId="WTOBox1">
    <w:name w:val="WTOBox1"/>
    <w:basedOn w:val="TableNormal"/>
    <w:uiPriority w:val="99"/>
    <w:rsid w:val="00F9418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9418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17BF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E1A35"/>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rsid w:val="00917BFE"/>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08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57BEF"/>
    <w:pPr>
      <w:tabs>
        <w:tab w:val="left" w:pos="851"/>
      </w:tabs>
      <w:ind w:left="851" w:hanging="851"/>
      <w:jc w:val="left"/>
    </w:pPr>
    <w:rPr>
      <w:sz w:val="16"/>
    </w:rPr>
  </w:style>
  <w:style w:type="character" w:styleId="Hyperlink">
    <w:name w:val="Hyperlink"/>
    <w:basedOn w:val="DefaultParagraphFont"/>
    <w:uiPriority w:val="99"/>
    <w:unhideWhenUsed/>
    <w:rsid w:val="00033711"/>
    <w:rPr>
      <w:color w:val="0000FF" w:themeColor="hyperlink"/>
      <w:u w:val="single"/>
    </w:rPr>
  </w:style>
  <w:style w:type="paragraph" w:styleId="Bibliography">
    <w:name w:val="Bibliography"/>
    <w:basedOn w:val="Normal"/>
    <w:next w:val="Normal"/>
    <w:uiPriority w:val="49"/>
    <w:semiHidden/>
    <w:unhideWhenUsed/>
    <w:rsid w:val="00827789"/>
  </w:style>
  <w:style w:type="paragraph" w:styleId="BlockText">
    <w:name w:val="Block Text"/>
    <w:basedOn w:val="Normal"/>
    <w:uiPriority w:val="99"/>
    <w:semiHidden/>
    <w:unhideWhenUsed/>
    <w:rsid w:val="0082778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2778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27789"/>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827789"/>
    <w:pPr>
      <w:spacing w:after="120"/>
      <w:ind w:left="283"/>
    </w:pPr>
  </w:style>
  <w:style w:type="character" w:customStyle="1" w:styleId="BodyTextIndentChar">
    <w:name w:val="Body Text Indent Char"/>
    <w:basedOn w:val="DefaultParagraphFont"/>
    <w:link w:val="BodyTextIndent"/>
    <w:uiPriority w:val="99"/>
    <w:semiHidden/>
    <w:rsid w:val="00827789"/>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8277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827789"/>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827789"/>
    <w:pPr>
      <w:spacing w:after="120" w:line="480" w:lineRule="auto"/>
      <w:ind w:left="283"/>
    </w:pPr>
  </w:style>
  <w:style w:type="character" w:customStyle="1" w:styleId="BodyTextIndent2Char">
    <w:name w:val="Body Text Indent 2 Char"/>
    <w:basedOn w:val="DefaultParagraphFont"/>
    <w:link w:val="BodyTextIndent2"/>
    <w:uiPriority w:val="99"/>
    <w:semiHidden/>
    <w:rsid w:val="00827789"/>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8277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7789"/>
    <w:rPr>
      <w:rFonts w:ascii="Verdana" w:eastAsiaTheme="minorHAnsi" w:hAnsi="Verdana" w:cstheme="minorBidi"/>
      <w:sz w:val="16"/>
      <w:szCs w:val="16"/>
      <w:lang w:val="en-GB" w:eastAsia="en-US"/>
    </w:rPr>
  </w:style>
  <w:style w:type="character" w:styleId="BookTitle">
    <w:name w:val="Book Title"/>
    <w:basedOn w:val="DefaultParagraphFont"/>
    <w:uiPriority w:val="99"/>
    <w:semiHidden/>
    <w:unhideWhenUsed/>
    <w:qFormat/>
    <w:rsid w:val="00827789"/>
    <w:rPr>
      <w:b/>
      <w:bCs/>
      <w:smallCaps/>
      <w:spacing w:val="5"/>
    </w:rPr>
  </w:style>
  <w:style w:type="paragraph" w:styleId="Closing">
    <w:name w:val="Closing"/>
    <w:basedOn w:val="Normal"/>
    <w:link w:val="ClosingChar"/>
    <w:uiPriority w:val="99"/>
    <w:semiHidden/>
    <w:unhideWhenUsed/>
    <w:rsid w:val="00827789"/>
    <w:pPr>
      <w:ind w:left="4252"/>
    </w:pPr>
  </w:style>
  <w:style w:type="character" w:customStyle="1" w:styleId="ClosingChar">
    <w:name w:val="Closing Char"/>
    <w:basedOn w:val="DefaultParagraphFont"/>
    <w:link w:val="Closing"/>
    <w:uiPriority w:val="99"/>
    <w:semiHidden/>
    <w:rsid w:val="00827789"/>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827789"/>
    <w:rPr>
      <w:sz w:val="16"/>
      <w:szCs w:val="16"/>
    </w:rPr>
  </w:style>
  <w:style w:type="paragraph" w:styleId="CommentText">
    <w:name w:val="annotation text"/>
    <w:basedOn w:val="Normal"/>
    <w:link w:val="CommentTextChar"/>
    <w:uiPriority w:val="99"/>
    <w:unhideWhenUsed/>
    <w:rsid w:val="00827789"/>
    <w:rPr>
      <w:sz w:val="20"/>
      <w:szCs w:val="20"/>
    </w:rPr>
  </w:style>
  <w:style w:type="character" w:customStyle="1" w:styleId="CommentTextChar">
    <w:name w:val="Comment Text Char"/>
    <w:basedOn w:val="DefaultParagraphFont"/>
    <w:link w:val="CommentText"/>
    <w:uiPriority w:val="99"/>
    <w:semiHidden/>
    <w:rsid w:val="00827789"/>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827789"/>
    <w:rPr>
      <w:b/>
      <w:bCs/>
    </w:rPr>
  </w:style>
  <w:style w:type="character" w:customStyle="1" w:styleId="CommentSubjectChar">
    <w:name w:val="Comment Subject Char"/>
    <w:basedOn w:val="CommentTextChar"/>
    <w:link w:val="CommentSubject"/>
    <w:uiPriority w:val="99"/>
    <w:semiHidden/>
    <w:rsid w:val="00827789"/>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827789"/>
  </w:style>
  <w:style w:type="character" w:customStyle="1" w:styleId="DateChar">
    <w:name w:val="Date Char"/>
    <w:basedOn w:val="DefaultParagraphFont"/>
    <w:link w:val="Date"/>
    <w:uiPriority w:val="99"/>
    <w:semiHidden/>
    <w:rsid w:val="00827789"/>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827789"/>
    <w:rPr>
      <w:rFonts w:ascii="Tahoma" w:hAnsi="Tahoma" w:cs="Tahoma"/>
      <w:sz w:val="16"/>
      <w:szCs w:val="16"/>
    </w:rPr>
  </w:style>
  <w:style w:type="character" w:customStyle="1" w:styleId="DocumentMapChar">
    <w:name w:val="Document Map Char"/>
    <w:basedOn w:val="DefaultParagraphFont"/>
    <w:link w:val="DocumentMap"/>
    <w:uiPriority w:val="99"/>
    <w:semiHidden/>
    <w:rsid w:val="00827789"/>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827789"/>
  </w:style>
  <w:style w:type="character" w:customStyle="1" w:styleId="E-mailSignatureChar">
    <w:name w:val="E-mail Signature Char"/>
    <w:basedOn w:val="DefaultParagraphFont"/>
    <w:link w:val="E-mailSignature"/>
    <w:uiPriority w:val="99"/>
    <w:semiHidden/>
    <w:rsid w:val="00827789"/>
    <w:rPr>
      <w:rFonts w:ascii="Verdana" w:eastAsiaTheme="minorHAnsi" w:hAnsi="Verdana" w:cstheme="minorBidi"/>
      <w:sz w:val="18"/>
      <w:szCs w:val="22"/>
      <w:lang w:val="en-GB" w:eastAsia="en-US"/>
    </w:rPr>
  </w:style>
  <w:style w:type="character" w:styleId="Emphasis">
    <w:name w:val="Emphasis"/>
    <w:basedOn w:val="DefaultParagraphFont"/>
    <w:uiPriority w:val="99"/>
    <w:semiHidden/>
    <w:unhideWhenUsed/>
    <w:qFormat/>
    <w:rsid w:val="00827789"/>
    <w:rPr>
      <w:i/>
      <w:iCs/>
    </w:rPr>
  </w:style>
  <w:style w:type="paragraph" w:styleId="EnvelopeAddress">
    <w:name w:val="envelope address"/>
    <w:basedOn w:val="Normal"/>
    <w:uiPriority w:val="99"/>
    <w:semiHidden/>
    <w:unhideWhenUsed/>
    <w:rsid w:val="0082778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778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27789"/>
    <w:rPr>
      <w:color w:val="800080" w:themeColor="followedHyperlink"/>
      <w:u w:val="single"/>
    </w:rPr>
  </w:style>
  <w:style w:type="character" w:styleId="HTMLAcronym">
    <w:name w:val="HTML Acronym"/>
    <w:basedOn w:val="DefaultParagraphFont"/>
    <w:uiPriority w:val="99"/>
    <w:semiHidden/>
    <w:unhideWhenUsed/>
    <w:rsid w:val="00827789"/>
  </w:style>
  <w:style w:type="paragraph" w:styleId="HTMLAddress">
    <w:name w:val="HTML Address"/>
    <w:basedOn w:val="Normal"/>
    <w:link w:val="HTMLAddressChar"/>
    <w:uiPriority w:val="99"/>
    <w:semiHidden/>
    <w:unhideWhenUsed/>
    <w:rsid w:val="00827789"/>
    <w:rPr>
      <w:i/>
      <w:iCs/>
    </w:rPr>
  </w:style>
  <w:style w:type="character" w:customStyle="1" w:styleId="HTMLAddressChar">
    <w:name w:val="HTML Address Char"/>
    <w:basedOn w:val="DefaultParagraphFont"/>
    <w:link w:val="HTMLAddress"/>
    <w:uiPriority w:val="99"/>
    <w:semiHidden/>
    <w:rsid w:val="00827789"/>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827789"/>
    <w:rPr>
      <w:i/>
      <w:iCs/>
    </w:rPr>
  </w:style>
  <w:style w:type="character" w:styleId="HTMLCode">
    <w:name w:val="HTML Code"/>
    <w:basedOn w:val="DefaultParagraphFont"/>
    <w:uiPriority w:val="99"/>
    <w:semiHidden/>
    <w:unhideWhenUsed/>
    <w:rsid w:val="00827789"/>
    <w:rPr>
      <w:rFonts w:ascii="Consolas" w:hAnsi="Consolas" w:cs="Consolas"/>
      <w:sz w:val="20"/>
      <w:szCs w:val="20"/>
    </w:rPr>
  </w:style>
  <w:style w:type="character" w:styleId="HTMLDefinition">
    <w:name w:val="HTML Definition"/>
    <w:basedOn w:val="DefaultParagraphFont"/>
    <w:uiPriority w:val="99"/>
    <w:semiHidden/>
    <w:unhideWhenUsed/>
    <w:rsid w:val="00827789"/>
    <w:rPr>
      <w:i/>
      <w:iCs/>
    </w:rPr>
  </w:style>
  <w:style w:type="character" w:styleId="HTMLKeyboard">
    <w:name w:val="HTML Keyboard"/>
    <w:basedOn w:val="DefaultParagraphFont"/>
    <w:uiPriority w:val="99"/>
    <w:semiHidden/>
    <w:unhideWhenUsed/>
    <w:rsid w:val="00827789"/>
    <w:rPr>
      <w:rFonts w:ascii="Consolas" w:hAnsi="Consolas" w:cs="Consolas"/>
      <w:sz w:val="20"/>
      <w:szCs w:val="20"/>
    </w:rPr>
  </w:style>
  <w:style w:type="paragraph" w:styleId="HTMLPreformatted">
    <w:name w:val="HTML Preformatted"/>
    <w:basedOn w:val="Normal"/>
    <w:link w:val="HTMLPreformattedChar"/>
    <w:uiPriority w:val="99"/>
    <w:semiHidden/>
    <w:unhideWhenUsed/>
    <w:rsid w:val="0082778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7789"/>
    <w:rPr>
      <w:rFonts w:ascii="Consolas" w:eastAsiaTheme="minorHAnsi" w:hAnsi="Consolas" w:cs="Consolas"/>
      <w:lang w:val="en-GB" w:eastAsia="en-US"/>
    </w:rPr>
  </w:style>
  <w:style w:type="character" w:styleId="HTMLSample">
    <w:name w:val="HTML Sample"/>
    <w:basedOn w:val="DefaultParagraphFont"/>
    <w:uiPriority w:val="99"/>
    <w:semiHidden/>
    <w:unhideWhenUsed/>
    <w:rsid w:val="00827789"/>
    <w:rPr>
      <w:rFonts w:ascii="Consolas" w:hAnsi="Consolas" w:cs="Consolas"/>
      <w:sz w:val="24"/>
      <w:szCs w:val="24"/>
    </w:rPr>
  </w:style>
  <w:style w:type="character" w:styleId="HTMLTypewriter">
    <w:name w:val="HTML Typewriter"/>
    <w:basedOn w:val="DefaultParagraphFont"/>
    <w:uiPriority w:val="99"/>
    <w:semiHidden/>
    <w:unhideWhenUsed/>
    <w:rsid w:val="00827789"/>
    <w:rPr>
      <w:rFonts w:ascii="Consolas" w:hAnsi="Consolas" w:cs="Consolas"/>
      <w:sz w:val="20"/>
      <w:szCs w:val="20"/>
    </w:rPr>
  </w:style>
  <w:style w:type="character" w:styleId="HTMLVariable">
    <w:name w:val="HTML Variable"/>
    <w:basedOn w:val="DefaultParagraphFont"/>
    <w:uiPriority w:val="99"/>
    <w:semiHidden/>
    <w:unhideWhenUsed/>
    <w:rsid w:val="00827789"/>
    <w:rPr>
      <w:i/>
      <w:iCs/>
    </w:rPr>
  </w:style>
  <w:style w:type="paragraph" w:styleId="Index1">
    <w:name w:val="index 1"/>
    <w:basedOn w:val="Normal"/>
    <w:next w:val="Normal"/>
    <w:autoRedefine/>
    <w:uiPriority w:val="99"/>
    <w:semiHidden/>
    <w:unhideWhenUsed/>
    <w:rsid w:val="00827789"/>
    <w:pPr>
      <w:ind w:left="180" w:hanging="180"/>
    </w:pPr>
  </w:style>
  <w:style w:type="paragraph" w:styleId="Index2">
    <w:name w:val="index 2"/>
    <w:basedOn w:val="Normal"/>
    <w:next w:val="Normal"/>
    <w:autoRedefine/>
    <w:uiPriority w:val="99"/>
    <w:semiHidden/>
    <w:unhideWhenUsed/>
    <w:rsid w:val="00827789"/>
    <w:pPr>
      <w:ind w:left="360" w:hanging="180"/>
    </w:pPr>
  </w:style>
  <w:style w:type="paragraph" w:styleId="Index3">
    <w:name w:val="index 3"/>
    <w:basedOn w:val="Normal"/>
    <w:next w:val="Normal"/>
    <w:autoRedefine/>
    <w:uiPriority w:val="99"/>
    <w:semiHidden/>
    <w:unhideWhenUsed/>
    <w:rsid w:val="00827789"/>
    <w:pPr>
      <w:ind w:left="540" w:hanging="180"/>
    </w:pPr>
  </w:style>
  <w:style w:type="paragraph" w:styleId="Index4">
    <w:name w:val="index 4"/>
    <w:basedOn w:val="Normal"/>
    <w:next w:val="Normal"/>
    <w:autoRedefine/>
    <w:uiPriority w:val="99"/>
    <w:semiHidden/>
    <w:unhideWhenUsed/>
    <w:rsid w:val="00827789"/>
    <w:pPr>
      <w:ind w:left="720" w:hanging="180"/>
    </w:pPr>
  </w:style>
  <w:style w:type="paragraph" w:styleId="Index5">
    <w:name w:val="index 5"/>
    <w:basedOn w:val="Normal"/>
    <w:next w:val="Normal"/>
    <w:autoRedefine/>
    <w:uiPriority w:val="99"/>
    <w:semiHidden/>
    <w:unhideWhenUsed/>
    <w:rsid w:val="00827789"/>
    <w:pPr>
      <w:ind w:left="900" w:hanging="180"/>
    </w:pPr>
  </w:style>
  <w:style w:type="paragraph" w:styleId="Index6">
    <w:name w:val="index 6"/>
    <w:basedOn w:val="Normal"/>
    <w:next w:val="Normal"/>
    <w:autoRedefine/>
    <w:uiPriority w:val="99"/>
    <w:semiHidden/>
    <w:unhideWhenUsed/>
    <w:rsid w:val="00827789"/>
    <w:pPr>
      <w:ind w:left="1080" w:hanging="180"/>
    </w:pPr>
  </w:style>
  <w:style w:type="paragraph" w:styleId="Index7">
    <w:name w:val="index 7"/>
    <w:basedOn w:val="Normal"/>
    <w:next w:val="Normal"/>
    <w:autoRedefine/>
    <w:uiPriority w:val="99"/>
    <w:semiHidden/>
    <w:unhideWhenUsed/>
    <w:rsid w:val="00827789"/>
    <w:pPr>
      <w:ind w:left="1260" w:hanging="180"/>
    </w:pPr>
  </w:style>
  <w:style w:type="paragraph" w:styleId="Index8">
    <w:name w:val="index 8"/>
    <w:basedOn w:val="Normal"/>
    <w:next w:val="Normal"/>
    <w:autoRedefine/>
    <w:uiPriority w:val="99"/>
    <w:semiHidden/>
    <w:unhideWhenUsed/>
    <w:rsid w:val="00827789"/>
    <w:pPr>
      <w:ind w:left="1440" w:hanging="180"/>
    </w:pPr>
  </w:style>
  <w:style w:type="paragraph" w:styleId="Index9">
    <w:name w:val="index 9"/>
    <w:basedOn w:val="Normal"/>
    <w:next w:val="Normal"/>
    <w:autoRedefine/>
    <w:uiPriority w:val="99"/>
    <w:semiHidden/>
    <w:unhideWhenUsed/>
    <w:rsid w:val="00827789"/>
    <w:pPr>
      <w:ind w:left="1620" w:hanging="180"/>
    </w:pPr>
  </w:style>
  <w:style w:type="paragraph" w:styleId="IndexHeading">
    <w:name w:val="index heading"/>
    <w:basedOn w:val="Normal"/>
    <w:next w:val="Index1"/>
    <w:uiPriority w:val="99"/>
    <w:semiHidden/>
    <w:unhideWhenUsed/>
    <w:rsid w:val="00827789"/>
    <w:rPr>
      <w:rFonts w:asciiTheme="majorHAnsi" w:eastAsiaTheme="majorEastAsia" w:hAnsiTheme="majorHAnsi" w:cstheme="majorBidi"/>
      <w:b/>
      <w:bCs/>
    </w:rPr>
  </w:style>
  <w:style w:type="character" w:styleId="IntenseEmphasis">
    <w:name w:val="Intense Emphasis"/>
    <w:basedOn w:val="DefaultParagraphFont"/>
    <w:uiPriority w:val="99"/>
    <w:semiHidden/>
    <w:unhideWhenUsed/>
    <w:qFormat/>
    <w:rsid w:val="00827789"/>
    <w:rPr>
      <w:b/>
      <w:bCs/>
      <w:i/>
      <w:iCs/>
      <w:color w:val="4F81BD" w:themeColor="accent1"/>
    </w:rPr>
  </w:style>
  <w:style w:type="paragraph" w:styleId="IntenseQuote">
    <w:name w:val="Intense Quote"/>
    <w:basedOn w:val="Normal"/>
    <w:next w:val="Normal"/>
    <w:link w:val="IntenseQuoteChar"/>
    <w:uiPriority w:val="59"/>
    <w:semiHidden/>
    <w:unhideWhenUsed/>
    <w:qFormat/>
    <w:rsid w:val="008277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27789"/>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unhideWhenUsed/>
    <w:qFormat/>
    <w:rsid w:val="00827789"/>
    <w:rPr>
      <w:b/>
      <w:bCs/>
      <w:smallCaps/>
      <w:color w:val="C0504D" w:themeColor="accent2"/>
      <w:spacing w:val="5"/>
      <w:u w:val="single"/>
    </w:rPr>
  </w:style>
  <w:style w:type="character" w:styleId="LineNumber">
    <w:name w:val="line number"/>
    <w:basedOn w:val="DefaultParagraphFont"/>
    <w:uiPriority w:val="99"/>
    <w:semiHidden/>
    <w:unhideWhenUsed/>
    <w:rsid w:val="00827789"/>
  </w:style>
  <w:style w:type="paragraph" w:styleId="List">
    <w:name w:val="List"/>
    <w:basedOn w:val="Normal"/>
    <w:uiPriority w:val="99"/>
    <w:semiHidden/>
    <w:unhideWhenUsed/>
    <w:rsid w:val="00827789"/>
    <w:pPr>
      <w:ind w:left="283" w:hanging="283"/>
      <w:contextualSpacing/>
    </w:pPr>
  </w:style>
  <w:style w:type="paragraph" w:styleId="List2">
    <w:name w:val="List 2"/>
    <w:basedOn w:val="Normal"/>
    <w:uiPriority w:val="99"/>
    <w:semiHidden/>
    <w:unhideWhenUsed/>
    <w:rsid w:val="00827789"/>
    <w:pPr>
      <w:ind w:left="566" w:hanging="283"/>
      <w:contextualSpacing/>
    </w:pPr>
  </w:style>
  <w:style w:type="paragraph" w:styleId="List3">
    <w:name w:val="List 3"/>
    <w:basedOn w:val="Normal"/>
    <w:uiPriority w:val="99"/>
    <w:semiHidden/>
    <w:unhideWhenUsed/>
    <w:rsid w:val="00827789"/>
    <w:pPr>
      <w:ind w:left="849" w:hanging="283"/>
      <w:contextualSpacing/>
    </w:pPr>
  </w:style>
  <w:style w:type="paragraph" w:styleId="List4">
    <w:name w:val="List 4"/>
    <w:basedOn w:val="Normal"/>
    <w:uiPriority w:val="99"/>
    <w:semiHidden/>
    <w:unhideWhenUsed/>
    <w:rsid w:val="00827789"/>
    <w:pPr>
      <w:ind w:left="1132" w:hanging="283"/>
      <w:contextualSpacing/>
    </w:pPr>
  </w:style>
  <w:style w:type="paragraph" w:styleId="List5">
    <w:name w:val="List 5"/>
    <w:basedOn w:val="Normal"/>
    <w:uiPriority w:val="99"/>
    <w:semiHidden/>
    <w:unhideWhenUsed/>
    <w:rsid w:val="00827789"/>
    <w:pPr>
      <w:ind w:left="1415" w:hanging="283"/>
      <w:contextualSpacing/>
    </w:pPr>
  </w:style>
  <w:style w:type="paragraph" w:styleId="ListContinue">
    <w:name w:val="List Continue"/>
    <w:basedOn w:val="Normal"/>
    <w:uiPriority w:val="99"/>
    <w:semiHidden/>
    <w:unhideWhenUsed/>
    <w:rsid w:val="00827789"/>
    <w:pPr>
      <w:spacing w:after="120"/>
      <w:ind w:left="283"/>
      <w:contextualSpacing/>
    </w:pPr>
  </w:style>
  <w:style w:type="paragraph" w:styleId="ListContinue2">
    <w:name w:val="List Continue 2"/>
    <w:basedOn w:val="Normal"/>
    <w:uiPriority w:val="99"/>
    <w:semiHidden/>
    <w:unhideWhenUsed/>
    <w:rsid w:val="00827789"/>
    <w:pPr>
      <w:spacing w:after="120"/>
      <w:ind w:left="566"/>
      <w:contextualSpacing/>
    </w:pPr>
  </w:style>
  <w:style w:type="paragraph" w:styleId="ListContinue3">
    <w:name w:val="List Continue 3"/>
    <w:basedOn w:val="Normal"/>
    <w:uiPriority w:val="99"/>
    <w:semiHidden/>
    <w:unhideWhenUsed/>
    <w:rsid w:val="00827789"/>
    <w:pPr>
      <w:spacing w:after="120"/>
      <w:ind w:left="849"/>
      <w:contextualSpacing/>
    </w:pPr>
  </w:style>
  <w:style w:type="paragraph" w:styleId="ListContinue4">
    <w:name w:val="List Continue 4"/>
    <w:basedOn w:val="Normal"/>
    <w:uiPriority w:val="99"/>
    <w:semiHidden/>
    <w:unhideWhenUsed/>
    <w:rsid w:val="00827789"/>
    <w:pPr>
      <w:spacing w:after="120"/>
      <w:ind w:left="1132"/>
      <w:contextualSpacing/>
    </w:pPr>
  </w:style>
  <w:style w:type="paragraph" w:styleId="ListContinue5">
    <w:name w:val="List Continue 5"/>
    <w:basedOn w:val="Normal"/>
    <w:uiPriority w:val="99"/>
    <w:semiHidden/>
    <w:unhideWhenUsed/>
    <w:rsid w:val="00827789"/>
    <w:pPr>
      <w:spacing w:after="120"/>
      <w:ind w:left="1415"/>
      <w:contextualSpacing/>
    </w:pPr>
  </w:style>
  <w:style w:type="paragraph" w:styleId="ListNumber">
    <w:name w:val="List Number"/>
    <w:basedOn w:val="Normal"/>
    <w:uiPriority w:val="49"/>
    <w:semiHidden/>
    <w:rsid w:val="00827789"/>
    <w:pPr>
      <w:numPr>
        <w:numId w:val="1"/>
      </w:numPr>
      <w:contextualSpacing/>
    </w:pPr>
  </w:style>
  <w:style w:type="paragraph" w:styleId="ListNumber2">
    <w:name w:val="List Number 2"/>
    <w:basedOn w:val="Normal"/>
    <w:uiPriority w:val="49"/>
    <w:semiHidden/>
    <w:rsid w:val="00827789"/>
    <w:pPr>
      <w:numPr>
        <w:numId w:val="2"/>
      </w:numPr>
      <w:contextualSpacing/>
    </w:pPr>
  </w:style>
  <w:style w:type="paragraph" w:styleId="ListNumber3">
    <w:name w:val="List Number 3"/>
    <w:basedOn w:val="Normal"/>
    <w:uiPriority w:val="49"/>
    <w:semiHidden/>
    <w:rsid w:val="00827789"/>
    <w:pPr>
      <w:numPr>
        <w:numId w:val="3"/>
      </w:numPr>
      <w:contextualSpacing/>
    </w:pPr>
  </w:style>
  <w:style w:type="paragraph" w:styleId="ListNumber4">
    <w:name w:val="List Number 4"/>
    <w:basedOn w:val="Normal"/>
    <w:uiPriority w:val="49"/>
    <w:semiHidden/>
    <w:rsid w:val="00827789"/>
    <w:pPr>
      <w:numPr>
        <w:numId w:val="4"/>
      </w:numPr>
      <w:contextualSpacing/>
    </w:pPr>
  </w:style>
  <w:style w:type="paragraph" w:styleId="ListNumber5">
    <w:name w:val="List Number 5"/>
    <w:basedOn w:val="Normal"/>
    <w:uiPriority w:val="49"/>
    <w:semiHidden/>
    <w:rsid w:val="00827789"/>
    <w:pPr>
      <w:numPr>
        <w:numId w:val="5"/>
      </w:numPr>
      <w:contextualSpacing/>
    </w:pPr>
  </w:style>
  <w:style w:type="paragraph" w:styleId="MacroText">
    <w:name w:val="macro"/>
    <w:link w:val="MacroTextChar"/>
    <w:uiPriority w:val="99"/>
    <w:semiHidden/>
    <w:unhideWhenUsed/>
    <w:rsid w:val="0082778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827789"/>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8277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7789"/>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rsid w:val="0082778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27789"/>
    <w:rPr>
      <w:rFonts w:ascii="Times New Roman" w:hAnsi="Times New Roman" w:cs="Times New Roman"/>
      <w:sz w:val="24"/>
      <w:szCs w:val="24"/>
    </w:rPr>
  </w:style>
  <w:style w:type="paragraph" w:styleId="NormalIndent">
    <w:name w:val="Normal Indent"/>
    <w:basedOn w:val="Normal"/>
    <w:uiPriority w:val="99"/>
    <w:semiHidden/>
    <w:unhideWhenUsed/>
    <w:rsid w:val="00827789"/>
    <w:pPr>
      <w:ind w:left="567"/>
    </w:pPr>
  </w:style>
  <w:style w:type="paragraph" w:styleId="NoteHeading">
    <w:name w:val="Note Heading"/>
    <w:basedOn w:val="Normal"/>
    <w:next w:val="Normal"/>
    <w:link w:val="NoteHeadingChar"/>
    <w:uiPriority w:val="99"/>
    <w:semiHidden/>
    <w:unhideWhenUsed/>
    <w:rsid w:val="00827789"/>
  </w:style>
  <w:style w:type="character" w:customStyle="1" w:styleId="NoteHeadingChar">
    <w:name w:val="Note Heading Char"/>
    <w:basedOn w:val="DefaultParagraphFont"/>
    <w:link w:val="NoteHeading"/>
    <w:uiPriority w:val="99"/>
    <w:semiHidden/>
    <w:rsid w:val="00827789"/>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827789"/>
  </w:style>
  <w:style w:type="character" w:styleId="PlaceholderText">
    <w:name w:val="Placeholder Text"/>
    <w:basedOn w:val="DefaultParagraphFont"/>
    <w:uiPriority w:val="99"/>
    <w:semiHidden/>
    <w:rsid w:val="00827789"/>
    <w:rPr>
      <w:color w:val="808080"/>
    </w:rPr>
  </w:style>
  <w:style w:type="paragraph" w:styleId="PlainText">
    <w:name w:val="Plain Text"/>
    <w:basedOn w:val="Normal"/>
    <w:link w:val="PlainTextChar"/>
    <w:uiPriority w:val="99"/>
    <w:unhideWhenUsed/>
    <w:rsid w:val="00827789"/>
    <w:rPr>
      <w:rFonts w:ascii="Consolas" w:hAnsi="Consolas" w:cs="Consolas"/>
      <w:sz w:val="21"/>
      <w:szCs w:val="21"/>
    </w:rPr>
  </w:style>
  <w:style w:type="character" w:customStyle="1" w:styleId="PlainTextChar">
    <w:name w:val="Plain Text Char"/>
    <w:basedOn w:val="DefaultParagraphFont"/>
    <w:link w:val="PlainText"/>
    <w:uiPriority w:val="99"/>
    <w:semiHidden/>
    <w:rsid w:val="00827789"/>
    <w:rPr>
      <w:rFonts w:ascii="Consolas" w:eastAsiaTheme="minorHAnsi" w:hAnsi="Consolas" w:cs="Consolas"/>
      <w:sz w:val="21"/>
      <w:szCs w:val="21"/>
      <w:lang w:val="en-GB" w:eastAsia="en-US"/>
    </w:rPr>
  </w:style>
  <w:style w:type="paragraph" w:styleId="Quote">
    <w:name w:val="Quote"/>
    <w:basedOn w:val="Normal"/>
    <w:next w:val="Normal"/>
    <w:link w:val="QuoteChar"/>
    <w:uiPriority w:val="59"/>
    <w:semiHidden/>
    <w:unhideWhenUsed/>
    <w:qFormat/>
    <w:rsid w:val="00827789"/>
    <w:rPr>
      <w:i/>
      <w:iCs/>
      <w:color w:val="000000" w:themeColor="text1"/>
    </w:rPr>
  </w:style>
  <w:style w:type="character" w:customStyle="1" w:styleId="QuoteChar">
    <w:name w:val="Quote Char"/>
    <w:basedOn w:val="DefaultParagraphFont"/>
    <w:link w:val="Quote"/>
    <w:uiPriority w:val="59"/>
    <w:semiHidden/>
    <w:rsid w:val="00827789"/>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827789"/>
  </w:style>
  <w:style w:type="character" w:customStyle="1" w:styleId="SalutationChar">
    <w:name w:val="Salutation Char"/>
    <w:basedOn w:val="DefaultParagraphFont"/>
    <w:link w:val="Salutation"/>
    <w:uiPriority w:val="99"/>
    <w:semiHidden/>
    <w:rsid w:val="00827789"/>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827789"/>
    <w:pPr>
      <w:ind w:left="4252"/>
    </w:pPr>
  </w:style>
  <w:style w:type="character" w:customStyle="1" w:styleId="SignatureChar">
    <w:name w:val="Signature Char"/>
    <w:basedOn w:val="DefaultParagraphFont"/>
    <w:link w:val="Signature"/>
    <w:uiPriority w:val="99"/>
    <w:semiHidden/>
    <w:rsid w:val="00827789"/>
    <w:rPr>
      <w:rFonts w:ascii="Verdana" w:eastAsiaTheme="minorHAnsi" w:hAnsi="Verdana" w:cstheme="minorBidi"/>
      <w:sz w:val="18"/>
      <w:szCs w:val="22"/>
      <w:lang w:val="en-GB" w:eastAsia="en-US"/>
    </w:rPr>
  </w:style>
  <w:style w:type="character" w:styleId="Strong">
    <w:name w:val="Strong"/>
    <w:basedOn w:val="DefaultParagraphFont"/>
    <w:uiPriority w:val="99"/>
    <w:semiHidden/>
    <w:unhideWhenUsed/>
    <w:qFormat/>
    <w:rsid w:val="00827789"/>
    <w:rPr>
      <w:b/>
      <w:bCs/>
    </w:rPr>
  </w:style>
  <w:style w:type="character" w:styleId="SubtleEmphasis">
    <w:name w:val="Subtle Emphasis"/>
    <w:basedOn w:val="DefaultParagraphFont"/>
    <w:uiPriority w:val="99"/>
    <w:semiHidden/>
    <w:unhideWhenUsed/>
    <w:qFormat/>
    <w:rsid w:val="00827789"/>
    <w:rPr>
      <w:i/>
      <w:iCs/>
      <w:color w:val="808080" w:themeColor="text1" w:themeTint="7F"/>
    </w:rPr>
  </w:style>
  <w:style w:type="character" w:styleId="SubtleReference">
    <w:name w:val="Subtle Reference"/>
    <w:basedOn w:val="DefaultParagraphFont"/>
    <w:uiPriority w:val="99"/>
    <w:semiHidden/>
    <w:unhideWhenUsed/>
    <w:qFormat/>
    <w:rsid w:val="00827789"/>
    <w:rPr>
      <w:smallCaps/>
      <w:color w:val="C0504D" w:themeColor="accent2"/>
      <w:u w:val="single"/>
    </w:rPr>
  </w:style>
  <w:style w:type="paragraph" w:customStyle="1" w:styleId="TitleDate">
    <w:name w:val="Title Date"/>
    <w:basedOn w:val="Normal"/>
    <w:next w:val="Normal"/>
    <w:uiPriority w:val="5"/>
    <w:qFormat/>
    <w:rsid w:val="005D1B1F"/>
    <w:pPr>
      <w:spacing w:after="240"/>
      <w:jc w:val="center"/>
    </w:pPr>
    <w:rPr>
      <w:rFonts w:eastAsia="Calibri" w:cs="Times New Roman"/>
      <w:color w:val="006283"/>
    </w:rPr>
  </w:style>
  <w:style w:type="paragraph" w:customStyle="1" w:styleId="Query">
    <w:name w:val="Query"/>
    <w:qFormat/>
    <w:rsid w:val="00E96960"/>
    <w:pPr>
      <w:numPr>
        <w:numId w:val="9"/>
      </w:numPr>
      <w:spacing w:before="240" w:after="200" w:line="276" w:lineRule="auto"/>
      <w:jc w:val="both"/>
    </w:pPr>
    <w:rPr>
      <w:rFonts w:ascii="Verdana" w:eastAsiaTheme="minorHAnsi" w:hAnsi="Verdana" w:cstheme="minorBidi"/>
      <w:sz w:val="18"/>
      <w:szCs w:val="22"/>
      <w:u w:val="single"/>
      <w:lang w:eastAsia="en-US"/>
    </w:rPr>
  </w:style>
  <w:style w:type="paragraph" w:customStyle="1" w:styleId="Ttulo11">
    <w:name w:val="Título 11"/>
    <w:basedOn w:val="Normal"/>
    <w:uiPriority w:val="1"/>
    <w:qFormat/>
    <w:rsid w:val="00613472"/>
    <w:pPr>
      <w:widowControl w:val="0"/>
      <w:autoSpaceDE w:val="0"/>
      <w:autoSpaceDN w:val="0"/>
      <w:ind w:left="100"/>
      <w:jc w:val="left"/>
      <w:outlineLvl w:val="1"/>
    </w:pPr>
    <w:rPr>
      <w:rFonts w:eastAsia="Verdana" w:cs="Verdana"/>
      <w:b/>
      <w:bCs/>
      <w:szCs w:val="18"/>
    </w:rPr>
  </w:style>
  <w:style w:type="character" w:styleId="UnresolvedMention">
    <w:name w:val="Unresolved Mention"/>
    <w:basedOn w:val="DefaultParagraphFont"/>
    <w:uiPriority w:val="99"/>
    <w:semiHidden/>
    <w:unhideWhenUsed/>
    <w:rsid w:val="0061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00878">
      <w:bodyDiv w:val="1"/>
      <w:marLeft w:val="0"/>
      <w:marRight w:val="0"/>
      <w:marTop w:val="0"/>
      <w:marBottom w:val="0"/>
      <w:divBdr>
        <w:top w:val="none" w:sz="0" w:space="0" w:color="auto"/>
        <w:left w:val="none" w:sz="0" w:space="0" w:color="auto"/>
        <w:bottom w:val="none" w:sz="0" w:space="0" w:color="auto"/>
        <w:right w:val="none" w:sz="0" w:space="0" w:color="auto"/>
      </w:divBdr>
    </w:div>
    <w:div w:id="16388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rgentina.gob.ar/comprobar-licencias-automaticas-para-importaciones"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afip.gob.ar/sim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rvicios.infoleg.gob.ar/infolegInternet/anexos/275000-279999/276625/texact.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rvicios.infoleg.gob.ar/infolegInternet/anexos/275000-279999/276625/texact.ht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S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9E05-00D9-45AE-BD43-370B04D1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WTODOCS2012.DOTX</Template>
  <TotalTime>1</TotalTime>
  <Pages>4</Pages>
  <Words>1562</Words>
  <Characters>9246</Characters>
  <Application>Microsoft Office Word</Application>
  <DocSecurity>0</DocSecurity>
  <Lines>138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cp:lastPrinted>2022-09-20T12:22:00Z</cp:lastPrinted>
  <dcterms:created xsi:type="dcterms:W3CDTF">2022-10-14T10:18:00Z</dcterms:created>
  <dcterms:modified xsi:type="dcterms:W3CDTF">2022-10-14T10:54:00Z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e9d51a45-b9cc-48fd-9867-b16a8fb8b0e1</vt:lpwstr>
  </property>
  <property fmtid="{D5CDD505-2E9C-101B-9397-08002B2CF9AE}" pid="3" name="Symbol1">
    <vt:lpwstr>G/LIC/N/3/ARG/18</vt:lpwstr>
  </property>
  <property fmtid="{D5CDD505-2E9C-101B-9397-08002B2CF9AE}" pid="4" name="WTOCLASSIFICATION">
    <vt:lpwstr>WTO OFFICIAL</vt:lpwstr>
  </property>
</Properties>
</file>