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0EB604" w14:textId="77777777" w:rsidR="00D338A4" w:rsidRPr="00F7752D" w:rsidRDefault="0077630D" w:rsidP="00D338A4">
      <w:pPr>
        <w:pStyle w:val="Title"/>
        <w:rPr>
          <w:caps w:val="0"/>
          <w:kern w:val="0"/>
          <w:szCs w:val="18"/>
        </w:rPr>
      </w:pPr>
      <w:bookmarkStart w:id="24" w:name="_Hlk56680197"/>
      <w:bookmarkStart w:id="25" w:name="_GoBack"/>
      <w:bookmarkEnd w:id="25"/>
      <w:r w:rsidRPr="00F7752D">
        <w:rPr>
          <w:caps w:val="0"/>
          <w:kern w:val="0"/>
          <w:szCs w:val="18"/>
        </w:rPr>
        <w:t xml:space="preserve">IMPORT LICENSING SYSTEM OF </w:t>
      </w:r>
      <w:r w:rsidR="00D338A4" w:rsidRPr="00F7752D">
        <w:rPr>
          <w:caps w:val="0"/>
          <w:kern w:val="0"/>
          <w:szCs w:val="18"/>
        </w:rPr>
        <w:t>ARGENTI</w:t>
      </w:r>
      <w:r w:rsidR="00CA2026" w:rsidRPr="00F7752D">
        <w:rPr>
          <w:caps w:val="0"/>
          <w:kern w:val="0"/>
          <w:szCs w:val="18"/>
        </w:rPr>
        <w:t>N</w:t>
      </w:r>
      <w:r w:rsidR="00D338A4" w:rsidRPr="00F7752D">
        <w:rPr>
          <w:caps w:val="0"/>
          <w:kern w:val="0"/>
          <w:szCs w:val="18"/>
        </w:rPr>
        <w:t>A</w:t>
      </w:r>
    </w:p>
    <w:p w14:paraId="7169660E" w14:textId="77777777" w:rsidR="00D338A4" w:rsidRPr="00F7752D" w:rsidRDefault="00F7752D" w:rsidP="00F7752D">
      <w:pPr>
        <w:pStyle w:val="Title2"/>
        <w:rPr>
          <w:caps w:val="0"/>
        </w:rPr>
      </w:pPr>
      <w:r w:rsidRPr="00F7752D">
        <w:rPr>
          <w:caps w:val="0"/>
        </w:rPr>
        <w:t>REPLIES TO QUESTIONS FROM THE UNITED STATES</w:t>
      </w:r>
    </w:p>
    <w:p w14:paraId="737D2689" w14:textId="77777777" w:rsidR="00D338A4" w:rsidRPr="00F7752D" w:rsidRDefault="0077630D" w:rsidP="00D338A4">
      <w:pPr>
        <w:rPr>
          <w:rFonts w:asciiTheme="majorHAnsi" w:hAnsiTheme="majorHAnsi"/>
          <w:szCs w:val="18"/>
        </w:rPr>
      </w:pPr>
      <w:r w:rsidRPr="00F7752D">
        <w:t xml:space="preserve">The following communication, dated </w:t>
      </w:r>
      <w:r w:rsidR="00F7752D" w:rsidRPr="00F7752D">
        <w:t>5 November 2</w:t>
      </w:r>
      <w:r w:rsidRPr="00F7752D">
        <w:t>020, is being circulated at the request of the delegation of Argentina</w:t>
      </w:r>
      <w:r w:rsidR="00D338A4" w:rsidRPr="00F7752D">
        <w:rPr>
          <w:rFonts w:asciiTheme="majorHAnsi" w:hAnsiTheme="majorHAnsi"/>
          <w:szCs w:val="18"/>
        </w:rPr>
        <w:t>.</w:t>
      </w:r>
    </w:p>
    <w:p w14:paraId="233C54ED" w14:textId="77777777" w:rsidR="00D338A4" w:rsidRPr="00F7752D" w:rsidRDefault="00D338A4" w:rsidP="00D338A4">
      <w:pPr>
        <w:rPr>
          <w:rFonts w:asciiTheme="majorHAnsi" w:hAnsiTheme="majorHAnsi"/>
          <w:szCs w:val="18"/>
        </w:rPr>
      </w:pPr>
    </w:p>
    <w:p w14:paraId="5C92C503" w14:textId="77777777" w:rsidR="00D338A4" w:rsidRPr="00F7752D" w:rsidRDefault="00D338A4" w:rsidP="00D338A4">
      <w:pPr>
        <w:jc w:val="center"/>
        <w:rPr>
          <w:rFonts w:asciiTheme="majorHAnsi" w:hAnsiTheme="majorHAnsi"/>
          <w:b/>
          <w:szCs w:val="18"/>
        </w:rPr>
      </w:pPr>
      <w:r w:rsidRPr="00F7752D">
        <w:rPr>
          <w:rFonts w:asciiTheme="majorHAnsi" w:hAnsiTheme="majorHAnsi"/>
          <w:b/>
          <w:szCs w:val="18"/>
        </w:rPr>
        <w:t>_______________</w:t>
      </w:r>
    </w:p>
    <w:p w14:paraId="059CF7C8" w14:textId="77777777" w:rsidR="00D338A4" w:rsidRPr="00F7752D" w:rsidRDefault="00D338A4" w:rsidP="00D338A4">
      <w:pPr>
        <w:rPr>
          <w:rFonts w:asciiTheme="majorHAnsi" w:hAnsiTheme="majorHAnsi"/>
          <w:szCs w:val="18"/>
        </w:rPr>
      </w:pPr>
    </w:p>
    <w:p w14:paraId="71DA7883" w14:textId="77777777" w:rsidR="00D338A4" w:rsidRPr="00F7752D" w:rsidRDefault="00D338A4" w:rsidP="00D338A4">
      <w:pPr>
        <w:rPr>
          <w:rFonts w:asciiTheme="majorHAnsi" w:hAnsiTheme="majorHAnsi"/>
          <w:szCs w:val="18"/>
        </w:rPr>
      </w:pPr>
    </w:p>
    <w:p w14:paraId="654E3705" w14:textId="77777777" w:rsidR="00D338A4" w:rsidRPr="00F7752D" w:rsidRDefault="0077630D" w:rsidP="00D338A4">
      <w:pPr>
        <w:rPr>
          <w:b/>
          <w:bCs/>
          <w:u w:val="single"/>
        </w:rPr>
      </w:pPr>
      <w:r w:rsidRPr="00F7752D">
        <w:rPr>
          <w:b/>
          <w:bCs/>
          <w:u w:val="single"/>
        </w:rPr>
        <w:t>Question</w:t>
      </w:r>
    </w:p>
    <w:p w14:paraId="04A1975B" w14:textId="77777777" w:rsidR="00D338A4" w:rsidRPr="00F7752D" w:rsidRDefault="00D338A4" w:rsidP="00D338A4"/>
    <w:p w14:paraId="46383E0C" w14:textId="77777777" w:rsidR="00F7752D" w:rsidRPr="00F7752D" w:rsidRDefault="0077630D" w:rsidP="0077630D">
      <w:pPr>
        <w:autoSpaceDE w:val="0"/>
        <w:autoSpaceDN w:val="0"/>
        <w:adjustRightInd w:val="0"/>
        <w:rPr>
          <w:rFonts w:cstheme="majorBidi"/>
          <w:szCs w:val="18"/>
        </w:rPr>
      </w:pPr>
      <w:r w:rsidRPr="00F7752D">
        <w:rPr>
          <w:rFonts w:cstheme="majorBidi"/>
          <w:szCs w:val="18"/>
        </w:rPr>
        <w:t>In 2020, Argentina made three (3) notifications to the Committee, and one corrigendum:</w:t>
      </w:r>
    </w:p>
    <w:p w14:paraId="76B130D7" w14:textId="77777777" w:rsidR="0077630D" w:rsidRPr="00F7752D" w:rsidRDefault="0077630D" w:rsidP="0077630D">
      <w:pPr>
        <w:autoSpaceDE w:val="0"/>
        <w:autoSpaceDN w:val="0"/>
        <w:adjustRightInd w:val="0"/>
        <w:rPr>
          <w:rFonts w:cstheme="majorBidi"/>
          <w:szCs w:val="18"/>
        </w:rPr>
      </w:pPr>
    </w:p>
    <w:p w14:paraId="06ABAA2F" w14:textId="77777777" w:rsidR="0077630D" w:rsidRPr="00F7752D" w:rsidRDefault="0077630D" w:rsidP="0077630D">
      <w:pPr>
        <w:ind w:firstLine="567"/>
      </w:pPr>
      <w:r w:rsidRPr="00F7752D">
        <w:t xml:space="preserve">G/LIC/N/2/ARG/28/Add.5, circulated </w:t>
      </w:r>
      <w:r w:rsidR="00F7752D" w:rsidRPr="00F7752D">
        <w:t>5 March 2</w:t>
      </w:r>
      <w:r w:rsidRPr="00F7752D">
        <w:t>020</w:t>
      </w:r>
    </w:p>
    <w:p w14:paraId="02AC8D24" w14:textId="77777777" w:rsidR="0077630D" w:rsidRPr="00F7752D" w:rsidRDefault="0077630D" w:rsidP="0077630D">
      <w:pPr>
        <w:ind w:firstLine="567"/>
      </w:pPr>
      <w:r w:rsidRPr="00F7752D">
        <w:rPr>
          <w:rFonts w:cstheme="majorBidi"/>
          <w:szCs w:val="18"/>
        </w:rPr>
        <w:t>G/LIC/N</w:t>
      </w:r>
      <w:r w:rsidRPr="00F7752D">
        <w:t>/2/ARG/28/Add/6, circulated 1</w:t>
      </w:r>
      <w:r w:rsidR="00F7752D" w:rsidRPr="00F7752D">
        <w:t>4 April 2</w:t>
      </w:r>
      <w:r w:rsidRPr="00F7752D">
        <w:t>020</w:t>
      </w:r>
    </w:p>
    <w:p w14:paraId="30AF5D2B" w14:textId="77777777" w:rsidR="0077630D" w:rsidRPr="00F7752D" w:rsidRDefault="0077630D" w:rsidP="0077630D">
      <w:pPr>
        <w:ind w:firstLine="567"/>
      </w:pPr>
      <w:r w:rsidRPr="00F7752D">
        <w:t>G/LIC/N/2/ARG/28/Add.7, circulated 2</w:t>
      </w:r>
      <w:r w:rsidR="00F7752D" w:rsidRPr="00F7752D">
        <w:t>9 July 2</w:t>
      </w:r>
      <w:r w:rsidRPr="00F7752D">
        <w:t>020</w:t>
      </w:r>
    </w:p>
    <w:p w14:paraId="52961237" w14:textId="77777777" w:rsidR="0077630D" w:rsidRPr="00F7752D" w:rsidRDefault="0077630D" w:rsidP="0077630D">
      <w:pPr>
        <w:ind w:firstLine="567"/>
        <w:rPr>
          <w:rFonts w:cstheme="majorBidi"/>
          <w:szCs w:val="18"/>
        </w:rPr>
      </w:pPr>
      <w:r w:rsidRPr="00F7752D">
        <w:t>G/LIC/N</w:t>
      </w:r>
      <w:r w:rsidRPr="00F7752D">
        <w:rPr>
          <w:rFonts w:cstheme="majorBidi"/>
          <w:szCs w:val="18"/>
        </w:rPr>
        <w:t>/2/ARG/28/Add.7/Corr.1, circulated 1</w:t>
      </w:r>
      <w:r w:rsidR="00F7752D" w:rsidRPr="00F7752D">
        <w:rPr>
          <w:rFonts w:cstheme="majorBidi"/>
          <w:szCs w:val="18"/>
        </w:rPr>
        <w:t>8 August 2</w:t>
      </w:r>
      <w:r w:rsidRPr="00F7752D">
        <w:rPr>
          <w:rFonts w:cstheme="majorBidi"/>
          <w:szCs w:val="18"/>
        </w:rPr>
        <w:t>020</w:t>
      </w:r>
    </w:p>
    <w:p w14:paraId="62459F6C" w14:textId="77777777" w:rsidR="0077630D" w:rsidRPr="00F7752D" w:rsidRDefault="0077630D" w:rsidP="0077630D">
      <w:pPr>
        <w:autoSpaceDE w:val="0"/>
        <w:autoSpaceDN w:val="0"/>
        <w:adjustRightInd w:val="0"/>
        <w:rPr>
          <w:rFonts w:cstheme="majorBidi"/>
          <w:szCs w:val="18"/>
        </w:rPr>
      </w:pPr>
    </w:p>
    <w:p w14:paraId="2401CB1A" w14:textId="77777777" w:rsidR="0077630D" w:rsidRPr="00F7752D" w:rsidRDefault="0077630D" w:rsidP="0077630D">
      <w:pPr>
        <w:autoSpaceDE w:val="0"/>
        <w:autoSpaceDN w:val="0"/>
        <w:adjustRightInd w:val="0"/>
        <w:rPr>
          <w:rFonts w:cstheme="majorBidi"/>
          <w:szCs w:val="18"/>
        </w:rPr>
      </w:pPr>
      <w:r w:rsidRPr="001A6146">
        <w:rPr>
          <w:rFonts w:cstheme="majorBidi"/>
          <w:szCs w:val="18"/>
        </w:rPr>
        <w:t xml:space="preserve">These are updates to Resolution 523/2017, </w:t>
      </w:r>
      <w:r w:rsidRPr="001A6146">
        <w:rPr>
          <w:rFonts w:cstheme="majorBidi"/>
          <w:i/>
          <w:iCs/>
          <w:szCs w:val="18"/>
        </w:rPr>
        <w:t>improved efficiency and transparency in Argentina</w:t>
      </w:r>
      <w:r w:rsidR="00F7752D" w:rsidRPr="001A6146">
        <w:rPr>
          <w:rFonts w:cstheme="majorBidi"/>
          <w:i/>
          <w:iCs/>
          <w:szCs w:val="18"/>
        </w:rPr>
        <w:t>'</w:t>
      </w:r>
      <w:r w:rsidRPr="001A6146">
        <w:rPr>
          <w:rFonts w:cstheme="majorBidi"/>
          <w:i/>
          <w:iCs/>
          <w:szCs w:val="18"/>
        </w:rPr>
        <w:t>s import licensing system</w:t>
      </w:r>
      <w:r w:rsidRPr="001A6146">
        <w:rPr>
          <w:rFonts w:cstheme="majorBidi"/>
          <w:szCs w:val="18"/>
        </w:rPr>
        <w:t>,</w:t>
      </w:r>
      <w:r w:rsidRPr="00F7752D">
        <w:rPr>
          <w:rFonts w:cstheme="majorBidi"/>
          <w:szCs w:val="18"/>
        </w:rPr>
        <w:t xml:space="preserve"> notified in G/LIC/N/2/ARG/28 on </w:t>
      </w:r>
      <w:r w:rsidR="00F7752D" w:rsidRPr="00F7752D">
        <w:rPr>
          <w:rFonts w:cstheme="majorBidi"/>
          <w:szCs w:val="18"/>
        </w:rPr>
        <w:t>September 2</w:t>
      </w:r>
      <w:r w:rsidRPr="00F7752D">
        <w:rPr>
          <w:rFonts w:cstheme="majorBidi"/>
          <w:szCs w:val="18"/>
        </w:rPr>
        <w:t>017.</w:t>
      </w:r>
    </w:p>
    <w:p w14:paraId="73D96841" w14:textId="77777777" w:rsidR="0077630D" w:rsidRPr="00F7752D" w:rsidRDefault="0077630D" w:rsidP="0077630D">
      <w:pPr>
        <w:autoSpaceDE w:val="0"/>
        <w:autoSpaceDN w:val="0"/>
        <w:adjustRightInd w:val="0"/>
        <w:rPr>
          <w:rFonts w:cstheme="majorBidi"/>
          <w:szCs w:val="18"/>
        </w:rPr>
      </w:pPr>
    </w:p>
    <w:p w14:paraId="76816E36" w14:textId="77777777" w:rsidR="0077630D" w:rsidRPr="00F7752D" w:rsidRDefault="0077630D" w:rsidP="0077630D">
      <w:pPr>
        <w:autoSpaceDE w:val="0"/>
        <w:autoSpaceDN w:val="0"/>
        <w:adjustRightInd w:val="0"/>
        <w:rPr>
          <w:rFonts w:cstheme="majorBidi"/>
          <w:szCs w:val="18"/>
        </w:rPr>
      </w:pPr>
      <w:r w:rsidRPr="00F7752D">
        <w:rPr>
          <w:rFonts w:cstheme="majorBidi"/>
          <w:szCs w:val="18"/>
        </w:rPr>
        <w:t>During 2020, we have heard from importers about non</w:t>
      </w:r>
      <w:r w:rsidR="00F7752D" w:rsidRPr="00F7752D">
        <w:rPr>
          <w:rFonts w:cstheme="majorBidi"/>
          <w:szCs w:val="18"/>
        </w:rPr>
        <w:noBreakHyphen/>
      </w:r>
      <w:r w:rsidRPr="00F7752D">
        <w:rPr>
          <w:rFonts w:cstheme="majorBidi"/>
          <w:szCs w:val="18"/>
        </w:rPr>
        <w:t>transparent approval processes and requirements, as well as delays in processing times related to the import licensing system.</w:t>
      </w:r>
    </w:p>
    <w:p w14:paraId="5E6DFD55" w14:textId="77777777" w:rsidR="0077630D" w:rsidRPr="00F7752D" w:rsidRDefault="0077630D" w:rsidP="0077630D">
      <w:pPr>
        <w:autoSpaceDE w:val="0"/>
        <w:autoSpaceDN w:val="0"/>
        <w:adjustRightInd w:val="0"/>
        <w:rPr>
          <w:rFonts w:cstheme="majorBidi"/>
          <w:szCs w:val="18"/>
        </w:rPr>
      </w:pPr>
    </w:p>
    <w:p w14:paraId="3C9C9F7D" w14:textId="77777777" w:rsidR="0077630D" w:rsidRPr="00F7752D" w:rsidRDefault="0077630D" w:rsidP="0077630D">
      <w:pPr>
        <w:autoSpaceDE w:val="0"/>
        <w:autoSpaceDN w:val="0"/>
        <w:adjustRightInd w:val="0"/>
        <w:rPr>
          <w:rFonts w:cstheme="majorBidi"/>
          <w:szCs w:val="18"/>
        </w:rPr>
      </w:pPr>
      <w:r w:rsidRPr="00F7752D">
        <w:rPr>
          <w:rFonts w:cstheme="majorBidi"/>
          <w:szCs w:val="18"/>
        </w:rPr>
        <w:t>In the interest of an open exchange under this Committee, we seek additional clarification from Argentina about the changes to the import licensing system introduced in 2020.</w:t>
      </w:r>
      <w:r w:rsidR="00F7752D" w:rsidRPr="00F7752D">
        <w:rPr>
          <w:rFonts w:cstheme="majorBidi"/>
          <w:szCs w:val="18"/>
        </w:rPr>
        <w:t xml:space="preserve"> </w:t>
      </w:r>
      <w:r w:rsidRPr="00F7752D">
        <w:rPr>
          <w:rFonts w:cstheme="majorBidi"/>
          <w:szCs w:val="18"/>
        </w:rPr>
        <w:t>We urge Argentina to implement its system in a transparent, fair, and equitable manner, and to avoid practices that could have avoidable trade</w:t>
      </w:r>
      <w:r w:rsidR="00F7752D" w:rsidRPr="00F7752D">
        <w:rPr>
          <w:rFonts w:cstheme="majorBidi"/>
          <w:szCs w:val="18"/>
        </w:rPr>
        <w:noBreakHyphen/>
      </w:r>
      <w:r w:rsidRPr="00F7752D">
        <w:rPr>
          <w:rFonts w:cstheme="majorBidi"/>
          <w:szCs w:val="18"/>
        </w:rPr>
        <w:t>restrictive or distortive effects that may discourage investment or other economic activity important for Argentina</w:t>
      </w:r>
      <w:r w:rsidR="00F7752D" w:rsidRPr="00F7752D">
        <w:rPr>
          <w:rFonts w:cstheme="majorBidi"/>
          <w:szCs w:val="18"/>
        </w:rPr>
        <w:t>'</w:t>
      </w:r>
      <w:r w:rsidRPr="00F7752D">
        <w:rPr>
          <w:rFonts w:cstheme="majorBidi"/>
          <w:szCs w:val="18"/>
        </w:rPr>
        <w:t>s long</w:t>
      </w:r>
      <w:r w:rsidR="00F7752D" w:rsidRPr="00F7752D">
        <w:rPr>
          <w:rFonts w:cstheme="majorBidi"/>
          <w:szCs w:val="18"/>
        </w:rPr>
        <w:noBreakHyphen/>
      </w:r>
      <w:r w:rsidRPr="00F7752D">
        <w:rPr>
          <w:rFonts w:cstheme="majorBidi"/>
          <w:szCs w:val="18"/>
        </w:rPr>
        <w:t>term objectives.</w:t>
      </w:r>
    </w:p>
    <w:p w14:paraId="5F9F50AE" w14:textId="77777777" w:rsidR="0077630D" w:rsidRPr="00F7752D" w:rsidRDefault="0077630D" w:rsidP="0077630D">
      <w:pPr>
        <w:autoSpaceDE w:val="0"/>
        <w:autoSpaceDN w:val="0"/>
        <w:adjustRightInd w:val="0"/>
        <w:rPr>
          <w:rFonts w:cstheme="majorBidi"/>
          <w:szCs w:val="18"/>
        </w:rPr>
      </w:pPr>
    </w:p>
    <w:p w14:paraId="7DE70DFB" w14:textId="77777777" w:rsidR="0077630D" w:rsidRPr="000C4EE6" w:rsidRDefault="0077630D" w:rsidP="000C4EE6">
      <w:pPr>
        <w:pStyle w:val="ListParagraph"/>
        <w:numPr>
          <w:ilvl w:val="0"/>
          <w:numId w:val="24"/>
        </w:numPr>
        <w:ind w:hanging="720"/>
        <w:rPr>
          <w:rFonts w:cstheme="majorBidi"/>
          <w:szCs w:val="18"/>
        </w:rPr>
      </w:pPr>
      <w:r w:rsidRPr="000C4EE6">
        <w:rPr>
          <w:rFonts w:cstheme="majorBidi"/>
          <w:szCs w:val="18"/>
        </w:rPr>
        <w:t>Is Resolution 532/2017 still the primary measure governing automatic and non</w:t>
      </w:r>
      <w:r w:rsidR="00F7752D" w:rsidRPr="000C4EE6">
        <w:rPr>
          <w:rFonts w:cstheme="majorBidi"/>
          <w:szCs w:val="18"/>
        </w:rPr>
        <w:noBreakHyphen/>
      </w:r>
      <w:r w:rsidRPr="000C4EE6">
        <w:rPr>
          <w:rFonts w:cstheme="majorBidi"/>
          <w:szCs w:val="18"/>
        </w:rPr>
        <w:t>automatic import licensing in Argentina?</w:t>
      </w:r>
      <w:r w:rsidR="00F7752D" w:rsidRPr="000C4EE6">
        <w:rPr>
          <w:rFonts w:cstheme="majorBidi"/>
          <w:szCs w:val="18"/>
        </w:rPr>
        <w:t xml:space="preserve"> </w:t>
      </w:r>
      <w:r w:rsidRPr="000C4EE6">
        <w:rPr>
          <w:rFonts w:cstheme="majorBidi"/>
          <w:szCs w:val="18"/>
        </w:rPr>
        <w:t>Which other measures are relevant to understand the import licensing system?</w:t>
      </w:r>
    </w:p>
    <w:p w14:paraId="2410502B" w14:textId="77777777" w:rsidR="0077630D" w:rsidRPr="00F7752D" w:rsidRDefault="0077630D" w:rsidP="0077630D">
      <w:pPr>
        <w:rPr>
          <w:b/>
          <w:bCs/>
          <w:u w:val="single"/>
        </w:rPr>
      </w:pPr>
    </w:p>
    <w:p w14:paraId="20E0505F" w14:textId="77777777" w:rsidR="00D338A4" w:rsidRPr="00F7752D" w:rsidRDefault="00D338A4" w:rsidP="00D338A4">
      <w:pPr>
        <w:rPr>
          <w:b/>
          <w:bCs/>
          <w:u w:val="single"/>
        </w:rPr>
      </w:pPr>
      <w:r w:rsidRPr="00F7752D">
        <w:rPr>
          <w:b/>
          <w:bCs/>
          <w:u w:val="single"/>
        </w:rPr>
        <w:t>Re</w:t>
      </w:r>
      <w:r w:rsidR="0077630D" w:rsidRPr="00F7752D">
        <w:rPr>
          <w:b/>
          <w:bCs/>
          <w:u w:val="single"/>
        </w:rPr>
        <w:t>ply</w:t>
      </w:r>
    </w:p>
    <w:p w14:paraId="587822AE" w14:textId="77777777" w:rsidR="00D338A4" w:rsidRPr="00F7752D" w:rsidRDefault="00D338A4" w:rsidP="00D338A4">
      <w:pPr>
        <w:rPr>
          <w:rFonts w:asciiTheme="majorHAnsi" w:hAnsiTheme="majorHAnsi"/>
          <w:szCs w:val="18"/>
        </w:rPr>
      </w:pPr>
    </w:p>
    <w:p w14:paraId="13D742B5" w14:textId="77777777" w:rsidR="00D338A4" w:rsidRPr="00F7752D" w:rsidRDefault="0077630D" w:rsidP="00D338A4">
      <w:r w:rsidRPr="00F7752D">
        <w:t xml:space="preserve">Yes, </w:t>
      </w:r>
      <w:r w:rsidR="00C82526" w:rsidRPr="00F7752D">
        <w:t xml:space="preserve">both </w:t>
      </w:r>
      <w:r w:rsidRPr="00F7752D">
        <w:t xml:space="preserve">automatic </w:t>
      </w:r>
      <w:r w:rsidR="00C82526" w:rsidRPr="00F7752D">
        <w:t xml:space="preserve">import licensing </w:t>
      </w:r>
      <w:r w:rsidRPr="00F7752D">
        <w:t>and non</w:t>
      </w:r>
      <w:r w:rsidR="00F7752D" w:rsidRPr="00F7752D">
        <w:noBreakHyphen/>
      </w:r>
      <w:r w:rsidRPr="00F7752D">
        <w:t xml:space="preserve">automatic import licensing </w:t>
      </w:r>
      <w:r w:rsidR="00C82526" w:rsidRPr="00F7752D">
        <w:t>are</w:t>
      </w:r>
      <w:r w:rsidRPr="00F7752D">
        <w:t xml:space="preserve"> governed by </w:t>
      </w:r>
      <w:r w:rsidR="00A5069F" w:rsidRPr="00F7752D">
        <w:t xml:space="preserve">former Secretariat for Trade </w:t>
      </w:r>
      <w:r w:rsidRPr="00F7752D">
        <w:t xml:space="preserve">Resolution </w:t>
      </w:r>
      <w:r w:rsidR="00F7752D" w:rsidRPr="00F7752D">
        <w:t>No. </w:t>
      </w:r>
      <w:r w:rsidRPr="00F7752D">
        <w:t>5</w:t>
      </w:r>
      <w:r w:rsidR="00C82526" w:rsidRPr="00F7752D">
        <w:t>23</w:t>
      </w:r>
      <w:r w:rsidRPr="00F7752D">
        <w:t xml:space="preserve">/2017 </w:t>
      </w:r>
      <w:r w:rsidR="00A5069F" w:rsidRPr="00F7752D">
        <w:t>and the following</w:t>
      </w:r>
      <w:r w:rsidR="00C02826" w:rsidRPr="00F7752D">
        <w:t xml:space="preserve"> amend</w:t>
      </w:r>
      <w:r w:rsidR="00C82526" w:rsidRPr="00F7752D">
        <w:t>ments</w:t>
      </w:r>
      <w:r w:rsidR="00C02826" w:rsidRPr="00F7752D">
        <w:t xml:space="preserve"> and supplem</w:t>
      </w:r>
      <w:r w:rsidR="00C82526" w:rsidRPr="00F7752D">
        <w:t>ents</w:t>
      </w:r>
      <w:r w:rsidR="00C02826" w:rsidRPr="00F7752D">
        <w:t xml:space="preserve"> thereto</w:t>
      </w:r>
      <w:r w:rsidR="00D338A4" w:rsidRPr="00F7752D">
        <w:t>:</w:t>
      </w:r>
    </w:p>
    <w:p w14:paraId="4426D6E5" w14:textId="77777777" w:rsidR="00D338A4" w:rsidRPr="00F7752D" w:rsidRDefault="00D338A4" w:rsidP="00D338A4">
      <w:pPr>
        <w:rPr>
          <w:sz w:val="22"/>
        </w:rPr>
      </w:pPr>
    </w:p>
    <w:p w14:paraId="210EF16D" w14:textId="77777777" w:rsidR="00D338A4" w:rsidRPr="00F7752D" w:rsidRDefault="00C02826" w:rsidP="00F7752D">
      <w:pPr>
        <w:pStyle w:val="ListBullet2"/>
        <w:rPr>
          <w:rFonts w:asciiTheme="minorHAnsi" w:eastAsiaTheme="minorEastAsia" w:hAnsiTheme="minorHAnsi"/>
          <w:color w:val="000000" w:themeColor="text1"/>
        </w:rPr>
      </w:pPr>
      <w:r w:rsidRPr="00F7752D">
        <w:t xml:space="preserve">Former Secretariat for Trade Resolutions </w:t>
      </w:r>
      <w:r w:rsidR="00F7752D" w:rsidRPr="00F7752D">
        <w:t>Nos. </w:t>
      </w:r>
      <w:r w:rsidR="00D338A4" w:rsidRPr="00F7752D">
        <w:t>898/2017, 5</w:t>
      </w:r>
      <w:r w:rsidR="00F7752D" w:rsidRPr="00F7752D">
        <w:noBreakHyphen/>
      </w:r>
      <w:r w:rsidR="00D338A4" w:rsidRPr="00F7752D">
        <w:t>E/2018, 170/2018,</w:t>
      </w:r>
      <w:r w:rsidRPr="00F7752D">
        <w:t xml:space="preserve"> </w:t>
      </w:r>
      <w:r w:rsidR="00D338A4" w:rsidRPr="00F7752D">
        <w:t xml:space="preserve">507/2018 </w:t>
      </w:r>
      <w:r w:rsidRPr="00F7752D">
        <w:t>and</w:t>
      </w:r>
      <w:r w:rsidR="00D338A4" w:rsidRPr="00F7752D">
        <w:t xml:space="preserve"> 526/2018.</w:t>
      </w:r>
    </w:p>
    <w:p w14:paraId="55509B18" w14:textId="77777777" w:rsidR="00D338A4" w:rsidRPr="00F7752D" w:rsidRDefault="00C02826" w:rsidP="00F7752D">
      <w:pPr>
        <w:pStyle w:val="ListBullet2"/>
      </w:pPr>
      <w:r w:rsidRPr="00F7752D">
        <w:t>Secretariat for Industry, the Knowledge Economy and Foreign Trade Management Resolution</w:t>
      </w:r>
      <w:r w:rsidR="007C73BA" w:rsidRPr="00F7752D">
        <w:t>s</w:t>
      </w:r>
      <w:r w:rsidRPr="00F7752D">
        <w:t xml:space="preserve"> </w:t>
      </w:r>
      <w:r w:rsidR="00F7752D" w:rsidRPr="00F7752D">
        <w:t>Nos. </w:t>
      </w:r>
      <w:r w:rsidR="00D338A4" w:rsidRPr="00F7752D">
        <w:t xml:space="preserve">1/2020, 13/2020 </w:t>
      </w:r>
      <w:r w:rsidRPr="00F7752D">
        <w:t>and</w:t>
      </w:r>
      <w:r w:rsidR="00D338A4" w:rsidRPr="00F7752D">
        <w:t xml:space="preserve"> 133/2020.</w:t>
      </w:r>
    </w:p>
    <w:p w14:paraId="105ABFEA" w14:textId="77777777" w:rsidR="00D338A4" w:rsidRPr="00F7752D" w:rsidRDefault="00C02826" w:rsidP="00F7752D">
      <w:pPr>
        <w:pStyle w:val="ListBullet2"/>
        <w:rPr>
          <w:rFonts w:asciiTheme="minorHAnsi" w:eastAsiaTheme="minorEastAsia" w:hAnsiTheme="minorHAnsi"/>
          <w:color w:val="000000" w:themeColor="text1"/>
        </w:rPr>
      </w:pPr>
      <w:r w:rsidRPr="00F7752D">
        <w:t xml:space="preserve">Undersecretariat for Trade Policy and Management Provisions </w:t>
      </w:r>
      <w:r w:rsidR="00F7752D" w:rsidRPr="00F7752D">
        <w:t>Nos. </w:t>
      </w:r>
      <w:r w:rsidR="00D338A4" w:rsidRPr="00F7752D">
        <w:t xml:space="preserve">3/2020, 5/2020, 9/2020, 10/2020 </w:t>
      </w:r>
      <w:r w:rsidRPr="00F7752D">
        <w:t>and</w:t>
      </w:r>
      <w:r w:rsidR="00D338A4" w:rsidRPr="00F7752D">
        <w:t xml:space="preserve"> 29/2020 (</w:t>
      </w:r>
      <w:r w:rsidR="007C73BA" w:rsidRPr="00F7752D">
        <w:t>this last</w:t>
      </w:r>
      <w:r w:rsidRPr="00F7752D">
        <w:t xml:space="preserve"> Provision</w:t>
      </w:r>
      <w:r w:rsidR="009F6806" w:rsidRPr="00F7752D">
        <w:t>, published in the Official Journal of the Argentine Republic</w:t>
      </w:r>
      <w:r w:rsidRPr="00F7752D">
        <w:t xml:space="preserve"> </w:t>
      </w:r>
      <w:r w:rsidR="009F6806" w:rsidRPr="00F7752D">
        <w:t xml:space="preserve">on </w:t>
      </w:r>
      <w:r w:rsidR="00D338A4" w:rsidRPr="00F7752D">
        <w:t>2</w:t>
      </w:r>
      <w:r w:rsidR="00F7752D" w:rsidRPr="00F7752D">
        <w:t>1 October 2</w:t>
      </w:r>
      <w:r w:rsidR="00D338A4" w:rsidRPr="00F7752D">
        <w:t xml:space="preserve">020, </w:t>
      </w:r>
      <w:r w:rsidR="009F6806" w:rsidRPr="00F7752D">
        <w:t>is in the process of being notified to the WTO</w:t>
      </w:r>
      <w:r w:rsidR="00D338A4" w:rsidRPr="00F7752D">
        <w:t>).</w:t>
      </w:r>
    </w:p>
    <w:p w14:paraId="04811F78" w14:textId="77777777" w:rsidR="00D338A4" w:rsidRPr="00F7752D" w:rsidRDefault="00D338A4" w:rsidP="00D21888">
      <w:pPr>
        <w:ind w:left="1134" w:hanging="567"/>
      </w:pPr>
    </w:p>
    <w:p w14:paraId="68A0FF8E" w14:textId="77777777" w:rsidR="00D338A4" w:rsidRPr="00F7752D" w:rsidRDefault="00D338A4" w:rsidP="00D338A4">
      <w:pPr>
        <w:ind w:left="567" w:hanging="567"/>
      </w:pPr>
      <w:r w:rsidRPr="00F7752D">
        <w:lastRenderedPageBreak/>
        <w:t>2.</w:t>
      </w:r>
      <w:r w:rsidRPr="00F7752D">
        <w:tab/>
      </w:r>
      <w:r w:rsidR="00450B4C" w:rsidRPr="00F7752D">
        <w:rPr>
          <w:rFonts w:eastAsia="Calibri"/>
          <w:szCs w:val="18"/>
        </w:rPr>
        <w:t>The notifications this year indicate changes in scope for products requiring non</w:t>
      </w:r>
      <w:r w:rsidR="00F7752D" w:rsidRPr="00F7752D">
        <w:rPr>
          <w:rFonts w:eastAsia="Calibri"/>
          <w:szCs w:val="18"/>
        </w:rPr>
        <w:noBreakHyphen/>
      </w:r>
      <w:r w:rsidR="00450B4C" w:rsidRPr="00F7752D">
        <w:rPr>
          <w:rFonts w:eastAsia="Calibri"/>
          <w:szCs w:val="18"/>
        </w:rPr>
        <w:t>automatic import licensing.</w:t>
      </w:r>
      <w:r w:rsidR="00F7752D" w:rsidRPr="00F7752D">
        <w:rPr>
          <w:rFonts w:eastAsia="Calibri"/>
          <w:szCs w:val="18"/>
        </w:rPr>
        <w:t xml:space="preserve"> </w:t>
      </w:r>
      <w:r w:rsidR="00450B4C" w:rsidRPr="00F7752D">
        <w:rPr>
          <w:rFonts w:eastAsia="Calibri"/>
          <w:szCs w:val="18"/>
        </w:rPr>
        <w:t>What products currently require non</w:t>
      </w:r>
      <w:r w:rsidR="00F7752D" w:rsidRPr="00F7752D">
        <w:rPr>
          <w:rFonts w:eastAsia="Calibri"/>
          <w:szCs w:val="18"/>
        </w:rPr>
        <w:noBreakHyphen/>
      </w:r>
      <w:r w:rsidR="00450B4C" w:rsidRPr="00F7752D">
        <w:rPr>
          <w:rFonts w:eastAsia="Calibri"/>
          <w:szCs w:val="18"/>
        </w:rPr>
        <w:t>automatic import licensing?</w:t>
      </w:r>
      <w:r w:rsidR="00F7752D" w:rsidRPr="00F7752D">
        <w:rPr>
          <w:rFonts w:eastAsia="Calibri"/>
          <w:szCs w:val="18"/>
        </w:rPr>
        <w:t xml:space="preserve"> </w:t>
      </w:r>
      <w:r w:rsidR="00450B4C" w:rsidRPr="00F7752D">
        <w:rPr>
          <w:rFonts w:eastAsia="Calibri"/>
          <w:szCs w:val="18"/>
        </w:rPr>
        <w:t>How is the scope of products different from that in place in 2019?</w:t>
      </w:r>
    </w:p>
    <w:p w14:paraId="0378D6F0" w14:textId="77777777" w:rsidR="00450B4C" w:rsidRPr="00F7752D" w:rsidRDefault="00450B4C" w:rsidP="00D338A4">
      <w:pPr>
        <w:ind w:left="567" w:hanging="567"/>
      </w:pPr>
    </w:p>
    <w:p w14:paraId="4DDA5B53" w14:textId="77777777" w:rsidR="00D338A4" w:rsidRPr="00F7752D" w:rsidRDefault="00D338A4" w:rsidP="00D338A4">
      <w:pPr>
        <w:rPr>
          <w:b/>
          <w:bCs/>
          <w:u w:val="single"/>
        </w:rPr>
      </w:pPr>
      <w:r w:rsidRPr="00F7752D">
        <w:rPr>
          <w:b/>
          <w:bCs/>
          <w:u w:val="single"/>
        </w:rPr>
        <w:t>Re</w:t>
      </w:r>
      <w:r w:rsidR="00450B4C" w:rsidRPr="00F7752D">
        <w:rPr>
          <w:b/>
          <w:bCs/>
          <w:u w:val="single"/>
        </w:rPr>
        <w:t>ply</w:t>
      </w:r>
    </w:p>
    <w:p w14:paraId="4CEE6A73" w14:textId="77777777" w:rsidR="00D338A4" w:rsidRPr="00F7752D" w:rsidRDefault="00D338A4" w:rsidP="00D338A4">
      <w:pPr>
        <w:rPr>
          <w:b/>
          <w:bCs/>
          <w:sz w:val="19"/>
          <w:szCs w:val="19"/>
        </w:rPr>
      </w:pPr>
    </w:p>
    <w:p w14:paraId="71769BCF" w14:textId="77777777" w:rsidR="00D338A4" w:rsidRPr="00F7752D" w:rsidRDefault="008E7923" w:rsidP="00D338A4">
      <w:r w:rsidRPr="00F7752D">
        <w:t>I</w:t>
      </w:r>
      <w:r w:rsidR="00C13A2A" w:rsidRPr="00F7752D">
        <w:t>n 2020</w:t>
      </w:r>
      <w:r w:rsidRPr="00F7752D">
        <w:t>,</w:t>
      </w:r>
      <w:r w:rsidR="00C13A2A" w:rsidRPr="00F7752D">
        <w:t xml:space="preserve"> certain changes have </w:t>
      </w:r>
      <w:r w:rsidRPr="00F7752D">
        <w:t xml:space="preserve">indeed </w:t>
      </w:r>
      <w:r w:rsidR="00C13A2A" w:rsidRPr="00F7752D">
        <w:t xml:space="preserve">been made regarding the </w:t>
      </w:r>
      <w:r w:rsidR="0094262B" w:rsidRPr="00F7752D">
        <w:t>range</w:t>
      </w:r>
      <w:r w:rsidR="00C13A2A" w:rsidRPr="00F7752D">
        <w:t xml:space="preserve"> of products </w:t>
      </w:r>
      <w:r w:rsidRPr="00F7752D">
        <w:t>requiring</w:t>
      </w:r>
      <w:r w:rsidR="00C13A2A" w:rsidRPr="00F7752D">
        <w:t xml:space="preserve"> non</w:t>
      </w:r>
      <w:r w:rsidR="00F7752D" w:rsidRPr="00F7752D">
        <w:noBreakHyphen/>
      </w:r>
      <w:r w:rsidR="00C13A2A" w:rsidRPr="00F7752D">
        <w:t>automatic import licensing</w:t>
      </w:r>
      <w:r w:rsidR="00F7752D" w:rsidRPr="00F7752D">
        <w:t>. A</w:t>
      </w:r>
      <w:r w:rsidR="006050A3" w:rsidRPr="00F7752D">
        <w:t>s part of these changes, some products have been added, while other</w:t>
      </w:r>
      <w:r w:rsidRPr="00F7752D">
        <w:t>s</w:t>
      </w:r>
      <w:r w:rsidR="006050A3" w:rsidRPr="00F7752D">
        <w:t xml:space="preserve"> have been excluded</w:t>
      </w:r>
      <w:r w:rsidR="00F7752D" w:rsidRPr="00F7752D">
        <w:t>. I</w:t>
      </w:r>
      <w:r w:rsidR="0094262B" w:rsidRPr="00F7752D">
        <w:t xml:space="preserve">n </w:t>
      </w:r>
      <w:r w:rsidR="00F7752D" w:rsidRPr="00F7752D">
        <w:t>December 2</w:t>
      </w:r>
      <w:r w:rsidR="006050A3" w:rsidRPr="00F7752D">
        <w:t>019</w:t>
      </w:r>
      <w:r w:rsidR="0094262B" w:rsidRPr="00F7752D">
        <w:t>, 1,</w:t>
      </w:r>
      <w:r w:rsidR="006050A3" w:rsidRPr="00F7752D">
        <w:t>381</w:t>
      </w:r>
      <w:r w:rsidR="00C13A2A" w:rsidRPr="00F7752D">
        <w:t xml:space="preserve"> tariff </w:t>
      </w:r>
      <w:r w:rsidR="008D4588" w:rsidRPr="00F7752D">
        <w:t>headings</w:t>
      </w:r>
      <w:r w:rsidR="00C13A2A" w:rsidRPr="00F7752D">
        <w:t xml:space="preserve"> </w:t>
      </w:r>
      <w:r w:rsidR="0094262B" w:rsidRPr="00F7752D">
        <w:t xml:space="preserve">were </w:t>
      </w:r>
      <w:r w:rsidR="00C13A2A" w:rsidRPr="00F7752D">
        <w:t>subject to non</w:t>
      </w:r>
      <w:r w:rsidR="00F7752D" w:rsidRPr="00F7752D">
        <w:noBreakHyphen/>
      </w:r>
      <w:r w:rsidR="00C13A2A" w:rsidRPr="00F7752D">
        <w:t>automatic licensing</w:t>
      </w:r>
      <w:r w:rsidR="00F7752D" w:rsidRPr="00F7752D">
        <w:t>; t</w:t>
      </w:r>
      <w:r w:rsidR="006050A3" w:rsidRPr="00F7752D">
        <w:t xml:space="preserve">his figure now stands at 1,440, a difference of 59 additional tariff </w:t>
      </w:r>
      <w:r w:rsidR="008D4588" w:rsidRPr="00F7752D">
        <w:t>headings</w:t>
      </w:r>
      <w:r w:rsidR="008F2A05" w:rsidRPr="00F7752D">
        <w:t xml:space="preserve">, </w:t>
      </w:r>
      <w:r w:rsidRPr="00F7752D">
        <w:t xml:space="preserve">which </w:t>
      </w:r>
      <w:r w:rsidR="008F2A05" w:rsidRPr="00F7752D">
        <w:t>amount</w:t>
      </w:r>
      <w:r w:rsidRPr="00F7752D">
        <w:t>s</w:t>
      </w:r>
      <w:r w:rsidR="008F2A05" w:rsidRPr="00F7752D">
        <w:t xml:space="preserve"> to less than 15</w:t>
      </w:r>
      <w:r w:rsidR="00F7752D">
        <w:t>%</w:t>
      </w:r>
      <w:r w:rsidR="008F2A05" w:rsidRPr="00F7752D">
        <w:t xml:space="preserve"> of all goods</w:t>
      </w:r>
      <w:r w:rsidR="00D338A4" w:rsidRPr="00F7752D">
        <w:t>.</w:t>
      </w:r>
    </w:p>
    <w:p w14:paraId="6E4452D3" w14:textId="77777777" w:rsidR="00D338A4" w:rsidRPr="00F7752D" w:rsidRDefault="00D338A4" w:rsidP="00D338A4">
      <w:pPr>
        <w:rPr>
          <w:sz w:val="19"/>
          <w:szCs w:val="19"/>
        </w:rPr>
      </w:pPr>
    </w:p>
    <w:p w14:paraId="4E2A67F4" w14:textId="77777777" w:rsidR="00D338A4" w:rsidRPr="00F7752D" w:rsidRDefault="008B6259" w:rsidP="00D338A4">
      <w:r w:rsidRPr="00F7752D">
        <w:t>As indicated above, the notifi</w:t>
      </w:r>
      <w:r w:rsidR="009534DB" w:rsidRPr="00F7752D">
        <w:t>ed</w:t>
      </w:r>
      <w:r w:rsidRPr="00F7752D">
        <w:t xml:space="preserve"> </w:t>
      </w:r>
      <w:r w:rsidR="00AB1FFC" w:rsidRPr="00F7752D">
        <w:t>regulations</w:t>
      </w:r>
      <w:r w:rsidRPr="00F7752D">
        <w:t xml:space="preserve"> </w:t>
      </w:r>
      <w:r w:rsidR="00376068" w:rsidRPr="00F7752D">
        <w:t>concern</w:t>
      </w:r>
      <w:r w:rsidRPr="00F7752D">
        <w:t xml:space="preserve"> changes </w:t>
      </w:r>
      <w:r w:rsidR="00376068" w:rsidRPr="00F7752D">
        <w:t>to</w:t>
      </w:r>
      <w:r w:rsidRPr="00F7752D">
        <w:t xml:space="preserve"> the range of </w:t>
      </w:r>
      <w:r w:rsidR="00376068" w:rsidRPr="00F7752D">
        <w:t>products</w:t>
      </w:r>
      <w:r w:rsidRPr="00F7752D">
        <w:t xml:space="preserve"> covered by non</w:t>
      </w:r>
      <w:r w:rsidR="00F7752D" w:rsidRPr="00F7752D">
        <w:noBreakHyphen/>
      </w:r>
      <w:r w:rsidRPr="00F7752D">
        <w:t>automatic licensing</w:t>
      </w:r>
      <w:r w:rsidR="00EF7D84" w:rsidRPr="00F7752D">
        <w:t xml:space="preserve">, and these </w:t>
      </w:r>
      <w:r w:rsidR="00B241C3" w:rsidRPr="00F7752D">
        <w:t>changes take</w:t>
      </w:r>
      <w:r w:rsidRPr="00F7752D">
        <w:t xml:space="preserve"> </w:t>
      </w:r>
      <w:r w:rsidR="00376068" w:rsidRPr="00F7752D">
        <w:t>the form of both additions and exclusions</w:t>
      </w:r>
      <w:r w:rsidR="00F7752D" w:rsidRPr="00F7752D">
        <w:t>. F</w:t>
      </w:r>
      <w:r w:rsidRPr="00F7752D">
        <w:t>or instance, in light of the Covid</w:t>
      </w:r>
      <w:r w:rsidR="00F7752D" w:rsidRPr="00F7752D">
        <w:noBreakHyphen/>
      </w:r>
      <w:r w:rsidRPr="00F7752D">
        <w:t>19</w:t>
      </w:r>
      <w:r w:rsidR="00E916F1" w:rsidRPr="00F7752D">
        <w:t xml:space="preserve"> situation</w:t>
      </w:r>
      <w:r w:rsidRPr="00F7752D">
        <w:t xml:space="preserve">, Provision </w:t>
      </w:r>
      <w:r w:rsidR="00F7752D" w:rsidRPr="00F7752D">
        <w:t>No. </w:t>
      </w:r>
      <w:r w:rsidR="00D338A4" w:rsidRPr="00F7752D">
        <w:t xml:space="preserve">5/2020 </w:t>
      </w:r>
      <w:r w:rsidRPr="00F7752D">
        <w:t>has suspended non</w:t>
      </w:r>
      <w:r w:rsidR="00F7752D" w:rsidRPr="00F7752D">
        <w:noBreakHyphen/>
      </w:r>
      <w:r w:rsidRPr="00F7752D">
        <w:t xml:space="preserve">automatic import licensing for certain medical products </w:t>
      </w:r>
      <w:r w:rsidR="00E916F1" w:rsidRPr="00F7752D">
        <w:t>such as</w:t>
      </w:r>
      <w:r w:rsidRPr="00F7752D">
        <w:t xml:space="preserve"> </w:t>
      </w:r>
      <w:r w:rsidR="009534DB" w:rsidRPr="00F7752D">
        <w:t>alcohol</w:t>
      </w:r>
      <w:r w:rsidR="00F7752D" w:rsidRPr="00F7752D">
        <w:noBreakHyphen/>
      </w:r>
      <w:r w:rsidR="009534DB" w:rsidRPr="00F7752D">
        <w:t>based gels, medical clothing and</w:t>
      </w:r>
      <w:r w:rsidR="00D338A4" w:rsidRPr="00F7752D">
        <w:t xml:space="preserve"> </w:t>
      </w:r>
      <w:r w:rsidR="009534DB" w:rsidRPr="00F7752D">
        <w:t>face masks</w:t>
      </w:r>
      <w:r w:rsidR="00D338A4" w:rsidRPr="00F7752D">
        <w:t xml:space="preserve">, </w:t>
      </w:r>
      <w:r w:rsidR="008D4588" w:rsidRPr="00F7752D">
        <w:t>resulting in the exclusion of 16 tariff headings</w:t>
      </w:r>
      <w:r w:rsidR="00F7752D" w:rsidRPr="00F7752D">
        <w:t>. P</w:t>
      </w:r>
      <w:r w:rsidR="008D4588" w:rsidRPr="00F7752D">
        <w:t xml:space="preserve">rovision </w:t>
      </w:r>
      <w:r w:rsidR="00F7752D" w:rsidRPr="00F7752D">
        <w:t>No. </w:t>
      </w:r>
      <w:r w:rsidR="00D338A4" w:rsidRPr="00F7752D">
        <w:t xml:space="preserve">9/2020 </w:t>
      </w:r>
      <w:r w:rsidR="008D4588" w:rsidRPr="00F7752D">
        <w:t>excludes a total of 21 tariff headings from the non</w:t>
      </w:r>
      <w:r w:rsidR="00F7752D" w:rsidRPr="00F7752D">
        <w:noBreakHyphen/>
      </w:r>
      <w:r w:rsidR="008D4588" w:rsidRPr="00F7752D">
        <w:t xml:space="preserve">automatic licensing universe, </w:t>
      </w:r>
      <w:r w:rsidR="00D17351" w:rsidRPr="00F7752D">
        <w:t>while</w:t>
      </w:r>
      <w:r w:rsidR="008D4588" w:rsidRPr="00F7752D">
        <w:t xml:space="preserve"> Provision </w:t>
      </w:r>
      <w:r w:rsidR="00F7752D" w:rsidRPr="00F7752D">
        <w:t>No. </w:t>
      </w:r>
      <w:r w:rsidR="00D338A4" w:rsidRPr="00F7752D">
        <w:t>29/2020</w:t>
      </w:r>
      <w:r w:rsidR="00D17351" w:rsidRPr="00F7752D">
        <w:t xml:space="preserve"> excluded</w:t>
      </w:r>
      <w:r w:rsidR="00D338A4" w:rsidRPr="00F7752D">
        <w:t xml:space="preserve"> </w:t>
      </w:r>
      <w:r w:rsidR="00D17351" w:rsidRPr="00F7752D">
        <w:t>a</w:t>
      </w:r>
      <w:r w:rsidR="00D338A4" w:rsidRPr="00F7752D">
        <w:t xml:space="preserve"> total </w:t>
      </w:r>
      <w:r w:rsidR="00D17351" w:rsidRPr="00F7752D">
        <w:t>of</w:t>
      </w:r>
      <w:r w:rsidR="00D338A4" w:rsidRPr="00F7752D">
        <w:t xml:space="preserve"> 116 </w:t>
      </w:r>
      <w:r w:rsidR="00D17351" w:rsidRPr="00F7752D">
        <w:t>tariff headings</w:t>
      </w:r>
      <w:r w:rsidR="00D338A4" w:rsidRPr="00F7752D">
        <w:t>.</w:t>
      </w:r>
    </w:p>
    <w:p w14:paraId="4BE2ECDB" w14:textId="77777777" w:rsidR="00D338A4" w:rsidRPr="00F7752D" w:rsidRDefault="00D338A4" w:rsidP="00D338A4"/>
    <w:p w14:paraId="5BA57901" w14:textId="77777777" w:rsidR="00D338A4" w:rsidRPr="00F7752D" w:rsidRDefault="00E97D83" w:rsidP="00D338A4">
      <w:r w:rsidRPr="00F7752D">
        <w:t xml:space="preserve">Furthermore, </w:t>
      </w:r>
      <w:r w:rsidR="00A4069A" w:rsidRPr="00F7752D">
        <w:t>we wish to clarify</w:t>
      </w:r>
      <w:r w:rsidRPr="00F7752D">
        <w:t xml:space="preserve"> that one of the notifications </w:t>
      </w:r>
      <w:r w:rsidR="00731D04" w:rsidRPr="00F7752D">
        <w:t>mentioned</w:t>
      </w:r>
      <w:r w:rsidRPr="00F7752D">
        <w:t xml:space="preserve"> by the </w:t>
      </w:r>
      <w:r w:rsidR="00E916F1" w:rsidRPr="00F7752D">
        <w:t xml:space="preserve">United States </w:t>
      </w:r>
      <w:r w:rsidRPr="00411B59">
        <w:t>delegation</w:t>
      </w:r>
      <w:r w:rsidR="00731D04" w:rsidRPr="00411B59">
        <w:t>, G/LIC/N/2/ARG/28/Add.7/Corr.1,</w:t>
      </w:r>
      <w:r w:rsidR="00731D04" w:rsidRPr="00F7752D">
        <w:t xml:space="preserve"> refers to an error concerning the </w:t>
      </w:r>
      <w:r w:rsidR="006F4715" w:rsidRPr="00F7752D">
        <w:t xml:space="preserve">date of the </w:t>
      </w:r>
      <w:r w:rsidR="00731D04" w:rsidRPr="00F7752D">
        <w:t xml:space="preserve">official publication </w:t>
      </w:r>
      <w:r w:rsidR="006F4715" w:rsidRPr="00F7752D">
        <w:t xml:space="preserve">of the notified </w:t>
      </w:r>
      <w:r w:rsidR="00651A67" w:rsidRPr="00F7752D">
        <w:t>regulations</w:t>
      </w:r>
      <w:r w:rsidR="006F4715" w:rsidRPr="00F7752D">
        <w:t xml:space="preserve"> and not changes to the range of products covered by the licensing system</w:t>
      </w:r>
      <w:r w:rsidR="00D338A4" w:rsidRPr="00F7752D">
        <w:t>.</w:t>
      </w:r>
    </w:p>
    <w:p w14:paraId="76200755" w14:textId="77777777" w:rsidR="00D338A4" w:rsidRPr="00F7752D" w:rsidRDefault="00D338A4" w:rsidP="00D338A4">
      <w:pPr>
        <w:rPr>
          <w:sz w:val="19"/>
          <w:szCs w:val="19"/>
        </w:rPr>
      </w:pPr>
    </w:p>
    <w:p w14:paraId="45C63E44" w14:textId="77777777" w:rsidR="00D338A4" w:rsidRPr="00F7752D" w:rsidRDefault="00FF3CE4" w:rsidP="00D338A4">
      <w:r w:rsidRPr="00F7752D">
        <w:t>A</w:t>
      </w:r>
      <w:r w:rsidR="005C2686" w:rsidRPr="00F7752D">
        <w:t xml:space="preserve">ttached </w:t>
      </w:r>
      <w:r w:rsidR="00E916F1" w:rsidRPr="00F7752D">
        <w:t xml:space="preserve">to this questionnaire </w:t>
      </w:r>
      <w:r w:rsidRPr="00F7752D">
        <w:t xml:space="preserve">is </w:t>
      </w:r>
      <w:r w:rsidR="005C2686" w:rsidRPr="00F7752D">
        <w:t>a</w:t>
      </w:r>
      <w:r w:rsidR="00E916F1" w:rsidRPr="00F7752D">
        <w:t xml:space="preserve"> separate</w:t>
      </w:r>
      <w:r w:rsidR="005C2686" w:rsidRPr="00F7752D">
        <w:t xml:space="preserve"> Excel file containing a list of the </w:t>
      </w:r>
      <w:r w:rsidR="00A4069A" w:rsidRPr="00F7752D">
        <w:t>tariff headings currently subject to non</w:t>
      </w:r>
      <w:r w:rsidR="00F7752D" w:rsidRPr="00F7752D">
        <w:noBreakHyphen/>
      </w:r>
      <w:r w:rsidR="00A4069A" w:rsidRPr="00F7752D">
        <w:t>automatic import licensing</w:t>
      </w:r>
      <w:r w:rsidR="00F7752D" w:rsidRPr="00F7752D">
        <w:t>. I</w:t>
      </w:r>
      <w:r w:rsidR="00A4069A" w:rsidRPr="00F7752D">
        <w:t xml:space="preserve">t should be noted that </w:t>
      </w:r>
      <w:r w:rsidR="00E916F1" w:rsidRPr="00F7752D">
        <w:t>an</w:t>
      </w:r>
      <w:r w:rsidR="00A4069A" w:rsidRPr="00F7752D">
        <w:t xml:space="preserve"> updated version of this list may be consulted </w:t>
      </w:r>
      <w:r w:rsidR="00E916F1" w:rsidRPr="00F7752D">
        <w:t xml:space="preserve">at </w:t>
      </w:r>
      <w:r w:rsidR="00A4069A" w:rsidRPr="00F7752D">
        <w:t xml:space="preserve">any time in Annexes II to XIV </w:t>
      </w:r>
      <w:r w:rsidR="001545C8" w:rsidRPr="00F7752D">
        <w:t>to</w:t>
      </w:r>
      <w:r w:rsidR="00A4069A" w:rsidRPr="00F7752D">
        <w:t xml:space="preserve"> Resolution </w:t>
      </w:r>
      <w:r w:rsidR="00F7752D" w:rsidRPr="00F7752D">
        <w:t>No. </w:t>
      </w:r>
      <w:r w:rsidR="00D338A4" w:rsidRPr="00F7752D">
        <w:t>523/2020</w:t>
      </w:r>
      <w:r w:rsidR="00E916F1" w:rsidRPr="00F7752D">
        <w:t xml:space="preserve"> at</w:t>
      </w:r>
      <w:r w:rsidR="00D338A4" w:rsidRPr="00F7752D">
        <w:t>:</w:t>
      </w:r>
    </w:p>
    <w:p w14:paraId="614F903E" w14:textId="77777777" w:rsidR="00D338A4" w:rsidRPr="00F7752D" w:rsidRDefault="00D338A4" w:rsidP="00D338A4"/>
    <w:p w14:paraId="445D76AF" w14:textId="77777777" w:rsidR="00D338A4" w:rsidRPr="00F7752D" w:rsidRDefault="00106329" w:rsidP="00D338A4">
      <w:pPr>
        <w:rPr>
          <w:rStyle w:val="Hyperlink"/>
        </w:rPr>
      </w:pPr>
      <w:hyperlink r:id="rId9">
        <w:r w:rsidR="00F7752D" w:rsidRPr="00F7752D">
          <w:rPr>
            <w:rStyle w:val="Hyperlink"/>
          </w:rPr>
          <w:t>http://servicios.infoleg.gob.ar/infolegInternet/anexos/275000-279999/276625/texact.htm</w:t>
        </w:r>
      </w:hyperlink>
    </w:p>
    <w:p w14:paraId="509F0172" w14:textId="77777777" w:rsidR="00D338A4" w:rsidRPr="00F7752D" w:rsidRDefault="00D338A4" w:rsidP="00D338A4"/>
    <w:p w14:paraId="7F076580" w14:textId="77777777" w:rsidR="00D338A4" w:rsidRPr="00F7752D" w:rsidRDefault="00D338A4" w:rsidP="00D338A4"/>
    <w:p w14:paraId="59CDDFB3" w14:textId="77777777" w:rsidR="009408FB" w:rsidRPr="00F7752D" w:rsidRDefault="009408FB" w:rsidP="009408FB">
      <w:pPr>
        <w:autoSpaceDE w:val="0"/>
        <w:autoSpaceDN w:val="0"/>
        <w:adjustRightInd w:val="0"/>
        <w:ind w:left="567" w:hanging="567"/>
        <w:rPr>
          <w:rFonts w:cstheme="majorBidi"/>
          <w:szCs w:val="18"/>
        </w:rPr>
      </w:pPr>
      <w:r w:rsidRPr="00F7752D">
        <w:rPr>
          <w:rFonts w:cstheme="majorBidi"/>
          <w:szCs w:val="18"/>
        </w:rPr>
        <w:t>3.</w:t>
      </w:r>
      <w:r w:rsidRPr="00F7752D">
        <w:rPr>
          <w:rFonts w:cstheme="majorBidi"/>
          <w:szCs w:val="18"/>
        </w:rPr>
        <w:tab/>
        <w:t>The recent notifications indicate the possibility of very broad information requests, on short notice, to applicants for non</w:t>
      </w:r>
      <w:r w:rsidR="00F7752D" w:rsidRPr="00F7752D">
        <w:rPr>
          <w:rFonts w:cstheme="majorBidi"/>
          <w:szCs w:val="18"/>
        </w:rPr>
        <w:noBreakHyphen/>
      </w:r>
      <w:r w:rsidRPr="00F7752D">
        <w:rPr>
          <w:rFonts w:cstheme="majorBidi"/>
          <w:szCs w:val="18"/>
        </w:rPr>
        <w:t>automatic import licensing.</w:t>
      </w:r>
    </w:p>
    <w:p w14:paraId="4A0BCE23" w14:textId="77777777" w:rsidR="009408FB" w:rsidRPr="00F7752D" w:rsidRDefault="009408FB" w:rsidP="009408FB">
      <w:pPr>
        <w:rPr>
          <w:rFonts w:cstheme="majorBidi"/>
          <w:szCs w:val="18"/>
        </w:rPr>
      </w:pPr>
    </w:p>
    <w:p w14:paraId="41EFF513" w14:textId="77777777" w:rsidR="009408FB" w:rsidRPr="00F7752D" w:rsidRDefault="009408FB" w:rsidP="009408FB">
      <w:pPr>
        <w:autoSpaceDE w:val="0"/>
        <w:autoSpaceDN w:val="0"/>
        <w:adjustRightInd w:val="0"/>
        <w:ind w:firstLine="567"/>
        <w:rPr>
          <w:rFonts w:cstheme="majorBidi"/>
          <w:szCs w:val="18"/>
        </w:rPr>
      </w:pPr>
      <w:r w:rsidRPr="00F7752D">
        <w:rPr>
          <w:rFonts w:cstheme="majorBidi"/>
          <w:szCs w:val="18"/>
        </w:rPr>
        <w:t>For example, at page 2 of G/LIC/N/2/ARG/28/Add.5, it states:</w:t>
      </w:r>
    </w:p>
    <w:p w14:paraId="2D99A402" w14:textId="77777777" w:rsidR="009408FB" w:rsidRPr="00F7752D" w:rsidRDefault="009408FB" w:rsidP="009408FB">
      <w:pPr>
        <w:autoSpaceDE w:val="0"/>
        <w:autoSpaceDN w:val="0"/>
        <w:adjustRightInd w:val="0"/>
        <w:rPr>
          <w:rFonts w:cstheme="majorBidi"/>
          <w:szCs w:val="18"/>
        </w:rPr>
      </w:pPr>
    </w:p>
    <w:p w14:paraId="7A35ACDA" w14:textId="77777777" w:rsidR="009408FB" w:rsidRPr="00F7752D" w:rsidRDefault="009408FB" w:rsidP="009408FB">
      <w:pPr>
        <w:ind w:left="567"/>
        <w:rPr>
          <w:i/>
          <w:iCs/>
        </w:rPr>
      </w:pPr>
      <w:r w:rsidRPr="001A6146">
        <w:rPr>
          <w:i/>
          <w:iCs/>
        </w:rPr>
        <w:t>For goods subject to non</w:t>
      </w:r>
      <w:r w:rsidR="00F7752D" w:rsidRPr="001A6146">
        <w:rPr>
          <w:i/>
          <w:iCs/>
        </w:rPr>
        <w:noBreakHyphen/>
      </w:r>
      <w:r w:rsidRPr="001A6146">
        <w:rPr>
          <w:i/>
          <w:iCs/>
        </w:rPr>
        <w:t>automatic import licensing, the implementing authority may require the importer, at any point in the procedure, to provide any information and/or additional documents listed in Annex XV to the Resolution</w:t>
      </w:r>
      <w:r w:rsidR="00F7752D" w:rsidRPr="001A6146">
        <w:rPr>
          <w:i/>
          <w:iCs/>
        </w:rPr>
        <w:t>. I</w:t>
      </w:r>
      <w:r w:rsidRPr="001A6146">
        <w:rPr>
          <w:i/>
          <w:iCs/>
        </w:rPr>
        <w:t>t may also request the intervention of competent technical bodies, use background information from its own sources or those of third parties, and require, should it be deemed necessary, clarifications.</w:t>
      </w:r>
    </w:p>
    <w:p w14:paraId="78351603" w14:textId="77777777" w:rsidR="009408FB" w:rsidRPr="00F7752D" w:rsidRDefault="009408FB" w:rsidP="009408FB">
      <w:pPr>
        <w:autoSpaceDE w:val="0"/>
        <w:autoSpaceDN w:val="0"/>
        <w:adjustRightInd w:val="0"/>
        <w:rPr>
          <w:rFonts w:cstheme="majorBidi"/>
          <w:szCs w:val="18"/>
        </w:rPr>
      </w:pPr>
    </w:p>
    <w:p w14:paraId="279A63CF" w14:textId="77777777" w:rsidR="009408FB" w:rsidRPr="00F7752D" w:rsidRDefault="00B908EB" w:rsidP="009408FB">
      <w:pPr>
        <w:autoSpaceDE w:val="0"/>
        <w:autoSpaceDN w:val="0"/>
        <w:adjustRightInd w:val="0"/>
        <w:ind w:left="1127" w:hanging="560"/>
        <w:rPr>
          <w:rFonts w:cstheme="majorBidi"/>
          <w:szCs w:val="18"/>
        </w:rPr>
      </w:pPr>
      <w:r w:rsidRPr="00F7752D">
        <w:rPr>
          <w:rFonts w:cstheme="majorBidi"/>
          <w:szCs w:val="18"/>
        </w:rPr>
        <w:t>(</w:t>
      </w:r>
      <w:r w:rsidR="009408FB" w:rsidRPr="00F7752D">
        <w:rPr>
          <w:rFonts w:cstheme="majorBidi"/>
          <w:szCs w:val="18"/>
        </w:rPr>
        <w:t>a)</w:t>
      </w:r>
      <w:r w:rsidR="009408FB" w:rsidRPr="00F7752D">
        <w:rPr>
          <w:rFonts w:cstheme="majorBidi"/>
          <w:szCs w:val="18"/>
        </w:rPr>
        <w:tab/>
        <w:t>Has Argentina rejected any applications in 2020 for failure to provide such additional information, for an applicant that provided all information necessary according to published application instructions?</w:t>
      </w:r>
    </w:p>
    <w:p w14:paraId="68F3B345" w14:textId="77777777" w:rsidR="00D338A4" w:rsidRPr="00F7752D" w:rsidRDefault="00D338A4" w:rsidP="009408FB"/>
    <w:p w14:paraId="68314B4F" w14:textId="77777777" w:rsidR="00D338A4" w:rsidRPr="00F7752D" w:rsidRDefault="00D338A4" w:rsidP="00D338A4"/>
    <w:p w14:paraId="46230F75" w14:textId="77777777" w:rsidR="00D338A4" w:rsidRPr="00F7752D" w:rsidRDefault="00D338A4" w:rsidP="00D338A4">
      <w:pPr>
        <w:jc w:val="left"/>
      </w:pPr>
      <w:r w:rsidRPr="00F7752D">
        <w:br w:type="page"/>
      </w:r>
    </w:p>
    <w:p w14:paraId="4A14DBB6" w14:textId="77777777" w:rsidR="00D338A4" w:rsidRPr="00F7752D" w:rsidRDefault="00D338A4" w:rsidP="00D338A4">
      <w:pPr>
        <w:rPr>
          <w:b/>
          <w:bCs/>
          <w:u w:val="single"/>
        </w:rPr>
      </w:pPr>
      <w:r w:rsidRPr="00F7752D">
        <w:rPr>
          <w:b/>
          <w:bCs/>
          <w:u w:val="single"/>
        </w:rPr>
        <w:lastRenderedPageBreak/>
        <w:t>Re</w:t>
      </w:r>
      <w:r w:rsidR="009408FB" w:rsidRPr="00F7752D">
        <w:rPr>
          <w:b/>
          <w:bCs/>
          <w:u w:val="single"/>
        </w:rPr>
        <w:t>ply</w:t>
      </w:r>
    </w:p>
    <w:p w14:paraId="1D3DB7A6" w14:textId="77777777" w:rsidR="00D338A4" w:rsidRPr="00F7752D" w:rsidRDefault="00D338A4" w:rsidP="00D338A4"/>
    <w:p w14:paraId="63BB2FAC" w14:textId="77777777" w:rsidR="00D338A4" w:rsidRPr="00F7752D" w:rsidRDefault="00D51510" w:rsidP="00D338A4">
      <w:r w:rsidRPr="00F7752D">
        <w:t>The additional information that may be requested is part of the necessary</w:t>
      </w:r>
      <w:r w:rsidR="0025300D" w:rsidRPr="00F7752D">
        <w:t xml:space="preserve"> information </w:t>
      </w:r>
      <w:r w:rsidRPr="00F7752D">
        <w:t>required for non</w:t>
      </w:r>
      <w:r w:rsidR="00F7752D" w:rsidRPr="00F7752D">
        <w:noBreakHyphen/>
      </w:r>
      <w:r w:rsidRPr="00F7752D">
        <w:t>automatic import licensing</w:t>
      </w:r>
      <w:r w:rsidR="00F7752D" w:rsidRPr="00F7752D">
        <w:t>. W</w:t>
      </w:r>
      <w:r w:rsidRPr="00F7752D">
        <w:t xml:space="preserve">e </w:t>
      </w:r>
      <w:r w:rsidR="0025300D" w:rsidRPr="00F7752D">
        <w:t>should</w:t>
      </w:r>
      <w:r w:rsidRPr="00F7752D">
        <w:t xml:space="preserve"> clarify that this </w:t>
      </w:r>
      <w:r w:rsidR="0025300D" w:rsidRPr="00F7752D">
        <w:t xml:space="preserve">request for </w:t>
      </w:r>
      <w:r w:rsidRPr="00F7752D">
        <w:t xml:space="preserve">information </w:t>
      </w:r>
      <w:r w:rsidR="0025300D" w:rsidRPr="00F7752D">
        <w:t>is not</w:t>
      </w:r>
      <w:r w:rsidRPr="00F7752D">
        <w:t xml:space="preserve"> part of a new requirement established </w:t>
      </w:r>
      <w:r w:rsidR="00651A67" w:rsidRPr="00F7752D">
        <w:t>in</w:t>
      </w:r>
      <w:r w:rsidRPr="00F7752D">
        <w:t xml:space="preserve"> the </w:t>
      </w:r>
      <w:r w:rsidR="00651A67" w:rsidRPr="00F7752D">
        <w:t>regulations</w:t>
      </w:r>
      <w:r w:rsidRPr="00F7752D">
        <w:t xml:space="preserve"> notified by Argentina in</w:t>
      </w:r>
      <w:r w:rsidR="00D338A4" w:rsidRPr="00F7752D">
        <w:t xml:space="preserve"> 2020</w:t>
      </w:r>
      <w:r w:rsidRPr="00F7752D">
        <w:t xml:space="preserve"> </w:t>
      </w:r>
      <w:r w:rsidR="0091432B" w:rsidRPr="00F7752D">
        <w:t xml:space="preserve">that </w:t>
      </w:r>
      <w:r w:rsidR="00651A67" w:rsidRPr="00F7752D">
        <w:t>are</w:t>
      </w:r>
      <w:r w:rsidRPr="00F7752D">
        <w:t xml:space="preserve"> </w:t>
      </w:r>
      <w:r w:rsidR="0091432B" w:rsidRPr="00F7752D">
        <w:t>the subject of</w:t>
      </w:r>
      <w:r w:rsidR="00B512A3" w:rsidRPr="00F7752D">
        <w:t xml:space="preserve"> this questionnaire</w:t>
      </w:r>
      <w:r w:rsidR="00F7752D" w:rsidRPr="00F7752D">
        <w:t>; r</w:t>
      </w:r>
      <w:r w:rsidR="00B512A3" w:rsidRPr="00F7752D">
        <w:t xml:space="preserve">ather it forms part of a requirement that has been in effect since 2017 pursuant to Article 5 of Resolution </w:t>
      </w:r>
      <w:r w:rsidR="00F7752D" w:rsidRPr="00F7752D">
        <w:t>No. </w:t>
      </w:r>
      <w:r w:rsidR="00D338A4" w:rsidRPr="00F7752D">
        <w:t>523/2017</w:t>
      </w:r>
      <w:r w:rsidR="00F7752D" w:rsidRPr="00F7752D">
        <w:t>. F</w:t>
      </w:r>
      <w:r w:rsidR="00C324A5" w:rsidRPr="00F7752D">
        <w:t>urthermore, the additional information that may be requested is described in Annex XV to t</w:t>
      </w:r>
      <w:r w:rsidR="0091432B" w:rsidRPr="00F7752D">
        <w:t>hat</w:t>
      </w:r>
      <w:r w:rsidR="00C324A5" w:rsidRPr="00F7752D">
        <w:t xml:space="preserve"> Resolution</w:t>
      </w:r>
      <w:r w:rsidR="00D338A4" w:rsidRPr="00F7752D">
        <w:t>.</w:t>
      </w:r>
    </w:p>
    <w:p w14:paraId="1F20C78E" w14:textId="77777777" w:rsidR="00D338A4" w:rsidRPr="00F7752D" w:rsidRDefault="00D338A4" w:rsidP="00D338A4"/>
    <w:p w14:paraId="479465E8" w14:textId="77777777" w:rsidR="00D338A4" w:rsidRPr="00F7752D" w:rsidRDefault="00C324A5" w:rsidP="00D338A4">
      <w:r w:rsidRPr="00F7752D">
        <w:t xml:space="preserve">Regarding </w:t>
      </w:r>
      <w:r w:rsidR="00DB7BC3" w:rsidRPr="00F7752D">
        <w:t>the time given to submit</w:t>
      </w:r>
      <w:r w:rsidRPr="00F7752D">
        <w:t xml:space="preserve"> the information</w:t>
      </w:r>
      <w:r w:rsidR="00D338A4" w:rsidRPr="00F7752D">
        <w:t xml:space="preserve">, </w:t>
      </w:r>
      <w:r w:rsidRPr="00F7752D">
        <w:t xml:space="preserve">the Argentine government believes that a period of </w:t>
      </w:r>
      <w:r w:rsidRPr="001A6146">
        <w:t xml:space="preserve">10 working days, </w:t>
      </w:r>
      <w:r w:rsidR="00DB7BC3" w:rsidRPr="001A6146">
        <w:t>plus</w:t>
      </w:r>
      <w:r w:rsidRPr="001A6146">
        <w:t xml:space="preserve"> </w:t>
      </w:r>
      <w:r w:rsidR="00BC04F5" w:rsidRPr="001A6146">
        <w:t>an</w:t>
      </w:r>
      <w:r w:rsidRPr="001A6146">
        <w:t xml:space="preserve"> additional five</w:t>
      </w:r>
      <w:r w:rsidRPr="00F7752D">
        <w:t xml:space="preserve"> working days </w:t>
      </w:r>
      <w:r w:rsidR="00BC04F5" w:rsidRPr="00F7752D">
        <w:t>where the information submitted is partial or incomplete</w:t>
      </w:r>
      <w:r w:rsidR="00D338A4" w:rsidRPr="00F7752D">
        <w:t xml:space="preserve">, </w:t>
      </w:r>
      <w:r w:rsidR="00BC04F5" w:rsidRPr="00F7752D">
        <w:t>is sufficient to meet this requirement, also taking into account that it is submitted via a digital platform</w:t>
      </w:r>
      <w:r w:rsidR="00F7752D" w:rsidRPr="00F7752D">
        <w:t>. T</w:t>
      </w:r>
      <w:r w:rsidR="00BC04F5" w:rsidRPr="00F7752D">
        <w:t xml:space="preserve">he reasons for not approving a licence therefore stem from </w:t>
      </w:r>
      <w:r w:rsidR="00DB7BC3" w:rsidRPr="00F7752D">
        <w:t xml:space="preserve">the applicant's </w:t>
      </w:r>
      <w:r w:rsidR="00D51510" w:rsidRPr="00F7752D">
        <w:t xml:space="preserve">failure to meet the requirements set forth in the relevant </w:t>
      </w:r>
      <w:r w:rsidR="00085B17" w:rsidRPr="00F7752D">
        <w:t>regulations</w:t>
      </w:r>
      <w:r w:rsidR="00D51510" w:rsidRPr="00F7752D">
        <w:t>.</w:t>
      </w:r>
    </w:p>
    <w:p w14:paraId="23164E86" w14:textId="77777777" w:rsidR="00D338A4" w:rsidRPr="00F7752D" w:rsidRDefault="00D338A4" w:rsidP="00D338A4"/>
    <w:p w14:paraId="29CF2AF8" w14:textId="77777777" w:rsidR="00D338A4" w:rsidRPr="00F7752D" w:rsidRDefault="002F4545" w:rsidP="00D338A4">
      <w:r w:rsidRPr="00F7752D">
        <w:t xml:space="preserve">It should also be noted that the </w:t>
      </w:r>
      <w:r w:rsidR="00A307E5" w:rsidRPr="00F7752D">
        <w:t>concept</w:t>
      </w:r>
      <w:r w:rsidRPr="00F7752D">
        <w:t xml:space="preserve"> of "rejection" </w:t>
      </w:r>
      <w:r w:rsidR="00EA0710" w:rsidRPr="00F7752D">
        <w:t>does not exist within the context of the import licensing system, as the applicant is able, at any time during the process, to submit</w:t>
      </w:r>
      <w:r w:rsidR="00D338A4" w:rsidRPr="00F7752D">
        <w:t xml:space="preserve">, </w:t>
      </w:r>
      <w:r w:rsidR="00EA0710" w:rsidRPr="00F7752D">
        <w:t xml:space="preserve">correct or </w:t>
      </w:r>
      <w:r w:rsidR="00B64BAA" w:rsidRPr="00F7752D">
        <w:t>modify</w:t>
      </w:r>
      <w:r w:rsidR="00EA0710" w:rsidRPr="00F7752D">
        <w:t xml:space="preserve"> the information requested under Resolution </w:t>
      </w:r>
      <w:r w:rsidR="00F7752D" w:rsidRPr="00F7752D">
        <w:t>No. </w:t>
      </w:r>
      <w:r w:rsidR="00D338A4" w:rsidRPr="00F7752D">
        <w:t xml:space="preserve">523/2017 </w:t>
      </w:r>
      <w:r w:rsidR="00EA0710" w:rsidRPr="00F7752D">
        <w:t>by the implementing authority</w:t>
      </w:r>
      <w:r w:rsidR="00F7752D" w:rsidRPr="00F7752D">
        <w:t>. O</w:t>
      </w:r>
      <w:r w:rsidR="00EA0710" w:rsidRPr="00F7752D">
        <w:t xml:space="preserve">nce the time frames established </w:t>
      </w:r>
      <w:r w:rsidR="00D45A6F" w:rsidRPr="00F7752D">
        <w:t xml:space="preserve">in that </w:t>
      </w:r>
      <w:r w:rsidR="005758DE" w:rsidRPr="00F7752D">
        <w:t>regulatory text</w:t>
      </w:r>
      <w:r w:rsidR="00D45A6F" w:rsidRPr="00F7752D">
        <w:t xml:space="preserve"> have expired, the applicant must </w:t>
      </w:r>
      <w:r w:rsidR="006D0EF5" w:rsidRPr="00F7752D">
        <w:t xml:space="preserve">reapply for the licence, and may do so as many times as they wish, </w:t>
      </w:r>
      <w:r w:rsidR="00C56E06" w:rsidRPr="00F7752D">
        <w:t>there being no limit in this respect</w:t>
      </w:r>
      <w:r w:rsidR="00D338A4" w:rsidRPr="00F7752D">
        <w:t>.</w:t>
      </w:r>
    </w:p>
    <w:p w14:paraId="0BB04018" w14:textId="77777777" w:rsidR="00D338A4" w:rsidRPr="00F7752D" w:rsidRDefault="00D338A4" w:rsidP="00D338A4"/>
    <w:p w14:paraId="03977D96" w14:textId="77777777" w:rsidR="00D338A4" w:rsidRPr="00F7752D" w:rsidRDefault="00B908EB" w:rsidP="00D338A4">
      <w:r w:rsidRPr="00F7752D">
        <w:t>T</w:t>
      </w:r>
      <w:r w:rsidR="00C56E06" w:rsidRPr="00F7752D">
        <w:t xml:space="preserve">he reply to </w:t>
      </w:r>
      <w:r w:rsidRPr="00F7752D">
        <w:t xml:space="preserve">question 6(c) </w:t>
      </w:r>
      <w:r w:rsidR="00986D06" w:rsidRPr="00F7752D">
        <w:t>shows how many</w:t>
      </w:r>
      <w:r w:rsidR="004D46A8" w:rsidRPr="00F7752D">
        <w:t xml:space="preserve"> licence applications have not been approved since 2018, including the number for 2020 so far</w:t>
      </w:r>
      <w:r w:rsidR="00D338A4" w:rsidRPr="00F7752D">
        <w:t>.</w:t>
      </w:r>
    </w:p>
    <w:p w14:paraId="65B9A50D" w14:textId="77777777" w:rsidR="00D338A4" w:rsidRPr="00F7752D" w:rsidRDefault="00D338A4" w:rsidP="00D338A4"/>
    <w:p w14:paraId="1DFDE174" w14:textId="77777777" w:rsidR="00337700" w:rsidRPr="00F7752D" w:rsidRDefault="00337700" w:rsidP="004F4ADE"/>
    <w:p w14:paraId="2FBEF10A" w14:textId="77777777" w:rsidR="00712F12" w:rsidRPr="00F7752D" w:rsidRDefault="00B908EB" w:rsidP="00712F12">
      <w:pPr>
        <w:autoSpaceDE w:val="0"/>
        <w:autoSpaceDN w:val="0"/>
        <w:adjustRightInd w:val="0"/>
        <w:ind w:left="1127" w:hanging="560"/>
        <w:contextualSpacing/>
        <w:rPr>
          <w:rFonts w:eastAsia="Calibri"/>
          <w:szCs w:val="18"/>
        </w:rPr>
      </w:pPr>
      <w:r w:rsidRPr="00F7752D">
        <w:rPr>
          <w:rFonts w:eastAsia="Calibri"/>
          <w:szCs w:val="18"/>
        </w:rPr>
        <w:t>(</w:t>
      </w:r>
      <w:r w:rsidR="00712F12" w:rsidRPr="00F7752D">
        <w:rPr>
          <w:rFonts w:eastAsia="Calibri"/>
          <w:szCs w:val="18"/>
        </w:rPr>
        <w:t>b)</w:t>
      </w:r>
      <w:r w:rsidR="00712F12" w:rsidRPr="00F7752D">
        <w:rPr>
          <w:rFonts w:eastAsia="Calibri"/>
          <w:szCs w:val="18"/>
        </w:rPr>
        <w:tab/>
        <w:t>How does Argentina ensure that such information requests do not result in a trade restriction and/or trade distortive effects?</w:t>
      </w:r>
    </w:p>
    <w:p w14:paraId="4B31D490" w14:textId="77777777" w:rsidR="00712F12" w:rsidRPr="00F7752D" w:rsidRDefault="00712F12" w:rsidP="00F7752D">
      <w:pPr>
        <w:rPr>
          <w:rFonts w:eastAsiaTheme="majorEastAsia" w:cstheme="majorBidi"/>
          <w:bCs/>
          <w:szCs w:val="52"/>
        </w:rPr>
      </w:pPr>
    </w:p>
    <w:p w14:paraId="51B48089" w14:textId="77777777" w:rsidR="00712F12" w:rsidRPr="00F7752D" w:rsidRDefault="00712F12">
      <w:pPr>
        <w:rPr>
          <w:bCs/>
          <w:u w:val="single"/>
        </w:rPr>
      </w:pPr>
    </w:p>
    <w:p w14:paraId="14B3FB03" w14:textId="77777777" w:rsidR="00D338A4" w:rsidRPr="00F7752D" w:rsidRDefault="00D338A4" w:rsidP="00D338A4">
      <w:pPr>
        <w:rPr>
          <w:b/>
          <w:bCs/>
          <w:u w:val="single"/>
        </w:rPr>
      </w:pPr>
      <w:r w:rsidRPr="00F7752D">
        <w:rPr>
          <w:b/>
          <w:bCs/>
          <w:u w:val="single"/>
        </w:rPr>
        <w:t>Re</w:t>
      </w:r>
      <w:r w:rsidR="004D46A8" w:rsidRPr="00F7752D">
        <w:rPr>
          <w:b/>
          <w:bCs/>
          <w:u w:val="single"/>
        </w:rPr>
        <w:t>ply</w:t>
      </w:r>
    </w:p>
    <w:p w14:paraId="57B16380" w14:textId="77777777" w:rsidR="00D338A4" w:rsidRPr="00F7752D" w:rsidRDefault="00D338A4" w:rsidP="004F4ADE"/>
    <w:p w14:paraId="4B43154B" w14:textId="77777777" w:rsidR="00D338A4" w:rsidRPr="00F7752D" w:rsidRDefault="003D23EF" w:rsidP="00D338A4">
      <w:r w:rsidRPr="00F7752D">
        <w:t>Argentina</w:t>
      </w:r>
      <w:r w:rsidR="00BE6636" w:rsidRPr="00F7752D">
        <w:t xml:space="preserve"> see</w:t>
      </w:r>
      <w:r w:rsidR="006E325C" w:rsidRPr="00F7752D">
        <w:t>s</w:t>
      </w:r>
      <w:r w:rsidR="00BE6636" w:rsidRPr="00F7752D">
        <w:t xml:space="preserve"> no </w:t>
      </w:r>
      <w:r w:rsidR="00417FBC" w:rsidRPr="00F7752D">
        <w:t xml:space="preserve">reason to believe that requesting information within the framework of the import licensing system can cause trade distortive effects, </w:t>
      </w:r>
      <w:r w:rsidR="00175ECF" w:rsidRPr="00F7752D">
        <w:t>since</w:t>
      </w:r>
      <w:r w:rsidR="00417FBC" w:rsidRPr="00F7752D">
        <w:t xml:space="preserve"> this is not </w:t>
      </w:r>
      <w:r w:rsidR="006E325C" w:rsidRPr="00F7752D">
        <w:t xml:space="preserve">the </w:t>
      </w:r>
      <w:r w:rsidR="00057830" w:rsidRPr="00F7752D">
        <w:t>purpose</w:t>
      </w:r>
      <w:r w:rsidR="006E325C" w:rsidRPr="00F7752D">
        <w:t xml:space="preserve"> of such requests</w:t>
      </w:r>
      <w:r w:rsidR="00F7752D" w:rsidRPr="00F7752D">
        <w:t>. T</w:t>
      </w:r>
      <w:r w:rsidR="006E325C" w:rsidRPr="00F7752D">
        <w:t xml:space="preserve">he </w:t>
      </w:r>
      <w:r w:rsidR="00057830" w:rsidRPr="00F7752D">
        <w:t>purpose</w:t>
      </w:r>
      <w:r w:rsidR="006E325C" w:rsidRPr="00F7752D">
        <w:t xml:space="preserve"> of requesting information</w:t>
      </w:r>
      <w:r w:rsidR="00417FBC" w:rsidRPr="00F7752D">
        <w:t xml:space="preserve"> is fully consistent with Article 3 of the Import Licensing Agreement</w:t>
      </w:r>
      <w:r w:rsidR="006E325C" w:rsidRPr="00F7752D">
        <w:t xml:space="preserve">, and is clearly established in the </w:t>
      </w:r>
      <w:r w:rsidR="00057830" w:rsidRPr="00F7752D">
        <w:t xml:space="preserve">recitals of Resolution </w:t>
      </w:r>
      <w:r w:rsidR="00F7752D" w:rsidRPr="00F7752D">
        <w:t>No. </w:t>
      </w:r>
      <w:r w:rsidR="00D338A4" w:rsidRPr="00F7752D">
        <w:t>523/2017</w:t>
      </w:r>
      <w:r w:rsidR="00F7752D" w:rsidRPr="00F7752D">
        <w:t>. R</w:t>
      </w:r>
      <w:r w:rsidR="00185A4B" w:rsidRPr="00F7752D">
        <w:t>equesting information</w:t>
      </w:r>
      <w:r w:rsidR="00D338A4" w:rsidRPr="00F7752D">
        <w:t xml:space="preserve"> </w:t>
      </w:r>
      <w:r w:rsidR="00522FB2" w:rsidRPr="00F7752D">
        <w:t xml:space="preserve">helps to ensure that the system remains </w:t>
      </w:r>
      <w:r w:rsidR="00C46173" w:rsidRPr="00F7752D">
        <w:t>straightforward</w:t>
      </w:r>
      <w:r w:rsidR="00522FB2" w:rsidRPr="00F7752D">
        <w:t xml:space="preserve"> and transparent</w:t>
      </w:r>
      <w:r w:rsidR="00F7752D" w:rsidRPr="00F7752D">
        <w:t>. F</w:t>
      </w:r>
      <w:r w:rsidR="00C46173" w:rsidRPr="00F7752D">
        <w:t>urthermore, as indicated in the reply to the previous question</w:t>
      </w:r>
      <w:r w:rsidR="00D338A4" w:rsidRPr="00F7752D">
        <w:t xml:space="preserve">, </w:t>
      </w:r>
      <w:r w:rsidR="00C46173" w:rsidRPr="00F7752D">
        <w:t>the information requested and the time frames stipulated within the framework of the system are considered reasonable enough to enable the operator to submit the information properly in a timely manner.</w:t>
      </w:r>
    </w:p>
    <w:p w14:paraId="6794B862" w14:textId="77777777" w:rsidR="00D338A4" w:rsidRPr="00F7752D" w:rsidRDefault="00D338A4" w:rsidP="00D338A4"/>
    <w:p w14:paraId="4F727525" w14:textId="77777777" w:rsidR="00D338A4" w:rsidRPr="00F7752D" w:rsidRDefault="00A9549B" w:rsidP="00D338A4">
      <w:pPr>
        <w:ind w:left="1134" w:hanging="567"/>
      </w:pPr>
      <w:r w:rsidRPr="00F7752D">
        <w:t>(</w:t>
      </w:r>
      <w:r w:rsidR="00D338A4" w:rsidRPr="00F7752D">
        <w:t>c)</w:t>
      </w:r>
      <w:r w:rsidR="00D338A4" w:rsidRPr="00F7752D">
        <w:tab/>
      </w:r>
      <w:r w:rsidRPr="00F7752D">
        <w:t>What is the basis on which the implementing authority makes such information requests?</w:t>
      </w:r>
      <w:r w:rsidR="00F7752D" w:rsidRPr="00F7752D">
        <w:t xml:space="preserve"> </w:t>
      </w:r>
      <w:r w:rsidRPr="00F7752D">
        <w:t>How do such requests relate to the measure being implemented through the licensing procedure</w:t>
      </w:r>
      <w:r w:rsidR="00D338A4" w:rsidRPr="00F7752D">
        <w:t>?</w:t>
      </w:r>
    </w:p>
    <w:p w14:paraId="7504FBB5" w14:textId="77777777" w:rsidR="00D338A4" w:rsidRPr="00F7752D" w:rsidRDefault="00D338A4" w:rsidP="00D338A4">
      <w:pPr>
        <w:rPr>
          <w:b/>
          <w:bCs/>
          <w:u w:val="single"/>
        </w:rPr>
      </w:pPr>
    </w:p>
    <w:p w14:paraId="5B3944D7" w14:textId="77777777" w:rsidR="00D338A4" w:rsidRPr="00F7752D" w:rsidRDefault="00D338A4" w:rsidP="00D338A4">
      <w:pPr>
        <w:rPr>
          <w:b/>
          <w:bCs/>
          <w:u w:val="single"/>
        </w:rPr>
      </w:pPr>
      <w:r w:rsidRPr="00F7752D">
        <w:rPr>
          <w:b/>
          <w:bCs/>
          <w:u w:val="single"/>
        </w:rPr>
        <w:t>Re</w:t>
      </w:r>
      <w:r w:rsidR="00937457" w:rsidRPr="00F7752D">
        <w:rPr>
          <w:b/>
          <w:bCs/>
          <w:u w:val="single"/>
        </w:rPr>
        <w:t>ply</w:t>
      </w:r>
    </w:p>
    <w:p w14:paraId="3F12D023" w14:textId="77777777" w:rsidR="00D338A4" w:rsidRPr="00F7752D" w:rsidRDefault="00D338A4" w:rsidP="00D338A4"/>
    <w:p w14:paraId="4FC794FF" w14:textId="77777777" w:rsidR="00D338A4" w:rsidRPr="00F7752D" w:rsidRDefault="00E92DDA" w:rsidP="00D338A4">
      <w:r w:rsidRPr="00F7752D">
        <w:t xml:space="preserve">As </w:t>
      </w:r>
      <w:r w:rsidR="00B35A16" w:rsidRPr="00F7752D">
        <w:t>indicated</w:t>
      </w:r>
      <w:r w:rsidRPr="00F7752D">
        <w:t xml:space="preserve"> above, the </w:t>
      </w:r>
      <w:r w:rsidR="007342C0" w:rsidRPr="00F7752D">
        <w:t xml:space="preserve">implementing authority has been able to request </w:t>
      </w:r>
      <w:r w:rsidRPr="00F7752D">
        <w:t>addition</w:t>
      </w:r>
      <w:r w:rsidR="007342C0" w:rsidRPr="00F7752D">
        <w:t xml:space="preserve">al information ever since 2017 under Resolution </w:t>
      </w:r>
      <w:r w:rsidR="00F7752D" w:rsidRPr="00F7752D">
        <w:t>No. </w:t>
      </w:r>
      <w:r w:rsidR="00D338A4" w:rsidRPr="00F7752D">
        <w:t xml:space="preserve">523 </w:t>
      </w:r>
      <w:r w:rsidR="007342C0" w:rsidRPr="00F7752D">
        <w:t>of that same year</w:t>
      </w:r>
      <w:r w:rsidR="00D338A4" w:rsidRPr="00F7752D">
        <w:t xml:space="preserve">, </w:t>
      </w:r>
      <w:r w:rsidR="007342C0" w:rsidRPr="00F7752D">
        <w:t xml:space="preserve">and this is important for the purpose of </w:t>
      </w:r>
      <w:r w:rsidR="00B35A16" w:rsidRPr="00F7752D">
        <w:t>obtaining</w:t>
      </w:r>
      <w:r w:rsidR="007342C0" w:rsidRPr="00F7752D">
        <w:t xml:space="preserve"> additional information that allows for the improved </w:t>
      </w:r>
      <w:r w:rsidR="005F5099" w:rsidRPr="00F7752D">
        <w:t>surveillance</w:t>
      </w:r>
      <w:r w:rsidR="007342C0" w:rsidRPr="00F7752D">
        <w:t xml:space="preserve"> of import operations and the more efficient </w:t>
      </w:r>
      <w:r w:rsidR="00FD32F5" w:rsidRPr="00F7752D">
        <w:t xml:space="preserve">monitoring of the applicant's compliance with the requirements established in the relevant </w:t>
      </w:r>
      <w:r w:rsidR="00786BAB" w:rsidRPr="00F7752D">
        <w:t>regulations</w:t>
      </w:r>
      <w:r w:rsidR="00D338A4" w:rsidRPr="00F7752D">
        <w:t>.</w:t>
      </w:r>
    </w:p>
    <w:p w14:paraId="36ABE303" w14:textId="77777777" w:rsidR="00D338A4" w:rsidRPr="00F7752D" w:rsidRDefault="00D338A4" w:rsidP="00D338A4"/>
    <w:p w14:paraId="7B30C4E6" w14:textId="77777777" w:rsidR="00D338A4" w:rsidRPr="00F7752D" w:rsidRDefault="00937457" w:rsidP="00D338A4">
      <w:pPr>
        <w:ind w:firstLine="567"/>
      </w:pPr>
      <w:r w:rsidRPr="00F7752D">
        <w:t>(</w:t>
      </w:r>
      <w:r w:rsidR="00D338A4" w:rsidRPr="00F7752D">
        <w:t>d)</w:t>
      </w:r>
      <w:r w:rsidR="00D338A4" w:rsidRPr="00F7752D">
        <w:tab/>
      </w:r>
      <w:r w:rsidRPr="00F7752D">
        <w:t>How does Argentina inform applicants of information requests</w:t>
      </w:r>
      <w:r w:rsidR="00D338A4" w:rsidRPr="00F7752D">
        <w:t>?</w:t>
      </w:r>
    </w:p>
    <w:p w14:paraId="18FEB174" w14:textId="77777777" w:rsidR="00D338A4" w:rsidRPr="00F7752D" w:rsidRDefault="00D338A4" w:rsidP="00D338A4"/>
    <w:p w14:paraId="7DEA7964" w14:textId="77777777" w:rsidR="00D338A4" w:rsidRPr="00F7752D" w:rsidRDefault="00D338A4" w:rsidP="00D338A4">
      <w:pPr>
        <w:rPr>
          <w:b/>
          <w:bCs/>
          <w:u w:val="single"/>
        </w:rPr>
      </w:pPr>
      <w:r w:rsidRPr="00F7752D">
        <w:rPr>
          <w:b/>
          <w:bCs/>
          <w:u w:val="single"/>
        </w:rPr>
        <w:t>Re</w:t>
      </w:r>
      <w:r w:rsidR="00937457" w:rsidRPr="00F7752D">
        <w:rPr>
          <w:b/>
          <w:bCs/>
          <w:u w:val="single"/>
        </w:rPr>
        <w:t>ply</w:t>
      </w:r>
    </w:p>
    <w:p w14:paraId="273FF1C2" w14:textId="77777777" w:rsidR="00D338A4" w:rsidRPr="00F7752D" w:rsidRDefault="00D338A4" w:rsidP="00D338A4"/>
    <w:p w14:paraId="5B2A5FD7" w14:textId="77777777" w:rsidR="00D338A4" w:rsidRPr="00F7752D" w:rsidRDefault="00B7662C" w:rsidP="00D338A4">
      <w:r w:rsidRPr="00F7752D">
        <w:t>The information is transmitted via the SIMI (Comprehensive Import Monitoring System) virtual platform</w:t>
      </w:r>
      <w:r w:rsidR="00D338A4" w:rsidRPr="00F7752D">
        <w:t xml:space="preserve"> </w:t>
      </w:r>
      <w:r w:rsidRPr="00F7752D">
        <w:t>(</w:t>
      </w:r>
      <w:hyperlink r:id="rId10" w:history="1">
        <w:r w:rsidR="00F7752D" w:rsidRPr="00F7752D">
          <w:rPr>
            <w:rStyle w:val="Hyperlink"/>
          </w:rPr>
          <w:t>https://www.afip.gob.ar/simi/</w:t>
        </w:r>
      </w:hyperlink>
      <w:r w:rsidR="00D338A4" w:rsidRPr="00F7752D">
        <w:t>).</w:t>
      </w:r>
    </w:p>
    <w:p w14:paraId="03AB9613" w14:textId="77777777" w:rsidR="00D338A4" w:rsidRPr="00F7752D" w:rsidRDefault="00D338A4" w:rsidP="00D338A4"/>
    <w:p w14:paraId="68A8F7A5" w14:textId="77777777" w:rsidR="00D338A4" w:rsidRPr="00F7752D" w:rsidRDefault="00D338A4">
      <w:pPr>
        <w:jc w:val="left"/>
      </w:pPr>
      <w:r w:rsidRPr="00F7752D">
        <w:br w:type="page"/>
      </w:r>
    </w:p>
    <w:p w14:paraId="35315D3E" w14:textId="77777777" w:rsidR="00D338A4" w:rsidRPr="00F7752D" w:rsidRDefault="00B41A02" w:rsidP="00D338A4">
      <w:pPr>
        <w:ind w:left="1134" w:hanging="567"/>
      </w:pPr>
      <w:r w:rsidRPr="00F7752D">
        <w:lastRenderedPageBreak/>
        <w:t>(</w:t>
      </w:r>
      <w:r w:rsidR="00D338A4" w:rsidRPr="00F7752D">
        <w:t>e)</w:t>
      </w:r>
      <w:r w:rsidR="00D338A4" w:rsidRPr="00F7752D">
        <w:tab/>
      </w:r>
      <w:r w:rsidRPr="00F7752D">
        <w:t>If the information requested is not available from the applicant, how does that affect the application</w:t>
      </w:r>
      <w:r w:rsidR="00D338A4" w:rsidRPr="00F7752D">
        <w:t>?</w:t>
      </w:r>
    </w:p>
    <w:p w14:paraId="41D2E75E" w14:textId="77777777" w:rsidR="00D338A4" w:rsidRPr="00F7752D" w:rsidRDefault="00D338A4" w:rsidP="00D338A4"/>
    <w:p w14:paraId="5302E4CD" w14:textId="77777777" w:rsidR="00D338A4" w:rsidRPr="00F7752D" w:rsidRDefault="00D338A4" w:rsidP="00D338A4">
      <w:pPr>
        <w:rPr>
          <w:b/>
          <w:bCs/>
          <w:u w:val="single"/>
        </w:rPr>
      </w:pPr>
      <w:r w:rsidRPr="00F7752D">
        <w:rPr>
          <w:b/>
          <w:bCs/>
          <w:u w:val="single"/>
        </w:rPr>
        <w:t>Re</w:t>
      </w:r>
      <w:r w:rsidR="00B41A02" w:rsidRPr="00F7752D">
        <w:rPr>
          <w:b/>
          <w:bCs/>
          <w:u w:val="single"/>
        </w:rPr>
        <w:t>ply</w:t>
      </w:r>
    </w:p>
    <w:p w14:paraId="31107CA4" w14:textId="77777777" w:rsidR="00D338A4" w:rsidRPr="00F7752D" w:rsidRDefault="00D338A4" w:rsidP="00D338A4">
      <w:pPr>
        <w:rPr>
          <w:sz w:val="19"/>
          <w:szCs w:val="19"/>
        </w:rPr>
      </w:pPr>
    </w:p>
    <w:p w14:paraId="608A7632" w14:textId="77777777" w:rsidR="00D338A4" w:rsidRPr="00F7752D" w:rsidRDefault="00C65CB7" w:rsidP="00D338A4">
      <w:r w:rsidRPr="00F7752D">
        <w:t>Pursuant to Article</w:t>
      </w:r>
      <w:r w:rsidR="00D338A4" w:rsidRPr="00F7752D">
        <w:t xml:space="preserve"> 5 </w:t>
      </w:r>
      <w:r w:rsidRPr="00F7752D">
        <w:t xml:space="preserve">of Resolution </w:t>
      </w:r>
      <w:r w:rsidR="00F7752D" w:rsidRPr="00F7752D">
        <w:t>No. </w:t>
      </w:r>
      <w:r w:rsidR="00D338A4" w:rsidRPr="00F7752D">
        <w:t xml:space="preserve">523/2017, </w:t>
      </w:r>
      <w:r w:rsidRPr="00F7752D">
        <w:t>the applicant has 10 working days to provide the information required by the implementing authority</w:t>
      </w:r>
      <w:r w:rsidR="00F7752D" w:rsidRPr="00F7752D">
        <w:t>. O</w:t>
      </w:r>
      <w:r w:rsidRPr="00F7752D">
        <w:t xml:space="preserve">nce this </w:t>
      </w:r>
      <w:r w:rsidR="00B64BAA" w:rsidRPr="00F7752D">
        <w:t>deadline has expired</w:t>
      </w:r>
      <w:r w:rsidRPr="00F7752D">
        <w:t xml:space="preserve">, </w:t>
      </w:r>
      <w:r w:rsidR="00B64BAA" w:rsidRPr="00F7752D">
        <w:t>the procedure is automatically cancelled</w:t>
      </w:r>
      <w:r w:rsidR="00F7752D" w:rsidRPr="00F7752D">
        <w:t>. I</w:t>
      </w:r>
      <w:r w:rsidR="00B64BAA" w:rsidRPr="00F7752D">
        <w:t>f the information provided by the applicant is incomplete or fails to meet the implementing authority's requirements</w:t>
      </w:r>
      <w:r w:rsidR="00D338A4" w:rsidRPr="00F7752D">
        <w:t xml:space="preserve">, </w:t>
      </w:r>
      <w:r w:rsidR="00B64BAA" w:rsidRPr="00F7752D">
        <w:t>they will be given an additional five working days to modify, correct or complete</w:t>
      </w:r>
      <w:r w:rsidR="00D338A4" w:rsidRPr="00F7752D">
        <w:t xml:space="preserve"> </w:t>
      </w:r>
      <w:r w:rsidR="00B64BAA" w:rsidRPr="00F7752D">
        <w:t>the requested information</w:t>
      </w:r>
      <w:r w:rsidR="00F7752D" w:rsidRPr="00F7752D">
        <w:t>. I</w:t>
      </w:r>
      <w:r w:rsidR="00B64BAA" w:rsidRPr="00F7752D">
        <w:t xml:space="preserve">f this deadline </w:t>
      </w:r>
      <w:r w:rsidR="00E21AEE" w:rsidRPr="00F7752D">
        <w:t>expires</w:t>
      </w:r>
      <w:r w:rsidR="00B64BAA" w:rsidRPr="00F7752D">
        <w:t xml:space="preserve"> and no response from the applicant has been received, the procedure will be cancelled and a new licence application</w:t>
      </w:r>
      <w:r w:rsidR="000957F7" w:rsidRPr="00F7752D">
        <w:t xml:space="preserve"> may be submitted</w:t>
      </w:r>
      <w:r w:rsidR="00D338A4" w:rsidRPr="00F7752D">
        <w:t>.</w:t>
      </w:r>
    </w:p>
    <w:p w14:paraId="3AE5351B" w14:textId="77777777" w:rsidR="00D338A4" w:rsidRPr="00F7752D" w:rsidRDefault="00D338A4" w:rsidP="00D338A4"/>
    <w:p w14:paraId="06331797" w14:textId="77777777" w:rsidR="00D338A4" w:rsidRPr="00F7752D" w:rsidRDefault="00034D83" w:rsidP="00D338A4">
      <w:pPr>
        <w:ind w:left="1134" w:hanging="567"/>
      </w:pPr>
      <w:r w:rsidRPr="00F7752D">
        <w:t>(</w:t>
      </w:r>
      <w:r w:rsidR="00D338A4" w:rsidRPr="00F7752D">
        <w:t>f)</w:t>
      </w:r>
      <w:r w:rsidR="00D338A4" w:rsidRPr="00F7752D">
        <w:tab/>
      </w:r>
      <w:r w:rsidRPr="00F7752D">
        <w:t>What procedures does Argentina have in place to protect confidential information for applicants</w:t>
      </w:r>
      <w:r w:rsidR="00D338A4" w:rsidRPr="00F7752D">
        <w:t>?</w:t>
      </w:r>
    </w:p>
    <w:p w14:paraId="711CB9F8" w14:textId="77777777" w:rsidR="00D338A4" w:rsidRPr="00F7752D" w:rsidRDefault="00D338A4" w:rsidP="00D338A4"/>
    <w:p w14:paraId="76174F2F" w14:textId="77777777" w:rsidR="00D338A4" w:rsidRPr="00F7752D" w:rsidRDefault="00D338A4" w:rsidP="00D338A4">
      <w:pPr>
        <w:rPr>
          <w:b/>
          <w:bCs/>
          <w:u w:val="single"/>
        </w:rPr>
      </w:pPr>
      <w:r w:rsidRPr="00F7752D">
        <w:rPr>
          <w:b/>
          <w:bCs/>
          <w:u w:val="single"/>
        </w:rPr>
        <w:t>Re</w:t>
      </w:r>
      <w:r w:rsidR="00034D83" w:rsidRPr="00F7752D">
        <w:rPr>
          <w:b/>
          <w:bCs/>
          <w:u w:val="single"/>
        </w:rPr>
        <w:t>ply</w:t>
      </w:r>
    </w:p>
    <w:p w14:paraId="7745B415" w14:textId="77777777" w:rsidR="00D338A4" w:rsidRPr="00F7752D" w:rsidRDefault="00D338A4" w:rsidP="00D338A4"/>
    <w:p w14:paraId="481A8D21" w14:textId="77777777" w:rsidR="00D338A4" w:rsidRPr="00F7752D" w:rsidRDefault="00850ABD" w:rsidP="00D338A4">
      <w:r w:rsidRPr="00F7752D">
        <w:t xml:space="preserve">Article 8(c) of Law </w:t>
      </w:r>
      <w:r w:rsidR="00F7752D" w:rsidRPr="00F7752D">
        <w:t>No. </w:t>
      </w:r>
      <w:r w:rsidR="00D338A4" w:rsidRPr="00F7752D">
        <w:t>27.275 (</w:t>
      </w:r>
      <w:r w:rsidRPr="00F7752D">
        <w:t>Law on Access to Public Information</w:t>
      </w:r>
      <w:r w:rsidR="00D338A4" w:rsidRPr="00F7752D">
        <w:t xml:space="preserve">) </w:t>
      </w:r>
      <w:r w:rsidRPr="00F7752D">
        <w:t xml:space="preserve">expressly provides </w:t>
      </w:r>
      <w:r w:rsidR="000E0E54" w:rsidRPr="00F7752D">
        <w:t xml:space="preserve">that the State shall be exempt from the requirement to provide information </w:t>
      </w:r>
      <w:r w:rsidR="00467C1D" w:rsidRPr="00F7752D">
        <w:t>concerning</w:t>
      </w:r>
      <w:r w:rsidR="000E0E54" w:rsidRPr="00F7752D">
        <w:t xml:space="preserve"> </w:t>
      </w:r>
      <w:r w:rsidR="00D21888" w:rsidRPr="00F7752D">
        <w:t>"</w:t>
      </w:r>
      <w:r w:rsidR="000E0E54" w:rsidRPr="00F7752D">
        <w:t xml:space="preserve">Industrial, commercial, financial, scientific, technical or technological secrets, where revealing such secrets could harm the level of competitiveness or damage the interests of the </w:t>
      </w:r>
      <w:r w:rsidR="004937F4" w:rsidRPr="00F7752D">
        <w:t>entity subject to the requirement</w:t>
      </w:r>
      <w:r w:rsidR="00D21888" w:rsidRPr="00F7752D">
        <w:t>"</w:t>
      </w:r>
      <w:r w:rsidR="00D338A4" w:rsidRPr="00F7752D">
        <w:t>.</w:t>
      </w:r>
    </w:p>
    <w:p w14:paraId="3DA4FC70" w14:textId="77777777" w:rsidR="00D338A4" w:rsidRPr="00F7752D" w:rsidRDefault="00D338A4" w:rsidP="00D338A4"/>
    <w:p w14:paraId="7D75192B" w14:textId="77777777" w:rsidR="00D338A4" w:rsidRPr="00F7752D" w:rsidRDefault="00F66DA8" w:rsidP="00D338A4">
      <w:r w:rsidRPr="00F7752D">
        <w:t xml:space="preserve">Furthermore, the Comprehensive Import Monitoring System (SIMI) is designed in such a way as to ensure that </w:t>
      </w:r>
      <w:r w:rsidR="00A53881" w:rsidRPr="00F7752D">
        <w:t xml:space="preserve">each </w:t>
      </w:r>
      <w:r w:rsidRPr="00F7752D">
        <w:t xml:space="preserve">applicant can </w:t>
      </w:r>
      <w:r w:rsidR="00A53881" w:rsidRPr="00F7752D">
        <w:t xml:space="preserve">only </w:t>
      </w:r>
      <w:r w:rsidRPr="00F7752D">
        <w:t xml:space="preserve">access their </w:t>
      </w:r>
      <w:r w:rsidR="00A53881" w:rsidRPr="00F7752D">
        <w:t xml:space="preserve">own </w:t>
      </w:r>
      <w:r w:rsidRPr="00F7752D">
        <w:t>declarations</w:t>
      </w:r>
      <w:r w:rsidR="00D338A4" w:rsidRPr="00F7752D">
        <w:t>.</w:t>
      </w:r>
    </w:p>
    <w:p w14:paraId="10538793" w14:textId="77777777" w:rsidR="00D338A4" w:rsidRPr="00F7752D" w:rsidRDefault="00D338A4" w:rsidP="00D338A4"/>
    <w:p w14:paraId="6F84DD1A" w14:textId="77777777" w:rsidR="000B3946" w:rsidRPr="00F7752D" w:rsidRDefault="00D338A4" w:rsidP="000B3946">
      <w:pPr>
        <w:autoSpaceDE w:val="0"/>
        <w:autoSpaceDN w:val="0"/>
        <w:adjustRightInd w:val="0"/>
        <w:ind w:left="567" w:hanging="567"/>
        <w:rPr>
          <w:rFonts w:eastAsia="Calibri"/>
          <w:szCs w:val="18"/>
        </w:rPr>
      </w:pPr>
      <w:r w:rsidRPr="00F7752D">
        <w:t xml:space="preserve">4. </w:t>
      </w:r>
      <w:r w:rsidRPr="00F7752D">
        <w:tab/>
      </w:r>
      <w:r w:rsidR="000B3946" w:rsidRPr="00F7752D">
        <w:rPr>
          <w:rFonts w:eastAsia="Calibri"/>
          <w:szCs w:val="18"/>
        </w:rPr>
        <w:t>Under what circumstances may an application for a license be refused other than failure to meet the ordinary criteria?</w:t>
      </w:r>
      <w:r w:rsidR="00F7752D" w:rsidRPr="00F7752D">
        <w:rPr>
          <w:rFonts w:eastAsia="Calibri"/>
          <w:szCs w:val="18"/>
        </w:rPr>
        <w:t xml:space="preserve"> </w:t>
      </w:r>
      <w:r w:rsidR="000B3946" w:rsidRPr="00F7752D">
        <w:rPr>
          <w:rFonts w:eastAsia="Calibri"/>
          <w:szCs w:val="18"/>
        </w:rPr>
        <w:t>What is the procedure for appeals of rejection of a non</w:t>
      </w:r>
      <w:r w:rsidR="00F7752D" w:rsidRPr="00F7752D">
        <w:rPr>
          <w:rFonts w:eastAsia="Calibri"/>
          <w:szCs w:val="18"/>
        </w:rPr>
        <w:noBreakHyphen/>
      </w:r>
      <w:r w:rsidR="000B3946" w:rsidRPr="00F7752D">
        <w:rPr>
          <w:rFonts w:eastAsia="Calibri"/>
          <w:szCs w:val="18"/>
        </w:rPr>
        <w:t>automatic license?</w:t>
      </w:r>
    </w:p>
    <w:p w14:paraId="57233251" w14:textId="77777777" w:rsidR="000B3946" w:rsidRPr="00F7752D" w:rsidRDefault="000B3946" w:rsidP="00F7752D">
      <w:pPr>
        <w:autoSpaceDE w:val="0"/>
        <w:autoSpaceDN w:val="0"/>
        <w:adjustRightInd w:val="0"/>
        <w:contextualSpacing/>
        <w:rPr>
          <w:rFonts w:eastAsia="Calibri"/>
          <w:szCs w:val="18"/>
        </w:rPr>
      </w:pPr>
    </w:p>
    <w:p w14:paraId="7C4E41A3" w14:textId="77777777" w:rsidR="000B3946" w:rsidRPr="00F7752D" w:rsidRDefault="000B3946" w:rsidP="000B3946">
      <w:pPr>
        <w:numPr>
          <w:ilvl w:val="0"/>
          <w:numId w:val="16"/>
        </w:numPr>
        <w:autoSpaceDE w:val="0"/>
        <w:autoSpaceDN w:val="0"/>
        <w:adjustRightInd w:val="0"/>
        <w:ind w:left="1134" w:hanging="425"/>
        <w:rPr>
          <w:rFonts w:eastAsia="Calibri"/>
          <w:szCs w:val="18"/>
        </w:rPr>
      </w:pPr>
      <w:r w:rsidRPr="00F7752D">
        <w:rPr>
          <w:rFonts w:eastAsia="Calibri"/>
          <w:szCs w:val="18"/>
        </w:rPr>
        <w:t>Do applicants have a right of appeal in the event of refusal to issue a license?</w:t>
      </w:r>
    </w:p>
    <w:p w14:paraId="6138FFDA" w14:textId="77777777" w:rsidR="00D338A4" w:rsidRPr="00F7752D" w:rsidRDefault="000B3946" w:rsidP="000B3946">
      <w:pPr>
        <w:numPr>
          <w:ilvl w:val="0"/>
          <w:numId w:val="16"/>
        </w:numPr>
        <w:autoSpaceDE w:val="0"/>
        <w:autoSpaceDN w:val="0"/>
        <w:adjustRightInd w:val="0"/>
        <w:ind w:left="1134" w:hanging="425"/>
        <w:rPr>
          <w:rFonts w:eastAsia="Calibri"/>
          <w:szCs w:val="18"/>
        </w:rPr>
      </w:pPr>
      <w:r w:rsidRPr="00F7752D">
        <w:rPr>
          <w:rFonts w:eastAsia="Calibri"/>
          <w:szCs w:val="18"/>
        </w:rPr>
        <w:t>If so, to what bodies and under what procedures</w:t>
      </w:r>
      <w:r w:rsidR="00D338A4" w:rsidRPr="00F7752D">
        <w:t>?</w:t>
      </w:r>
    </w:p>
    <w:p w14:paraId="62BC2EED" w14:textId="77777777" w:rsidR="00D338A4" w:rsidRPr="00F7752D" w:rsidRDefault="00D338A4" w:rsidP="00D338A4"/>
    <w:p w14:paraId="6861270B" w14:textId="77777777" w:rsidR="00D338A4" w:rsidRPr="00F7752D" w:rsidRDefault="00D338A4" w:rsidP="00D338A4">
      <w:pPr>
        <w:rPr>
          <w:b/>
          <w:bCs/>
          <w:u w:val="single"/>
        </w:rPr>
      </w:pPr>
      <w:r w:rsidRPr="00F7752D">
        <w:rPr>
          <w:b/>
          <w:bCs/>
          <w:u w:val="single"/>
        </w:rPr>
        <w:t>Re</w:t>
      </w:r>
      <w:r w:rsidR="000B3946" w:rsidRPr="00F7752D">
        <w:rPr>
          <w:b/>
          <w:bCs/>
          <w:u w:val="single"/>
        </w:rPr>
        <w:t>plies</w:t>
      </w:r>
      <w:r w:rsidRPr="00F7752D">
        <w:rPr>
          <w:b/>
          <w:bCs/>
          <w:u w:val="single"/>
        </w:rPr>
        <w:t xml:space="preserve"> </w:t>
      </w:r>
      <w:r w:rsidR="000B3946" w:rsidRPr="00F7752D">
        <w:rPr>
          <w:b/>
          <w:bCs/>
          <w:u w:val="single"/>
        </w:rPr>
        <w:t>(</w:t>
      </w:r>
      <w:r w:rsidRPr="00F7752D">
        <w:rPr>
          <w:b/>
          <w:bCs/>
          <w:u w:val="single"/>
        </w:rPr>
        <w:t xml:space="preserve">a) </w:t>
      </w:r>
      <w:r w:rsidR="000B3946" w:rsidRPr="00F7752D">
        <w:rPr>
          <w:b/>
          <w:bCs/>
          <w:u w:val="single"/>
        </w:rPr>
        <w:t>and</w:t>
      </w:r>
      <w:r w:rsidRPr="00F7752D">
        <w:rPr>
          <w:b/>
          <w:bCs/>
          <w:u w:val="single"/>
        </w:rPr>
        <w:t xml:space="preserve"> </w:t>
      </w:r>
      <w:r w:rsidR="000B3946" w:rsidRPr="00F7752D">
        <w:rPr>
          <w:b/>
          <w:bCs/>
          <w:u w:val="single"/>
        </w:rPr>
        <w:t>(</w:t>
      </w:r>
      <w:r w:rsidRPr="00F7752D">
        <w:rPr>
          <w:b/>
          <w:bCs/>
          <w:u w:val="single"/>
        </w:rPr>
        <w:t>b)</w:t>
      </w:r>
    </w:p>
    <w:p w14:paraId="7223AEE1" w14:textId="77777777" w:rsidR="00D338A4" w:rsidRPr="00F7752D" w:rsidRDefault="00D338A4" w:rsidP="00D338A4"/>
    <w:p w14:paraId="5DF8DE6E" w14:textId="77777777" w:rsidR="00D338A4" w:rsidRPr="00F7752D" w:rsidRDefault="0028644C" w:rsidP="00D338A4">
      <w:r w:rsidRPr="00F7752D">
        <w:t xml:space="preserve">All applicants have the right to an administrative review under the terms of the regulations in force within the framework of the Law on Administrative Procedures </w:t>
      </w:r>
      <w:r w:rsidRPr="001A6146">
        <w:t xml:space="preserve">(Law </w:t>
      </w:r>
      <w:r w:rsidR="00F7752D" w:rsidRPr="001A6146">
        <w:t>No. </w:t>
      </w:r>
      <w:r w:rsidR="00D338A4" w:rsidRPr="001A6146">
        <w:t>19.549</w:t>
      </w:r>
      <w:r w:rsidRPr="001A6146">
        <w:t>)</w:t>
      </w:r>
      <w:r w:rsidRPr="00F7752D">
        <w:t xml:space="preserve"> and the amending and supplementary provisions thereto</w:t>
      </w:r>
      <w:r w:rsidR="00A979E7" w:rsidRPr="00F7752D">
        <w:t xml:space="preserve"> (</w:t>
      </w:r>
      <w:r w:rsidR="00933A33" w:rsidRPr="00F7752D">
        <w:t>and</w:t>
      </w:r>
      <w:r w:rsidR="00A979E7" w:rsidRPr="00F7752D">
        <w:t xml:space="preserve"> the right to apply for a new licence), as well as before the </w:t>
      </w:r>
      <w:r w:rsidR="00933A33" w:rsidRPr="00F7752D">
        <w:t>ordinary courts</w:t>
      </w:r>
      <w:r w:rsidR="00F7752D" w:rsidRPr="00F7752D">
        <w:t>. F</w:t>
      </w:r>
      <w:r w:rsidR="00933A33" w:rsidRPr="00F7752D">
        <w:t>urthermore</w:t>
      </w:r>
      <w:r w:rsidR="00D338A4" w:rsidRPr="00F7752D">
        <w:t xml:space="preserve">, </w:t>
      </w:r>
      <w:r w:rsidR="00933A33" w:rsidRPr="00F7752D">
        <w:t xml:space="preserve">these administrative and </w:t>
      </w:r>
      <w:r w:rsidR="00B51F0C" w:rsidRPr="00F7752D">
        <w:t>judicial instances are not mutually exclusive for operators</w:t>
      </w:r>
      <w:r w:rsidR="00D338A4" w:rsidRPr="00F7752D">
        <w:t>.</w:t>
      </w:r>
    </w:p>
    <w:p w14:paraId="2F7A02FF" w14:textId="77777777" w:rsidR="00D338A4" w:rsidRPr="00F7752D" w:rsidRDefault="00D338A4" w:rsidP="00D338A4"/>
    <w:p w14:paraId="76D1ACBA" w14:textId="77777777" w:rsidR="00D338A4" w:rsidRPr="00F7752D" w:rsidRDefault="00D338A4" w:rsidP="00D338A4">
      <w:pPr>
        <w:ind w:left="567" w:hanging="567"/>
      </w:pPr>
      <w:r w:rsidRPr="00F7752D">
        <w:t>5.</w:t>
      </w:r>
      <w:r w:rsidRPr="00F7752D">
        <w:tab/>
      </w:r>
      <w:r w:rsidR="00784F07" w:rsidRPr="00F7752D">
        <w:t>What percentage of imports to Argentina are now covered by automatic import licensing and by non</w:t>
      </w:r>
      <w:r w:rsidR="00F7752D" w:rsidRPr="00F7752D">
        <w:noBreakHyphen/>
      </w:r>
      <w:r w:rsidR="00784F07" w:rsidRPr="00F7752D">
        <w:t>automatic licensing?</w:t>
      </w:r>
      <w:r w:rsidR="00F7752D" w:rsidRPr="00F7752D">
        <w:t xml:space="preserve"> </w:t>
      </w:r>
      <w:r w:rsidR="00784F07" w:rsidRPr="00F7752D">
        <w:t xml:space="preserve">What were those percentages on </w:t>
      </w:r>
      <w:r w:rsidR="00F7752D" w:rsidRPr="00F7752D">
        <w:t>December 3</w:t>
      </w:r>
      <w:r w:rsidR="00784F07" w:rsidRPr="00F7752D">
        <w:t>1, 2019?</w:t>
      </w:r>
      <w:r w:rsidR="00F7752D" w:rsidRPr="00F7752D">
        <w:t xml:space="preserve"> </w:t>
      </w:r>
      <w:r w:rsidR="00784F07" w:rsidRPr="00F7752D">
        <w:t>Please provide this information by volume and value</w:t>
      </w:r>
      <w:r w:rsidRPr="00F7752D">
        <w:t>.</w:t>
      </w:r>
    </w:p>
    <w:p w14:paraId="64DC4F55" w14:textId="77777777" w:rsidR="00D338A4" w:rsidRPr="00F7752D" w:rsidRDefault="00D338A4" w:rsidP="00D338A4"/>
    <w:p w14:paraId="72DC6224" w14:textId="77777777" w:rsidR="00D338A4" w:rsidRPr="00F7752D" w:rsidRDefault="00D338A4" w:rsidP="00D338A4">
      <w:pPr>
        <w:rPr>
          <w:b/>
          <w:bCs/>
          <w:u w:val="single"/>
        </w:rPr>
      </w:pPr>
      <w:r w:rsidRPr="00F7752D">
        <w:rPr>
          <w:b/>
          <w:bCs/>
          <w:u w:val="single"/>
        </w:rPr>
        <w:t>Re</w:t>
      </w:r>
      <w:r w:rsidR="00784F07" w:rsidRPr="00F7752D">
        <w:rPr>
          <w:b/>
          <w:bCs/>
          <w:u w:val="single"/>
        </w:rPr>
        <w:t>ply</w:t>
      </w:r>
    </w:p>
    <w:p w14:paraId="0BADFF5C" w14:textId="77777777" w:rsidR="00D338A4" w:rsidRPr="00F7752D" w:rsidRDefault="00D338A4" w:rsidP="00D338A4">
      <w:pPr>
        <w:rPr>
          <w:b/>
          <w:bCs/>
          <w:u w:val="single"/>
        </w:rPr>
      </w:pPr>
    </w:p>
    <w:tbl>
      <w:tblPr>
        <w:tblW w:w="8960" w:type="dxa"/>
        <w:jc w:val="center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04"/>
        <w:gridCol w:w="2977"/>
        <w:gridCol w:w="2879"/>
      </w:tblGrid>
      <w:tr w:rsidR="00D338A4" w:rsidRPr="0077630D" w14:paraId="43E88E4C" w14:textId="77777777" w:rsidTr="00D21888">
        <w:trPr>
          <w:trHeight w:val="195"/>
          <w:jc w:val="center"/>
        </w:trPr>
        <w:tc>
          <w:tcPr>
            <w:tcW w:w="8960" w:type="dxa"/>
            <w:gridSpan w:val="3"/>
            <w:shd w:val="clear" w:color="auto" w:fill="FFFFFF" w:themeFill="background1"/>
          </w:tcPr>
          <w:p w14:paraId="2D2A1EB3" w14:textId="77777777" w:rsidR="00D338A4" w:rsidRPr="0077630D" w:rsidRDefault="00DA4979" w:rsidP="00D21888">
            <w:pPr>
              <w:pStyle w:val="TableParagraph"/>
              <w:spacing w:line="175" w:lineRule="exact"/>
              <w:ind w:left="0"/>
              <w:rPr>
                <w:b/>
                <w:bCs/>
                <w:sz w:val="16"/>
                <w:szCs w:val="16"/>
              </w:rPr>
            </w:pPr>
            <w:r w:rsidRPr="00F7752D">
              <w:rPr>
                <w:b/>
                <w:bCs/>
                <w:sz w:val="16"/>
                <w:szCs w:val="16"/>
              </w:rPr>
              <w:t>Year</w:t>
            </w:r>
            <w:r w:rsidR="00D338A4" w:rsidRPr="00F7752D">
              <w:rPr>
                <w:b/>
                <w:bCs/>
                <w:sz w:val="16"/>
                <w:szCs w:val="16"/>
              </w:rPr>
              <w:t xml:space="preserve"> 2020 (</w:t>
            </w:r>
            <w:r w:rsidRPr="00F7752D">
              <w:rPr>
                <w:b/>
                <w:bCs/>
                <w:sz w:val="16"/>
                <w:szCs w:val="16"/>
              </w:rPr>
              <w:t>Jan</w:t>
            </w:r>
            <w:r w:rsidR="00F7752D" w:rsidRPr="00F7752D">
              <w:rPr>
                <w:b/>
                <w:bCs/>
                <w:sz w:val="16"/>
                <w:szCs w:val="16"/>
              </w:rPr>
              <w:noBreakHyphen/>
            </w:r>
            <w:r w:rsidRPr="00F7752D">
              <w:rPr>
                <w:b/>
                <w:bCs/>
                <w:sz w:val="16"/>
                <w:szCs w:val="16"/>
              </w:rPr>
              <w:t>Sept</w:t>
            </w:r>
            <w:r w:rsidR="00D338A4" w:rsidRPr="00F7752D"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D338A4" w:rsidRPr="0077630D" w14:paraId="2AB83682" w14:textId="77777777" w:rsidTr="00D21888">
        <w:trPr>
          <w:trHeight w:val="300"/>
          <w:jc w:val="center"/>
        </w:trPr>
        <w:tc>
          <w:tcPr>
            <w:tcW w:w="3104" w:type="dxa"/>
          </w:tcPr>
          <w:p w14:paraId="4BA7C835" w14:textId="77777777" w:rsidR="00D338A4" w:rsidRPr="0077630D" w:rsidRDefault="00DA4979" w:rsidP="00821BBE">
            <w:pPr>
              <w:pStyle w:val="TableParagraph"/>
              <w:spacing w:before="49" w:line="240" w:lineRule="auto"/>
              <w:jc w:val="left"/>
              <w:rPr>
                <w:b/>
                <w:bCs/>
                <w:sz w:val="16"/>
                <w:szCs w:val="16"/>
              </w:rPr>
            </w:pPr>
            <w:r w:rsidRPr="00F7752D">
              <w:rPr>
                <w:b/>
                <w:bCs/>
                <w:sz w:val="16"/>
                <w:szCs w:val="16"/>
              </w:rPr>
              <w:t>Licence type</w:t>
            </w:r>
          </w:p>
        </w:tc>
        <w:tc>
          <w:tcPr>
            <w:tcW w:w="2977" w:type="dxa"/>
          </w:tcPr>
          <w:p w14:paraId="7EB887D8" w14:textId="77777777" w:rsidR="00D338A4" w:rsidRPr="0077630D" w:rsidRDefault="00D338A4" w:rsidP="00821BBE">
            <w:pPr>
              <w:pStyle w:val="TableParagraph"/>
              <w:spacing w:before="49" w:line="240" w:lineRule="auto"/>
              <w:jc w:val="left"/>
              <w:rPr>
                <w:b/>
                <w:bCs/>
                <w:sz w:val="16"/>
                <w:szCs w:val="16"/>
              </w:rPr>
            </w:pPr>
            <w:r w:rsidRPr="00F7752D">
              <w:rPr>
                <w:b/>
                <w:bCs/>
                <w:sz w:val="16"/>
                <w:szCs w:val="16"/>
              </w:rPr>
              <w:t>Val</w:t>
            </w:r>
            <w:r w:rsidR="00DA4979" w:rsidRPr="00F7752D">
              <w:rPr>
                <w:b/>
                <w:bCs/>
                <w:sz w:val="16"/>
                <w:szCs w:val="16"/>
              </w:rPr>
              <w:t>ue</w:t>
            </w:r>
            <w:r w:rsidRPr="00F7752D">
              <w:rPr>
                <w:b/>
                <w:bCs/>
                <w:sz w:val="16"/>
                <w:szCs w:val="16"/>
              </w:rPr>
              <w:t xml:space="preserve"> (</w:t>
            </w:r>
            <w:r w:rsidR="00BF4FB3" w:rsidRPr="00F7752D">
              <w:rPr>
                <w:b/>
                <w:bCs/>
                <w:sz w:val="16"/>
                <w:szCs w:val="16"/>
              </w:rPr>
              <w:t>f.o.b.</w:t>
            </w:r>
            <w:r w:rsidRPr="00F7752D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879" w:type="dxa"/>
          </w:tcPr>
          <w:p w14:paraId="08406D92" w14:textId="77777777" w:rsidR="00D338A4" w:rsidRPr="0077630D" w:rsidRDefault="00D338A4" w:rsidP="00821BBE">
            <w:pPr>
              <w:pStyle w:val="TableParagraph"/>
              <w:spacing w:before="49" w:line="240" w:lineRule="auto"/>
              <w:jc w:val="left"/>
              <w:rPr>
                <w:b/>
                <w:bCs/>
                <w:sz w:val="16"/>
                <w:szCs w:val="16"/>
              </w:rPr>
            </w:pPr>
            <w:r w:rsidRPr="00F7752D">
              <w:rPr>
                <w:b/>
                <w:bCs/>
                <w:sz w:val="16"/>
                <w:szCs w:val="16"/>
              </w:rPr>
              <w:t>Volume (kg)</w:t>
            </w:r>
          </w:p>
        </w:tc>
      </w:tr>
      <w:tr w:rsidR="00D338A4" w:rsidRPr="0077630D" w14:paraId="08E9679E" w14:textId="77777777" w:rsidTr="00D21888">
        <w:trPr>
          <w:trHeight w:val="190"/>
          <w:jc w:val="center"/>
        </w:trPr>
        <w:tc>
          <w:tcPr>
            <w:tcW w:w="3104" w:type="dxa"/>
          </w:tcPr>
          <w:p w14:paraId="780FE31A" w14:textId="77777777" w:rsidR="00D338A4" w:rsidRPr="0077630D" w:rsidRDefault="00D338A4" w:rsidP="00821BBE">
            <w:pPr>
              <w:pStyle w:val="TableParagraph"/>
              <w:spacing w:line="170" w:lineRule="exact"/>
              <w:jc w:val="left"/>
              <w:rPr>
                <w:sz w:val="16"/>
                <w:szCs w:val="16"/>
              </w:rPr>
            </w:pPr>
            <w:r w:rsidRPr="00F7752D">
              <w:rPr>
                <w:sz w:val="16"/>
                <w:szCs w:val="16"/>
              </w:rPr>
              <w:t>Autom</w:t>
            </w:r>
            <w:r w:rsidR="00DA4979" w:rsidRPr="00F7752D">
              <w:rPr>
                <w:sz w:val="16"/>
                <w:szCs w:val="16"/>
              </w:rPr>
              <w:t>atic</w:t>
            </w:r>
          </w:p>
        </w:tc>
        <w:tc>
          <w:tcPr>
            <w:tcW w:w="2977" w:type="dxa"/>
          </w:tcPr>
          <w:p w14:paraId="14886066" w14:textId="77777777" w:rsidR="00D338A4" w:rsidRPr="0077630D" w:rsidRDefault="00D338A4" w:rsidP="00821BBE">
            <w:pPr>
              <w:pStyle w:val="TableParagraph"/>
              <w:spacing w:line="170" w:lineRule="exact"/>
              <w:ind w:left="470"/>
              <w:jc w:val="left"/>
              <w:rPr>
                <w:sz w:val="16"/>
                <w:szCs w:val="16"/>
              </w:rPr>
            </w:pPr>
            <w:r w:rsidRPr="00F7752D">
              <w:rPr>
                <w:sz w:val="16"/>
                <w:szCs w:val="16"/>
              </w:rPr>
              <w:t>71</w:t>
            </w:r>
            <w:r w:rsidR="00DA4979" w:rsidRPr="00F7752D">
              <w:rPr>
                <w:sz w:val="16"/>
                <w:szCs w:val="16"/>
              </w:rPr>
              <w:t>.</w:t>
            </w:r>
            <w:r w:rsidRPr="00F7752D">
              <w:rPr>
                <w:sz w:val="16"/>
                <w:szCs w:val="16"/>
              </w:rPr>
              <w:t>7%</w:t>
            </w:r>
          </w:p>
        </w:tc>
        <w:tc>
          <w:tcPr>
            <w:tcW w:w="2879" w:type="dxa"/>
          </w:tcPr>
          <w:p w14:paraId="4EE6D796" w14:textId="77777777" w:rsidR="00D338A4" w:rsidRPr="0077630D" w:rsidRDefault="00D338A4" w:rsidP="00821BBE">
            <w:pPr>
              <w:pStyle w:val="TableParagraph"/>
              <w:spacing w:line="170" w:lineRule="exact"/>
              <w:ind w:left="495"/>
              <w:jc w:val="left"/>
              <w:rPr>
                <w:sz w:val="16"/>
                <w:szCs w:val="16"/>
              </w:rPr>
            </w:pPr>
            <w:r w:rsidRPr="00F7752D">
              <w:rPr>
                <w:sz w:val="16"/>
                <w:szCs w:val="16"/>
              </w:rPr>
              <w:t>87</w:t>
            </w:r>
            <w:r w:rsidR="00BF4FB3" w:rsidRPr="00F7752D">
              <w:rPr>
                <w:sz w:val="16"/>
                <w:szCs w:val="16"/>
              </w:rPr>
              <w:t>.</w:t>
            </w:r>
            <w:r w:rsidRPr="00F7752D">
              <w:rPr>
                <w:sz w:val="16"/>
                <w:szCs w:val="16"/>
              </w:rPr>
              <w:t>3%</w:t>
            </w:r>
          </w:p>
        </w:tc>
      </w:tr>
      <w:tr w:rsidR="00D338A4" w:rsidRPr="0077630D" w14:paraId="35227ED4" w14:textId="77777777" w:rsidTr="00D21888">
        <w:trPr>
          <w:trHeight w:val="195"/>
          <w:jc w:val="center"/>
        </w:trPr>
        <w:tc>
          <w:tcPr>
            <w:tcW w:w="3104" w:type="dxa"/>
          </w:tcPr>
          <w:p w14:paraId="7D38CEDE" w14:textId="77777777" w:rsidR="00D338A4" w:rsidRPr="0077630D" w:rsidRDefault="00D338A4" w:rsidP="00821BBE">
            <w:pPr>
              <w:pStyle w:val="TableParagraph"/>
              <w:spacing w:line="175" w:lineRule="exact"/>
              <w:jc w:val="left"/>
              <w:rPr>
                <w:sz w:val="16"/>
                <w:szCs w:val="16"/>
              </w:rPr>
            </w:pPr>
            <w:r w:rsidRPr="00F7752D">
              <w:rPr>
                <w:sz w:val="16"/>
                <w:szCs w:val="16"/>
              </w:rPr>
              <w:t>No</w:t>
            </w:r>
            <w:r w:rsidR="00DA4979" w:rsidRPr="00F7752D">
              <w:rPr>
                <w:sz w:val="16"/>
                <w:szCs w:val="16"/>
              </w:rPr>
              <w:t>n</w:t>
            </w:r>
            <w:r w:rsidR="00F7752D" w:rsidRPr="00F7752D">
              <w:rPr>
                <w:sz w:val="16"/>
                <w:szCs w:val="16"/>
              </w:rPr>
              <w:noBreakHyphen/>
            </w:r>
            <w:r w:rsidRPr="00F7752D">
              <w:rPr>
                <w:sz w:val="16"/>
                <w:szCs w:val="16"/>
              </w:rPr>
              <w:t>autom</w:t>
            </w:r>
            <w:r w:rsidR="00DA4979" w:rsidRPr="00F7752D">
              <w:rPr>
                <w:sz w:val="16"/>
                <w:szCs w:val="16"/>
              </w:rPr>
              <w:t>atic</w:t>
            </w:r>
          </w:p>
        </w:tc>
        <w:tc>
          <w:tcPr>
            <w:tcW w:w="2977" w:type="dxa"/>
          </w:tcPr>
          <w:p w14:paraId="07651CE1" w14:textId="77777777" w:rsidR="00D338A4" w:rsidRPr="0077630D" w:rsidRDefault="00D338A4" w:rsidP="00821BBE">
            <w:pPr>
              <w:pStyle w:val="TableParagraph"/>
              <w:spacing w:line="175" w:lineRule="exact"/>
              <w:ind w:left="470"/>
              <w:jc w:val="left"/>
              <w:rPr>
                <w:sz w:val="16"/>
                <w:szCs w:val="16"/>
              </w:rPr>
            </w:pPr>
            <w:r w:rsidRPr="00F7752D">
              <w:rPr>
                <w:sz w:val="16"/>
                <w:szCs w:val="16"/>
              </w:rPr>
              <w:t>28</w:t>
            </w:r>
            <w:r w:rsidR="00DA4979" w:rsidRPr="00F7752D">
              <w:rPr>
                <w:sz w:val="16"/>
                <w:szCs w:val="16"/>
              </w:rPr>
              <w:t>.</w:t>
            </w:r>
            <w:r w:rsidRPr="00F7752D">
              <w:rPr>
                <w:sz w:val="16"/>
                <w:szCs w:val="16"/>
              </w:rPr>
              <w:t>3%</w:t>
            </w:r>
          </w:p>
        </w:tc>
        <w:tc>
          <w:tcPr>
            <w:tcW w:w="2879" w:type="dxa"/>
          </w:tcPr>
          <w:p w14:paraId="4D118B86" w14:textId="77777777" w:rsidR="00D338A4" w:rsidRPr="0077630D" w:rsidRDefault="00D338A4" w:rsidP="00821BBE">
            <w:pPr>
              <w:pStyle w:val="TableParagraph"/>
              <w:spacing w:line="175" w:lineRule="exact"/>
              <w:ind w:left="495"/>
              <w:jc w:val="left"/>
              <w:rPr>
                <w:sz w:val="16"/>
                <w:szCs w:val="16"/>
              </w:rPr>
            </w:pPr>
            <w:r w:rsidRPr="00F7752D">
              <w:rPr>
                <w:sz w:val="16"/>
                <w:szCs w:val="16"/>
              </w:rPr>
              <w:t>12</w:t>
            </w:r>
            <w:r w:rsidR="00BF4FB3" w:rsidRPr="00F7752D">
              <w:rPr>
                <w:sz w:val="16"/>
                <w:szCs w:val="16"/>
              </w:rPr>
              <w:t>.</w:t>
            </w:r>
            <w:r w:rsidRPr="00F7752D">
              <w:rPr>
                <w:sz w:val="16"/>
                <w:szCs w:val="16"/>
              </w:rPr>
              <w:t>7%</w:t>
            </w:r>
          </w:p>
        </w:tc>
      </w:tr>
      <w:tr w:rsidR="00D338A4" w:rsidRPr="00F7752D" w14:paraId="41C29185" w14:textId="77777777" w:rsidTr="00D21888">
        <w:trPr>
          <w:trHeight w:val="195"/>
          <w:jc w:val="center"/>
        </w:trPr>
        <w:tc>
          <w:tcPr>
            <w:tcW w:w="3104" w:type="dxa"/>
          </w:tcPr>
          <w:p w14:paraId="07685B1E" w14:textId="77777777" w:rsidR="00D338A4" w:rsidRPr="0077630D" w:rsidRDefault="00D338A4" w:rsidP="00821BBE">
            <w:pPr>
              <w:pStyle w:val="TableParagraph"/>
              <w:spacing w:line="175" w:lineRule="exact"/>
              <w:jc w:val="left"/>
              <w:rPr>
                <w:b/>
                <w:bCs/>
                <w:sz w:val="16"/>
                <w:szCs w:val="16"/>
              </w:rPr>
            </w:pPr>
            <w:r w:rsidRPr="00F7752D">
              <w:rPr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2977" w:type="dxa"/>
          </w:tcPr>
          <w:p w14:paraId="497C480B" w14:textId="77777777" w:rsidR="00D338A4" w:rsidRPr="0077630D" w:rsidRDefault="00D338A4" w:rsidP="00821BBE">
            <w:pPr>
              <w:pStyle w:val="TableParagraph"/>
              <w:spacing w:line="175" w:lineRule="exact"/>
              <w:ind w:left="495"/>
              <w:jc w:val="left"/>
              <w:rPr>
                <w:b/>
                <w:bCs/>
                <w:sz w:val="16"/>
                <w:szCs w:val="16"/>
              </w:rPr>
            </w:pPr>
            <w:r w:rsidRPr="00F7752D">
              <w:rPr>
                <w:b/>
                <w:bCs/>
                <w:sz w:val="16"/>
                <w:szCs w:val="16"/>
              </w:rPr>
              <w:t>100%</w:t>
            </w:r>
          </w:p>
        </w:tc>
        <w:tc>
          <w:tcPr>
            <w:tcW w:w="2879" w:type="dxa"/>
          </w:tcPr>
          <w:p w14:paraId="3FE4A60A" w14:textId="77777777" w:rsidR="00D338A4" w:rsidRPr="00F7752D" w:rsidRDefault="00D338A4" w:rsidP="00821BBE">
            <w:pPr>
              <w:pStyle w:val="TableParagraph"/>
              <w:spacing w:line="175" w:lineRule="exact"/>
              <w:ind w:left="515"/>
              <w:jc w:val="left"/>
              <w:rPr>
                <w:b/>
                <w:bCs/>
                <w:sz w:val="16"/>
                <w:szCs w:val="16"/>
              </w:rPr>
            </w:pPr>
            <w:r w:rsidRPr="00F7752D">
              <w:rPr>
                <w:b/>
                <w:bCs/>
                <w:sz w:val="16"/>
                <w:szCs w:val="16"/>
              </w:rPr>
              <w:t>100%</w:t>
            </w:r>
          </w:p>
        </w:tc>
      </w:tr>
    </w:tbl>
    <w:p w14:paraId="60556485" w14:textId="77777777" w:rsidR="00D338A4" w:rsidRPr="00F7752D" w:rsidRDefault="00D338A4" w:rsidP="00D338A4"/>
    <w:p w14:paraId="46FE2DEA" w14:textId="77777777" w:rsidR="00D338A4" w:rsidRPr="00F7752D" w:rsidRDefault="00D338A4" w:rsidP="00D338A4"/>
    <w:tbl>
      <w:tblPr>
        <w:tblW w:w="8961" w:type="dxa"/>
        <w:jc w:val="center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04"/>
        <w:gridCol w:w="2977"/>
        <w:gridCol w:w="2880"/>
      </w:tblGrid>
      <w:tr w:rsidR="00D338A4" w:rsidRPr="0077630D" w14:paraId="0F2A385F" w14:textId="77777777" w:rsidTr="00D21888">
        <w:trPr>
          <w:trHeight w:val="195"/>
          <w:jc w:val="center"/>
        </w:trPr>
        <w:tc>
          <w:tcPr>
            <w:tcW w:w="8961" w:type="dxa"/>
            <w:gridSpan w:val="3"/>
            <w:shd w:val="clear" w:color="auto" w:fill="FFFFFF" w:themeFill="background1"/>
          </w:tcPr>
          <w:p w14:paraId="20343D8E" w14:textId="77777777" w:rsidR="00D338A4" w:rsidRPr="0077630D" w:rsidRDefault="00BF4FB3" w:rsidP="00D21888">
            <w:pPr>
              <w:pStyle w:val="TableParagraph"/>
              <w:spacing w:line="175" w:lineRule="exact"/>
              <w:ind w:left="0" w:right="32"/>
              <w:rPr>
                <w:b/>
                <w:bCs/>
                <w:sz w:val="16"/>
                <w:szCs w:val="16"/>
              </w:rPr>
            </w:pPr>
            <w:r w:rsidRPr="00F7752D">
              <w:rPr>
                <w:b/>
                <w:bCs/>
                <w:sz w:val="16"/>
                <w:szCs w:val="16"/>
              </w:rPr>
              <w:t>Year</w:t>
            </w:r>
            <w:r w:rsidR="00D338A4" w:rsidRPr="00F7752D">
              <w:rPr>
                <w:b/>
                <w:bCs/>
                <w:sz w:val="16"/>
                <w:szCs w:val="16"/>
              </w:rPr>
              <w:t xml:space="preserve"> 2019</w:t>
            </w:r>
          </w:p>
        </w:tc>
      </w:tr>
      <w:tr w:rsidR="00D338A4" w:rsidRPr="0077630D" w14:paraId="04822CC3" w14:textId="77777777" w:rsidTr="00D21888">
        <w:trPr>
          <w:trHeight w:val="300"/>
          <w:jc w:val="center"/>
        </w:trPr>
        <w:tc>
          <w:tcPr>
            <w:tcW w:w="3104" w:type="dxa"/>
          </w:tcPr>
          <w:p w14:paraId="61C1486F" w14:textId="77777777" w:rsidR="00D338A4" w:rsidRPr="0077630D" w:rsidRDefault="00BF4FB3" w:rsidP="00821BBE">
            <w:pPr>
              <w:pStyle w:val="TableParagraph"/>
              <w:spacing w:before="49" w:line="240" w:lineRule="auto"/>
              <w:jc w:val="left"/>
              <w:rPr>
                <w:b/>
                <w:bCs/>
                <w:sz w:val="16"/>
                <w:szCs w:val="16"/>
              </w:rPr>
            </w:pPr>
            <w:r w:rsidRPr="00F7752D">
              <w:rPr>
                <w:b/>
                <w:bCs/>
                <w:sz w:val="16"/>
                <w:szCs w:val="16"/>
              </w:rPr>
              <w:t>Licence type</w:t>
            </w:r>
          </w:p>
        </w:tc>
        <w:tc>
          <w:tcPr>
            <w:tcW w:w="2977" w:type="dxa"/>
          </w:tcPr>
          <w:p w14:paraId="4F04C5CE" w14:textId="77777777" w:rsidR="00D338A4" w:rsidRPr="0077630D" w:rsidRDefault="00D338A4" w:rsidP="00821BBE">
            <w:pPr>
              <w:pStyle w:val="TableParagraph"/>
              <w:spacing w:before="49" w:line="240" w:lineRule="auto"/>
              <w:jc w:val="left"/>
              <w:rPr>
                <w:b/>
                <w:bCs/>
                <w:sz w:val="16"/>
                <w:szCs w:val="16"/>
              </w:rPr>
            </w:pPr>
            <w:r w:rsidRPr="00F7752D">
              <w:rPr>
                <w:b/>
                <w:bCs/>
                <w:sz w:val="16"/>
                <w:szCs w:val="16"/>
              </w:rPr>
              <w:t>Val</w:t>
            </w:r>
            <w:r w:rsidR="00BF4FB3" w:rsidRPr="00F7752D">
              <w:rPr>
                <w:b/>
                <w:bCs/>
                <w:sz w:val="16"/>
                <w:szCs w:val="16"/>
              </w:rPr>
              <w:t>ue</w:t>
            </w:r>
            <w:r w:rsidRPr="00F7752D">
              <w:rPr>
                <w:b/>
                <w:bCs/>
                <w:sz w:val="16"/>
                <w:szCs w:val="16"/>
              </w:rPr>
              <w:t xml:space="preserve"> (</w:t>
            </w:r>
            <w:r w:rsidR="00BF4FB3" w:rsidRPr="00F7752D">
              <w:rPr>
                <w:b/>
                <w:bCs/>
                <w:sz w:val="16"/>
                <w:szCs w:val="16"/>
              </w:rPr>
              <w:t>f.o.b.</w:t>
            </w:r>
            <w:r w:rsidRPr="00F7752D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880" w:type="dxa"/>
          </w:tcPr>
          <w:p w14:paraId="052556DE" w14:textId="77777777" w:rsidR="00D338A4" w:rsidRPr="0077630D" w:rsidRDefault="00D338A4" w:rsidP="00821BBE">
            <w:pPr>
              <w:pStyle w:val="TableParagraph"/>
              <w:spacing w:before="49" w:line="240" w:lineRule="auto"/>
              <w:jc w:val="left"/>
              <w:rPr>
                <w:b/>
                <w:bCs/>
                <w:sz w:val="16"/>
                <w:szCs w:val="16"/>
              </w:rPr>
            </w:pPr>
            <w:r w:rsidRPr="00F7752D">
              <w:rPr>
                <w:b/>
                <w:bCs/>
                <w:sz w:val="16"/>
                <w:szCs w:val="16"/>
              </w:rPr>
              <w:t>Volume (kg)</w:t>
            </w:r>
          </w:p>
        </w:tc>
      </w:tr>
      <w:tr w:rsidR="00D338A4" w:rsidRPr="0077630D" w14:paraId="49E035B3" w14:textId="77777777" w:rsidTr="00D21888">
        <w:trPr>
          <w:trHeight w:val="195"/>
          <w:jc w:val="center"/>
        </w:trPr>
        <w:tc>
          <w:tcPr>
            <w:tcW w:w="3104" w:type="dxa"/>
          </w:tcPr>
          <w:p w14:paraId="10FBEB77" w14:textId="77777777" w:rsidR="00D338A4" w:rsidRPr="0077630D" w:rsidRDefault="00D338A4" w:rsidP="00821BBE">
            <w:pPr>
              <w:pStyle w:val="TableParagraph"/>
              <w:spacing w:line="175" w:lineRule="exact"/>
              <w:jc w:val="left"/>
              <w:rPr>
                <w:sz w:val="16"/>
                <w:szCs w:val="16"/>
              </w:rPr>
            </w:pPr>
            <w:r w:rsidRPr="00F7752D">
              <w:rPr>
                <w:sz w:val="16"/>
                <w:szCs w:val="16"/>
              </w:rPr>
              <w:t>Autom</w:t>
            </w:r>
            <w:r w:rsidR="00BF4FB3" w:rsidRPr="00F7752D">
              <w:rPr>
                <w:sz w:val="16"/>
                <w:szCs w:val="16"/>
              </w:rPr>
              <w:t>atic</w:t>
            </w:r>
          </w:p>
        </w:tc>
        <w:tc>
          <w:tcPr>
            <w:tcW w:w="2977" w:type="dxa"/>
          </w:tcPr>
          <w:p w14:paraId="2B84F7AB" w14:textId="77777777" w:rsidR="00D338A4" w:rsidRPr="0077630D" w:rsidRDefault="00D338A4" w:rsidP="00821BBE">
            <w:pPr>
              <w:pStyle w:val="TableParagraph"/>
              <w:spacing w:line="175" w:lineRule="exact"/>
              <w:ind w:left="470"/>
              <w:jc w:val="left"/>
              <w:rPr>
                <w:sz w:val="16"/>
                <w:szCs w:val="16"/>
              </w:rPr>
            </w:pPr>
            <w:r w:rsidRPr="00F7752D">
              <w:rPr>
                <w:sz w:val="16"/>
                <w:szCs w:val="16"/>
              </w:rPr>
              <w:t>83</w:t>
            </w:r>
            <w:r w:rsidR="00BF4FB3" w:rsidRPr="00F7752D">
              <w:rPr>
                <w:sz w:val="16"/>
                <w:szCs w:val="16"/>
              </w:rPr>
              <w:t>.</w:t>
            </w:r>
            <w:r w:rsidRPr="00F7752D">
              <w:rPr>
                <w:sz w:val="16"/>
                <w:szCs w:val="16"/>
              </w:rPr>
              <w:t>2%</w:t>
            </w:r>
          </w:p>
        </w:tc>
        <w:tc>
          <w:tcPr>
            <w:tcW w:w="2880" w:type="dxa"/>
          </w:tcPr>
          <w:p w14:paraId="271E20E2" w14:textId="77777777" w:rsidR="00D338A4" w:rsidRPr="0077630D" w:rsidRDefault="00D338A4" w:rsidP="00821BBE">
            <w:pPr>
              <w:pStyle w:val="TableParagraph"/>
              <w:spacing w:line="175" w:lineRule="exact"/>
              <w:ind w:left="495"/>
              <w:jc w:val="left"/>
              <w:rPr>
                <w:sz w:val="16"/>
                <w:szCs w:val="16"/>
              </w:rPr>
            </w:pPr>
            <w:r w:rsidRPr="00F7752D">
              <w:rPr>
                <w:sz w:val="16"/>
                <w:szCs w:val="16"/>
              </w:rPr>
              <w:t>95</w:t>
            </w:r>
            <w:r w:rsidR="00BF4FB3" w:rsidRPr="00F7752D">
              <w:rPr>
                <w:sz w:val="16"/>
                <w:szCs w:val="16"/>
              </w:rPr>
              <w:t>.</w:t>
            </w:r>
            <w:r w:rsidRPr="00F7752D">
              <w:rPr>
                <w:sz w:val="16"/>
                <w:szCs w:val="16"/>
              </w:rPr>
              <w:t>0%</w:t>
            </w:r>
          </w:p>
        </w:tc>
      </w:tr>
      <w:tr w:rsidR="00D338A4" w:rsidRPr="0077630D" w14:paraId="6D5D99E5" w14:textId="77777777" w:rsidTr="00D21888">
        <w:trPr>
          <w:trHeight w:val="195"/>
          <w:jc w:val="center"/>
        </w:trPr>
        <w:tc>
          <w:tcPr>
            <w:tcW w:w="3104" w:type="dxa"/>
          </w:tcPr>
          <w:p w14:paraId="3978E553" w14:textId="77777777" w:rsidR="00D338A4" w:rsidRPr="0077630D" w:rsidRDefault="00D338A4" w:rsidP="00821BBE">
            <w:pPr>
              <w:pStyle w:val="TableParagraph"/>
              <w:spacing w:line="175" w:lineRule="exact"/>
              <w:jc w:val="left"/>
              <w:rPr>
                <w:sz w:val="16"/>
                <w:szCs w:val="16"/>
              </w:rPr>
            </w:pPr>
            <w:r w:rsidRPr="00F7752D">
              <w:rPr>
                <w:sz w:val="16"/>
                <w:szCs w:val="16"/>
              </w:rPr>
              <w:t>No</w:t>
            </w:r>
            <w:r w:rsidR="00BF4FB3" w:rsidRPr="00F7752D">
              <w:rPr>
                <w:sz w:val="16"/>
                <w:szCs w:val="16"/>
              </w:rPr>
              <w:t>n</w:t>
            </w:r>
            <w:r w:rsidR="00F7752D" w:rsidRPr="00F7752D">
              <w:rPr>
                <w:sz w:val="16"/>
                <w:szCs w:val="16"/>
              </w:rPr>
              <w:noBreakHyphen/>
            </w:r>
            <w:r w:rsidRPr="00F7752D">
              <w:rPr>
                <w:sz w:val="16"/>
                <w:szCs w:val="16"/>
              </w:rPr>
              <w:t>autom</w:t>
            </w:r>
            <w:r w:rsidR="00BF4FB3" w:rsidRPr="00F7752D">
              <w:rPr>
                <w:sz w:val="16"/>
                <w:szCs w:val="16"/>
              </w:rPr>
              <w:t>atic</w:t>
            </w:r>
          </w:p>
        </w:tc>
        <w:tc>
          <w:tcPr>
            <w:tcW w:w="2977" w:type="dxa"/>
          </w:tcPr>
          <w:p w14:paraId="6E027E10" w14:textId="77777777" w:rsidR="00D338A4" w:rsidRPr="0077630D" w:rsidRDefault="00D338A4" w:rsidP="00821BBE">
            <w:pPr>
              <w:pStyle w:val="TableParagraph"/>
              <w:spacing w:line="175" w:lineRule="exact"/>
              <w:ind w:left="470"/>
              <w:jc w:val="left"/>
              <w:rPr>
                <w:sz w:val="16"/>
                <w:szCs w:val="16"/>
              </w:rPr>
            </w:pPr>
            <w:r w:rsidRPr="00F7752D">
              <w:rPr>
                <w:sz w:val="16"/>
                <w:szCs w:val="16"/>
              </w:rPr>
              <w:t>16</w:t>
            </w:r>
            <w:r w:rsidR="00BF4FB3" w:rsidRPr="00F7752D">
              <w:rPr>
                <w:sz w:val="16"/>
                <w:szCs w:val="16"/>
              </w:rPr>
              <w:t>.</w:t>
            </w:r>
            <w:r w:rsidRPr="00F7752D">
              <w:rPr>
                <w:sz w:val="16"/>
                <w:szCs w:val="16"/>
              </w:rPr>
              <w:t>8%</w:t>
            </w:r>
          </w:p>
        </w:tc>
        <w:tc>
          <w:tcPr>
            <w:tcW w:w="2880" w:type="dxa"/>
          </w:tcPr>
          <w:p w14:paraId="70AB0EA4" w14:textId="77777777" w:rsidR="00D338A4" w:rsidRPr="0077630D" w:rsidRDefault="00D338A4" w:rsidP="00BF4FB3">
            <w:pPr>
              <w:pStyle w:val="TableParagraph"/>
              <w:spacing w:line="175" w:lineRule="exact"/>
              <w:ind w:left="523" w:right="512"/>
              <w:jc w:val="both"/>
              <w:rPr>
                <w:sz w:val="16"/>
                <w:szCs w:val="16"/>
              </w:rPr>
            </w:pPr>
            <w:r w:rsidRPr="00F7752D">
              <w:rPr>
                <w:sz w:val="16"/>
                <w:szCs w:val="16"/>
              </w:rPr>
              <w:t>5</w:t>
            </w:r>
            <w:r w:rsidR="00BF4FB3" w:rsidRPr="00F7752D">
              <w:rPr>
                <w:sz w:val="16"/>
                <w:szCs w:val="16"/>
              </w:rPr>
              <w:t>.</w:t>
            </w:r>
            <w:r w:rsidRPr="00F7752D">
              <w:rPr>
                <w:sz w:val="16"/>
                <w:szCs w:val="16"/>
              </w:rPr>
              <w:t>0%</w:t>
            </w:r>
          </w:p>
        </w:tc>
      </w:tr>
      <w:tr w:rsidR="00D338A4" w:rsidRPr="00F7752D" w14:paraId="6A7BC2D8" w14:textId="77777777" w:rsidTr="00D21888">
        <w:trPr>
          <w:trHeight w:val="195"/>
          <w:jc w:val="center"/>
        </w:trPr>
        <w:tc>
          <w:tcPr>
            <w:tcW w:w="3104" w:type="dxa"/>
          </w:tcPr>
          <w:p w14:paraId="3AE5CAD2" w14:textId="77777777" w:rsidR="00D338A4" w:rsidRPr="0077630D" w:rsidRDefault="00D338A4" w:rsidP="00821BBE">
            <w:pPr>
              <w:pStyle w:val="TableParagraph"/>
              <w:spacing w:line="175" w:lineRule="exact"/>
              <w:jc w:val="left"/>
              <w:rPr>
                <w:b/>
                <w:bCs/>
                <w:sz w:val="16"/>
                <w:szCs w:val="16"/>
              </w:rPr>
            </w:pPr>
            <w:r w:rsidRPr="00F7752D">
              <w:rPr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2977" w:type="dxa"/>
          </w:tcPr>
          <w:p w14:paraId="1CA2B208" w14:textId="77777777" w:rsidR="00D338A4" w:rsidRPr="0077630D" w:rsidRDefault="00D338A4" w:rsidP="00821BBE">
            <w:pPr>
              <w:pStyle w:val="TableParagraph"/>
              <w:spacing w:line="175" w:lineRule="exact"/>
              <w:ind w:left="495"/>
              <w:jc w:val="left"/>
              <w:rPr>
                <w:b/>
                <w:bCs/>
                <w:sz w:val="16"/>
                <w:szCs w:val="16"/>
              </w:rPr>
            </w:pPr>
            <w:r w:rsidRPr="00F7752D">
              <w:rPr>
                <w:b/>
                <w:bCs/>
                <w:sz w:val="16"/>
                <w:szCs w:val="16"/>
              </w:rPr>
              <w:t>100%</w:t>
            </w:r>
          </w:p>
        </w:tc>
        <w:tc>
          <w:tcPr>
            <w:tcW w:w="2880" w:type="dxa"/>
          </w:tcPr>
          <w:p w14:paraId="2894AB48" w14:textId="77777777" w:rsidR="00D338A4" w:rsidRPr="00F7752D" w:rsidRDefault="00D338A4" w:rsidP="00821BBE">
            <w:pPr>
              <w:pStyle w:val="TableParagraph"/>
              <w:spacing w:line="175" w:lineRule="exact"/>
              <w:ind w:left="515"/>
              <w:jc w:val="left"/>
              <w:rPr>
                <w:b/>
                <w:bCs/>
                <w:sz w:val="16"/>
                <w:szCs w:val="16"/>
              </w:rPr>
            </w:pPr>
            <w:r w:rsidRPr="00F7752D">
              <w:rPr>
                <w:b/>
                <w:bCs/>
                <w:sz w:val="16"/>
                <w:szCs w:val="16"/>
              </w:rPr>
              <w:t>100%</w:t>
            </w:r>
          </w:p>
        </w:tc>
      </w:tr>
    </w:tbl>
    <w:p w14:paraId="28EEC292" w14:textId="77777777" w:rsidR="000C4EE6" w:rsidRDefault="000C4EE6" w:rsidP="00FC4B26">
      <w:pPr>
        <w:autoSpaceDE w:val="0"/>
        <w:autoSpaceDN w:val="0"/>
        <w:adjustRightInd w:val="0"/>
      </w:pPr>
    </w:p>
    <w:p w14:paraId="6AAB164E" w14:textId="77777777" w:rsidR="00FC4B26" w:rsidRPr="00F7752D" w:rsidRDefault="00D338A4" w:rsidP="000C4EE6">
      <w:pPr>
        <w:keepNext/>
        <w:keepLines/>
        <w:autoSpaceDE w:val="0"/>
        <w:autoSpaceDN w:val="0"/>
        <w:adjustRightInd w:val="0"/>
        <w:rPr>
          <w:rFonts w:eastAsia="Calibri"/>
          <w:szCs w:val="18"/>
        </w:rPr>
      </w:pPr>
      <w:r w:rsidRPr="00F7752D">
        <w:lastRenderedPageBreak/>
        <w:t>6.</w:t>
      </w:r>
      <w:r w:rsidRPr="00F7752D">
        <w:tab/>
      </w:r>
      <w:r w:rsidR="00FC4B26" w:rsidRPr="00F7752D">
        <w:rPr>
          <w:rFonts w:eastAsia="Calibri"/>
          <w:szCs w:val="18"/>
        </w:rPr>
        <w:t>Please provide statistical information for both automatic and non</w:t>
      </w:r>
      <w:r w:rsidR="00F7752D" w:rsidRPr="00F7752D">
        <w:rPr>
          <w:rFonts w:eastAsia="Calibri"/>
          <w:szCs w:val="18"/>
        </w:rPr>
        <w:noBreakHyphen/>
      </w:r>
      <w:r w:rsidR="00FC4B26" w:rsidRPr="00F7752D">
        <w:rPr>
          <w:rFonts w:eastAsia="Calibri"/>
          <w:szCs w:val="18"/>
        </w:rPr>
        <w:t>automatic licenses, on:</w:t>
      </w:r>
    </w:p>
    <w:p w14:paraId="4083A22D" w14:textId="77777777" w:rsidR="00FC4B26" w:rsidRPr="00F7752D" w:rsidRDefault="00FC4B26" w:rsidP="000C4EE6">
      <w:pPr>
        <w:keepNext/>
        <w:keepLines/>
        <w:rPr>
          <w:rFonts w:eastAsia="Calibri"/>
          <w:szCs w:val="18"/>
        </w:rPr>
      </w:pPr>
    </w:p>
    <w:p w14:paraId="14F16B25" w14:textId="77777777" w:rsidR="00FC4B26" w:rsidRPr="00F7752D" w:rsidRDefault="00FC4B26" w:rsidP="000C4EE6">
      <w:pPr>
        <w:keepNext/>
        <w:keepLines/>
        <w:numPr>
          <w:ilvl w:val="1"/>
          <w:numId w:val="14"/>
        </w:numPr>
        <w:autoSpaceDE w:val="0"/>
        <w:autoSpaceDN w:val="0"/>
        <w:adjustRightInd w:val="0"/>
        <w:ind w:left="1134" w:hanging="567"/>
        <w:contextualSpacing/>
        <w:rPr>
          <w:rFonts w:eastAsia="Calibri"/>
          <w:szCs w:val="18"/>
        </w:rPr>
      </w:pPr>
      <w:r w:rsidRPr="00F7752D">
        <w:rPr>
          <w:rFonts w:eastAsia="Calibri"/>
          <w:szCs w:val="18"/>
        </w:rPr>
        <w:t>Number of applications,</w:t>
      </w:r>
    </w:p>
    <w:p w14:paraId="0CA83945" w14:textId="77777777" w:rsidR="00F7752D" w:rsidRPr="00F7752D" w:rsidRDefault="00FC4B26" w:rsidP="00FC4B26">
      <w:pPr>
        <w:numPr>
          <w:ilvl w:val="1"/>
          <w:numId w:val="14"/>
        </w:numPr>
        <w:autoSpaceDE w:val="0"/>
        <w:autoSpaceDN w:val="0"/>
        <w:adjustRightInd w:val="0"/>
        <w:ind w:left="1134" w:hanging="567"/>
        <w:contextualSpacing/>
        <w:rPr>
          <w:rFonts w:eastAsia="Calibri"/>
          <w:szCs w:val="18"/>
        </w:rPr>
      </w:pPr>
      <w:r w:rsidRPr="00F7752D">
        <w:rPr>
          <w:rFonts w:eastAsia="Calibri"/>
          <w:szCs w:val="18"/>
        </w:rPr>
        <w:t>Percentage accepted,</w:t>
      </w:r>
    </w:p>
    <w:p w14:paraId="2CA9C2D7" w14:textId="77777777" w:rsidR="00FC4B26" w:rsidRPr="00F7752D" w:rsidRDefault="00FC4B26" w:rsidP="00FC4B26">
      <w:pPr>
        <w:numPr>
          <w:ilvl w:val="1"/>
          <w:numId w:val="14"/>
        </w:numPr>
        <w:autoSpaceDE w:val="0"/>
        <w:autoSpaceDN w:val="0"/>
        <w:adjustRightInd w:val="0"/>
        <w:ind w:left="1134" w:hanging="567"/>
        <w:contextualSpacing/>
        <w:rPr>
          <w:rFonts w:eastAsia="Calibri"/>
          <w:szCs w:val="18"/>
        </w:rPr>
      </w:pPr>
      <w:r w:rsidRPr="00F7752D">
        <w:rPr>
          <w:rFonts w:eastAsia="Calibri"/>
          <w:szCs w:val="18"/>
        </w:rPr>
        <w:t>Percentage rejected, and</w:t>
      </w:r>
    </w:p>
    <w:p w14:paraId="07A4837B" w14:textId="77777777" w:rsidR="00FC4B26" w:rsidRPr="00F7752D" w:rsidRDefault="00FC4B26" w:rsidP="00FC4B26">
      <w:pPr>
        <w:numPr>
          <w:ilvl w:val="1"/>
          <w:numId w:val="14"/>
        </w:numPr>
        <w:autoSpaceDE w:val="0"/>
        <w:autoSpaceDN w:val="0"/>
        <w:adjustRightInd w:val="0"/>
        <w:ind w:left="1134" w:hanging="567"/>
        <w:contextualSpacing/>
        <w:rPr>
          <w:rFonts w:eastAsia="Calibri"/>
          <w:szCs w:val="18"/>
        </w:rPr>
      </w:pPr>
      <w:r w:rsidRPr="00F7752D">
        <w:rPr>
          <w:rFonts w:eastAsia="Calibri"/>
          <w:szCs w:val="18"/>
        </w:rPr>
        <w:t>Processing time (averages, minimum, and maximum) for applications?</w:t>
      </w:r>
    </w:p>
    <w:p w14:paraId="4D54C333" w14:textId="77777777" w:rsidR="00FC4B26" w:rsidRPr="00F7752D" w:rsidRDefault="00FC4B26" w:rsidP="00FC4B26">
      <w:pPr>
        <w:autoSpaceDE w:val="0"/>
        <w:autoSpaceDN w:val="0"/>
        <w:adjustRightInd w:val="0"/>
        <w:rPr>
          <w:rFonts w:eastAsia="Calibri"/>
          <w:szCs w:val="18"/>
        </w:rPr>
      </w:pPr>
    </w:p>
    <w:p w14:paraId="47D15A3D" w14:textId="77777777" w:rsidR="00FC4B26" w:rsidRPr="00F7752D" w:rsidRDefault="00FC4B26" w:rsidP="00FC4B26">
      <w:pPr>
        <w:autoSpaceDE w:val="0"/>
        <w:autoSpaceDN w:val="0"/>
        <w:adjustRightInd w:val="0"/>
        <w:ind w:left="567"/>
        <w:rPr>
          <w:rFonts w:eastAsia="Calibri"/>
          <w:szCs w:val="18"/>
        </w:rPr>
      </w:pPr>
      <w:r w:rsidRPr="00F7752D">
        <w:rPr>
          <w:rFonts w:eastAsia="Calibri"/>
          <w:szCs w:val="18"/>
        </w:rPr>
        <w:t xml:space="preserve">Please provide this information on an annual basis for 2018 </w:t>
      </w:r>
      <w:r w:rsidRPr="001A6146">
        <w:rPr>
          <w:rFonts w:eastAsia="Calibri"/>
          <w:szCs w:val="18"/>
        </w:rPr>
        <w:t>and 2019, and for 202</w:t>
      </w:r>
      <w:r w:rsidR="00F7752D" w:rsidRPr="001A6146">
        <w:rPr>
          <w:rFonts w:eastAsia="Calibri"/>
          <w:szCs w:val="18"/>
        </w:rPr>
        <w:t>0 January</w:t>
      </w:r>
      <w:r w:rsidRPr="001A6146">
        <w:rPr>
          <w:rFonts w:eastAsia="Calibri"/>
          <w:szCs w:val="18"/>
        </w:rPr>
        <w:t xml:space="preserve"> through September.</w:t>
      </w:r>
    </w:p>
    <w:p w14:paraId="457FA06A" w14:textId="77777777" w:rsidR="00D338A4" w:rsidRPr="00F7752D" w:rsidRDefault="00D338A4" w:rsidP="00FC4B26"/>
    <w:p w14:paraId="4C39DC92" w14:textId="77777777" w:rsidR="00D338A4" w:rsidRPr="00F7752D" w:rsidRDefault="00D338A4" w:rsidP="00D338A4">
      <w:pPr>
        <w:ind w:left="567"/>
      </w:pPr>
    </w:p>
    <w:p w14:paraId="62CFB39D" w14:textId="77777777" w:rsidR="00D338A4" w:rsidRPr="001A6146" w:rsidRDefault="00D338A4" w:rsidP="00D338A4">
      <w:pPr>
        <w:rPr>
          <w:b/>
          <w:bCs/>
          <w:u w:val="single"/>
        </w:rPr>
      </w:pPr>
      <w:r w:rsidRPr="00F7752D">
        <w:rPr>
          <w:b/>
          <w:bCs/>
          <w:u w:val="single"/>
        </w:rPr>
        <w:t>Re</w:t>
      </w:r>
      <w:r w:rsidR="00375A78" w:rsidRPr="00F7752D">
        <w:rPr>
          <w:b/>
          <w:bCs/>
          <w:u w:val="single"/>
        </w:rPr>
        <w:t>plies</w:t>
      </w:r>
      <w:r w:rsidRPr="00F7752D">
        <w:rPr>
          <w:b/>
          <w:bCs/>
          <w:u w:val="single"/>
        </w:rPr>
        <w:t xml:space="preserve"> </w:t>
      </w:r>
      <w:r w:rsidR="00375A78" w:rsidRPr="00F7752D">
        <w:rPr>
          <w:b/>
          <w:bCs/>
          <w:u w:val="single"/>
        </w:rPr>
        <w:t>(</w:t>
      </w:r>
      <w:r w:rsidRPr="00F7752D">
        <w:rPr>
          <w:b/>
          <w:bCs/>
          <w:u w:val="single"/>
        </w:rPr>
        <w:t xml:space="preserve">a), </w:t>
      </w:r>
      <w:r w:rsidR="00375A78" w:rsidRPr="00F7752D">
        <w:rPr>
          <w:b/>
          <w:bCs/>
          <w:u w:val="single"/>
        </w:rPr>
        <w:t>(</w:t>
      </w:r>
      <w:r w:rsidRPr="00F7752D">
        <w:rPr>
          <w:b/>
          <w:bCs/>
          <w:u w:val="single"/>
        </w:rPr>
        <w:t xml:space="preserve">b), </w:t>
      </w:r>
      <w:r w:rsidR="00375A78" w:rsidRPr="00F7752D">
        <w:rPr>
          <w:b/>
          <w:bCs/>
          <w:u w:val="single"/>
        </w:rPr>
        <w:t>(</w:t>
      </w:r>
      <w:r w:rsidRPr="00F7752D">
        <w:rPr>
          <w:b/>
          <w:bCs/>
          <w:u w:val="single"/>
        </w:rPr>
        <w:t xml:space="preserve">c) </w:t>
      </w:r>
      <w:r w:rsidR="00375A78" w:rsidRPr="001A6146">
        <w:rPr>
          <w:b/>
          <w:bCs/>
          <w:u w:val="single"/>
        </w:rPr>
        <w:t>and</w:t>
      </w:r>
      <w:r w:rsidRPr="001A6146">
        <w:rPr>
          <w:b/>
          <w:bCs/>
          <w:u w:val="single"/>
        </w:rPr>
        <w:t xml:space="preserve"> </w:t>
      </w:r>
      <w:r w:rsidR="00375A78" w:rsidRPr="001A6146">
        <w:rPr>
          <w:b/>
          <w:bCs/>
          <w:u w:val="single"/>
        </w:rPr>
        <w:t>(</w:t>
      </w:r>
      <w:r w:rsidRPr="001A6146">
        <w:rPr>
          <w:b/>
          <w:bCs/>
          <w:u w:val="single"/>
        </w:rPr>
        <w:t>d)</w:t>
      </w:r>
    </w:p>
    <w:p w14:paraId="552A816C" w14:textId="77777777" w:rsidR="00D338A4" w:rsidRPr="001A6146" w:rsidRDefault="00D338A4" w:rsidP="00D338A4"/>
    <w:tbl>
      <w:tblPr>
        <w:tblW w:w="0" w:type="auto"/>
        <w:jc w:val="center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71"/>
        <w:gridCol w:w="1051"/>
        <w:gridCol w:w="1141"/>
        <w:gridCol w:w="1066"/>
        <w:gridCol w:w="1096"/>
        <w:gridCol w:w="1096"/>
        <w:gridCol w:w="1695"/>
      </w:tblGrid>
      <w:tr w:rsidR="00D338A4" w:rsidRPr="001A6146" w14:paraId="445DBE7A" w14:textId="77777777" w:rsidTr="00D21888">
        <w:trPr>
          <w:trHeight w:val="330"/>
          <w:jc w:val="center"/>
        </w:trPr>
        <w:tc>
          <w:tcPr>
            <w:tcW w:w="1771" w:type="dxa"/>
            <w:vMerge w:val="restart"/>
            <w:shd w:val="clear" w:color="auto" w:fill="FFFFFF" w:themeFill="background1"/>
          </w:tcPr>
          <w:p w14:paraId="5AB401F2" w14:textId="77777777" w:rsidR="00D338A4" w:rsidRPr="001A6146" w:rsidRDefault="00D338A4" w:rsidP="00D338A4">
            <w:pPr>
              <w:rPr>
                <w:b/>
                <w:bCs/>
                <w:sz w:val="16"/>
                <w:szCs w:val="16"/>
              </w:rPr>
            </w:pPr>
          </w:p>
          <w:p w14:paraId="46BB8877" w14:textId="77777777" w:rsidR="00D338A4" w:rsidRPr="001A6146" w:rsidRDefault="00D338A4" w:rsidP="00D338A4">
            <w:pPr>
              <w:rPr>
                <w:b/>
                <w:bCs/>
                <w:sz w:val="16"/>
                <w:szCs w:val="16"/>
              </w:rPr>
            </w:pPr>
            <w:r w:rsidRPr="001A6146">
              <w:rPr>
                <w:b/>
                <w:bCs/>
                <w:color w:val="212121"/>
                <w:sz w:val="16"/>
                <w:szCs w:val="16"/>
              </w:rPr>
              <w:t>2020 (</w:t>
            </w:r>
            <w:r w:rsidR="00BF4FB3" w:rsidRPr="001A6146">
              <w:rPr>
                <w:b/>
                <w:bCs/>
                <w:color w:val="212121"/>
                <w:sz w:val="16"/>
                <w:szCs w:val="16"/>
              </w:rPr>
              <w:t>Jan</w:t>
            </w:r>
            <w:r w:rsidR="00F7752D" w:rsidRPr="001A6146">
              <w:rPr>
                <w:b/>
                <w:bCs/>
                <w:color w:val="212121"/>
                <w:sz w:val="16"/>
                <w:szCs w:val="16"/>
              </w:rPr>
              <w:noBreakHyphen/>
            </w:r>
            <w:r w:rsidR="00BF4FB3" w:rsidRPr="001A6146">
              <w:rPr>
                <w:b/>
                <w:bCs/>
                <w:color w:val="212121"/>
                <w:sz w:val="16"/>
                <w:szCs w:val="16"/>
              </w:rPr>
              <w:t>Sept</w:t>
            </w:r>
            <w:r w:rsidRPr="001A6146">
              <w:rPr>
                <w:b/>
                <w:bCs/>
                <w:color w:val="212121"/>
                <w:sz w:val="16"/>
                <w:szCs w:val="16"/>
              </w:rPr>
              <w:t>)</w:t>
            </w:r>
          </w:p>
        </w:tc>
        <w:tc>
          <w:tcPr>
            <w:tcW w:w="3258" w:type="dxa"/>
            <w:gridSpan w:val="3"/>
            <w:shd w:val="clear" w:color="auto" w:fill="FFFFFF" w:themeFill="background1"/>
          </w:tcPr>
          <w:p w14:paraId="236F181F" w14:textId="77777777" w:rsidR="00D338A4" w:rsidRPr="001A6146" w:rsidRDefault="00BF4FB3" w:rsidP="00D338A4">
            <w:pPr>
              <w:rPr>
                <w:b/>
                <w:bCs/>
                <w:sz w:val="16"/>
                <w:szCs w:val="16"/>
              </w:rPr>
            </w:pPr>
            <w:r w:rsidRPr="001A6146">
              <w:rPr>
                <w:b/>
                <w:bCs/>
                <w:color w:val="212121"/>
                <w:sz w:val="16"/>
                <w:szCs w:val="16"/>
              </w:rPr>
              <w:t>Number of licences</w:t>
            </w:r>
          </w:p>
        </w:tc>
        <w:tc>
          <w:tcPr>
            <w:tcW w:w="3887" w:type="dxa"/>
            <w:gridSpan w:val="3"/>
            <w:shd w:val="clear" w:color="auto" w:fill="FFFFFF" w:themeFill="background1"/>
          </w:tcPr>
          <w:p w14:paraId="77FD1D66" w14:textId="77777777" w:rsidR="00D338A4" w:rsidRPr="001A6146" w:rsidRDefault="00BF4FB3" w:rsidP="00D338A4">
            <w:pPr>
              <w:rPr>
                <w:b/>
                <w:bCs/>
                <w:sz w:val="16"/>
                <w:szCs w:val="16"/>
              </w:rPr>
            </w:pPr>
            <w:r w:rsidRPr="001A6146">
              <w:rPr>
                <w:b/>
                <w:bCs/>
                <w:color w:val="212121"/>
                <w:sz w:val="16"/>
                <w:szCs w:val="16"/>
              </w:rPr>
              <w:t>(d</w:t>
            </w:r>
            <w:r w:rsidR="00D338A4" w:rsidRPr="001A6146">
              <w:rPr>
                <w:b/>
                <w:bCs/>
                <w:color w:val="212121"/>
                <w:sz w:val="16"/>
                <w:szCs w:val="16"/>
              </w:rPr>
              <w:t>)</w:t>
            </w:r>
          </w:p>
        </w:tc>
      </w:tr>
      <w:tr w:rsidR="00D338A4" w:rsidRPr="0077630D" w14:paraId="46EECC1E" w14:textId="77777777" w:rsidTr="00D21888">
        <w:trPr>
          <w:trHeight w:val="300"/>
          <w:jc w:val="center"/>
        </w:trPr>
        <w:tc>
          <w:tcPr>
            <w:tcW w:w="1771" w:type="dxa"/>
            <w:vMerge/>
          </w:tcPr>
          <w:p w14:paraId="5B6121DD" w14:textId="77777777" w:rsidR="00D338A4" w:rsidRPr="001A6146" w:rsidRDefault="00D338A4" w:rsidP="00D338A4">
            <w:pPr>
              <w:rPr>
                <w:sz w:val="16"/>
                <w:szCs w:val="16"/>
              </w:rPr>
            </w:pPr>
          </w:p>
        </w:tc>
        <w:tc>
          <w:tcPr>
            <w:tcW w:w="1051" w:type="dxa"/>
          </w:tcPr>
          <w:p w14:paraId="385D096E" w14:textId="77777777" w:rsidR="00D338A4" w:rsidRPr="001A6146" w:rsidRDefault="00BF4FB3" w:rsidP="00D338A4">
            <w:pPr>
              <w:rPr>
                <w:b/>
                <w:bCs/>
                <w:sz w:val="16"/>
                <w:szCs w:val="16"/>
              </w:rPr>
            </w:pPr>
            <w:r w:rsidRPr="001A6146">
              <w:rPr>
                <w:b/>
                <w:bCs/>
                <w:color w:val="212121"/>
                <w:sz w:val="16"/>
                <w:szCs w:val="16"/>
              </w:rPr>
              <w:t>(a</w:t>
            </w:r>
            <w:r w:rsidR="00D338A4" w:rsidRPr="001A6146">
              <w:rPr>
                <w:b/>
                <w:bCs/>
                <w:color w:val="212121"/>
                <w:sz w:val="16"/>
                <w:szCs w:val="16"/>
              </w:rPr>
              <w:t>)</w:t>
            </w:r>
          </w:p>
        </w:tc>
        <w:tc>
          <w:tcPr>
            <w:tcW w:w="1141" w:type="dxa"/>
          </w:tcPr>
          <w:p w14:paraId="643F9B3F" w14:textId="77777777" w:rsidR="00D338A4" w:rsidRPr="001A6146" w:rsidRDefault="00BF4FB3" w:rsidP="00D338A4">
            <w:pPr>
              <w:rPr>
                <w:b/>
                <w:bCs/>
                <w:sz w:val="16"/>
                <w:szCs w:val="16"/>
              </w:rPr>
            </w:pPr>
            <w:r w:rsidRPr="001A6146">
              <w:rPr>
                <w:b/>
                <w:bCs/>
                <w:color w:val="212121"/>
                <w:sz w:val="16"/>
                <w:szCs w:val="16"/>
              </w:rPr>
              <w:t>(b</w:t>
            </w:r>
            <w:r w:rsidR="00D338A4" w:rsidRPr="001A6146">
              <w:rPr>
                <w:b/>
                <w:bCs/>
                <w:color w:val="212121"/>
                <w:sz w:val="16"/>
                <w:szCs w:val="16"/>
              </w:rPr>
              <w:t>)</w:t>
            </w:r>
          </w:p>
        </w:tc>
        <w:tc>
          <w:tcPr>
            <w:tcW w:w="1066" w:type="dxa"/>
          </w:tcPr>
          <w:p w14:paraId="7733BB5E" w14:textId="77777777" w:rsidR="00D338A4" w:rsidRPr="001A6146" w:rsidRDefault="00BF4FB3" w:rsidP="00D338A4">
            <w:pPr>
              <w:rPr>
                <w:b/>
                <w:bCs/>
                <w:sz w:val="16"/>
                <w:szCs w:val="16"/>
              </w:rPr>
            </w:pPr>
            <w:r w:rsidRPr="001A6146">
              <w:rPr>
                <w:b/>
                <w:bCs/>
                <w:color w:val="212121"/>
                <w:sz w:val="16"/>
                <w:szCs w:val="16"/>
              </w:rPr>
              <w:t>(c</w:t>
            </w:r>
            <w:r w:rsidR="00D338A4" w:rsidRPr="001A6146">
              <w:rPr>
                <w:b/>
                <w:bCs/>
                <w:color w:val="212121"/>
                <w:sz w:val="16"/>
                <w:szCs w:val="16"/>
              </w:rPr>
              <w:t>)</w:t>
            </w:r>
          </w:p>
        </w:tc>
        <w:tc>
          <w:tcPr>
            <w:tcW w:w="1096" w:type="dxa"/>
          </w:tcPr>
          <w:p w14:paraId="16A7EC2D" w14:textId="77777777" w:rsidR="00D338A4" w:rsidRPr="001A6146" w:rsidRDefault="00D338A4" w:rsidP="00D338A4">
            <w:pPr>
              <w:rPr>
                <w:b/>
                <w:bCs/>
                <w:sz w:val="16"/>
                <w:szCs w:val="16"/>
              </w:rPr>
            </w:pPr>
            <w:r w:rsidRPr="001A6146">
              <w:rPr>
                <w:b/>
                <w:bCs/>
                <w:color w:val="212121"/>
                <w:sz w:val="16"/>
                <w:szCs w:val="16"/>
              </w:rPr>
              <w:t>M</w:t>
            </w:r>
            <w:r w:rsidR="00BF4FB3" w:rsidRPr="001A6146">
              <w:rPr>
                <w:b/>
                <w:bCs/>
                <w:color w:val="212121"/>
                <w:sz w:val="16"/>
                <w:szCs w:val="16"/>
              </w:rPr>
              <w:t>i</w:t>
            </w:r>
            <w:r w:rsidRPr="001A6146">
              <w:rPr>
                <w:b/>
                <w:bCs/>
                <w:color w:val="212121"/>
                <w:sz w:val="16"/>
                <w:szCs w:val="16"/>
              </w:rPr>
              <w:t>n.</w:t>
            </w:r>
          </w:p>
        </w:tc>
        <w:tc>
          <w:tcPr>
            <w:tcW w:w="1096" w:type="dxa"/>
          </w:tcPr>
          <w:p w14:paraId="431C4AE5" w14:textId="77777777" w:rsidR="00D338A4" w:rsidRPr="001A6146" w:rsidRDefault="00D338A4" w:rsidP="00D338A4">
            <w:pPr>
              <w:rPr>
                <w:b/>
                <w:bCs/>
                <w:sz w:val="16"/>
                <w:szCs w:val="16"/>
              </w:rPr>
            </w:pPr>
            <w:r w:rsidRPr="001A6146">
              <w:rPr>
                <w:b/>
                <w:bCs/>
                <w:color w:val="212121"/>
                <w:sz w:val="16"/>
                <w:szCs w:val="16"/>
              </w:rPr>
              <w:t>M</w:t>
            </w:r>
            <w:r w:rsidR="00BF4FB3" w:rsidRPr="001A6146">
              <w:rPr>
                <w:b/>
                <w:bCs/>
                <w:color w:val="212121"/>
                <w:sz w:val="16"/>
                <w:szCs w:val="16"/>
              </w:rPr>
              <w:t>a</w:t>
            </w:r>
            <w:r w:rsidRPr="001A6146">
              <w:rPr>
                <w:b/>
                <w:bCs/>
                <w:color w:val="212121"/>
                <w:sz w:val="16"/>
                <w:szCs w:val="16"/>
              </w:rPr>
              <w:t>x.</w:t>
            </w:r>
          </w:p>
        </w:tc>
        <w:tc>
          <w:tcPr>
            <w:tcW w:w="1695" w:type="dxa"/>
          </w:tcPr>
          <w:p w14:paraId="2F721726" w14:textId="77777777" w:rsidR="00D338A4" w:rsidRPr="0077630D" w:rsidRDefault="00BF4FB3" w:rsidP="00D338A4">
            <w:pPr>
              <w:rPr>
                <w:b/>
                <w:bCs/>
                <w:sz w:val="16"/>
                <w:szCs w:val="16"/>
              </w:rPr>
            </w:pPr>
            <w:r w:rsidRPr="001A6146">
              <w:rPr>
                <w:b/>
                <w:bCs/>
                <w:color w:val="212121"/>
                <w:sz w:val="16"/>
                <w:szCs w:val="16"/>
              </w:rPr>
              <w:t>Avg</w:t>
            </w:r>
            <w:r w:rsidR="00D338A4" w:rsidRPr="001A6146">
              <w:rPr>
                <w:b/>
                <w:bCs/>
                <w:color w:val="212121"/>
                <w:sz w:val="16"/>
                <w:szCs w:val="16"/>
              </w:rPr>
              <w:t>.</w:t>
            </w:r>
          </w:p>
        </w:tc>
      </w:tr>
      <w:tr w:rsidR="00D338A4" w:rsidRPr="0077630D" w14:paraId="16CC45C4" w14:textId="77777777" w:rsidTr="00D21888">
        <w:trPr>
          <w:trHeight w:val="300"/>
          <w:jc w:val="center"/>
        </w:trPr>
        <w:tc>
          <w:tcPr>
            <w:tcW w:w="1771" w:type="dxa"/>
          </w:tcPr>
          <w:p w14:paraId="52198765" w14:textId="77777777" w:rsidR="00D338A4" w:rsidRPr="0077630D" w:rsidRDefault="007E25A0" w:rsidP="00D338A4">
            <w:pPr>
              <w:rPr>
                <w:bCs/>
                <w:sz w:val="16"/>
                <w:szCs w:val="16"/>
              </w:rPr>
            </w:pPr>
            <w:r w:rsidRPr="00F7752D">
              <w:rPr>
                <w:bCs/>
                <w:sz w:val="16"/>
                <w:szCs w:val="16"/>
              </w:rPr>
              <w:t>AL</w:t>
            </w:r>
          </w:p>
        </w:tc>
        <w:tc>
          <w:tcPr>
            <w:tcW w:w="1051" w:type="dxa"/>
          </w:tcPr>
          <w:p w14:paraId="386C0821" w14:textId="77777777" w:rsidR="00D338A4" w:rsidRPr="0077630D" w:rsidRDefault="00D338A4" w:rsidP="00D338A4">
            <w:pPr>
              <w:rPr>
                <w:sz w:val="16"/>
                <w:szCs w:val="16"/>
              </w:rPr>
            </w:pPr>
            <w:r w:rsidRPr="00F7752D">
              <w:rPr>
                <w:sz w:val="16"/>
                <w:szCs w:val="16"/>
              </w:rPr>
              <w:t>355</w:t>
            </w:r>
            <w:r w:rsidR="007E25A0" w:rsidRPr="00F7752D">
              <w:rPr>
                <w:sz w:val="16"/>
                <w:szCs w:val="16"/>
              </w:rPr>
              <w:t>,</w:t>
            </w:r>
            <w:r w:rsidRPr="00F7752D">
              <w:rPr>
                <w:sz w:val="16"/>
                <w:szCs w:val="16"/>
              </w:rPr>
              <w:t>026</w:t>
            </w:r>
          </w:p>
        </w:tc>
        <w:tc>
          <w:tcPr>
            <w:tcW w:w="1141" w:type="dxa"/>
          </w:tcPr>
          <w:p w14:paraId="2380BD0C" w14:textId="77777777" w:rsidR="00D338A4" w:rsidRPr="0077630D" w:rsidRDefault="00D338A4" w:rsidP="00D338A4">
            <w:pPr>
              <w:rPr>
                <w:sz w:val="16"/>
                <w:szCs w:val="16"/>
              </w:rPr>
            </w:pPr>
            <w:r w:rsidRPr="00F7752D">
              <w:rPr>
                <w:sz w:val="16"/>
                <w:szCs w:val="16"/>
              </w:rPr>
              <w:t>99</w:t>
            </w:r>
            <w:r w:rsidR="007E25A0" w:rsidRPr="00F7752D">
              <w:rPr>
                <w:sz w:val="16"/>
                <w:szCs w:val="16"/>
              </w:rPr>
              <w:t>.</w:t>
            </w:r>
            <w:r w:rsidRPr="00F7752D">
              <w:rPr>
                <w:sz w:val="16"/>
                <w:szCs w:val="16"/>
              </w:rPr>
              <w:t>9%</w:t>
            </w:r>
          </w:p>
        </w:tc>
        <w:tc>
          <w:tcPr>
            <w:tcW w:w="1066" w:type="dxa"/>
          </w:tcPr>
          <w:p w14:paraId="1CE12DC8" w14:textId="77777777" w:rsidR="00D338A4" w:rsidRPr="0077630D" w:rsidRDefault="00D338A4" w:rsidP="00D338A4">
            <w:pPr>
              <w:rPr>
                <w:sz w:val="16"/>
                <w:szCs w:val="16"/>
              </w:rPr>
            </w:pPr>
            <w:r w:rsidRPr="00F7752D">
              <w:rPr>
                <w:sz w:val="16"/>
                <w:szCs w:val="16"/>
              </w:rPr>
              <w:t>0%</w:t>
            </w:r>
          </w:p>
        </w:tc>
        <w:tc>
          <w:tcPr>
            <w:tcW w:w="1096" w:type="dxa"/>
          </w:tcPr>
          <w:p w14:paraId="05A622E2" w14:textId="77777777" w:rsidR="00D338A4" w:rsidRPr="0077630D" w:rsidRDefault="00D338A4" w:rsidP="00D338A4">
            <w:pPr>
              <w:rPr>
                <w:sz w:val="16"/>
                <w:szCs w:val="16"/>
              </w:rPr>
            </w:pPr>
            <w:r w:rsidRPr="00F7752D">
              <w:rPr>
                <w:sz w:val="16"/>
                <w:szCs w:val="16"/>
              </w:rPr>
              <w:t>&lt;1 d.</w:t>
            </w:r>
          </w:p>
        </w:tc>
        <w:tc>
          <w:tcPr>
            <w:tcW w:w="1096" w:type="dxa"/>
          </w:tcPr>
          <w:p w14:paraId="5194E7AE" w14:textId="77777777" w:rsidR="00D338A4" w:rsidRPr="0077630D" w:rsidRDefault="00D338A4" w:rsidP="00D338A4">
            <w:pPr>
              <w:rPr>
                <w:sz w:val="16"/>
                <w:szCs w:val="16"/>
              </w:rPr>
            </w:pPr>
            <w:r w:rsidRPr="00F7752D">
              <w:rPr>
                <w:sz w:val="16"/>
                <w:szCs w:val="16"/>
              </w:rPr>
              <w:t>2 d.</w:t>
            </w:r>
          </w:p>
        </w:tc>
        <w:tc>
          <w:tcPr>
            <w:tcW w:w="1695" w:type="dxa"/>
          </w:tcPr>
          <w:p w14:paraId="5888E529" w14:textId="77777777" w:rsidR="00D338A4" w:rsidRPr="0077630D" w:rsidRDefault="00D338A4" w:rsidP="00D338A4">
            <w:pPr>
              <w:rPr>
                <w:sz w:val="16"/>
                <w:szCs w:val="16"/>
              </w:rPr>
            </w:pPr>
            <w:r w:rsidRPr="00F7752D">
              <w:rPr>
                <w:sz w:val="16"/>
                <w:szCs w:val="16"/>
              </w:rPr>
              <w:t>1 d.</w:t>
            </w:r>
          </w:p>
        </w:tc>
      </w:tr>
      <w:tr w:rsidR="00D338A4" w:rsidRPr="00F7752D" w14:paraId="63C75238" w14:textId="77777777" w:rsidTr="00D21888">
        <w:trPr>
          <w:trHeight w:val="299"/>
          <w:jc w:val="center"/>
        </w:trPr>
        <w:tc>
          <w:tcPr>
            <w:tcW w:w="1771" w:type="dxa"/>
          </w:tcPr>
          <w:p w14:paraId="359D2AF3" w14:textId="77777777" w:rsidR="00D338A4" w:rsidRPr="0077630D" w:rsidRDefault="007E25A0" w:rsidP="00D338A4">
            <w:pPr>
              <w:rPr>
                <w:bCs/>
                <w:sz w:val="16"/>
                <w:szCs w:val="16"/>
              </w:rPr>
            </w:pPr>
            <w:r w:rsidRPr="00F7752D">
              <w:rPr>
                <w:bCs/>
                <w:sz w:val="16"/>
                <w:szCs w:val="16"/>
              </w:rPr>
              <w:t>NAL</w:t>
            </w:r>
          </w:p>
        </w:tc>
        <w:tc>
          <w:tcPr>
            <w:tcW w:w="1051" w:type="dxa"/>
          </w:tcPr>
          <w:p w14:paraId="69856F56" w14:textId="77777777" w:rsidR="00D338A4" w:rsidRPr="0077630D" w:rsidRDefault="00D338A4" w:rsidP="00D338A4">
            <w:pPr>
              <w:rPr>
                <w:sz w:val="16"/>
                <w:szCs w:val="16"/>
              </w:rPr>
            </w:pPr>
            <w:r w:rsidRPr="00F7752D">
              <w:rPr>
                <w:sz w:val="16"/>
                <w:szCs w:val="16"/>
              </w:rPr>
              <w:t>199</w:t>
            </w:r>
            <w:r w:rsidR="007E25A0" w:rsidRPr="00F7752D">
              <w:rPr>
                <w:sz w:val="16"/>
                <w:szCs w:val="16"/>
              </w:rPr>
              <w:t>,</w:t>
            </w:r>
            <w:r w:rsidRPr="00F7752D">
              <w:rPr>
                <w:sz w:val="16"/>
                <w:szCs w:val="16"/>
              </w:rPr>
              <w:t>303</w:t>
            </w:r>
          </w:p>
        </w:tc>
        <w:tc>
          <w:tcPr>
            <w:tcW w:w="1141" w:type="dxa"/>
          </w:tcPr>
          <w:p w14:paraId="3F0D25E3" w14:textId="77777777" w:rsidR="00D338A4" w:rsidRPr="0077630D" w:rsidRDefault="00D338A4" w:rsidP="00D338A4">
            <w:pPr>
              <w:rPr>
                <w:sz w:val="16"/>
                <w:szCs w:val="16"/>
              </w:rPr>
            </w:pPr>
            <w:r w:rsidRPr="00F7752D">
              <w:rPr>
                <w:sz w:val="16"/>
                <w:szCs w:val="16"/>
              </w:rPr>
              <w:t>84</w:t>
            </w:r>
            <w:r w:rsidR="007E25A0" w:rsidRPr="00F7752D">
              <w:rPr>
                <w:sz w:val="16"/>
                <w:szCs w:val="16"/>
              </w:rPr>
              <w:t>.</w:t>
            </w:r>
            <w:r w:rsidRPr="00F7752D">
              <w:rPr>
                <w:sz w:val="16"/>
                <w:szCs w:val="16"/>
              </w:rPr>
              <w:t>1%</w:t>
            </w:r>
          </w:p>
        </w:tc>
        <w:tc>
          <w:tcPr>
            <w:tcW w:w="1066" w:type="dxa"/>
          </w:tcPr>
          <w:p w14:paraId="767341AA" w14:textId="77777777" w:rsidR="00D338A4" w:rsidRPr="0077630D" w:rsidRDefault="00D338A4" w:rsidP="00D338A4">
            <w:pPr>
              <w:rPr>
                <w:sz w:val="16"/>
                <w:szCs w:val="16"/>
              </w:rPr>
            </w:pPr>
            <w:r w:rsidRPr="00F7752D">
              <w:rPr>
                <w:sz w:val="16"/>
                <w:szCs w:val="16"/>
              </w:rPr>
              <w:t>0</w:t>
            </w:r>
            <w:r w:rsidR="007E25A0" w:rsidRPr="00F7752D">
              <w:rPr>
                <w:sz w:val="16"/>
                <w:szCs w:val="16"/>
              </w:rPr>
              <w:t>.</w:t>
            </w:r>
            <w:r w:rsidRPr="00F7752D">
              <w:rPr>
                <w:sz w:val="16"/>
                <w:szCs w:val="16"/>
              </w:rPr>
              <w:t>2%</w:t>
            </w:r>
          </w:p>
        </w:tc>
        <w:tc>
          <w:tcPr>
            <w:tcW w:w="1096" w:type="dxa"/>
          </w:tcPr>
          <w:p w14:paraId="3EAB0C8C" w14:textId="77777777" w:rsidR="00D338A4" w:rsidRPr="0077630D" w:rsidRDefault="00D338A4" w:rsidP="00D338A4">
            <w:pPr>
              <w:rPr>
                <w:sz w:val="16"/>
                <w:szCs w:val="16"/>
              </w:rPr>
            </w:pPr>
            <w:r w:rsidRPr="00F7752D">
              <w:rPr>
                <w:sz w:val="16"/>
                <w:szCs w:val="16"/>
              </w:rPr>
              <w:t>1 d.</w:t>
            </w:r>
          </w:p>
        </w:tc>
        <w:tc>
          <w:tcPr>
            <w:tcW w:w="1096" w:type="dxa"/>
          </w:tcPr>
          <w:p w14:paraId="430D1F04" w14:textId="77777777" w:rsidR="00D338A4" w:rsidRPr="0077630D" w:rsidRDefault="00D338A4" w:rsidP="00D338A4">
            <w:pPr>
              <w:rPr>
                <w:sz w:val="16"/>
                <w:szCs w:val="16"/>
              </w:rPr>
            </w:pPr>
            <w:r w:rsidRPr="00F7752D">
              <w:rPr>
                <w:sz w:val="16"/>
                <w:szCs w:val="16"/>
              </w:rPr>
              <w:t>60 d.</w:t>
            </w:r>
          </w:p>
        </w:tc>
        <w:tc>
          <w:tcPr>
            <w:tcW w:w="1695" w:type="dxa"/>
          </w:tcPr>
          <w:p w14:paraId="696BB338" w14:textId="77777777" w:rsidR="00D338A4" w:rsidRPr="00F7752D" w:rsidRDefault="00D338A4" w:rsidP="00D338A4">
            <w:pPr>
              <w:rPr>
                <w:sz w:val="16"/>
                <w:szCs w:val="16"/>
              </w:rPr>
            </w:pPr>
            <w:r w:rsidRPr="00F7752D">
              <w:rPr>
                <w:sz w:val="16"/>
                <w:szCs w:val="16"/>
              </w:rPr>
              <w:t>6 d.</w:t>
            </w:r>
          </w:p>
        </w:tc>
      </w:tr>
    </w:tbl>
    <w:p w14:paraId="70AA173E" w14:textId="77777777" w:rsidR="00D338A4" w:rsidRPr="00F7752D" w:rsidRDefault="00D338A4" w:rsidP="00D338A4">
      <w:pPr>
        <w:rPr>
          <w:bCs/>
          <w:sz w:val="20"/>
          <w:szCs w:val="20"/>
        </w:rPr>
      </w:pPr>
    </w:p>
    <w:p w14:paraId="484A8AC0" w14:textId="77777777" w:rsidR="00D338A4" w:rsidRPr="00F7752D" w:rsidRDefault="00D338A4" w:rsidP="00D338A4">
      <w:pPr>
        <w:rPr>
          <w:bCs/>
        </w:rPr>
      </w:pPr>
    </w:p>
    <w:tbl>
      <w:tblPr>
        <w:tblW w:w="0" w:type="auto"/>
        <w:jc w:val="center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7"/>
        <w:gridCol w:w="1080"/>
        <w:gridCol w:w="1100"/>
        <w:gridCol w:w="1060"/>
        <w:gridCol w:w="1095"/>
        <w:gridCol w:w="1115"/>
        <w:gridCol w:w="1230"/>
      </w:tblGrid>
      <w:tr w:rsidR="00D338A4" w:rsidRPr="0077630D" w14:paraId="0DF78F09" w14:textId="77777777" w:rsidTr="00D21888">
        <w:trPr>
          <w:trHeight w:val="300"/>
          <w:jc w:val="center"/>
        </w:trPr>
        <w:tc>
          <w:tcPr>
            <w:tcW w:w="2257" w:type="dxa"/>
            <w:vMerge w:val="restart"/>
            <w:shd w:val="clear" w:color="auto" w:fill="FFFFFF" w:themeFill="background1"/>
          </w:tcPr>
          <w:p w14:paraId="6EB9D0DF" w14:textId="77777777" w:rsidR="00D338A4" w:rsidRPr="00F7752D" w:rsidRDefault="00D338A4" w:rsidP="00D338A4">
            <w:pPr>
              <w:rPr>
                <w:b/>
                <w:sz w:val="16"/>
                <w:szCs w:val="16"/>
              </w:rPr>
            </w:pPr>
          </w:p>
          <w:p w14:paraId="698EF525" w14:textId="77777777" w:rsidR="00D338A4" w:rsidRPr="0077630D" w:rsidRDefault="00D338A4" w:rsidP="00D338A4">
            <w:pPr>
              <w:rPr>
                <w:b/>
                <w:sz w:val="16"/>
                <w:szCs w:val="16"/>
              </w:rPr>
            </w:pPr>
            <w:r w:rsidRPr="00F7752D">
              <w:rPr>
                <w:b/>
                <w:sz w:val="16"/>
                <w:szCs w:val="16"/>
              </w:rPr>
              <w:t>2019</w:t>
            </w:r>
          </w:p>
        </w:tc>
        <w:tc>
          <w:tcPr>
            <w:tcW w:w="3240" w:type="dxa"/>
            <w:gridSpan w:val="3"/>
            <w:shd w:val="clear" w:color="auto" w:fill="FFFFFF" w:themeFill="background1"/>
          </w:tcPr>
          <w:p w14:paraId="2C5F6947" w14:textId="77777777" w:rsidR="00D338A4" w:rsidRPr="0077630D" w:rsidRDefault="007E25A0" w:rsidP="00D338A4">
            <w:pPr>
              <w:rPr>
                <w:b/>
                <w:sz w:val="16"/>
                <w:szCs w:val="16"/>
              </w:rPr>
            </w:pPr>
            <w:r w:rsidRPr="00F7752D">
              <w:rPr>
                <w:b/>
                <w:sz w:val="16"/>
                <w:szCs w:val="16"/>
              </w:rPr>
              <w:t>Number of licences</w:t>
            </w:r>
          </w:p>
        </w:tc>
        <w:tc>
          <w:tcPr>
            <w:tcW w:w="3440" w:type="dxa"/>
            <w:gridSpan w:val="3"/>
            <w:shd w:val="clear" w:color="auto" w:fill="FFFFFF" w:themeFill="background1"/>
          </w:tcPr>
          <w:p w14:paraId="6356A4A7" w14:textId="77777777" w:rsidR="00D338A4" w:rsidRPr="0077630D" w:rsidRDefault="007E25A0" w:rsidP="00D338A4">
            <w:pPr>
              <w:rPr>
                <w:b/>
                <w:sz w:val="16"/>
                <w:szCs w:val="16"/>
              </w:rPr>
            </w:pPr>
            <w:r w:rsidRPr="00F7752D">
              <w:rPr>
                <w:b/>
                <w:sz w:val="16"/>
                <w:szCs w:val="16"/>
              </w:rPr>
              <w:t>(d</w:t>
            </w:r>
            <w:r w:rsidR="00D338A4" w:rsidRPr="00F7752D">
              <w:rPr>
                <w:b/>
                <w:sz w:val="16"/>
                <w:szCs w:val="16"/>
              </w:rPr>
              <w:t>)</w:t>
            </w:r>
          </w:p>
        </w:tc>
      </w:tr>
      <w:tr w:rsidR="00D338A4" w:rsidRPr="0077630D" w14:paraId="3FA798E4" w14:textId="77777777" w:rsidTr="00D21888">
        <w:trPr>
          <w:trHeight w:val="300"/>
          <w:jc w:val="center"/>
        </w:trPr>
        <w:tc>
          <w:tcPr>
            <w:tcW w:w="2257" w:type="dxa"/>
            <w:vMerge/>
          </w:tcPr>
          <w:p w14:paraId="6D37031D" w14:textId="77777777" w:rsidR="00D338A4" w:rsidRPr="0077630D" w:rsidRDefault="00D338A4" w:rsidP="00D338A4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727F6E3C" w14:textId="77777777" w:rsidR="00D338A4" w:rsidRPr="0077630D" w:rsidRDefault="007E25A0" w:rsidP="00D338A4">
            <w:pPr>
              <w:rPr>
                <w:b/>
                <w:sz w:val="16"/>
                <w:szCs w:val="16"/>
              </w:rPr>
            </w:pPr>
            <w:r w:rsidRPr="00F7752D">
              <w:rPr>
                <w:b/>
                <w:sz w:val="16"/>
                <w:szCs w:val="16"/>
              </w:rPr>
              <w:t>(a</w:t>
            </w:r>
            <w:r w:rsidR="00D338A4" w:rsidRPr="00F7752D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100" w:type="dxa"/>
          </w:tcPr>
          <w:p w14:paraId="1DB4F9FF" w14:textId="77777777" w:rsidR="00D338A4" w:rsidRPr="0077630D" w:rsidRDefault="007E25A0" w:rsidP="00D338A4">
            <w:pPr>
              <w:rPr>
                <w:b/>
                <w:sz w:val="16"/>
                <w:szCs w:val="16"/>
              </w:rPr>
            </w:pPr>
            <w:r w:rsidRPr="00F7752D">
              <w:rPr>
                <w:b/>
                <w:sz w:val="16"/>
                <w:szCs w:val="16"/>
              </w:rPr>
              <w:t>(b</w:t>
            </w:r>
            <w:r w:rsidR="00D338A4" w:rsidRPr="00F7752D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060" w:type="dxa"/>
          </w:tcPr>
          <w:p w14:paraId="42E76B67" w14:textId="77777777" w:rsidR="00D338A4" w:rsidRPr="0077630D" w:rsidRDefault="007E25A0" w:rsidP="00D338A4">
            <w:pPr>
              <w:rPr>
                <w:b/>
                <w:sz w:val="16"/>
                <w:szCs w:val="16"/>
              </w:rPr>
            </w:pPr>
            <w:r w:rsidRPr="00F7752D">
              <w:rPr>
                <w:b/>
                <w:sz w:val="16"/>
                <w:szCs w:val="16"/>
              </w:rPr>
              <w:t>(c</w:t>
            </w:r>
            <w:r w:rsidR="00D338A4" w:rsidRPr="00F7752D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095" w:type="dxa"/>
          </w:tcPr>
          <w:p w14:paraId="431017FF" w14:textId="77777777" w:rsidR="00D338A4" w:rsidRPr="0077630D" w:rsidRDefault="00D338A4" w:rsidP="00D338A4">
            <w:pPr>
              <w:rPr>
                <w:b/>
                <w:sz w:val="16"/>
                <w:szCs w:val="16"/>
              </w:rPr>
            </w:pPr>
            <w:r w:rsidRPr="00F7752D">
              <w:rPr>
                <w:b/>
                <w:sz w:val="16"/>
                <w:szCs w:val="16"/>
              </w:rPr>
              <w:t>M</w:t>
            </w:r>
            <w:r w:rsidR="007E25A0" w:rsidRPr="00F7752D">
              <w:rPr>
                <w:b/>
                <w:sz w:val="16"/>
                <w:szCs w:val="16"/>
              </w:rPr>
              <w:t>i</w:t>
            </w:r>
            <w:r w:rsidRPr="00F7752D">
              <w:rPr>
                <w:b/>
                <w:sz w:val="16"/>
                <w:szCs w:val="16"/>
              </w:rPr>
              <w:t>n.</w:t>
            </w:r>
          </w:p>
        </w:tc>
        <w:tc>
          <w:tcPr>
            <w:tcW w:w="1115" w:type="dxa"/>
          </w:tcPr>
          <w:p w14:paraId="5B7579B6" w14:textId="77777777" w:rsidR="00D338A4" w:rsidRPr="0077630D" w:rsidRDefault="00D338A4" w:rsidP="00D338A4">
            <w:pPr>
              <w:rPr>
                <w:b/>
                <w:sz w:val="16"/>
                <w:szCs w:val="16"/>
              </w:rPr>
            </w:pPr>
            <w:r w:rsidRPr="00F7752D">
              <w:rPr>
                <w:b/>
                <w:sz w:val="16"/>
                <w:szCs w:val="16"/>
              </w:rPr>
              <w:t>M</w:t>
            </w:r>
            <w:r w:rsidR="007E25A0" w:rsidRPr="00F7752D">
              <w:rPr>
                <w:b/>
                <w:sz w:val="16"/>
                <w:szCs w:val="16"/>
              </w:rPr>
              <w:t>a</w:t>
            </w:r>
            <w:r w:rsidRPr="00F7752D">
              <w:rPr>
                <w:b/>
                <w:sz w:val="16"/>
                <w:szCs w:val="16"/>
              </w:rPr>
              <w:t>x.</w:t>
            </w:r>
          </w:p>
        </w:tc>
        <w:tc>
          <w:tcPr>
            <w:tcW w:w="1230" w:type="dxa"/>
          </w:tcPr>
          <w:p w14:paraId="44CB206C" w14:textId="77777777" w:rsidR="00D338A4" w:rsidRPr="0077630D" w:rsidRDefault="007E25A0" w:rsidP="00D338A4">
            <w:pPr>
              <w:rPr>
                <w:b/>
                <w:sz w:val="16"/>
                <w:szCs w:val="16"/>
              </w:rPr>
            </w:pPr>
            <w:r w:rsidRPr="00F7752D">
              <w:rPr>
                <w:b/>
                <w:sz w:val="16"/>
                <w:szCs w:val="16"/>
              </w:rPr>
              <w:t>Avg</w:t>
            </w:r>
            <w:r w:rsidR="00D338A4" w:rsidRPr="00F7752D">
              <w:rPr>
                <w:b/>
                <w:sz w:val="16"/>
                <w:szCs w:val="16"/>
              </w:rPr>
              <w:t>.</w:t>
            </w:r>
          </w:p>
        </w:tc>
      </w:tr>
      <w:tr w:rsidR="00D338A4" w:rsidRPr="0077630D" w14:paraId="735D3D0A" w14:textId="77777777" w:rsidTr="00D21888">
        <w:trPr>
          <w:trHeight w:val="300"/>
          <w:jc w:val="center"/>
        </w:trPr>
        <w:tc>
          <w:tcPr>
            <w:tcW w:w="2257" w:type="dxa"/>
          </w:tcPr>
          <w:p w14:paraId="1BA12B83" w14:textId="77777777" w:rsidR="00D338A4" w:rsidRPr="0077630D" w:rsidRDefault="007E25A0" w:rsidP="00D338A4">
            <w:pPr>
              <w:rPr>
                <w:bCs/>
                <w:sz w:val="16"/>
                <w:szCs w:val="16"/>
              </w:rPr>
            </w:pPr>
            <w:r w:rsidRPr="00F7752D">
              <w:rPr>
                <w:bCs/>
                <w:sz w:val="16"/>
                <w:szCs w:val="16"/>
              </w:rPr>
              <w:t>AL</w:t>
            </w:r>
          </w:p>
        </w:tc>
        <w:tc>
          <w:tcPr>
            <w:tcW w:w="1080" w:type="dxa"/>
          </w:tcPr>
          <w:p w14:paraId="110EFB69" w14:textId="77777777" w:rsidR="00D338A4" w:rsidRPr="0077630D" w:rsidRDefault="00D338A4" w:rsidP="00D338A4">
            <w:pPr>
              <w:rPr>
                <w:sz w:val="16"/>
                <w:szCs w:val="16"/>
              </w:rPr>
            </w:pPr>
            <w:r w:rsidRPr="00F7752D">
              <w:rPr>
                <w:sz w:val="16"/>
                <w:szCs w:val="16"/>
              </w:rPr>
              <w:t>459</w:t>
            </w:r>
            <w:r w:rsidR="007E25A0" w:rsidRPr="00F7752D">
              <w:rPr>
                <w:sz w:val="16"/>
                <w:szCs w:val="16"/>
              </w:rPr>
              <w:t>,</w:t>
            </w:r>
            <w:r w:rsidRPr="00F7752D">
              <w:rPr>
                <w:sz w:val="16"/>
                <w:szCs w:val="16"/>
              </w:rPr>
              <w:t>882</w:t>
            </w:r>
          </w:p>
        </w:tc>
        <w:tc>
          <w:tcPr>
            <w:tcW w:w="1100" w:type="dxa"/>
          </w:tcPr>
          <w:p w14:paraId="06CFB52D" w14:textId="77777777" w:rsidR="00D338A4" w:rsidRPr="0077630D" w:rsidRDefault="00D338A4" w:rsidP="00D338A4">
            <w:pPr>
              <w:rPr>
                <w:sz w:val="16"/>
                <w:szCs w:val="16"/>
              </w:rPr>
            </w:pPr>
            <w:r w:rsidRPr="00F7752D">
              <w:rPr>
                <w:sz w:val="16"/>
                <w:szCs w:val="16"/>
              </w:rPr>
              <w:t>100</w:t>
            </w:r>
            <w:r w:rsidR="007E25A0" w:rsidRPr="00F7752D">
              <w:rPr>
                <w:sz w:val="16"/>
                <w:szCs w:val="16"/>
              </w:rPr>
              <w:t>.</w:t>
            </w:r>
            <w:r w:rsidRPr="00F7752D">
              <w:rPr>
                <w:sz w:val="16"/>
                <w:szCs w:val="16"/>
              </w:rPr>
              <w:t>0%</w:t>
            </w:r>
          </w:p>
        </w:tc>
        <w:tc>
          <w:tcPr>
            <w:tcW w:w="1060" w:type="dxa"/>
          </w:tcPr>
          <w:p w14:paraId="69664481" w14:textId="77777777" w:rsidR="00D338A4" w:rsidRPr="0077630D" w:rsidRDefault="00D338A4" w:rsidP="00D338A4">
            <w:pPr>
              <w:rPr>
                <w:sz w:val="16"/>
                <w:szCs w:val="16"/>
              </w:rPr>
            </w:pPr>
            <w:r w:rsidRPr="00F7752D">
              <w:rPr>
                <w:sz w:val="16"/>
                <w:szCs w:val="16"/>
              </w:rPr>
              <w:t>0%</w:t>
            </w:r>
          </w:p>
        </w:tc>
        <w:tc>
          <w:tcPr>
            <w:tcW w:w="1095" w:type="dxa"/>
          </w:tcPr>
          <w:p w14:paraId="135EFBCE" w14:textId="77777777" w:rsidR="00D338A4" w:rsidRPr="0077630D" w:rsidRDefault="00D338A4" w:rsidP="00D338A4">
            <w:pPr>
              <w:rPr>
                <w:sz w:val="16"/>
                <w:szCs w:val="16"/>
              </w:rPr>
            </w:pPr>
            <w:r w:rsidRPr="00F7752D">
              <w:rPr>
                <w:sz w:val="16"/>
                <w:szCs w:val="16"/>
              </w:rPr>
              <w:t>&lt; 1 d.</w:t>
            </w:r>
          </w:p>
        </w:tc>
        <w:tc>
          <w:tcPr>
            <w:tcW w:w="1115" w:type="dxa"/>
          </w:tcPr>
          <w:p w14:paraId="3DEED9BD" w14:textId="77777777" w:rsidR="00D338A4" w:rsidRPr="0077630D" w:rsidRDefault="00D338A4" w:rsidP="00D338A4">
            <w:pPr>
              <w:rPr>
                <w:sz w:val="16"/>
                <w:szCs w:val="16"/>
              </w:rPr>
            </w:pPr>
            <w:r w:rsidRPr="00F7752D">
              <w:rPr>
                <w:sz w:val="16"/>
                <w:szCs w:val="16"/>
              </w:rPr>
              <w:t>2 d.</w:t>
            </w:r>
          </w:p>
        </w:tc>
        <w:tc>
          <w:tcPr>
            <w:tcW w:w="1230" w:type="dxa"/>
          </w:tcPr>
          <w:p w14:paraId="0F240194" w14:textId="77777777" w:rsidR="00D338A4" w:rsidRPr="0077630D" w:rsidRDefault="00D338A4" w:rsidP="00D338A4">
            <w:pPr>
              <w:rPr>
                <w:sz w:val="16"/>
                <w:szCs w:val="16"/>
              </w:rPr>
            </w:pPr>
            <w:r w:rsidRPr="00F7752D">
              <w:rPr>
                <w:sz w:val="16"/>
                <w:szCs w:val="16"/>
              </w:rPr>
              <w:t>1 d.</w:t>
            </w:r>
          </w:p>
        </w:tc>
      </w:tr>
      <w:tr w:rsidR="00D338A4" w:rsidRPr="00F7752D" w14:paraId="20E6F51A" w14:textId="77777777" w:rsidTr="00D21888">
        <w:trPr>
          <w:trHeight w:val="300"/>
          <w:jc w:val="center"/>
        </w:trPr>
        <w:tc>
          <w:tcPr>
            <w:tcW w:w="2257" w:type="dxa"/>
          </w:tcPr>
          <w:p w14:paraId="5AFBA443" w14:textId="77777777" w:rsidR="00D338A4" w:rsidRPr="0077630D" w:rsidRDefault="007E25A0" w:rsidP="00D338A4">
            <w:pPr>
              <w:rPr>
                <w:bCs/>
                <w:sz w:val="16"/>
                <w:szCs w:val="16"/>
              </w:rPr>
            </w:pPr>
            <w:r w:rsidRPr="00F7752D">
              <w:rPr>
                <w:bCs/>
                <w:sz w:val="16"/>
                <w:szCs w:val="16"/>
              </w:rPr>
              <w:t>NAL</w:t>
            </w:r>
          </w:p>
        </w:tc>
        <w:tc>
          <w:tcPr>
            <w:tcW w:w="1080" w:type="dxa"/>
          </w:tcPr>
          <w:p w14:paraId="02D99375" w14:textId="77777777" w:rsidR="00D338A4" w:rsidRPr="0077630D" w:rsidRDefault="00D338A4" w:rsidP="00D338A4">
            <w:pPr>
              <w:rPr>
                <w:sz w:val="16"/>
                <w:szCs w:val="16"/>
              </w:rPr>
            </w:pPr>
            <w:r w:rsidRPr="00F7752D">
              <w:rPr>
                <w:sz w:val="16"/>
                <w:szCs w:val="16"/>
              </w:rPr>
              <w:t>193</w:t>
            </w:r>
            <w:r w:rsidR="007E25A0" w:rsidRPr="00F7752D">
              <w:rPr>
                <w:sz w:val="16"/>
                <w:szCs w:val="16"/>
              </w:rPr>
              <w:t>,</w:t>
            </w:r>
            <w:r w:rsidRPr="00F7752D">
              <w:rPr>
                <w:sz w:val="16"/>
                <w:szCs w:val="16"/>
              </w:rPr>
              <w:t>760</w:t>
            </w:r>
          </w:p>
        </w:tc>
        <w:tc>
          <w:tcPr>
            <w:tcW w:w="1100" w:type="dxa"/>
          </w:tcPr>
          <w:p w14:paraId="6FFA9F4E" w14:textId="77777777" w:rsidR="00D338A4" w:rsidRPr="0077630D" w:rsidRDefault="00D338A4" w:rsidP="00D338A4">
            <w:pPr>
              <w:rPr>
                <w:sz w:val="16"/>
                <w:szCs w:val="16"/>
              </w:rPr>
            </w:pPr>
            <w:r w:rsidRPr="00F7752D">
              <w:rPr>
                <w:sz w:val="16"/>
                <w:szCs w:val="16"/>
              </w:rPr>
              <w:t>99</w:t>
            </w:r>
            <w:r w:rsidR="007E25A0" w:rsidRPr="00F7752D">
              <w:rPr>
                <w:sz w:val="16"/>
                <w:szCs w:val="16"/>
              </w:rPr>
              <w:t>.</w:t>
            </w:r>
            <w:r w:rsidRPr="00F7752D">
              <w:rPr>
                <w:sz w:val="16"/>
                <w:szCs w:val="16"/>
              </w:rPr>
              <w:t>3%</w:t>
            </w:r>
          </w:p>
        </w:tc>
        <w:tc>
          <w:tcPr>
            <w:tcW w:w="1060" w:type="dxa"/>
          </w:tcPr>
          <w:p w14:paraId="7CBE6F31" w14:textId="77777777" w:rsidR="00D338A4" w:rsidRPr="0077630D" w:rsidRDefault="00D338A4" w:rsidP="00D338A4">
            <w:pPr>
              <w:rPr>
                <w:sz w:val="16"/>
                <w:szCs w:val="16"/>
              </w:rPr>
            </w:pPr>
            <w:r w:rsidRPr="00F7752D">
              <w:rPr>
                <w:sz w:val="16"/>
                <w:szCs w:val="16"/>
              </w:rPr>
              <w:t>0</w:t>
            </w:r>
            <w:r w:rsidR="007E25A0" w:rsidRPr="00F7752D">
              <w:rPr>
                <w:sz w:val="16"/>
                <w:szCs w:val="16"/>
              </w:rPr>
              <w:t>.</w:t>
            </w:r>
            <w:r w:rsidRPr="00F7752D">
              <w:rPr>
                <w:sz w:val="16"/>
                <w:szCs w:val="16"/>
              </w:rPr>
              <w:t>6%</w:t>
            </w:r>
          </w:p>
        </w:tc>
        <w:tc>
          <w:tcPr>
            <w:tcW w:w="1095" w:type="dxa"/>
          </w:tcPr>
          <w:p w14:paraId="30BCA54F" w14:textId="77777777" w:rsidR="00D338A4" w:rsidRPr="0077630D" w:rsidRDefault="00D338A4" w:rsidP="00D338A4">
            <w:pPr>
              <w:rPr>
                <w:sz w:val="16"/>
                <w:szCs w:val="16"/>
              </w:rPr>
            </w:pPr>
            <w:r w:rsidRPr="00F7752D">
              <w:rPr>
                <w:sz w:val="16"/>
                <w:szCs w:val="16"/>
              </w:rPr>
              <w:t>1 d.</w:t>
            </w:r>
          </w:p>
        </w:tc>
        <w:tc>
          <w:tcPr>
            <w:tcW w:w="1115" w:type="dxa"/>
          </w:tcPr>
          <w:p w14:paraId="501EA0F0" w14:textId="77777777" w:rsidR="00D338A4" w:rsidRPr="0077630D" w:rsidRDefault="00D338A4" w:rsidP="00D338A4">
            <w:pPr>
              <w:rPr>
                <w:sz w:val="16"/>
                <w:szCs w:val="16"/>
              </w:rPr>
            </w:pPr>
            <w:r w:rsidRPr="00F7752D">
              <w:rPr>
                <w:sz w:val="16"/>
                <w:szCs w:val="16"/>
              </w:rPr>
              <w:t>60 d.</w:t>
            </w:r>
          </w:p>
        </w:tc>
        <w:tc>
          <w:tcPr>
            <w:tcW w:w="1230" w:type="dxa"/>
          </w:tcPr>
          <w:p w14:paraId="4210FDD7" w14:textId="77777777" w:rsidR="00D338A4" w:rsidRPr="00F7752D" w:rsidRDefault="00D338A4" w:rsidP="00D338A4">
            <w:pPr>
              <w:rPr>
                <w:sz w:val="16"/>
                <w:szCs w:val="16"/>
              </w:rPr>
            </w:pPr>
            <w:r w:rsidRPr="00F7752D">
              <w:rPr>
                <w:sz w:val="16"/>
                <w:szCs w:val="16"/>
              </w:rPr>
              <w:t>3 d.</w:t>
            </w:r>
          </w:p>
        </w:tc>
      </w:tr>
    </w:tbl>
    <w:p w14:paraId="5755B1AC" w14:textId="77777777" w:rsidR="00D338A4" w:rsidRPr="00F7752D" w:rsidRDefault="00D338A4" w:rsidP="00D338A4">
      <w:pPr>
        <w:rPr>
          <w:bCs/>
          <w:sz w:val="20"/>
          <w:szCs w:val="20"/>
        </w:rPr>
      </w:pPr>
    </w:p>
    <w:p w14:paraId="0D8DFB6A" w14:textId="77777777" w:rsidR="00D338A4" w:rsidRPr="00F7752D" w:rsidRDefault="00D338A4" w:rsidP="00D338A4">
      <w:pPr>
        <w:rPr>
          <w:bCs/>
        </w:rPr>
      </w:pPr>
    </w:p>
    <w:tbl>
      <w:tblPr>
        <w:tblW w:w="0" w:type="auto"/>
        <w:jc w:val="center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26"/>
        <w:gridCol w:w="1095"/>
        <w:gridCol w:w="1095"/>
        <w:gridCol w:w="1065"/>
        <w:gridCol w:w="1095"/>
        <w:gridCol w:w="1094"/>
        <w:gridCol w:w="1446"/>
      </w:tblGrid>
      <w:tr w:rsidR="00D338A4" w:rsidRPr="0077630D" w14:paraId="308CC142" w14:textId="77777777" w:rsidTr="00D21888">
        <w:trPr>
          <w:trHeight w:val="300"/>
          <w:jc w:val="center"/>
        </w:trPr>
        <w:tc>
          <w:tcPr>
            <w:tcW w:w="2026" w:type="dxa"/>
            <w:vMerge w:val="restart"/>
            <w:shd w:val="clear" w:color="auto" w:fill="FFFFFF" w:themeFill="background1"/>
          </w:tcPr>
          <w:p w14:paraId="1AF2C283" w14:textId="77777777" w:rsidR="00D338A4" w:rsidRPr="00F7752D" w:rsidRDefault="00D338A4" w:rsidP="00D338A4">
            <w:pPr>
              <w:rPr>
                <w:b/>
                <w:sz w:val="16"/>
                <w:szCs w:val="16"/>
              </w:rPr>
            </w:pPr>
          </w:p>
          <w:p w14:paraId="6E1CED7C" w14:textId="77777777" w:rsidR="00D338A4" w:rsidRPr="0077630D" w:rsidRDefault="00D338A4" w:rsidP="00D338A4">
            <w:pPr>
              <w:rPr>
                <w:b/>
                <w:sz w:val="16"/>
                <w:szCs w:val="16"/>
              </w:rPr>
            </w:pPr>
            <w:r w:rsidRPr="00F7752D">
              <w:rPr>
                <w:b/>
                <w:sz w:val="16"/>
                <w:szCs w:val="16"/>
              </w:rPr>
              <w:t>2018</w:t>
            </w:r>
          </w:p>
        </w:tc>
        <w:tc>
          <w:tcPr>
            <w:tcW w:w="3255" w:type="dxa"/>
            <w:gridSpan w:val="3"/>
            <w:shd w:val="clear" w:color="auto" w:fill="FFFFFF" w:themeFill="background1"/>
          </w:tcPr>
          <w:p w14:paraId="66CF9C57" w14:textId="77777777" w:rsidR="00D338A4" w:rsidRPr="0077630D" w:rsidRDefault="007E25A0" w:rsidP="00D338A4">
            <w:pPr>
              <w:rPr>
                <w:b/>
                <w:sz w:val="16"/>
                <w:szCs w:val="16"/>
              </w:rPr>
            </w:pPr>
            <w:r w:rsidRPr="00F7752D">
              <w:rPr>
                <w:b/>
                <w:sz w:val="16"/>
                <w:szCs w:val="16"/>
              </w:rPr>
              <w:t>Number of licences</w:t>
            </w:r>
          </w:p>
        </w:tc>
        <w:tc>
          <w:tcPr>
            <w:tcW w:w="3635" w:type="dxa"/>
            <w:gridSpan w:val="3"/>
            <w:shd w:val="clear" w:color="auto" w:fill="FFFFFF" w:themeFill="background1"/>
          </w:tcPr>
          <w:p w14:paraId="45AD9DD5" w14:textId="77777777" w:rsidR="00D338A4" w:rsidRPr="0077630D" w:rsidRDefault="007E25A0" w:rsidP="00D338A4">
            <w:pPr>
              <w:rPr>
                <w:b/>
                <w:sz w:val="16"/>
                <w:szCs w:val="16"/>
              </w:rPr>
            </w:pPr>
            <w:r w:rsidRPr="00F7752D">
              <w:rPr>
                <w:b/>
                <w:sz w:val="16"/>
                <w:szCs w:val="16"/>
              </w:rPr>
              <w:t>(d</w:t>
            </w:r>
            <w:r w:rsidR="00D338A4" w:rsidRPr="00F7752D">
              <w:rPr>
                <w:b/>
                <w:sz w:val="16"/>
                <w:szCs w:val="16"/>
              </w:rPr>
              <w:t>)</w:t>
            </w:r>
          </w:p>
        </w:tc>
      </w:tr>
      <w:tr w:rsidR="00D338A4" w:rsidRPr="0077630D" w14:paraId="47486A9E" w14:textId="77777777" w:rsidTr="00D21888">
        <w:trPr>
          <w:trHeight w:val="300"/>
          <w:jc w:val="center"/>
        </w:trPr>
        <w:tc>
          <w:tcPr>
            <w:tcW w:w="2026" w:type="dxa"/>
            <w:vMerge/>
          </w:tcPr>
          <w:p w14:paraId="22DEC264" w14:textId="77777777" w:rsidR="00D338A4" w:rsidRPr="0077630D" w:rsidRDefault="00D338A4" w:rsidP="00D338A4">
            <w:pPr>
              <w:rPr>
                <w:sz w:val="16"/>
                <w:szCs w:val="16"/>
              </w:rPr>
            </w:pPr>
          </w:p>
        </w:tc>
        <w:tc>
          <w:tcPr>
            <w:tcW w:w="1095" w:type="dxa"/>
          </w:tcPr>
          <w:p w14:paraId="56D43FC2" w14:textId="77777777" w:rsidR="00D338A4" w:rsidRPr="0077630D" w:rsidRDefault="007E25A0" w:rsidP="00D338A4">
            <w:pPr>
              <w:rPr>
                <w:b/>
                <w:sz w:val="16"/>
                <w:szCs w:val="16"/>
              </w:rPr>
            </w:pPr>
            <w:r w:rsidRPr="00F7752D">
              <w:rPr>
                <w:b/>
                <w:sz w:val="16"/>
                <w:szCs w:val="16"/>
              </w:rPr>
              <w:t>(a</w:t>
            </w:r>
            <w:r w:rsidR="00D338A4" w:rsidRPr="00F7752D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095" w:type="dxa"/>
          </w:tcPr>
          <w:p w14:paraId="279ECF9E" w14:textId="77777777" w:rsidR="00D338A4" w:rsidRPr="0077630D" w:rsidRDefault="007E25A0" w:rsidP="00D338A4">
            <w:pPr>
              <w:rPr>
                <w:b/>
                <w:sz w:val="16"/>
                <w:szCs w:val="16"/>
              </w:rPr>
            </w:pPr>
            <w:r w:rsidRPr="00F7752D">
              <w:rPr>
                <w:b/>
                <w:sz w:val="16"/>
                <w:szCs w:val="16"/>
              </w:rPr>
              <w:t>(b</w:t>
            </w:r>
            <w:r w:rsidR="00D338A4" w:rsidRPr="00F7752D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065" w:type="dxa"/>
          </w:tcPr>
          <w:p w14:paraId="128FA795" w14:textId="77777777" w:rsidR="00D338A4" w:rsidRPr="0077630D" w:rsidRDefault="007E25A0" w:rsidP="00D338A4">
            <w:pPr>
              <w:rPr>
                <w:b/>
                <w:sz w:val="16"/>
                <w:szCs w:val="16"/>
              </w:rPr>
            </w:pPr>
            <w:r w:rsidRPr="00F7752D">
              <w:rPr>
                <w:b/>
                <w:sz w:val="16"/>
                <w:szCs w:val="16"/>
              </w:rPr>
              <w:t>(c</w:t>
            </w:r>
            <w:r w:rsidR="00D338A4" w:rsidRPr="00F7752D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095" w:type="dxa"/>
          </w:tcPr>
          <w:p w14:paraId="2C1CC809" w14:textId="77777777" w:rsidR="00D338A4" w:rsidRPr="0077630D" w:rsidRDefault="00D338A4" w:rsidP="00D338A4">
            <w:pPr>
              <w:rPr>
                <w:b/>
                <w:sz w:val="16"/>
                <w:szCs w:val="16"/>
              </w:rPr>
            </w:pPr>
            <w:r w:rsidRPr="00F7752D">
              <w:rPr>
                <w:b/>
                <w:sz w:val="16"/>
                <w:szCs w:val="16"/>
              </w:rPr>
              <w:t>M</w:t>
            </w:r>
            <w:r w:rsidR="007E25A0" w:rsidRPr="00F7752D">
              <w:rPr>
                <w:b/>
                <w:sz w:val="16"/>
                <w:szCs w:val="16"/>
              </w:rPr>
              <w:t>i</w:t>
            </w:r>
            <w:r w:rsidRPr="00F7752D">
              <w:rPr>
                <w:b/>
                <w:sz w:val="16"/>
                <w:szCs w:val="16"/>
              </w:rPr>
              <w:t>n.</w:t>
            </w:r>
          </w:p>
        </w:tc>
        <w:tc>
          <w:tcPr>
            <w:tcW w:w="1094" w:type="dxa"/>
          </w:tcPr>
          <w:p w14:paraId="6732D0FE" w14:textId="77777777" w:rsidR="00D338A4" w:rsidRPr="0077630D" w:rsidRDefault="00D338A4" w:rsidP="00D338A4">
            <w:pPr>
              <w:rPr>
                <w:b/>
                <w:sz w:val="16"/>
                <w:szCs w:val="16"/>
              </w:rPr>
            </w:pPr>
            <w:r w:rsidRPr="00F7752D">
              <w:rPr>
                <w:b/>
                <w:sz w:val="16"/>
                <w:szCs w:val="16"/>
              </w:rPr>
              <w:t>M</w:t>
            </w:r>
            <w:r w:rsidR="007E25A0" w:rsidRPr="00F7752D">
              <w:rPr>
                <w:b/>
                <w:sz w:val="16"/>
                <w:szCs w:val="16"/>
              </w:rPr>
              <w:t>a</w:t>
            </w:r>
            <w:r w:rsidRPr="00F7752D">
              <w:rPr>
                <w:b/>
                <w:sz w:val="16"/>
                <w:szCs w:val="16"/>
              </w:rPr>
              <w:t>x.</w:t>
            </w:r>
          </w:p>
        </w:tc>
        <w:tc>
          <w:tcPr>
            <w:tcW w:w="1446" w:type="dxa"/>
          </w:tcPr>
          <w:p w14:paraId="2388844E" w14:textId="77777777" w:rsidR="00D338A4" w:rsidRPr="0077630D" w:rsidRDefault="007E25A0" w:rsidP="00D338A4">
            <w:pPr>
              <w:rPr>
                <w:b/>
                <w:sz w:val="16"/>
                <w:szCs w:val="16"/>
              </w:rPr>
            </w:pPr>
            <w:r w:rsidRPr="00F7752D">
              <w:rPr>
                <w:b/>
                <w:sz w:val="16"/>
                <w:szCs w:val="16"/>
              </w:rPr>
              <w:t>Avg</w:t>
            </w:r>
            <w:r w:rsidR="00D338A4" w:rsidRPr="00F7752D">
              <w:rPr>
                <w:b/>
                <w:sz w:val="16"/>
                <w:szCs w:val="16"/>
              </w:rPr>
              <w:t>.</w:t>
            </w:r>
          </w:p>
        </w:tc>
      </w:tr>
      <w:tr w:rsidR="00D338A4" w:rsidRPr="0077630D" w14:paraId="6706CD91" w14:textId="77777777" w:rsidTr="00D21888">
        <w:trPr>
          <w:trHeight w:val="299"/>
          <w:jc w:val="center"/>
        </w:trPr>
        <w:tc>
          <w:tcPr>
            <w:tcW w:w="2026" w:type="dxa"/>
          </w:tcPr>
          <w:p w14:paraId="402F17C6" w14:textId="77777777" w:rsidR="00D338A4" w:rsidRPr="0077630D" w:rsidRDefault="007E25A0" w:rsidP="00D338A4">
            <w:pPr>
              <w:rPr>
                <w:bCs/>
                <w:sz w:val="16"/>
                <w:szCs w:val="16"/>
              </w:rPr>
            </w:pPr>
            <w:r w:rsidRPr="00F7752D">
              <w:rPr>
                <w:bCs/>
                <w:sz w:val="16"/>
                <w:szCs w:val="16"/>
              </w:rPr>
              <w:t>AL</w:t>
            </w:r>
          </w:p>
        </w:tc>
        <w:tc>
          <w:tcPr>
            <w:tcW w:w="1095" w:type="dxa"/>
          </w:tcPr>
          <w:p w14:paraId="69AFE1BE" w14:textId="77777777" w:rsidR="00D338A4" w:rsidRPr="0077630D" w:rsidRDefault="00D338A4" w:rsidP="00D338A4">
            <w:pPr>
              <w:rPr>
                <w:sz w:val="16"/>
                <w:szCs w:val="16"/>
              </w:rPr>
            </w:pPr>
            <w:r w:rsidRPr="00F7752D">
              <w:rPr>
                <w:sz w:val="16"/>
                <w:szCs w:val="16"/>
              </w:rPr>
              <w:t>500</w:t>
            </w:r>
            <w:r w:rsidR="007E25A0" w:rsidRPr="00F7752D">
              <w:rPr>
                <w:sz w:val="16"/>
                <w:szCs w:val="16"/>
              </w:rPr>
              <w:t>,</w:t>
            </w:r>
            <w:r w:rsidRPr="00F7752D">
              <w:rPr>
                <w:sz w:val="16"/>
                <w:szCs w:val="16"/>
              </w:rPr>
              <w:t>261</w:t>
            </w:r>
          </w:p>
        </w:tc>
        <w:tc>
          <w:tcPr>
            <w:tcW w:w="1095" w:type="dxa"/>
          </w:tcPr>
          <w:p w14:paraId="1B74158F" w14:textId="77777777" w:rsidR="00D338A4" w:rsidRPr="0077630D" w:rsidRDefault="00D338A4" w:rsidP="00D338A4">
            <w:pPr>
              <w:rPr>
                <w:sz w:val="16"/>
                <w:szCs w:val="16"/>
              </w:rPr>
            </w:pPr>
            <w:r w:rsidRPr="00F7752D">
              <w:rPr>
                <w:sz w:val="16"/>
                <w:szCs w:val="16"/>
              </w:rPr>
              <w:t>100</w:t>
            </w:r>
            <w:r w:rsidR="007E25A0" w:rsidRPr="00F7752D">
              <w:rPr>
                <w:sz w:val="16"/>
                <w:szCs w:val="16"/>
              </w:rPr>
              <w:t>.</w:t>
            </w:r>
            <w:r w:rsidRPr="00F7752D">
              <w:rPr>
                <w:sz w:val="16"/>
                <w:szCs w:val="16"/>
              </w:rPr>
              <w:t>0%</w:t>
            </w:r>
          </w:p>
        </w:tc>
        <w:tc>
          <w:tcPr>
            <w:tcW w:w="1065" w:type="dxa"/>
          </w:tcPr>
          <w:p w14:paraId="4F6BD921" w14:textId="77777777" w:rsidR="00D338A4" w:rsidRPr="0077630D" w:rsidRDefault="00D338A4" w:rsidP="00D338A4">
            <w:pPr>
              <w:rPr>
                <w:sz w:val="16"/>
                <w:szCs w:val="16"/>
              </w:rPr>
            </w:pPr>
            <w:r w:rsidRPr="00F7752D">
              <w:rPr>
                <w:sz w:val="16"/>
                <w:szCs w:val="16"/>
              </w:rPr>
              <w:t>0%</w:t>
            </w:r>
          </w:p>
        </w:tc>
        <w:tc>
          <w:tcPr>
            <w:tcW w:w="1095" w:type="dxa"/>
          </w:tcPr>
          <w:p w14:paraId="77759A15" w14:textId="77777777" w:rsidR="00D338A4" w:rsidRPr="0077630D" w:rsidRDefault="00D338A4" w:rsidP="00D338A4">
            <w:pPr>
              <w:rPr>
                <w:sz w:val="16"/>
                <w:szCs w:val="16"/>
              </w:rPr>
            </w:pPr>
            <w:r w:rsidRPr="00F7752D">
              <w:rPr>
                <w:sz w:val="16"/>
                <w:szCs w:val="16"/>
              </w:rPr>
              <w:t>&lt;1 d.</w:t>
            </w:r>
          </w:p>
        </w:tc>
        <w:tc>
          <w:tcPr>
            <w:tcW w:w="1094" w:type="dxa"/>
          </w:tcPr>
          <w:p w14:paraId="75A50253" w14:textId="77777777" w:rsidR="00D338A4" w:rsidRPr="0077630D" w:rsidRDefault="00D338A4" w:rsidP="00D338A4">
            <w:pPr>
              <w:rPr>
                <w:sz w:val="16"/>
                <w:szCs w:val="16"/>
              </w:rPr>
            </w:pPr>
            <w:r w:rsidRPr="00F7752D">
              <w:rPr>
                <w:sz w:val="16"/>
                <w:szCs w:val="16"/>
              </w:rPr>
              <w:t>2 d.</w:t>
            </w:r>
          </w:p>
        </w:tc>
        <w:tc>
          <w:tcPr>
            <w:tcW w:w="1446" w:type="dxa"/>
          </w:tcPr>
          <w:p w14:paraId="56571D2B" w14:textId="77777777" w:rsidR="00D338A4" w:rsidRPr="0077630D" w:rsidRDefault="00D338A4" w:rsidP="00D338A4">
            <w:pPr>
              <w:rPr>
                <w:sz w:val="16"/>
                <w:szCs w:val="16"/>
              </w:rPr>
            </w:pPr>
            <w:r w:rsidRPr="00F7752D">
              <w:rPr>
                <w:sz w:val="16"/>
                <w:szCs w:val="16"/>
              </w:rPr>
              <w:t>1 d.</w:t>
            </w:r>
          </w:p>
        </w:tc>
      </w:tr>
      <w:tr w:rsidR="00D338A4" w:rsidRPr="00F7752D" w14:paraId="3ECA312B" w14:textId="77777777" w:rsidTr="00D21888">
        <w:trPr>
          <w:trHeight w:val="300"/>
          <w:jc w:val="center"/>
        </w:trPr>
        <w:tc>
          <w:tcPr>
            <w:tcW w:w="2026" w:type="dxa"/>
          </w:tcPr>
          <w:p w14:paraId="0B091071" w14:textId="77777777" w:rsidR="00D338A4" w:rsidRPr="0077630D" w:rsidRDefault="007E25A0" w:rsidP="00D338A4">
            <w:pPr>
              <w:rPr>
                <w:bCs/>
                <w:sz w:val="16"/>
                <w:szCs w:val="16"/>
              </w:rPr>
            </w:pPr>
            <w:r w:rsidRPr="00F7752D">
              <w:rPr>
                <w:bCs/>
                <w:sz w:val="16"/>
                <w:szCs w:val="16"/>
              </w:rPr>
              <w:t>NAL</w:t>
            </w:r>
          </w:p>
        </w:tc>
        <w:tc>
          <w:tcPr>
            <w:tcW w:w="1095" w:type="dxa"/>
          </w:tcPr>
          <w:p w14:paraId="75C86D94" w14:textId="77777777" w:rsidR="00D338A4" w:rsidRPr="0077630D" w:rsidRDefault="00D338A4" w:rsidP="00D338A4">
            <w:pPr>
              <w:rPr>
                <w:sz w:val="16"/>
                <w:szCs w:val="16"/>
              </w:rPr>
            </w:pPr>
            <w:r w:rsidRPr="00F7752D">
              <w:rPr>
                <w:sz w:val="16"/>
                <w:szCs w:val="16"/>
              </w:rPr>
              <w:t>214</w:t>
            </w:r>
            <w:r w:rsidR="007E25A0" w:rsidRPr="00F7752D">
              <w:rPr>
                <w:sz w:val="16"/>
                <w:szCs w:val="16"/>
              </w:rPr>
              <w:t>,</w:t>
            </w:r>
            <w:r w:rsidRPr="00F7752D">
              <w:rPr>
                <w:sz w:val="16"/>
                <w:szCs w:val="16"/>
              </w:rPr>
              <w:t>437</w:t>
            </w:r>
          </w:p>
        </w:tc>
        <w:tc>
          <w:tcPr>
            <w:tcW w:w="1095" w:type="dxa"/>
          </w:tcPr>
          <w:p w14:paraId="2520BF41" w14:textId="77777777" w:rsidR="00D338A4" w:rsidRPr="0077630D" w:rsidRDefault="00D338A4" w:rsidP="00D338A4">
            <w:pPr>
              <w:rPr>
                <w:sz w:val="16"/>
                <w:szCs w:val="16"/>
              </w:rPr>
            </w:pPr>
            <w:r w:rsidRPr="00F7752D">
              <w:rPr>
                <w:sz w:val="16"/>
                <w:szCs w:val="16"/>
              </w:rPr>
              <w:t>99</w:t>
            </w:r>
            <w:r w:rsidR="007E25A0" w:rsidRPr="00F7752D">
              <w:rPr>
                <w:sz w:val="16"/>
                <w:szCs w:val="16"/>
              </w:rPr>
              <w:t>.</w:t>
            </w:r>
            <w:r w:rsidRPr="00F7752D">
              <w:rPr>
                <w:sz w:val="16"/>
                <w:szCs w:val="16"/>
              </w:rPr>
              <w:t>0%</w:t>
            </w:r>
          </w:p>
        </w:tc>
        <w:tc>
          <w:tcPr>
            <w:tcW w:w="1065" w:type="dxa"/>
          </w:tcPr>
          <w:p w14:paraId="7455D715" w14:textId="77777777" w:rsidR="00D338A4" w:rsidRPr="0077630D" w:rsidRDefault="00D338A4" w:rsidP="00D338A4">
            <w:pPr>
              <w:rPr>
                <w:sz w:val="16"/>
                <w:szCs w:val="16"/>
              </w:rPr>
            </w:pPr>
            <w:r w:rsidRPr="00F7752D">
              <w:rPr>
                <w:sz w:val="16"/>
                <w:szCs w:val="16"/>
              </w:rPr>
              <w:t>0</w:t>
            </w:r>
            <w:r w:rsidR="007E25A0" w:rsidRPr="00F7752D">
              <w:rPr>
                <w:sz w:val="16"/>
                <w:szCs w:val="16"/>
              </w:rPr>
              <w:t>.</w:t>
            </w:r>
            <w:r w:rsidRPr="00F7752D">
              <w:rPr>
                <w:sz w:val="16"/>
                <w:szCs w:val="16"/>
              </w:rPr>
              <w:t>9%</w:t>
            </w:r>
          </w:p>
        </w:tc>
        <w:tc>
          <w:tcPr>
            <w:tcW w:w="1095" w:type="dxa"/>
          </w:tcPr>
          <w:p w14:paraId="1C2942DB" w14:textId="77777777" w:rsidR="00D338A4" w:rsidRPr="0077630D" w:rsidRDefault="00D338A4" w:rsidP="00D338A4">
            <w:pPr>
              <w:rPr>
                <w:sz w:val="16"/>
                <w:szCs w:val="16"/>
              </w:rPr>
            </w:pPr>
            <w:r w:rsidRPr="00F7752D">
              <w:rPr>
                <w:sz w:val="16"/>
                <w:szCs w:val="16"/>
              </w:rPr>
              <w:t>1 d.</w:t>
            </w:r>
          </w:p>
        </w:tc>
        <w:tc>
          <w:tcPr>
            <w:tcW w:w="1094" w:type="dxa"/>
          </w:tcPr>
          <w:p w14:paraId="75F699B5" w14:textId="77777777" w:rsidR="00D338A4" w:rsidRPr="0077630D" w:rsidRDefault="00D338A4" w:rsidP="00D338A4">
            <w:pPr>
              <w:rPr>
                <w:sz w:val="16"/>
                <w:szCs w:val="16"/>
              </w:rPr>
            </w:pPr>
            <w:r w:rsidRPr="00F7752D">
              <w:rPr>
                <w:sz w:val="16"/>
                <w:szCs w:val="16"/>
              </w:rPr>
              <w:t>60 d.</w:t>
            </w:r>
          </w:p>
        </w:tc>
        <w:tc>
          <w:tcPr>
            <w:tcW w:w="1446" w:type="dxa"/>
          </w:tcPr>
          <w:p w14:paraId="10739FE8" w14:textId="77777777" w:rsidR="00D338A4" w:rsidRPr="00F7752D" w:rsidRDefault="00D338A4" w:rsidP="00D338A4">
            <w:pPr>
              <w:rPr>
                <w:sz w:val="16"/>
                <w:szCs w:val="16"/>
              </w:rPr>
            </w:pPr>
            <w:r w:rsidRPr="00F7752D">
              <w:rPr>
                <w:sz w:val="16"/>
                <w:szCs w:val="16"/>
              </w:rPr>
              <w:t>5 d.</w:t>
            </w:r>
          </w:p>
        </w:tc>
      </w:tr>
    </w:tbl>
    <w:p w14:paraId="6DCD06B3" w14:textId="77777777" w:rsidR="00D338A4" w:rsidRPr="00F7752D" w:rsidRDefault="00D338A4" w:rsidP="00D338A4">
      <w:pPr>
        <w:rPr>
          <w:bCs/>
          <w:sz w:val="22"/>
        </w:rPr>
      </w:pPr>
    </w:p>
    <w:p w14:paraId="6D86F730" w14:textId="77777777" w:rsidR="00D338A4" w:rsidRPr="00F7752D" w:rsidRDefault="00D338A4" w:rsidP="00D338A4">
      <w:pPr>
        <w:ind w:left="567" w:hanging="567"/>
      </w:pPr>
      <w:r w:rsidRPr="00F7752D">
        <w:t>7.</w:t>
      </w:r>
      <w:r w:rsidRPr="00F7752D">
        <w:tab/>
      </w:r>
      <w:r w:rsidR="00375A78" w:rsidRPr="00F7752D">
        <w:rPr>
          <w:rFonts w:eastAsia="Calibri"/>
          <w:szCs w:val="18"/>
        </w:rPr>
        <w:t>Is Argentina considering additional changes to its import licensing system?</w:t>
      </w:r>
      <w:r w:rsidR="00F7752D" w:rsidRPr="00F7752D">
        <w:rPr>
          <w:rFonts w:eastAsia="Calibri"/>
          <w:szCs w:val="18"/>
        </w:rPr>
        <w:t xml:space="preserve"> </w:t>
      </w:r>
      <w:r w:rsidR="00375A78" w:rsidRPr="00F7752D">
        <w:rPr>
          <w:rFonts w:eastAsia="Calibri"/>
          <w:szCs w:val="18"/>
        </w:rPr>
        <w:t>If so, will Argentina consult with stakeholders before implementing such changes?</w:t>
      </w:r>
      <w:r w:rsidR="00F7752D" w:rsidRPr="00F7752D">
        <w:rPr>
          <w:rFonts w:eastAsia="Calibri"/>
          <w:szCs w:val="18"/>
        </w:rPr>
        <w:t xml:space="preserve"> </w:t>
      </w:r>
      <w:r w:rsidR="00375A78" w:rsidRPr="00F7752D">
        <w:rPr>
          <w:rFonts w:eastAsia="Calibri"/>
          <w:szCs w:val="18"/>
        </w:rPr>
        <w:t>What changes, if any, are under consideration</w:t>
      </w:r>
      <w:r w:rsidRPr="00F7752D">
        <w:t>?</w:t>
      </w:r>
    </w:p>
    <w:p w14:paraId="6DC5D782" w14:textId="77777777" w:rsidR="00D338A4" w:rsidRPr="00F7752D" w:rsidRDefault="00D338A4" w:rsidP="00D338A4">
      <w:pPr>
        <w:ind w:left="567" w:hanging="567"/>
      </w:pPr>
    </w:p>
    <w:p w14:paraId="59E985CB" w14:textId="77777777" w:rsidR="00D338A4" w:rsidRPr="00F7752D" w:rsidRDefault="00D338A4" w:rsidP="00D338A4">
      <w:pPr>
        <w:rPr>
          <w:b/>
          <w:bCs/>
          <w:u w:val="single"/>
        </w:rPr>
      </w:pPr>
      <w:r w:rsidRPr="00F7752D">
        <w:rPr>
          <w:b/>
          <w:bCs/>
          <w:u w:val="single"/>
        </w:rPr>
        <w:t>Re</w:t>
      </w:r>
      <w:r w:rsidR="00375A78" w:rsidRPr="00F7752D">
        <w:rPr>
          <w:b/>
          <w:bCs/>
          <w:u w:val="single"/>
        </w:rPr>
        <w:t>ply</w:t>
      </w:r>
    </w:p>
    <w:p w14:paraId="6EBEA86A" w14:textId="77777777" w:rsidR="00D338A4" w:rsidRPr="00F7752D" w:rsidRDefault="00D338A4" w:rsidP="00D338A4"/>
    <w:p w14:paraId="234FEB63" w14:textId="77777777" w:rsidR="00D338A4" w:rsidRPr="00F7752D" w:rsidRDefault="00CD2010" w:rsidP="00D338A4">
      <w:r w:rsidRPr="00F7752D">
        <w:t xml:space="preserve">The Argentine Republic's import licensing system is continuously monitored by the authorities, and changes may only be made </w:t>
      </w:r>
      <w:r w:rsidR="00D87E5E" w:rsidRPr="00F7752D">
        <w:t>where</w:t>
      </w:r>
      <w:r w:rsidRPr="00F7752D">
        <w:t xml:space="preserve"> considered strictly necessary for the sole purpose of </w:t>
      </w:r>
      <w:r w:rsidR="00041095" w:rsidRPr="00F7752D">
        <w:t>continually improving its efficiency</w:t>
      </w:r>
      <w:r w:rsidR="009B74DC" w:rsidRPr="00F7752D">
        <w:t>,</w:t>
      </w:r>
      <w:r w:rsidR="00041095" w:rsidRPr="00F7752D">
        <w:t xml:space="preserve"> </w:t>
      </w:r>
      <w:r w:rsidR="009B74DC" w:rsidRPr="00F7752D">
        <w:t>as well as</w:t>
      </w:r>
      <w:r w:rsidR="00041095" w:rsidRPr="00F7752D">
        <w:t xml:space="preserve"> </w:t>
      </w:r>
      <w:r w:rsidR="009B74DC" w:rsidRPr="00F7752D">
        <w:t xml:space="preserve">to </w:t>
      </w:r>
      <w:r w:rsidR="00041095" w:rsidRPr="00F7752D">
        <w:t>cover the product range strictly necessary</w:t>
      </w:r>
      <w:r w:rsidR="009B74DC" w:rsidRPr="00F7752D">
        <w:t xml:space="preserve"> </w:t>
      </w:r>
      <w:r w:rsidR="00041095" w:rsidRPr="00F7752D">
        <w:t>to ensure compliance and conformity with the underlying measures that are applicable</w:t>
      </w:r>
      <w:r w:rsidR="00D338A4" w:rsidRPr="00F7752D">
        <w:t>.</w:t>
      </w:r>
    </w:p>
    <w:p w14:paraId="4C05F8A0" w14:textId="77777777" w:rsidR="00D338A4" w:rsidRPr="00F7752D" w:rsidRDefault="00D338A4" w:rsidP="00D338A4"/>
    <w:p w14:paraId="1C1FECCA" w14:textId="77777777" w:rsidR="00D338A4" w:rsidRPr="00F7752D" w:rsidRDefault="00041095" w:rsidP="00D338A4">
      <w:r w:rsidRPr="00F7752D">
        <w:t xml:space="preserve">It should also be noted that </w:t>
      </w:r>
      <w:r w:rsidR="00613E70" w:rsidRPr="00F7752D">
        <w:t xml:space="preserve">the </w:t>
      </w:r>
      <w:r w:rsidR="00C32DCA" w:rsidRPr="00F7752D">
        <w:t xml:space="preserve">system's implementing authorities </w:t>
      </w:r>
      <w:r w:rsidR="00A333FA" w:rsidRPr="00F7752D">
        <w:t>always take into account the considerations and concerns expressed by stakeholders</w:t>
      </w:r>
      <w:r w:rsidR="00D338A4" w:rsidRPr="00F7752D">
        <w:t xml:space="preserve">, </w:t>
      </w:r>
      <w:r w:rsidR="00A333FA" w:rsidRPr="00F7752D">
        <w:t>in order to foster</w:t>
      </w:r>
      <w:r w:rsidR="00613E70" w:rsidRPr="00F7752D">
        <w:t xml:space="preserve"> </w:t>
      </w:r>
      <w:r w:rsidR="00A333FA" w:rsidRPr="00F7752D">
        <w:t xml:space="preserve">the </w:t>
      </w:r>
      <w:r w:rsidR="00613E70" w:rsidRPr="00F7752D">
        <w:t xml:space="preserve">ongoing </w:t>
      </w:r>
      <w:r w:rsidR="00A333FA" w:rsidRPr="00F7752D">
        <w:t xml:space="preserve">improvement, transparency and efficiency </w:t>
      </w:r>
      <w:r w:rsidR="00613E70" w:rsidRPr="00F7752D">
        <w:t xml:space="preserve">of </w:t>
      </w:r>
      <w:r w:rsidR="00A333FA" w:rsidRPr="00F7752D">
        <w:t xml:space="preserve">the </w:t>
      </w:r>
      <w:r w:rsidR="00D87E5E" w:rsidRPr="00F7752D">
        <w:t xml:space="preserve">system's </w:t>
      </w:r>
      <w:r w:rsidR="00613E70" w:rsidRPr="00F7752D">
        <w:t>management</w:t>
      </w:r>
      <w:r w:rsidR="00D338A4" w:rsidRPr="00F7752D">
        <w:t>.</w:t>
      </w:r>
    </w:p>
    <w:p w14:paraId="0FCBD2FC" w14:textId="77777777" w:rsidR="00D338A4" w:rsidRPr="00F7752D" w:rsidRDefault="00D338A4" w:rsidP="00D338A4"/>
    <w:p w14:paraId="1969B99B" w14:textId="77777777" w:rsidR="0033091C" w:rsidRPr="00F7752D" w:rsidRDefault="0033091C" w:rsidP="0033091C">
      <w:pPr>
        <w:jc w:val="center"/>
      </w:pPr>
      <w:r w:rsidRPr="00F7752D">
        <w:rPr>
          <w:b/>
        </w:rPr>
        <w:t>__________</w:t>
      </w:r>
      <w:bookmarkEnd w:id="24"/>
    </w:p>
    <w:sectPr w:rsidR="0033091C" w:rsidRPr="00F7752D" w:rsidSect="00F7752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E63178" w14:textId="77777777" w:rsidR="00D338A4" w:rsidRPr="00F7752D" w:rsidRDefault="00D338A4" w:rsidP="0002424F">
      <w:bookmarkStart w:id="12" w:name="_Hlk56680214"/>
      <w:bookmarkStart w:id="13" w:name="_Hlk56680215"/>
      <w:bookmarkStart w:id="14" w:name="_Hlk56689733"/>
      <w:bookmarkStart w:id="15" w:name="_Hlk56689734"/>
      <w:bookmarkStart w:id="16" w:name="_Hlk56690248"/>
      <w:bookmarkStart w:id="17" w:name="_Hlk56690249"/>
      <w:r w:rsidRPr="00F7752D">
        <w:separator/>
      </w:r>
      <w:bookmarkEnd w:id="12"/>
      <w:bookmarkEnd w:id="13"/>
      <w:bookmarkEnd w:id="14"/>
      <w:bookmarkEnd w:id="15"/>
      <w:bookmarkEnd w:id="16"/>
      <w:bookmarkEnd w:id="17"/>
    </w:p>
  </w:endnote>
  <w:endnote w:type="continuationSeparator" w:id="0">
    <w:p w14:paraId="2406CE75" w14:textId="77777777" w:rsidR="00D338A4" w:rsidRPr="00F7752D" w:rsidRDefault="00D338A4" w:rsidP="0002424F">
      <w:bookmarkStart w:id="18" w:name="_Hlk56680216"/>
      <w:bookmarkStart w:id="19" w:name="_Hlk56680217"/>
      <w:bookmarkStart w:id="20" w:name="_Hlk56689735"/>
      <w:bookmarkStart w:id="21" w:name="_Hlk56689736"/>
      <w:bookmarkStart w:id="22" w:name="_Hlk56690250"/>
      <w:bookmarkStart w:id="23" w:name="_Hlk56690251"/>
      <w:r w:rsidRPr="00F7752D">
        <w:continuationSeparator/>
      </w:r>
      <w:bookmarkEnd w:id="18"/>
      <w:bookmarkEnd w:id="19"/>
      <w:bookmarkEnd w:id="20"/>
      <w:bookmarkEnd w:id="21"/>
      <w:bookmarkEnd w:id="22"/>
      <w:bookmarkEnd w:id="23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59F17E" w14:textId="77777777" w:rsidR="004D3CFA" w:rsidRPr="00F7752D" w:rsidRDefault="00F7752D" w:rsidP="00F7752D">
    <w:pPr>
      <w:pStyle w:val="Footer"/>
    </w:pPr>
    <w:bookmarkStart w:id="38" w:name="_Hlk56680202"/>
    <w:bookmarkStart w:id="39" w:name="_Hlk56680203"/>
    <w:bookmarkStart w:id="40" w:name="_Hlk56689721"/>
    <w:bookmarkStart w:id="41" w:name="_Hlk56689722"/>
    <w:bookmarkStart w:id="42" w:name="_Hlk56690236"/>
    <w:bookmarkStart w:id="43" w:name="_Hlk56690237"/>
    <w:r w:rsidRPr="00F7752D">
      <w:t xml:space="preserve"> </w:t>
    </w:r>
    <w:bookmarkEnd w:id="38"/>
    <w:bookmarkEnd w:id="39"/>
    <w:bookmarkEnd w:id="40"/>
    <w:bookmarkEnd w:id="41"/>
    <w:bookmarkEnd w:id="42"/>
    <w:bookmarkEnd w:id="43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90D9DB" w14:textId="77777777" w:rsidR="004D3CFA" w:rsidRPr="00F7752D" w:rsidRDefault="00F7752D" w:rsidP="00F7752D">
    <w:pPr>
      <w:pStyle w:val="Footer"/>
    </w:pPr>
    <w:bookmarkStart w:id="44" w:name="_Hlk56680204"/>
    <w:bookmarkStart w:id="45" w:name="_Hlk56680205"/>
    <w:bookmarkStart w:id="46" w:name="_Hlk56689723"/>
    <w:bookmarkStart w:id="47" w:name="_Hlk56689724"/>
    <w:bookmarkStart w:id="48" w:name="_Hlk56690238"/>
    <w:bookmarkStart w:id="49" w:name="_Hlk56690239"/>
    <w:r w:rsidRPr="00F7752D">
      <w:t xml:space="preserve"> </w:t>
    </w:r>
    <w:bookmarkEnd w:id="44"/>
    <w:bookmarkEnd w:id="45"/>
    <w:bookmarkEnd w:id="46"/>
    <w:bookmarkEnd w:id="47"/>
    <w:bookmarkEnd w:id="48"/>
    <w:bookmarkEnd w:id="49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83DD53" w14:textId="77777777" w:rsidR="00DD65B2" w:rsidRPr="00F7752D" w:rsidRDefault="00F7752D" w:rsidP="00F7752D">
    <w:pPr>
      <w:pStyle w:val="Footer"/>
    </w:pPr>
    <w:bookmarkStart w:id="56" w:name="_Hlk56680208"/>
    <w:bookmarkStart w:id="57" w:name="_Hlk56680209"/>
    <w:bookmarkStart w:id="58" w:name="_Hlk56689727"/>
    <w:bookmarkStart w:id="59" w:name="_Hlk56689728"/>
    <w:bookmarkStart w:id="60" w:name="_Hlk56690242"/>
    <w:bookmarkStart w:id="61" w:name="_Hlk56690243"/>
    <w:r w:rsidRPr="00F7752D">
      <w:t xml:space="preserve"> </w:t>
    </w:r>
    <w:bookmarkEnd w:id="56"/>
    <w:bookmarkEnd w:id="57"/>
    <w:bookmarkEnd w:id="58"/>
    <w:bookmarkEnd w:id="59"/>
    <w:bookmarkEnd w:id="60"/>
    <w:bookmarkEnd w:id="6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DA4F3E" w14:textId="77777777" w:rsidR="00D338A4" w:rsidRPr="00F7752D" w:rsidRDefault="00D338A4" w:rsidP="0002424F">
      <w:bookmarkStart w:id="0" w:name="_Hlk56680210"/>
      <w:bookmarkStart w:id="1" w:name="_Hlk56680211"/>
      <w:bookmarkStart w:id="2" w:name="_Hlk56689729"/>
      <w:bookmarkStart w:id="3" w:name="_Hlk56689730"/>
      <w:bookmarkStart w:id="4" w:name="_Hlk56690244"/>
      <w:bookmarkStart w:id="5" w:name="_Hlk56690245"/>
      <w:r w:rsidRPr="00F7752D">
        <w:separator/>
      </w:r>
      <w:bookmarkEnd w:id="0"/>
      <w:bookmarkEnd w:id="1"/>
      <w:bookmarkEnd w:id="2"/>
      <w:bookmarkEnd w:id="3"/>
      <w:bookmarkEnd w:id="4"/>
      <w:bookmarkEnd w:id="5"/>
    </w:p>
  </w:footnote>
  <w:footnote w:type="continuationSeparator" w:id="0">
    <w:p w14:paraId="412DDF81" w14:textId="77777777" w:rsidR="00D338A4" w:rsidRPr="00F7752D" w:rsidRDefault="00D338A4" w:rsidP="0002424F">
      <w:bookmarkStart w:id="6" w:name="_Hlk56680212"/>
      <w:bookmarkStart w:id="7" w:name="_Hlk56680213"/>
      <w:bookmarkStart w:id="8" w:name="_Hlk56689731"/>
      <w:bookmarkStart w:id="9" w:name="_Hlk56689732"/>
      <w:bookmarkStart w:id="10" w:name="_Hlk56690246"/>
      <w:bookmarkStart w:id="11" w:name="_Hlk56690247"/>
      <w:r w:rsidRPr="00F7752D">
        <w:continuationSeparator/>
      </w:r>
      <w:bookmarkEnd w:id="6"/>
      <w:bookmarkEnd w:id="7"/>
      <w:bookmarkEnd w:id="8"/>
      <w:bookmarkEnd w:id="9"/>
      <w:bookmarkEnd w:id="10"/>
      <w:bookmarkEnd w:id="11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D57CDF" w14:textId="77777777" w:rsidR="00F7752D" w:rsidRPr="00F7752D" w:rsidRDefault="00F7752D" w:rsidP="00F7752D">
    <w:pPr>
      <w:pStyle w:val="Header"/>
      <w:spacing w:after="240"/>
      <w:jc w:val="center"/>
    </w:pPr>
    <w:bookmarkStart w:id="26" w:name="_Hlk56680198"/>
    <w:bookmarkStart w:id="27" w:name="_Hlk56680199"/>
    <w:bookmarkStart w:id="28" w:name="_Hlk56689717"/>
    <w:bookmarkStart w:id="29" w:name="_Hlk56689718"/>
    <w:bookmarkStart w:id="30" w:name="_Hlk56690232"/>
    <w:bookmarkStart w:id="31" w:name="_Hlk56690233"/>
    <w:r w:rsidRPr="00F7752D">
      <w:t>G/LIC/Q/ARG/19</w:t>
    </w:r>
  </w:p>
  <w:p w14:paraId="31246AB4" w14:textId="77777777" w:rsidR="00F7752D" w:rsidRPr="00F7752D" w:rsidRDefault="00F7752D" w:rsidP="00F7752D">
    <w:pPr>
      <w:pStyle w:val="Header"/>
      <w:pBdr>
        <w:bottom w:val="single" w:sz="4" w:space="1" w:color="auto"/>
      </w:pBdr>
      <w:jc w:val="center"/>
    </w:pPr>
    <w:r w:rsidRPr="00F7752D">
      <w:t xml:space="preserve">- </w:t>
    </w:r>
    <w:r w:rsidRPr="00F7752D">
      <w:fldChar w:fldCharType="begin"/>
    </w:r>
    <w:r w:rsidRPr="00F7752D">
      <w:instrText xml:space="preserve"> PAGE  \* Arabic  \* MERGEFORMAT </w:instrText>
    </w:r>
    <w:r w:rsidRPr="00F7752D">
      <w:fldChar w:fldCharType="separate"/>
    </w:r>
    <w:r w:rsidRPr="00F7752D">
      <w:t>1</w:t>
    </w:r>
    <w:r w:rsidRPr="00F7752D">
      <w:fldChar w:fldCharType="end"/>
    </w:r>
    <w:r w:rsidRPr="00F7752D">
      <w:t xml:space="preserve"> -</w:t>
    </w:r>
    <w:bookmarkEnd w:id="26"/>
    <w:bookmarkEnd w:id="27"/>
    <w:bookmarkEnd w:id="28"/>
    <w:bookmarkEnd w:id="29"/>
    <w:bookmarkEnd w:id="30"/>
    <w:bookmarkEnd w:id="3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93AE50" w14:textId="77777777" w:rsidR="00F7752D" w:rsidRPr="00F7752D" w:rsidRDefault="00F7752D" w:rsidP="00F7752D">
    <w:pPr>
      <w:pStyle w:val="Header"/>
      <w:spacing w:after="240"/>
      <w:jc w:val="center"/>
    </w:pPr>
    <w:bookmarkStart w:id="32" w:name="_Hlk56680200"/>
    <w:bookmarkStart w:id="33" w:name="_Hlk56680201"/>
    <w:bookmarkStart w:id="34" w:name="_Hlk56689719"/>
    <w:bookmarkStart w:id="35" w:name="_Hlk56689720"/>
    <w:bookmarkStart w:id="36" w:name="_Hlk56690234"/>
    <w:bookmarkStart w:id="37" w:name="_Hlk56690235"/>
    <w:r w:rsidRPr="00F7752D">
      <w:t>G/LIC/Q/ARG/19</w:t>
    </w:r>
  </w:p>
  <w:p w14:paraId="789335CF" w14:textId="77777777" w:rsidR="00F7752D" w:rsidRPr="00F7752D" w:rsidRDefault="00F7752D" w:rsidP="00F7752D">
    <w:pPr>
      <w:pStyle w:val="Header"/>
      <w:pBdr>
        <w:bottom w:val="single" w:sz="4" w:space="1" w:color="auto"/>
      </w:pBdr>
      <w:jc w:val="center"/>
    </w:pPr>
    <w:r w:rsidRPr="00F7752D">
      <w:t xml:space="preserve">- </w:t>
    </w:r>
    <w:r w:rsidRPr="00F7752D">
      <w:fldChar w:fldCharType="begin"/>
    </w:r>
    <w:r w:rsidRPr="00F7752D">
      <w:instrText xml:space="preserve"> PAGE  \* Arabic  \* MERGEFORMAT </w:instrText>
    </w:r>
    <w:r w:rsidRPr="00F7752D">
      <w:fldChar w:fldCharType="separate"/>
    </w:r>
    <w:r w:rsidRPr="00F7752D">
      <w:t>1</w:t>
    </w:r>
    <w:r w:rsidRPr="00F7752D">
      <w:fldChar w:fldCharType="end"/>
    </w:r>
    <w:r w:rsidRPr="00F7752D">
      <w:t xml:space="preserve"> -</w:t>
    </w:r>
    <w:bookmarkEnd w:id="32"/>
    <w:bookmarkEnd w:id="33"/>
    <w:bookmarkEnd w:id="34"/>
    <w:bookmarkEnd w:id="35"/>
    <w:bookmarkEnd w:id="36"/>
    <w:bookmarkEnd w:id="37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0"/>
      <w:gridCol w:w="2020"/>
      <w:gridCol w:w="3196"/>
    </w:tblGrid>
    <w:tr w:rsidR="00F7752D" w:rsidRPr="00F7752D" w14:paraId="2638428C" w14:textId="77777777" w:rsidTr="00F7752D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05F6F4EB" w14:textId="77777777" w:rsidR="00F7752D" w:rsidRPr="00F7752D" w:rsidRDefault="00F7752D" w:rsidP="00F7752D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50" w:name="_Hlk56680206"/>
          <w:bookmarkStart w:id="51" w:name="_Hlk56680207"/>
          <w:bookmarkStart w:id="52" w:name="_Hlk56689725"/>
          <w:bookmarkStart w:id="53" w:name="_Hlk56689726"/>
          <w:bookmarkStart w:id="54" w:name="_Hlk56690240"/>
          <w:bookmarkStart w:id="55" w:name="_Hlk56690241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6E1E949D" w14:textId="77777777" w:rsidR="00F7752D" w:rsidRPr="00F7752D" w:rsidRDefault="00F7752D" w:rsidP="00F7752D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F7752D" w:rsidRPr="00F7752D" w14:paraId="5F076E29" w14:textId="77777777" w:rsidTr="00F7752D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575DC3E8" w14:textId="77777777" w:rsidR="00F7752D" w:rsidRPr="00F7752D" w:rsidRDefault="00F7752D" w:rsidP="00F7752D">
          <w:pPr>
            <w:jc w:val="left"/>
            <w:rPr>
              <w:rFonts w:eastAsia="Verdana" w:cs="Verdana"/>
              <w:szCs w:val="18"/>
            </w:rPr>
          </w:pPr>
          <w:r w:rsidRPr="00F7752D">
            <w:rPr>
              <w:rFonts w:cs="Verdana"/>
              <w:noProof/>
              <w:szCs w:val="18"/>
            </w:rPr>
            <w:drawing>
              <wp:inline distT="0" distB="0" distL="0" distR="0" wp14:anchorId="4111DA98" wp14:editId="64FBDC59">
                <wp:extent cx="2415902" cy="720090"/>
                <wp:effectExtent l="0" t="0" r="381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5902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43318D52" w14:textId="77777777" w:rsidR="00F7752D" w:rsidRPr="00F7752D" w:rsidRDefault="00F7752D" w:rsidP="00F7752D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F7752D" w:rsidRPr="00F7752D" w14:paraId="5A242231" w14:textId="77777777" w:rsidTr="00F7752D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3B19FFE6" w14:textId="77777777" w:rsidR="00F7752D" w:rsidRPr="00F7752D" w:rsidRDefault="00F7752D" w:rsidP="00F7752D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6F7AEEB2" w14:textId="77777777" w:rsidR="00F7752D" w:rsidRPr="00F7752D" w:rsidRDefault="00F7752D" w:rsidP="00F7752D">
          <w:pPr>
            <w:jc w:val="right"/>
            <w:rPr>
              <w:rFonts w:eastAsia="Verdana" w:cs="Verdana"/>
              <w:b/>
              <w:szCs w:val="18"/>
            </w:rPr>
          </w:pPr>
          <w:r w:rsidRPr="00F7752D">
            <w:rPr>
              <w:b/>
              <w:szCs w:val="18"/>
            </w:rPr>
            <w:t>G/LIC/Q/ARG/19</w:t>
          </w:r>
        </w:p>
      </w:tc>
    </w:tr>
    <w:tr w:rsidR="00F7752D" w:rsidRPr="00F7752D" w14:paraId="37F75BE5" w14:textId="77777777" w:rsidTr="00F7752D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374091A3" w14:textId="77777777" w:rsidR="00F7752D" w:rsidRPr="00F7752D" w:rsidRDefault="00F7752D" w:rsidP="00F7752D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431FD9E7" w14:textId="77777777" w:rsidR="00F7752D" w:rsidRPr="00F7752D" w:rsidRDefault="00F7752D" w:rsidP="00F7752D">
          <w:pPr>
            <w:jc w:val="right"/>
            <w:rPr>
              <w:rFonts w:eastAsia="Verdana" w:cs="Verdana"/>
              <w:szCs w:val="18"/>
            </w:rPr>
          </w:pPr>
          <w:r w:rsidRPr="00F7752D">
            <w:rPr>
              <w:rFonts w:cs="Verdana"/>
              <w:szCs w:val="18"/>
            </w:rPr>
            <w:t>9 November 2020</w:t>
          </w:r>
        </w:p>
      </w:tc>
    </w:tr>
    <w:tr w:rsidR="00F7752D" w:rsidRPr="00F7752D" w14:paraId="1816945A" w14:textId="77777777" w:rsidTr="00F7752D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78D2607" w14:textId="4F7CF98B" w:rsidR="00F7752D" w:rsidRPr="00F7752D" w:rsidRDefault="00F7752D" w:rsidP="00F7752D">
          <w:pPr>
            <w:jc w:val="left"/>
            <w:rPr>
              <w:rFonts w:eastAsia="Verdana" w:cs="Verdana"/>
              <w:b/>
              <w:szCs w:val="18"/>
            </w:rPr>
          </w:pPr>
          <w:r w:rsidRPr="00F7752D">
            <w:rPr>
              <w:rFonts w:cs="Verdana"/>
              <w:color w:val="FF0000"/>
              <w:szCs w:val="18"/>
            </w:rPr>
            <w:t>(20</w:t>
          </w:r>
          <w:r w:rsidRPr="00F7752D">
            <w:rPr>
              <w:rFonts w:cs="Verdana"/>
              <w:color w:val="FF0000"/>
              <w:szCs w:val="18"/>
            </w:rPr>
            <w:noBreakHyphen/>
          </w:r>
          <w:r w:rsidR="00BC65E1">
            <w:rPr>
              <w:rFonts w:cs="Verdana"/>
              <w:color w:val="FF0000"/>
              <w:szCs w:val="18"/>
            </w:rPr>
            <w:t>7956</w:t>
          </w:r>
          <w:r w:rsidRPr="00F7752D">
            <w:rPr>
              <w:rFonts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CF8991B" w14:textId="77777777" w:rsidR="00F7752D" w:rsidRPr="00F7752D" w:rsidRDefault="00F7752D" w:rsidP="00F7752D">
          <w:pPr>
            <w:jc w:val="right"/>
            <w:rPr>
              <w:rFonts w:eastAsia="Verdana" w:cs="Verdana"/>
              <w:szCs w:val="18"/>
            </w:rPr>
          </w:pPr>
          <w:r w:rsidRPr="00F7752D">
            <w:rPr>
              <w:rFonts w:cs="Verdana"/>
              <w:szCs w:val="18"/>
            </w:rPr>
            <w:t xml:space="preserve">Page: </w:t>
          </w:r>
          <w:r w:rsidRPr="00F7752D">
            <w:rPr>
              <w:rFonts w:cs="Verdana"/>
              <w:szCs w:val="18"/>
            </w:rPr>
            <w:fldChar w:fldCharType="begin"/>
          </w:r>
          <w:r w:rsidRPr="00F7752D">
            <w:rPr>
              <w:rFonts w:cs="Verdana"/>
              <w:szCs w:val="18"/>
            </w:rPr>
            <w:instrText xml:space="preserve"> PAGE  \* Arabic  \* MERGEFORMAT </w:instrText>
          </w:r>
          <w:r w:rsidRPr="00F7752D">
            <w:rPr>
              <w:rFonts w:cs="Verdana"/>
              <w:szCs w:val="18"/>
            </w:rPr>
            <w:fldChar w:fldCharType="separate"/>
          </w:r>
          <w:r w:rsidRPr="00F7752D">
            <w:rPr>
              <w:rFonts w:cs="Verdana"/>
              <w:szCs w:val="18"/>
            </w:rPr>
            <w:t>1</w:t>
          </w:r>
          <w:r w:rsidRPr="00F7752D">
            <w:rPr>
              <w:rFonts w:cs="Verdana"/>
              <w:szCs w:val="18"/>
            </w:rPr>
            <w:fldChar w:fldCharType="end"/>
          </w:r>
          <w:r w:rsidRPr="00F7752D">
            <w:rPr>
              <w:rFonts w:cs="Verdana"/>
              <w:szCs w:val="18"/>
            </w:rPr>
            <w:t>/</w:t>
          </w:r>
          <w:r w:rsidRPr="00F7752D">
            <w:rPr>
              <w:rFonts w:cs="Verdana"/>
              <w:szCs w:val="18"/>
            </w:rPr>
            <w:fldChar w:fldCharType="begin"/>
          </w:r>
          <w:r w:rsidRPr="00F7752D">
            <w:rPr>
              <w:rFonts w:cs="Verdana"/>
              <w:szCs w:val="18"/>
            </w:rPr>
            <w:instrText xml:space="preserve"> NUMPAGES  \# "0" \* Arabic  \* MERGEFORMAT </w:instrText>
          </w:r>
          <w:r w:rsidRPr="00F7752D">
            <w:rPr>
              <w:rFonts w:cs="Verdana"/>
              <w:szCs w:val="18"/>
            </w:rPr>
            <w:fldChar w:fldCharType="separate"/>
          </w:r>
          <w:r w:rsidRPr="00F7752D">
            <w:rPr>
              <w:rFonts w:cs="Verdana"/>
              <w:szCs w:val="18"/>
            </w:rPr>
            <w:t>5</w:t>
          </w:r>
          <w:r w:rsidRPr="00F7752D">
            <w:rPr>
              <w:rFonts w:cs="Verdana"/>
              <w:szCs w:val="18"/>
            </w:rPr>
            <w:fldChar w:fldCharType="end"/>
          </w:r>
        </w:p>
      </w:tc>
    </w:tr>
    <w:tr w:rsidR="00F7752D" w:rsidRPr="00F7752D" w14:paraId="050D9A2D" w14:textId="77777777" w:rsidTr="00F7752D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545F7C5" w14:textId="77777777" w:rsidR="00F7752D" w:rsidRPr="00F7752D" w:rsidRDefault="00F7752D" w:rsidP="00F7752D">
          <w:pPr>
            <w:jc w:val="left"/>
            <w:rPr>
              <w:rFonts w:eastAsia="Verdana" w:cs="Verdana"/>
              <w:szCs w:val="18"/>
            </w:rPr>
          </w:pPr>
          <w:r w:rsidRPr="00F7752D">
            <w:rPr>
              <w:b/>
              <w:szCs w:val="18"/>
            </w:rPr>
            <w:t>Committee on Import Licensing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583F0773" w14:textId="77777777" w:rsidR="00F7752D" w:rsidRPr="00F7752D" w:rsidRDefault="00F7752D" w:rsidP="00F7752D">
          <w:pPr>
            <w:jc w:val="right"/>
            <w:rPr>
              <w:rFonts w:eastAsia="Verdana" w:cs="Verdana"/>
              <w:bCs/>
              <w:szCs w:val="18"/>
            </w:rPr>
          </w:pPr>
          <w:r w:rsidRPr="00F7752D">
            <w:rPr>
              <w:rFonts w:cs="Verdana"/>
              <w:bCs/>
              <w:szCs w:val="18"/>
            </w:rPr>
            <w:t>Original: Spanish</w:t>
          </w:r>
        </w:p>
      </w:tc>
    </w:tr>
    <w:bookmarkEnd w:id="50"/>
    <w:bookmarkEnd w:id="51"/>
    <w:bookmarkEnd w:id="52"/>
    <w:bookmarkEnd w:id="53"/>
    <w:bookmarkEnd w:id="54"/>
    <w:bookmarkEnd w:id="55"/>
  </w:tbl>
  <w:p w14:paraId="75E06A30" w14:textId="77777777" w:rsidR="004D3CFA" w:rsidRPr="00F7752D" w:rsidRDefault="004D3CFA" w:rsidP="00F7752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F2C8A2AA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D438E41A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050158"/>
    <w:multiLevelType w:val="hybridMultilevel"/>
    <w:tmpl w:val="87568B5A"/>
    <w:lvl w:ilvl="0" w:tplc="A116615A">
      <w:start w:val="1"/>
      <w:numFmt w:val="lowerLetter"/>
      <w:lvlText w:val="%1)"/>
      <w:lvlJc w:val="left"/>
      <w:pPr>
        <w:ind w:left="1376" w:hanging="570"/>
      </w:pPr>
      <w:rPr>
        <w:rFonts w:ascii="Verdana" w:eastAsia="Verdana" w:hAnsi="Verdana" w:cs="Verdana" w:hint="default"/>
        <w:spacing w:val="-5"/>
        <w:w w:val="100"/>
        <w:sz w:val="18"/>
        <w:szCs w:val="18"/>
        <w:lang w:val="es-ES" w:eastAsia="en-US" w:bidi="ar-SA"/>
      </w:rPr>
    </w:lvl>
    <w:lvl w:ilvl="1" w:tplc="3A88D6A8">
      <w:numFmt w:val="bullet"/>
      <w:lvlText w:val="•"/>
      <w:lvlJc w:val="left"/>
      <w:pPr>
        <w:ind w:left="2195" w:hanging="570"/>
      </w:pPr>
      <w:rPr>
        <w:rFonts w:hint="default"/>
        <w:lang w:val="es-ES" w:eastAsia="en-US" w:bidi="ar-SA"/>
      </w:rPr>
    </w:lvl>
    <w:lvl w:ilvl="2" w:tplc="626AF524">
      <w:numFmt w:val="bullet"/>
      <w:lvlText w:val="•"/>
      <w:lvlJc w:val="left"/>
      <w:pPr>
        <w:ind w:left="3010" w:hanging="570"/>
      </w:pPr>
      <w:rPr>
        <w:rFonts w:hint="default"/>
        <w:lang w:val="es-ES" w:eastAsia="en-US" w:bidi="ar-SA"/>
      </w:rPr>
    </w:lvl>
    <w:lvl w:ilvl="3" w:tplc="14F42348">
      <w:numFmt w:val="bullet"/>
      <w:lvlText w:val="•"/>
      <w:lvlJc w:val="left"/>
      <w:pPr>
        <w:ind w:left="3825" w:hanging="570"/>
      </w:pPr>
      <w:rPr>
        <w:rFonts w:hint="default"/>
        <w:lang w:val="es-ES" w:eastAsia="en-US" w:bidi="ar-SA"/>
      </w:rPr>
    </w:lvl>
    <w:lvl w:ilvl="4" w:tplc="DF8242B6">
      <w:numFmt w:val="bullet"/>
      <w:lvlText w:val="•"/>
      <w:lvlJc w:val="left"/>
      <w:pPr>
        <w:ind w:left="4640" w:hanging="570"/>
      </w:pPr>
      <w:rPr>
        <w:rFonts w:hint="default"/>
        <w:lang w:val="es-ES" w:eastAsia="en-US" w:bidi="ar-SA"/>
      </w:rPr>
    </w:lvl>
    <w:lvl w:ilvl="5" w:tplc="D2CED336">
      <w:numFmt w:val="bullet"/>
      <w:lvlText w:val="•"/>
      <w:lvlJc w:val="left"/>
      <w:pPr>
        <w:ind w:left="5455" w:hanging="570"/>
      </w:pPr>
      <w:rPr>
        <w:rFonts w:hint="default"/>
        <w:lang w:val="es-ES" w:eastAsia="en-US" w:bidi="ar-SA"/>
      </w:rPr>
    </w:lvl>
    <w:lvl w:ilvl="6" w:tplc="3FA6117E">
      <w:numFmt w:val="bullet"/>
      <w:lvlText w:val="•"/>
      <w:lvlJc w:val="left"/>
      <w:pPr>
        <w:ind w:left="6270" w:hanging="570"/>
      </w:pPr>
      <w:rPr>
        <w:rFonts w:hint="default"/>
        <w:lang w:val="es-ES" w:eastAsia="en-US" w:bidi="ar-SA"/>
      </w:rPr>
    </w:lvl>
    <w:lvl w:ilvl="7" w:tplc="6F1018BE">
      <w:numFmt w:val="bullet"/>
      <w:lvlText w:val="•"/>
      <w:lvlJc w:val="left"/>
      <w:pPr>
        <w:ind w:left="7085" w:hanging="570"/>
      </w:pPr>
      <w:rPr>
        <w:rFonts w:hint="default"/>
        <w:lang w:val="es-ES" w:eastAsia="en-US" w:bidi="ar-SA"/>
      </w:rPr>
    </w:lvl>
    <w:lvl w:ilvl="8" w:tplc="9118F3DA">
      <w:numFmt w:val="bullet"/>
      <w:lvlText w:val="•"/>
      <w:lvlJc w:val="left"/>
      <w:pPr>
        <w:ind w:left="7900" w:hanging="570"/>
      </w:pPr>
      <w:rPr>
        <w:rFonts w:hint="default"/>
        <w:lang w:val="es-ES" w:eastAsia="en-US" w:bidi="ar-SA"/>
      </w:rPr>
    </w:lvl>
  </w:abstractNum>
  <w:abstractNum w:abstractNumId="11" w15:restartNumberingAfterBreak="0">
    <w:nsid w:val="2A6A658F"/>
    <w:multiLevelType w:val="hybridMultilevel"/>
    <w:tmpl w:val="D28CC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736558"/>
    <w:multiLevelType w:val="hybridMultilevel"/>
    <w:tmpl w:val="F800D9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BBEB7EC">
      <w:start w:val="1"/>
      <w:numFmt w:val="lowerLetter"/>
      <w:lvlText w:val="(%2)"/>
      <w:lvlJc w:val="left"/>
      <w:pPr>
        <w:ind w:left="107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6912DF"/>
    <w:multiLevelType w:val="hybridMultilevel"/>
    <w:tmpl w:val="5DFE3D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E948C5"/>
    <w:multiLevelType w:val="multilevel"/>
    <w:tmpl w:val="4C90C01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5" w15:restartNumberingAfterBreak="0">
    <w:nsid w:val="57454AB1"/>
    <w:multiLevelType w:val="multilevel"/>
    <w:tmpl w:val="E7A068DA"/>
    <w:numStyleLink w:val="LegalHeadings"/>
  </w:abstractNum>
  <w:abstractNum w:abstractNumId="16" w15:restartNumberingAfterBreak="0">
    <w:nsid w:val="57551E12"/>
    <w:multiLevelType w:val="multilevel"/>
    <w:tmpl w:val="E7A068DA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7" w15:restartNumberingAfterBreak="0">
    <w:nsid w:val="5BB73636"/>
    <w:multiLevelType w:val="hybridMultilevel"/>
    <w:tmpl w:val="EC54F078"/>
    <w:lvl w:ilvl="0" w:tplc="C726B368">
      <w:start w:val="1"/>
      <w:numFmt w:val="lowerLetter"/>
      <w:lvlText w:val="%1)"/>
      <w:lvlJc w:val="left"/>
      <w:pPr>
        <w:ind w:left="1376" w:hanging="570"/>
      </w:pPr>
      <w:rPr>
        <w:rFonts w:ascii="Verdana" w:eastAsia="Verdana" w:hAnsi="Verdana" w:cs="Verdana" w:hint="default"/>
        <w:spacing w:val="-32"/>
        <w:w w:val="100"/>
        <w:sz w:val="18"/>
        <w:szCs w:val="18"/>
        <w:lang w:val="es-ES" w:eastAsia="en-US" w:bidi="ar-SA"/>
      </w:rPr>
    </w:lvl>
    <w:lvl w:ilvl="1" w:tplc="41E8DFD2">
      <w:numFmt w:val="bullet"/>
      <w:lvlText w:val="•"/>
      <w:lvlJc w:val="left"/>
      <w:pPr>
        <w:ind w:left="2195" w:hanging="570"/>
      </w:pPr>
      <w:rPr>
        <w:rFonts w:hint="default"/>
        <w:lang w:val="es-ES" w:eastAsia="en-US" w:bidi="ar-SA"/>
      </w:rPr>
    </w:lvl>
    <w:lvl w:ilvl="2" w:tplc="239C69C2">
      <w:numFmt w:val="bullet"/>
      <w:lvlText w:val="•"/>
      <w:lvlJc w:val="left"/>
      <w:pPr>
        <w:ind w:left="3010" w:hanging="570"/>
      </w:pPr>
      <w:rPr>
        <w:rFonts w:hint="default"/>
        <w:lang w:val="es-ES" w:eastAsia="en-US" w:bidi="ar-SA"/>
      </w:rPr>
    </w:lvl>
    <w:lvl w:ilvl="3" w:tplc="D1D20264">
      <w:numFmt w:val="bullet"/>
      <w:lvlText w:val="•"/>
      <w:lvlJc w:val="left"/>
      <w:pPr>
        <w:ind w:left="3825" w:hanging="570"/>
      </w:pPr>
      <w:rPr>
        <w:rFonts w:hint="default"/>
        <w:lang w:val="es-ES" w:eastAsia="en-US" w:bidi="ar-SA"/>
      </w:rPr>
    </w:lvl>
    <w:lvl w:ilvl="4" w:tplc="F9D85942">
      <w:numFmt w:val="bullet"/>
      <w:lvlText w:val="•"/>
      <w:lvlJc w:val="left"/>
      <w:pPr>
        <w:ind w:left="4640" w:hanging="570"/>
      </w:pPr>
      <w:rPr>
        <w:rFonts w:hint="default"/>
        <w:lang w:val="es-ES" w:eastAsia="en-US" w:bidi="ar-SA"/>
      </w:rPr>
    </w:lvl>
    <w:lvl w:ilvl="5" w:tplc="C8284FDE">
      <w:numFmt w:val="bullet"/>
      <w:lvlText w:val="•"/>
      <w:lvlJc w:val="left"/>
      <w:pPr>
        <w:ind w:left="5455" w:hanging="570"/>
      </w:pPr>
      <w:rPr>
        <w:rFonts w:hint="default"/>
        <w:lang w:val="es-ES" w:eastAsia="en-US" w:bidi="ar-SA"/>
      </w:rPr>
    </w:lvl>
    <w:lvl w:ilvl="6" w:tplc="51F4930E">
      <w:numFmt w:val="bullet"/>
      <w:lvlText w:val="•"/>
      <w:lvlJc w:val="left"/>
      <w:pPr>
        <w:ind w:left="6270" w:hanging="570"/>
      </w:pPr>
      <w:rPr>
        <w:rFonts w:hint="default"/>
        <w:lang w:val="es-ES" w:eastAsia="en-US" w:bidi="ar-SA"/>
      </w:rPr>
    </w:lvl>
    <w:lvl w:ilvl="7" w:tplc="12BC3A1E">
      <w:numFmt w:val="bullet"/>
      <w:lvlText w:val="•"/>
      <w:lvlJc w:val="left"/>
      <w:pPr>
        <w:ind w:left="7085" w:hanging="570"/>
      </w:pPr>
      <w:rPr>
        <w:rFonts w:hint="default"/>
        <w:lang w:val="es-ES" w:eastAsia="en-US" w:bidi="ar-SA"/>
      </w:rPr>
    </w:lvl>
    <w:lvl w:ilvl="8" w:tplc="EB5CA8D0">
      <w:numFmt w:val="bullet"/>
      <w:lvlText w:val="•"/>
      <w:lvlJc w:val="left"/>
      <w:pPr>
        <w:ind w:left="7900" w:hanging="570"/>
      </w:pPr>
      <w:rPr>
        <w:rFonts w:hint="default"/>
        <w:lang w:val="es-ES" w:eastAsia="en-US" w:bidi="ar-SA"/>
      </w:rPr>
    </w:lvl>
  </w:abstractNum>
  <w:abstractNum w:abstractNumId="18" w15:restartNumberingAfterBreak="0">
    <w:nsid w:val="5FE04FCE"/>
    <w:multiLevelType w:val="hybridMultilevel"/>
    <w:tmpl w:val="0F6276AA"/>
    <w:lvl w:ilvl="0" w:tplc="6BBEB7EC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5676E1B"/>
    <w:multiLevelType w:val="hybridMultilevel"/>
    <w:tmpl w:val="A630F66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0984FE2"/>
    <w:multiLevelType w:val="hybridMultilevel"/>
    <w:tmpl w:val="C1ECF30A"/>
    <w:lvl w:ilvl="0" w:tplc="7AC412E8">
      <w:start w:val="1"/>
      <w:numFmt w:val="lowerLetter"/>
      <w:lvlText w:val="%1)"/>
      <w:lvlJc w:val="left"/>
      <w:pPr>
        <w:ind w:left="1376" w:hanging="570"/>
      </w:pPr>
      <w:rPr>
        <w:rFonts w:ascii="Verdana" w:eastAsia="Verdana" w:hAnsi="Verdana" w:cs="Verdana" w:hint="default"/>
        <w:spacing w:val="-3"/>
        <w:w w:val="100"/>
        <w:sz w:val="18"/>
        <w:szCs w:val="18"/>
        <w:lang w:val="es-ES" w:eastAsia="en-US" w:bidi="ar-SA"/>
      </w:rPr>
    </w:lvl>
    <w:lvl w:ilvl="1" w:tplc="C792A12A">
      <w:numFmt w:val="bullet"/>
      <w:lvlText w:val="•"/>
      <w:lvlJc w:val="left"/>
      <w:pPr>
        <w:ind w:left="2195" w:hanging="570"/>
      </w:pPr>
      <w:rPr>
        <w:rFonts w:hint="default"/>
        <w:lang w:val="es-ES" w:eastAsia="en-US" w:bidi="ar-SA"/>
      </w:rPr>
    </w:lvl>
    <w:lvl w:ilvl="2" w:tplc="38B036A6">
      <w:numFmt w:val="bullet"/>
      <w:lvlText w:val="•"/>
      <w:lvlJc w:val="left"/>
      <w:pPr>
        <w:ind w:left="3010" w:hanging="570"/>
      </w:pPr>
      <w:rPr>
        <w:rFonts w:hint="default"/>
        <w:lang w:val="es-ES" w:eastAsia="en-US" w:bidi="ar-SA"/>
      </w:rPr>
    </w:lvl>
    <w:lvl w:ilvl="3" w:tplc="E064F03C">
      <w:numFmt w:val="bullet"/>
      <w:lvlText w:val="•"/>
      <w:lvlJc w:val="left"/>
      <w:pPr>
        <w:ind w:left="3825" w:hanging="570"/>
      </w:pPr>
      <w:rPr>
        <w:rFonts w:hint="default"/>
        <w:lang w:val="es-ES" w:eastAsia="en-US" w:bidi="ar-SA"/>
      </w:rPr>
    </w:lvl>
    <w:lvl w:ilvl="4" w:tplc="EBFCBA88">
      <w:numFmt w:val="bullet"/>
      <w:lvlText w:val="•"/>
      <w:lvlJc w:val="left"/>
      <w:pPr>
        <w:ind w:left="4640" w:hanging="570"/>
      </w:pPr>
      <w:rPr>
        <w:rFonts w:hint="default"/>
        <w:lang w:val="es-ES" w:eastAsia="en-US" w:bidi="ar-SA"/>
      </w:rPr>
    </w:lvl>
    <w:lvl w:ilvl="5" w:tplc="A052D534">
      <w:numFmt w:val="bullet"/>
      <w:lvlText w:val="•"/>
      <w:lvlJc w:val="left"/>
      <w:pPr>
        <w:ind w:left="5455" w:hanging="570"/>
      </w:pPr>
      <w:rPr>
        <w:rFonts w:hint="default"/>
        <w:lang w:val="es-ES" w:eastAsia="en-US" w:bidi="ar-SA"/>
      </w:rPr>
    </w:lvl>
    <w:lvl w:ilvl="6" w:tplc="E6748B32">
      <w:numFmt w:val="bullet"/>
      <w:lvlText w:val="•"/>
      <w:lvlJc w:val="left"/>
      <w:pPr>
        <w:ind w:left="6270" w:hanging="570"/>
      </w:pPr>
      <w:rPr>
        <w:rFonts w:hint="default"/>
        <w:lang w:val="es-ES" w:eastAsia="en-US" w:bidi="ar-SA"/>
      </w:rPr>
    </w:lvl>
    <w:lvl w:ilvl="7" w:tplc="86FAAAFE">
      <w:numFmt w:val="bullet"/>
      <w:lvlText w:val="•"/>
      <w:lvlJc w:val="left"/>
      <w:pPr>
        <w:ind w:left="7085" w:hanging="570"/>
      </w:pPr>
      <w:rPr>
        <w:rFonts w:hint="default"/>
        <w:lang w:val="es-ES" w:eastAsia="en-US" w:bidi="ar-SA"/>
      </w:rPr>
    </w:lvl>
    <w:lvl w:ilvl="8" w:tplc="69F090F8">
      <w:numFmt w:val="bullet"/>
      <w:lvlText w:val="•"/>
      <w:lvlJc w:val="left"/>
      <w:pPr>
        <w:ind w:left="7900" w:hanging="570"/>
      </w:pPr>
      <w:rPr>
        <w:rFonts w:hint="default"/>
        <w:lang w:val="es-ES" w:eastAsia="en-US" w:bidi="ar-SA"/>
      </w:rPr>
    </w:lvl>
  </w:abstractNum>
  <w:abstractNum w:abstractNumId="22" w15:restartNumberingAfterBreak="0">
    <w:nsid w:val="747B62DF"/>
    <w:multiLevelType w:val="hybridMultilevel"/>
    <w:tmpl w:val="81AC2A1C"/>
    <w:lvl w:ilvl="0" w:tplc="B9AA5C5E">
      <w:start w:val="1"/>
      <w:numFmt w:val="decimal"/>
      <w:lvlText w:val="%1."/>
      <w:lvlJc w:val="left"/>
      <w:pPr>
        <w:ind w:left="806" w:hanging="566"/>
      </w:pPr>
      <w:rPr>
        <w:rFonts w:ascii="Verdana" w:eastAsia="Verdana" w:hAnsi="Verdana" w:cs="Verdana" w:hint="default"/>
        <w:spacing w:val="-24"/>
        <w:w w:val="100"/>
        <w:sz w:val="18"/>
        <w:szCs w:val="18"/>
        <w:lang w:val="es-ES" w:eastAsia="en-US" w:bidi="ar-SA"/>
      </w:rPr>
    </w:lvl>
    <w:lvl w:ilvl="1" w:tplc="022EE9DC">
      <w:numFmt w:val="bullet"/>
      <w:lvlText w:val=""/>
      <w:lvlJc w:val="left"/>
      <w:pPr>
        <w:ind w:left="1541" w:hanging="360"/>
      </w:pPr>
      <w:rPr>
        <w:rFonts w:ascii="Symbol" w:eastAsia="Symbol" w:hAnsi="Symbol" w:cs="Symbol" w:hint="default"/>
        <w:color w:val="FF0000"/>
        <w:w w:val="100"/>
        <w:sz w:val="18"/>
        <w:szCs w:val="18"/>
        <w:lang w:val="es-ES" w:eastAsia="en-US" w:bidi="ar-SA"/>
      </w:rPr>
    </w:lvl>
    <w:lvl w:ilvl="2" w:tplc="233E65CC">
      <w:numFmt w:val="bullet"/>
      <w:lvlText w:val="•"/>
      <w:lvlJc w:val="left"/>
      <w:pPr>
        <w:ind w:left="2427" w:hanging="360"/>
      </w:pPr>
      <w:rPr>
        <w:rFonts w:hint="default"/>
        <w:lang w:val="es-ES" w:eastAsia="en-US" w:bidi="ar-SA"/>
      </w:rPr>
    </w:lvl>
    <w:lvl w:ilvl="3" w:tplc="BA62EBE0">
      <w:numFmt w:val="bullet"/>
      <w:lvlText w:val="•"/>
      <w:lvlJc w:val="left"/>
      <w:pPr>
        <w:ind w:left="3315" w:hanging="360"/>
      </w:pPr>
      <w:rPr>
        <w:rFonts w:hint="default"/>
        <w:lang w:val="es-ES" w:eastAsia="en-US" w:bidi="ar-SA"/>
      </w:rPr>
    </w:lvl>
    <w:lvl w:ilvl="4" w:tplc="8FB0F7F0">
      <w:numFmt w:val="bullet"/>
      <w:lvlText w:val="•"/>
      <w:lvlJc w:val="left"/>
      <w:pPr>
        <w:ind w:left="4203" w:hanging="360"/>
      </w:pPr>
      <w:rPr>
        <w:rFonts w:hint="default"/>
        <w:lang w:val="es-ES" w:eastAsia="en-US" w:bidi="ar-SA"/>
      </w:rPr>
    </w:lvl>
    <w:lvl w:ilvl="5" w:tplc="5C7203F2">
      <w:numFmt w:val="bullet"/>
      <w:lvlText w:val="•"/>
      <w:lvlJc w:val="left"/>
      <w:pPr>
        <w:ind w:left="5091" w:hanging="360"/>
      </w:pPr>
      <w:rPr>
        <w:rFonts w:hint="default"/>
        <w:lang w:val="es-ES" w:eastAsia="en-US" w:bidi="ar-SA"/>
      </w:rPr>
    </w:lvl>
    <w:lvl w:ilvl="6" w:tplc="D7A46056">
      <w:numFmt w:val="bullet"/>
      <w:lvlText w:val="•"/>
      <w:lvlJc w:val="left"/>
      <w:pPr>
        <w:ind w:left="5978" w:hanging="360"/>
      </w:pPr>
      <w:rPr>
        <w:rFonts w:hint="default"/>
        <w:lang w:val="es-ES" w:eastAsia="en-US" w:bidi="ar-SA"/>
      </w:rPr>
    </w:lvl>
    <w:lvl w:ilvl="7" w:tplc="1C8458AA">
      <w:numFmt w:val="bullet"/>
      <w:lvlText w:val="•"/>
      <w:lvlJc w:val="left"/>
      <w:pPr>
        <w:ind w:left="6866" w:hanging="360"/>
      </w:pPr>
      <w:rPr>
        <w:rFonts w:hint="default"/>
        <w:lang w:val="es-ES" w:eastAsia="en-US" w:bidi="ar-SA"/>
      </w:rPr>
    </w:lvl>
    <w:lvl w:ilvl="8" w:tplc="FECCA72E">
      <w:numFmt w:val="bullet"/>
      <w:lvlText w:val="•"/>
      <w:lvlJc w:val="left"/>
      <w:pPr>
        <w:ind w:left="7754" w:hanging="360"/>
      </w:pPr>
      <w:rPr>
        <w:rFonts w:hint="default"/>
        <w:lang w:val="es-ES" w:eastAsia="en-US" w:bidi="ar-SA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6"/>
  </w:num>
  <w:num w:numId="7">
    <w:abstractNumId w:val="14"/>
  </w:num>
  <w:num w:numId="8">
    <w:abstractNumId w:val="19"/>
  </w:num>
  <w:num w:numId="9">
    <w:abstractNumId w:val="11"/>
  </w:num>
  <w:num w:numId="10">
    <w:abstractNumId w:val="17"/>
  </w:num>
  <w:num w:numId="11">
    <w:abstractNumId w:val="22"/>
  </w:num>
  <w:num w:numId="12">
    <w:abstractNumId w:val="10"/>
  </w:num>
  <w:num w:numId="13">
    <w:abstractNumId w:val="21"/>
  </w:num>
  <w:num w:numId="14">
    <w:abstractNumId w:val="12"/>
  </w:num>
  <w:num w:numId="15">
    <w:abstractNumId w:val="20"/>
  </w:num>
  <w:num w:numId="16">
    <w:abstractNumId w:val="18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15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removePersonalInformation/>
  <w:removeDateAndTime/>
  <w:proofState w:spelling="clean" w:grammar="clean"/>
  <w:attachedTemplate r:id="rId1"/>
  <w:stylePaneSortMethod w:val="0000"/>
  <w:defaultTabStop w:val="567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8A4"/>
    <w:rsid w:val="000074D5"/>
    <w:rsid w:val="0002424F"/>
    <w:rsid w:val="00033711"/>
    <w:rsid w:val="00034D83"/>
    <w:rsid w:val="00041095"/>
    <w:rsid w:val="00057830"/>
    <w:rsid w:val="00057BEF"/>
    <w:rsid w:val="00067D73"/>
    <w:rsid w:val="00071B26"/>
    <w:rsid w:val="00073AAA"/>
    <w:rsid w:val="0008008F"/>
    <w:rsid w:val="00085B17"/>
    <w:rsid w:val="0008781A"/>
    <w:rsid w:val="000957F7"/>
    <w:rsid w:val="000A7098"/>
    <w:rsid w:val="000B12FE"/>
    <w:rsid w:val="000B3946"/>
    <w:rsid w:val="000C4EE6"/>
    <w:rsid w:val="000C724C"/>
    <w:rsid w:val="000D23F0"/>
    <w:rsid w:val="000E0E54"/>
    <w:rsid w:val="00104D9E"/>
    <w:rsid w:val="00106329"/>
    <w:rsid w:val="00114B29"/>
    <w:rsid w:val="00116FF0"/>
    <w:rsid w:val="001171A2"/>
    <w:rsid w:val="00120B96"/>
    <w:rsid w:val="001273FC"/>
    <w:rsid w:val="001338F0"/>
    <w:rsid w:val="0014012F"/>
    <w:rsid w:val="00140A5C"/>
    <w:rsid w:val="001426D0"/>
    <w:rsid w:val="001545C8"/>
    <w:rsid w:val="00165602"/>
    <w:rsid w:val="00175ECF"/>
    <w:rsid w:val="00185A4B"/>
    <w:rsid w:val="001A6146"/>
    <w:rsid w:val="001B50DF"/>
    <w:rsid w:val="001C00E1"/>
    <w:rsid w:val="001D0E4B"/>
    <w:rsid w:val="001F5CE0"/>
    <w:rsid w:val="002149CB"/>
    <w:rsid w:val="00217C77"/>
    <w:rsid w:val="002242B5"/>
    <w:rsid w:val="0025300D"/>
    <w:rsid w:val="00255119"/>
    <w:rsid w:val="002564AF"/>
    <w:rsid w:val="00276383"/>
    <w:rsid w:val="002849F9"/>
    <w:rsid w:val="0028644C"/>
    <w:rsid w:val="00287066"/>
    <w:rsid w:val="002C7459"/>
    <w:rsid w:val="002F4545"/>
    <w:rsid w:val="003267CD"/>
    <w:rsid w:val="0033091C"/>
    <w:rsid w:val="00334600"/>
    <w:rsid w:val="00337700"/>
    <w:rsid w:val="003422F5"/>
    <w:rsid w:val="00342A86"/>
    <w:rsid w:val="00375A78"/>
    <w:rsid w:val="00375D8C"/>
    <w:rsid w:val="00376068"/>
    <w:rsid w:val="003A0E78"/>
    <w:rsid w:val="003A19CB"/>
    <w:rsid w:val="003B0391"/>
    <w:rsid w:val="003B6D4C"/>
    <w:rsid w:val="003C0EE2"/>
    <w:rsid w:val="003D23EF"/>
    <w:rsid w:val="003F0353"/>
    <w:rsid w:val="003F46BB"/>
    <w:rsid w:val="00411B59"/>
    <w:rsid w:val="00417FBC"/>
    <w:rsid w:val="0042568B"/>
    <w:rsid w:val="0043612A"/>
    <w:rsid w:val="00450B4C"/>
    <w:rsid w:val="00467C1D"/>
    <w:rsid w:val="00472E0E"/>
    <w:rsid w:val="004937F4"/>
    <w:rsid w:val="004D3CFA"/>
    <w:rsid w:val="004D46A8"/>
    <w:rsid w:val="004E1A35"/>
    <w:rsid w:val="004E55A0"/>
    <w:rsid w:val="004F4ADE"/>
    <w:rsid w:val="00522FB2"/>
    <w:rsid w:val="00524772"/>
    <w:rsid w:val="00533502"/>
    <w:rsid w:val="00571EE1"/>
    <w:rsid w:val="005758DE"/>
    <w:rsid w:val="00586E85"/>
    <w:rsid w:val="00592965"/>
    <w:rsid w:val="005B571A"/>
    <w:rsid w:val="005C2686"/>
    <w:rsid w:val="005C6D4E"/>
    <w:rsid w:val="005D1B1F"/>
    <w:rsid w:val="005D21E5"/>
    <w:rsid w:val="005D4F0E"/>
    <w:rsid w:val="005E14C9"/>
    <w:rsid w:val="005F5099"/>
    <w:rsid w:val="00601FD4"/>
    <w:rsid w:val="006050A3"/>
    <w:rsid w:val="00605630"/>
    <w:rsid w:val="00613E70"/>
    <w:rsid w:val="00651A67"/>
    <w:rsid w:val="00652662"/>
    <w:rsid w:val="00656582"/>
    <w:rsid w:val="006652F7"/>
    <w:rsid w:val="00674833"/>
    <w:rsid w:val="00685FFD"/>
    <w:rsid w:val="006A2F2A"/>
    <w:rsid w:val="006D0EF5"/>
    <w:rsid w:val="006E0C67"/>
    <w:rsid w:val="006E325C"/>
    <w:rsid w:val="006F4715"/>
    <w:rsid w:val="00712F12"/>
    <w:rsid w:val="00727F5B"/>
    <w:rsid w:val="00731D04"/>
    <w:rsid w:val="007342C0"/>
    <w:rsid w:val="00735ADA"/>
    <w:rsid w:val="0077630D"/>
    <w:rsid w:val="00784F07"/>
    <w:rsid w:val="00786BAB"/>
    <w:rsid w:val="00795114"/>
    <w:rsid w:val="007A242D"/>
    <w:rsid w:val="007A761F"/>
    <w:rsid w:val="007B7BB1"/>
    <w:rsid w:val="007C4766"/>
    <w:rsid w:val="007C73BA"/>
    <w:rsid w:val="007D39B5"/>
    <w:rsid w:val="007D66F1"/>
    <w:rsid w:val="007E25A0"/>
    <w:rsid w:val="00827789"/>
    <w:rsid w:val="00834FB6"/>
    <w:rsid w:val="008402D9"/>
    <w:rsid w:val="00842D59"/>
    <w:rsid w:val="00850ABD"/>
    <w:rsid w:val="00852811"/>
    <w:rsid w:val="0085388D"/>
    <w:rsid w:val="00885409"/>
    <w:rsid w:val="008A1305"/>
    <w:rsid w:val="008A2F61"/>
    <w:rsid w:val="008B6259"/>
    <w:rsid w:val="008D4588"/>
    <w:rsid w:val="008E7923"/>
    <w:rsid w:val="008F2A05"/>
    <w:rsid w:val="00912133"/>
    <w:rsid w:val="0091417D"/>
    <w:rsid w:val="0091432B"/>
    <w:rsid w:val="00917BFE"/>
    <w:rsid w:val="009304CB"/>
    <w:rsid w:val="00933A33"/>
    <w:rsid w:val="00937457"/>
    <w:rsid w:val="0093775F"/>
    <w:rsid w:val="009408FB"/>
    <w:rsid w:val="0094262B"/>
    <w:rsid w:val="009534DB"/>
    <w:rsid w:val="00957719"/>
    <w:rsid w:val="00970DB6"/>
    <w:rsid w:val="00986D06"/>
    <w:rsid w:val="009A0D78"/>
    <w:rsid w:val="009B12F8"/>
    <w:rsid w:val="009B4D97"/>
    <w:rsid w:val="009B74DC"/>
    <w:rsid w:val="009D63FB"/>
    <w:rsid w:val="009F491D"/>
    <w:rsid w:val="009F6806"/>
    <w:rsid w:val="00A307E5"/>
    <w:rsid w:val="00A333FA"/>
    <w:rsid w:val="00A37C79"/>
    <w:rsid w:val="00A4069A"/>
    <w:rsid w:val="00A46611"/>
    <w:rsid w:val="00A5069F"/>
    <w:rsid w:val="00A53881"/>
    <w:rsid w:val="00A60556"/>
    <w:rsid w:val="00A67526"/>
    <w:rsid w:val="00A73F8C"/>
    <w:rsid w:val="00A84BF5"/>
    <w:rsid w:val="00A9549B"/>
    <w:rsid w:val="00A979E7"/>
    <w:rsid w:val="00AB1FFC"/>
    <w:rsid w:val="00AC7C4D"/>
    <w:rsid w:val="00AD1003"/>
    <w:rsid w:val="00AD59FD"/>
    <w:rsid w:val="00AE3C0C"/>
    <w:rsid w:val="00AF33E8"/>
    <w:rsid w:val="00B016F2"/>
    <w:rsid w:val="00B01B31"/>
    <w:rsid w:val="00B07663"/>
    <w:rsid w:val="00B241C3"/>
    <w:rsid w:val="00B24B85"/>
    <w:rsid w:val="00B30392"/>
    <w:rsid w:val="00B35A16"/>
    <w:rsid w:val="00B41A02"/>
    <w:rsid w:val="00B4336E"/>
    <w:rsid w:val="00B45F9E"/>
    <w:rsid w:val="00B46156"/>
    <w:rsid w:val="00B512A3"/>
    <w:rsid w:val="00B51F0C"/>
    <w:rsid w:val="00B64BAA"/>
    <w:rsid w:val="00B745F0"/>
    <w:rsid w:val="00B7662C"/>
    <w:rsid w:val="00B83FE6"/>
    <w:rsid w:val="00B86771"/>
    <w:rsid w:val="00B908EB"/>
    <w:rsid w:val="00BA0E6A"/>
    <w:rsid w:val="00BA5D80"/>
    <w:rsid w:val="00BB16B7"/>
    <w:rsid w:val="00BB432E"/>
    <w:rsid w:val="00BC04F5"/>
    <w:rsid w:val="00BC17E5"/>
    <w:rsid w:val="00BC2650"/>
    <w:rsid w:val="00BC65E1"/>
    <w:rsid w:val="00BE22D7"/>
    <w:rsid w:val="00BE6636"/>
    <w:rsid w:val="00BF4FB3"/>
    <w:rsid w:val="00BF5CA4"/>
    <w:rsid w:val="00C02826"/>
    <w:rsid w:val="00C05660"/>
    <w:rsid w:val="00C13A2A"/>
    <w:rsid w:val="00C324A5"/>
    <w:rsid w:val="00C32DCA"/>
    <w:rsid w:val="00C34F2D"/>
    <w:rsid w:val="00C400B5"/>
    <w:rsid w:val="00C41B3D"/>
    <w:rsid w:val="00C45B8E"/>
    <w:rsid w:val="00C46173"/>
    <w:rsid w:val="00C56E06"/>
    <w:rsid w:val="00C65229"/>
    <w:rsid w:val="00C65CB7"/>
    <w:rsid w:val="00C65F6E"/>
    <w:rsid w:val="00C67AA4"/>
    <w:rsid w:val="00C70DA8"/>
    <w:rsid w:val="00C71274"/>
    <w:rsid w:val="00C82526"/>
    <w:rsid w:val="00C97117"/>
    <w:rsid w:val="00CA2026"/>
    <w:rsid w:val="00CB027E"/>
    <w:rsid w:val="00CB2591"/>
    <w:rsid w:val="00CD0195"/>
    <w:rsid w:val="00CD2010"/>
    <w:rsid w:val="00CD5EC3"/>
    <w:rsid w:val="00CE1C9D"/>
    <w:rsid w:val="00CF6F2B"/>
    <w:rsid w:val="00D17351"/>
    <w:rsid w:val="00D21888"/>
    <w:rsid w:val="00D338A4"/>
    <w:rsid w:val="00D45A6F"/>
    <w:rsid w:val="00D51510"/>
    <w:rsid w:val="00D65AF6"/>
    <w:rsid w:val="00D66DCB"/>
    <w:rsid w:val="00D66F5C"/>
    <w:rsid w:val="00D87E5E"/>
    <w:rsid w:val="00D9162F"/>
    <w:rsid w:val="00DA4979"/>
    <w:rsid w:val="00DB47DD"/>
    <w:rsid w:val="00DB7BC3"/>
    <w:rsid w:val="00DB7CB0"/>
    <w:rsid w:val="00DD65B2"/>
    <w:rsid w:val="00E21AEE"/>
    <w:rsid w:val="00E464CD"/>
    <w:rsid w:val="00E47B1B"/>
    <w:rsid w:val="00E81A56"/>
    <w:rsid w:val="00E844E4"/>
    <w:rsid w:val="00E916F1"/>
    <w:rsid w:val="00E92DDA"/>
    <w:rsid w:val="00E97806"/>
    <w:rsid w:val="00E97D83"/>
    <w:rsid w:val="00EA0710"/>
    <w:rsid w:val="00EA1572"/>
    <w:rsid w:val="00EB1D8F"/>
    <w:rsid w:val="00EB4982"/>
    <w:rsid w:val="00EE50B7"/>
    <w:rsid w:val="00EF7D84"/>
    <w:rsid w:val="00F009AC"/>
    <w:rsid w:val="00F11625"/>
    <w:rsid w:val="00F325A3"/>
    <w:rsid w:val="00F66DA8"/>
    <w:rsid w:val="00F7752D"/>
    <w:rsid w:val="00F84BAB"/>
    <w:rsid w:val="00F854DF"/>
    <w:rsid w:val="00F94181"/>
    <w:rsid w:val="00F94FC2"/>
    <w:rsid w:val="00FB17AE"/>
    <w:rsid w:val="00FC4B26"/>
    <w:rsid w:val="00FC4ECA"/>
    <w:rsid w:val="00FD32F5"/>
    <w:rsid w:val="00FE550F"/>
    <w:rsid w:val="00FF0748"/>
    <w:rsid w:val="00FF3CE4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4E4FEC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752D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F7752D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F7752D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F7752D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F7752D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F7752D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F7752D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F7752D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F7752D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F7752D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F7752D"/>
    <w:rPr>
      <w:rFonts w:ascii="Verdana" w:eastAsiaTheme="majorEastAsia" w:hAnsi="Verdana" w:cstheme="majorBidi"/>
      <w:b/>
      <w:bCs/>
      <w:caps/>
      <w:color w:val="006283"/>
      <w:sz w:val="1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F7752D"/>
    <w:rPr>
      <w:rFonts w:ascii="Verdana" w:eastAsiaTheme="majorEastAsia" w:hAnsi="Verdana" w:cstheme="majorBidi"/>
      <w:b/>
      <w:color w:val="006283"/>
      <w:sz w:val="18"/>
      <w:szCs w:val="2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F7752D"/>
    <w:rPr>
      <w:rFonts w:ascii="Verdana" w:eastAsiaTheme="majorEastAsia" w:hAnsi="Verdana" w:cstheme="majorBidi"/>
      <w:b/>
      <w:bCs/>
      <w:color w:val="006283"/>
      <w:sz w:val="18"/>
      <w:szCs w:val="26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F7752D"/>
    <w:rPr>
      <w:rFonts w:ascii="Verdana" w:eastAsiaTheme="majorEastAsia" w:hAnsi="Verdana" w:cstheme="majorBidi"/>
      <w:b/>
      <w:bCs/>
      <w:color w:val="006283"/>
      <w:sz w:val="18"/>
      <w:szCs w:val="22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F7752D"/>
    <w:rPr>
      <w:rFonts w:ascii="Verdana" w:eastAsiaTheme="majorEastAsia" w:hAnsi="Verdana" w:cstheme="majorBidi"/>
      <w:b/>
      <w:bCs/>
      <w:iCs/>
      <w:color w:val="006283"/>
      <w:sz w:val="18"/>
      <w:szCs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F7752D"/>
    <w:rPr>
      <w:rFonts w:ascii="Verdana" w:eastAsiaTheme="majorEastAsia" w:hAnsi="Verdana" w:cstheme="majorBidi"/>
      <w:b/>
      <w:iCs/>
      <w:color w:val="006283"/>
      <w:sz w:val="18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F7752D"/>
    <w:rPr>
      <w:rFonts w:ascii="Verdana" w:eastAsiaTheme="majorEastAsia" w:hAnsi="Verdana" w:cstheme="majorBidi"/>
      <w:b/>
      <w:iCs/>
      <w:color w:val="006283"/>
      <w:sz w:val="18"/>
      <w:szCs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F7752D"/>
    <w:rPr>
      <w:rFonts w:ascii="Verdana" w:eastAsiaTheme="majorEastAsia" w:hAnsi="Verdana" w:cstheme="majorBidi"/>
      <w:b/>
      <w:i/>
      <w:color w:val="006283"/>
      <w:sz w:val="18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F7752D"/>
    <w:rPr>
      <w:rFonts w:ascii="Verdana" w:eastAsiaTheme="majorEastAsia" w:hAnsi="Verdana" w:cstheme="majorBidi"/>
      <w:b/>
      <w:iCs/>
      <w:color w:val="006283"/>
      <w:sz w:val="18"/>
      <w:u w:val="single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5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52D"/>
    <w:rPr>
      <w:rFonts w:ascii="Tahoma" w:eastAsiaTheme="minorHAnsi" w:hAnsi="Tahoma" w:cs="Tahoma"/>
      <w:sz w:val="16"/>
      <w:szCs w:val="16"/>
      <w:lang w:val="en-GB" w:eastAsia="en-US"/>
    </w:rPr>
  </w:style>
  <w:style w:type="paragraph" w:customStyle="1" w:styleId="Answer">
    <w:name w:val="Answer"/>
    <w:basedOn w:val="Normal"/>
    <w:link w:val="AnswerChar"/>
    <w:uiPriority w:val="6"/>
    <w:qFormat/>
    <w:rsid w:val="00F7752D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F7752D"/>
    <w:rPr>
      <w:rFonts w:ascii="Verdana" w:hAnsi="Verdana"/>
      <w:sz w:val="18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F7752D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F7752D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2">
    <w:name w:val="Body Text 2"/>
    <w:basedOn w:val="Normal"/>
    <w:link w:val="BodyText2Char"/>
    <w:uiPriority w:val="1"/>
    <w:qFormat/>
    <w:rsid w:val="00F7752D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F7752D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3">
    <w:name w:val="Body Text 3"/>
    <w:basedOn w:val="Normal"/>
    <w:link w:val="BodyText3Char"/>
    <w:uiPriority w:val="1"/>
    <w:qFormat/>
    <w:rsid w:val="00F7752D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F7752D"/>
    <w:rPr>
      <w:rFonts w:ascii="Verdana" w:eastAsiaTheme="minorHAnsi" w:hAnsi="Verdana" w:cstheme="minorBidi"/>
      <w:sz w:val="18"/>
      <w:szCs w:val="16"/>
      <w:lang w:val="en-GB" w:eastAsia="en-US"/>
    </w:rPr>
  </w:style>
  <w:style w:type="paragraph" w:styleId="Caption">
    <w:name w:val="caption"/>
    <w:basedOn w:val="Normal"/>
    <w:next w:val="Normal"/>
    <w:uiPriority w:val="6"/>
    <w:qFormat/>
    <w:rsid w:val="00F7752D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F7752D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F7752D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F7752D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F7752D"/>
    <w:rPr>
      <w:szCs w:val="20"/>
    </w:rPr>
  </w:style>
  <w:style w:type="character" w:customStyle="1" w:styleId="EndnoteTextChar">
    <w:name w:val="Endnote Text Char"/>
    <w:link w:val="EndnoteText"/>
    <w:uiPriority w:val="49"/>
    <w:rsid w:val="00F7752D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F7752D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F7752D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F7752D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F7752D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F7752D"/>
    <w:pPr>
      <w:ind w:left="567" w:right="567" w:firstLine="0"/>
    </w:pPr>
  </w:style>
  <w:style w:type="character" w:styleId="FootnoteReference">
    <w:name w:val="footnote reference"/>
    <w:uiPriority w:val="5"/>
    <w:rsid w:val="00F7752D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F7752D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F7752D"/>
    <w:rPr>
      <w:rFonts w:ascii="Verdana" w:hAnsi="Verdana"/>
      <w:sz w:val="18"/>
      <w:szCs w:val="18"/>
    </w:rPr>
  </w:style>
  <w:style w:type="numbering" w:customStyle="1" w:styleId="LegalHeadings">
    <w:name w:val="LegalHeadings"/>
    <w:uiPriority w:val="99"/>
    <w:rsid w:val="00F7752D"/>
    <w:pPr>
      <w:numPr>
        <w:numId w:val="6"/>
      </w:numPr>
    </w:pPr>
  </w:style>
  <w:style w:type="paragraph" w:styleId="ListBullet">
    <w:name w:val="List Bullet"/>
    <w:basedOn w:val="Normal"/>
    <w:uiPriority w:val="1"/>
    <w:rsid w:val="00F7752D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F7752D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F7752D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F7752D"/>
    <w:pPr>
      <w:numPr>
        <w:ilvl w:val="3"/>
        <w:numId w:val="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F7752D"/>
    <w:pPr>
      <w:numPr>
        <w:ilvl w:val="4"/>
        <w:numId w:val="5"/>
      </w:numPr>
      <w:tabs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qFormat/>
    <w:rsid w:val="00F7752D"/>
    <w:pPr>
      <w:ind w:left="720"/>
      <w:contextualSpacing/>
    </w:pPr>
  </w:style>
  <w:style w:type="numbering" w:customStyle="1" w:styleId="ListBullets">
    <w:name w:val="ListBullets"/>
    <w:uiPriority w:val="99"/>
    <w:rsid w:val="00F7752D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F7752D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F7752D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F7752D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F7752D"/>
    <w:rPr>
      <w:rFonts w:ascii="Verdana" w:eastAsiaTheme="majorEastAsia" w:hAnsi="Verdana" w:cstheme="majorBidi"/>
      <w:b/>
      <w:iCs/>
      <w:sz w:val="18"/>
      <w:szCs w:val="24"/>
      <w:lang w:val="en-GB" w:eastAsia="en-US"/>
    </w:rPr>
  </w:style>
  <w:style w:type="paragraph" w:customStyle="1" w:styleId="SummaryHeader">
    <w:name w:val="SummaryHeader"/>
    <w:basedOn w:val="Normal"/>
    <w:uiPriority w:val="4"/>
    <w:qFormat/>
    <w:rsid w:val="00F7752D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7752D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F7752D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F7752D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F7752D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F7752D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F7752D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 w:eastAsia="en-US"/>
    </w:rPr>
  </w:style>
  <w:style w:type="paragraph" w:customStyle="1" w:styleId="Title2">
    <w:name w:val="Title 2"/>
    <w:basedOn w:val="Normal"/>
    <w:next w:val="Normal"/>
    <w:uiPriority w:val="5"/>
    <w:qFormat/>
    <w:rsid w:val="00F7752D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F7752D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F7752D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F7752D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F7752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F7752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F7752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F7752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F7752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F7752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F7752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F7752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F7752D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F7752D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F7752D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F7752D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F7752D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F7752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F7752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F7752D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F7752D"/>
    <w:rPr>
      <w:color w:val="0000FF" w:themeColor="hyperlink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F7752D"/>
  </w:style>
  <w:style w:type="paragraph" w:styleId="BlockText">
    <w:name w:val="Block Text"/>
    <w:basedOn w:val="Normal"/>
    <w:uiPriority w:val="99"/>
    <w:semiHidden/>
    <w:unhideWhenUsed/>
    <w:rsid w:val="00F7752D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7752D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7752D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7752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7752D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7752D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7752D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7752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7752D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7752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7752D"/>
    <w:rPr>
      <w:rFonts w:ascii="Verdana" w:eastAsiaTheme="minorHAnsi" w:hAnsi="Verdana" w:cstheme="minorBidi"/>
      <w:sz w:val="16"/>
      <w:szCs w:val="16"/>
      <w:lang w:val="en-GB" w:eastAsia="en-US"/>
    </w:rPr>
  </w:style>
  <w:style w:type="character" w:styleId="BookTitle">
    <w:name w:val="Book Title"/>
    <w:basedOn w:val="DefaultParagraphFont"/>
    <w:uiPriority w:val="99"/>
    <w:semiHidden/>
    <w:qFormat/>
    <w:rsid w:val="00F7752D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F7752D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7752D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7752D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F775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7752D"/>
    <w:rPr>
      <w:rFonts w:ascii="Verdana" w:eastAsiaTheme="minorHAnsi" w:hAnsi="Verdana" w:cstheme="minorBid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F775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F7752D"/>
    <w:rPr>
      <w:rFonts w:ascii="Verdana" w:eastAsiaTheme="minorHAnsi" w:hAnsi="Verdana" w:cstheme="minorBidi"/>
      <w:b/>
      <w:bCs/>
      <w:lang w:val="en-GB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7752D"/>
  </w:style>
  <w:style w:type="character" w:customStyle="1" w:styleId="DateChar">
    <w:name w:val="Date Char"/>
    <w:basedOn w:val="DefaultParagraphFont"/>
    <w:link w:val="Date"/>
    <w:uiPriority w:val="99"/>
    <w:semiHidden/>
    <w:rsid w:val="00F7752D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7752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7752D"/>
    <w:rPr>
      <w:rFonts w:ascii="Tahoma" w:eastAsiaTheme="minorHAnsi" w:hAnsi="Tahoma" w:cs="Tahoma"/>
      <w:sz w:val="16"/>
      <w:szCs w:val="16"/>
      <w:lang w:val="en-GB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7752D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7752D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Emphasis">
    <w:name w:val="Emphasis"/>
    <w:basedOn w:val="DefaultParagraphFont"/>
    <w:uiPriority w:val="99"/>
    <w:semiHidden/>
    <w:qFormat/>
    <w:rsid w:val="00F7752D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F7752D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7752D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F7752D"/>
    <w:rPr>
      <w:color w:val="800080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F7752D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F7752D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7752D"/>
    <w:rPr>
      <w:rFonts w:ascii="Verdana" w:eastAsiaTheme="minorHAnsi" w:hAnsi="Verdana" w:cstheme="minorBidi"/>
      <w:i/>
      <w:iCs/>
      <w:sz w:val="18"/>
      <w:szCs w:val="22"/>
      <w:lang w:val="en-GB" w:eastAsia="en-US"/>
    </w:rPr>
  </w:style>
  <w:style w:type="character" w:styleId="HTMLCite">
    <w:name w:val="HTML Cite"/>
    <w:basedOn w:val="DefaultParagraphFont"/>
    <w:uiPriority w:val="99"/>
    <w:semiHidden/>
    <w:unhideWhenUsed/>
    <w:rsid w:val="00F7752D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unhideWhenUsed/>
    <w:rsid w:val="00F7752D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F7752D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F7752D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7752D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7752D"/>
    <w:rPr>
      <w:rFonts w:ascii="Consolas" w:eastAsiaTheme="minorHAnsi" w:hAnsi="Consolas" w:cs="Consolas"/>
      <w:lang w:val="en-GB" w:eastAsia="en-US"/>
    </w:rPr>
  </w:style>
  <w:style w:type="character" w:styleId="HTMLSample">
    <w:name w:val="HTML Sample"/>
    <w:basedOn w:val="DefaultParagraphFont"/>
    <w:uiPriority w:val="99"/>
    <w:semiHidden/>
    <w:unhideWhenUsed/>
    <w:rsid w:val="00F7752D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F7752D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F7752D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F7752D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F7752D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F7752D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F7752D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F7752D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F7752D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F7752D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F7752D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F7752D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7752D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F7752D"/>
    <w:rPr>
      <w:b/>
      <w:bCs/>
      <w:i/>
      <w:iCs/>
      <w:color w:val="4F81BD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F7752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F7752D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n-GB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F7752D"/>
    <w:rPr>
      <w:b/>
      <w:bCs/>
      <w:smallCaps/>
      <w:color w:val="C0504D" w:themeColor="accent2"/>
      <w:spacing w:val="5"/>
      <w:u w:val="single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F7752D"/>
    <w:rPr>
      <w:lang w:val="en-GB"/>
    </w:rPr>
  </w:style>
  <w:style w:type="paragraph" w:styleId="List">
    <w:name w:val="List"/>
    <w:basedOn w:val="Normal"/>
    <w:uiPriority w:val="99"/>
    <w:semiHidden/>
    <w:unhideWhenUsed/>
    <w:rsid w:val="00F7752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F7752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F7752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F7752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F7752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F7752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7752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7752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7752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7752D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F7752D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F7752D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F7752D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F7752D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F7752D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F7752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7752D"/>
    <w:rPr>
      <w:rFonts w:ascii="Consolas" w:eastAsiaTheme="minorHAnsi" w:hAnsi="Consolas" w:cs="Consolas"/>
      <w:lang w:val="en-GB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7752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7752D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semiHidden/>
    <w:qFormat/>
    <w:rsid w:val="00F7752D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F7752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7752D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7752D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7752D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PageNumber">
    <w:name w:val="page number"/>
    <w:basedOn w:val="DefaultParagraphFont"/>
    <w:uiPriority w:val="99"/>
    <w:semiHidden/>
    <w:unhideWhenUsed/>
    <w:rsid w:val="00F7752D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F7752D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F7752D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7752D"/>
    <w:rPr>
      <w:rFonts w:ascii="Consolas" w:eastAsiaTheme="minorHAnsi" w:hAnsi="Consolas" w:cs="Consolas"/>
      <w:sz w:val="21"/>
      <w:szCs w:val="21"/>
      <w:lang w:val="en-GB" w:eastAsia="en-US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F7752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F7752D"/>
    <w:rPr>
      <w:rFonts w:ascii="Verdana" w:eastAsiaTheme="minorHAnsi" w:hAnsi="Verdana" w:cstheme="minorBidi"/>
      <w:i/>
      <w:iCs/>
      <w:color w:val="000000" w:themeColor="text1"/>
      <w:sz w:val="18"/>
      <w:szCs w:val="22"/>
      <w:lang w:val="en-GB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7752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7752D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7752D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7752D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Strong">
    <w:name w:val="Strong"/>
    <w:basedOn w:val="DefaultParagraphFont"/>
    <w:uiPriority w:val="99"/>
    <w:semiHidden/>
    <w:qFormat/>
    <w:rsid w:val="00F7752D"/>
    <w:rPr>
      <w:b/>
      <w:bCs/>
      <w:lang w:val="en-GB"/>
    </w:rPr>
  </w:style>
  <w:style w:type="character" w:styleId="SubtleEmphasis">
    <w:name w:val="Subtle Emphasis"/>
    <w:basedOn w:val="DefaultParagraphFont"/>
    <w:uiPriority w:val="99"/>
    <w:semiHidden/>
    <w:qFormat/>
    <w:rsid w:val="00F7752D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99"/>
    <w:semiHidden/>
    <w:qFormat/>
    <w:rsid w:val="00F7752D"/>
    <w:rPr>
      <w:smallCaps/>
      <w:color w:val="C0504D" w:themeColor="accent2"/>
      <w:u w:val="single"/>
      <w:lang w:val="en-GB"/>
    </w:rPr>
  </w:style>
  <w:style w:type="paragraph" w:customStyle="1" w:styleId="TitleDate">
    <w:name w:val="Title Date"/>
    <w:basedOn w:val="Normal"/>
    <w:next w:val="Normal"/>
    <w:uiPriority w:val="5"/>
    <w:qFormat/>
    <w:rsid w:val="00F7752D"/>
    <w:pPr>
      <w:spacing w:after="240"/>
      <w:jc w:val="center"/>
    </w:pPr>
    <w:rPr>
      <w:rFonts w:eastAsia="Calibri" w:cs="Times New Roman"/>
      <w:color w:val="006283"/>
    </w:rPr>
  </w:style>
  <w:style w:type="character" w:styleId="UnresolvedMention">
    <w:name w:val="Unresolved Mention"/>
    <w:basedOn w:val="DefaultParagraphFont"/>
    <w:uiPriority w:val="99"/>
    <w:semiHidden/>
    <w:unhideWhenUsed/>
    <w:rsid w:val="00D338A4"/>
    <w:rPr>
      <w:color w:val="605E5C"/>
      <w:shd w:val="clear" w:color="auto" w:fill="E1DFDD"/>
      <w:lang w:val="en-GB"/>
    </w:rPr>
  </w:style>
  <w:style w:type="paragraph" w:customStyle="1" w:styleId="TableParagraph">
    <w:name w:val="Table Paragraph"/>
    <w:basedOn w:val="Normal"/>
    <w:uiPriority w:val="1"/>
    <w:qFormat/>
    <w:rsid w:val="00D338A4"/>
    <w:pPr>
      <w:widowControl w:val="0"/>
      <w:autoSpaceDE w:val="0"/>
      <w:autoSpaceDN w:val="0"/>
      <w:spacing w:line="194" w:lineRule="exact"/>
      <w:ind w:left="110"/>
      <w:jc w:val="center"/>
    </w:pPr>
    <w:rPr>
      <w:rFonts w:cs="Verdana"/>
      <w:sz w:val="22"/>
    </w:rPr>
  </w:style>
  <w:style w:type="table" w:styleId="ColorfulGrid">
    <w:name w:val="Colorful Grid"/>
    <w:basedOn w:val="TableNormal"/>
    <w:uiPriority w:val="73"/>
    <w:semiHidden/>
    <w:unhideWhenUsed/>
    <w:rsid w:val="00F7752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F7752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F7752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F7752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F7752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F7752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F7752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F7752D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F7752D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F7752D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F7752D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F7752D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F7752D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F7752D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F7752D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F7752D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F7752D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F7752D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F7752D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F7752D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F7752D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F7752D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F7752D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F7752D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F7752D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F7752D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F7752D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F7752D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GridTable1Light">
    <w:name w:val="Grid Table 1 Light"/>
    <w:basedOn w:val="TableNormal"/>
    <w:uiPriority w:val="46"/>
    <w:rsid w:val="00F7752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F7752D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F7752D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F7752D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F7752D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F7752D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F7752D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F7752D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F7752D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F7752D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F7752D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F7752D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F7752D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F7752D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F7752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F7752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F7752D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F7752D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F7752D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F7752D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F7752D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F7752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F7752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F7752D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F7752D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F7752D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F7752D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F7752D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F7752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F7752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F7752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F7752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F7752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F7752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F7752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F7752D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F7752D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F7752D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7752D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F7752D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F7752D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F7752D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F7752D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F7752D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F7752D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F7752D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F7752D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F7752D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F7752D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F7752D"/>
    <w:rPr>
      <w:color w:val="2B579A"/>
      <w:shd w:val="clear" w:color="auto" w:fill="E1DFDD"/>
      <w:lang w:val="en-GB"/>
    </w:rPr>
  </w:style>
  <w:style w:type="table" w:styleId="LightGrid">
    <w:name w:val="Light Grid"/>
    <w:basedOn w:val="TableNormal"/>
    <w:uiPriority w:val="62"/>
    <w:semiHidden/>
    <w:unhideWhenUsed/>
    <w:rsid w:val="00F7752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F7752D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F7752D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F7752D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F7752D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F7752D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F7752D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F7752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F7752D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F7752D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F7752D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F7752D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F7752D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F7752D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F7752D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F7752D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F7752D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F7752D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F7752D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F7752D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F7752D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stTable1Light">
    <w:name w:val="List Table 1 Light"/>
    <w:basedOn w:val="TableNormal"/>
    <w:uiPriority w:val="46"/>
    <w:rsid w:val="00F7752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F7752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F7752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F7752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F7752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F7752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F7752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F7752D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F7752D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F7752D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F7752D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F7752D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F7752D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F7752D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F7752D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F7752D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F7752D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F7752D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F7752D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F7752D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F7752D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F7752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F7752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F7752D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F7752D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F7752D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F7752D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F7752D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F7752D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F7752D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F7752D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F7752D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F7752D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F7752D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F7752D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F7752D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F7752D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F7752D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F7752D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F7752D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F7752D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F7752D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F7752D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F7752D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F7752D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F7752D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F7752D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F7752D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F7752D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F7752D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F7752D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F7752D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F7752D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F7752D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F7752D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F7752D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F7752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F7752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F7752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F7752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F7752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F7752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F7752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F7752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F7752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F7752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F7752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F7752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F7752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F7752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F7752D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F7752D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F7752D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F7752D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F7752D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F7752D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F7752D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F7752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F7752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F7752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F7752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F7752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F7752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F7752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F7752D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F7752D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F7752D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F7752D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F7752D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F7752D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F7752D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F7752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F7752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F7752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F7752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F7752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F7752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F7752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F7752D"/>
    <w:rPr>
      <w:color w:val="2B579A"/>
      <w:shd w:val="clear" w:color="auto" w:fill="E1DFDD"/>
      <w:lang w:val="en-GB"/>
    </w:rPr>
  </w:style>
  <w:style w:type="table" w:styleId="PlainTable1">
    <w:name w:val="Plain Table 1"/>
    <w:basedOn w:val="TableNormal"/>
    <w:uiPriority w:val="41"/>
    <w:rsid w:val="00F7752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7752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F7752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7752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7752D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semiHidden/>
    <w:unhideWhenUsed/>
    <w:rsid w:val="00F7752D"/>
    <w:rPr>
      <w:u w:val="dotted"/>
      <w:lang w:val="en-GB"/>
    </w:rPr>
  </w:style>
  <w:style w:type="character" w:styleId="SmartLink">
    <w:name w:val="Smart Link"/>
    <w:basedOn w:val="DefaultParagraphFont"/>
    <w:uiPriority w:val="99"/>
    <w:semiHidden/>
    <w:unhideWhenUsed/>
    <w:rsid w:val="00F7752D"/>
    <w:rPr>
      <w:color w:val="0000FF"/>
      <w:u w:val="single"/>
      <w:shd w:val="clear" w:color="auto" w:fill="F3F2F1"/>
      <w:lang w:val="en-GB"/>
    </w:rPr>
  </w:style>
  <w:style w:type="table" w:styleId="Table3Deffects1">
    <w:name w:val="Table 3D effects 1"/>
    <w:basedOn w:val="TableNormal"/>
    <w:uiPriority w:val="99"/>
    <w:semiHidden/>
    <w:unhideWhenUsed/>
    <w:rsid w:val="00F7752D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7752D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7752D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F7752D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7752D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7752D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7752D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7752D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7752D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7752D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F7752D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7752D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7752D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7752D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7752D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F7752D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7752D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F7752D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7752D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7752D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7752D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7752D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7752D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7752D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7752D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F7752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F7752D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7752D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7752D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7752D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7752D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7752D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7752D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7752D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F7752D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7752D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7752D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7752D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7752D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7752D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7752D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F7752D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7752D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7752D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88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footer" Target="footer3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www.afip.gob.ar/simi/" TargetMode="External"/><Relationship Id="rId4" Type="http://schemas.openxmlformats.org/officeDocument/2006/relationships/styles" Target="styles.xml"/><Relationship Id="rId9" Type="http://schemas.openxmlformats.org/officeDocument/2006/relationships/hyperlink" Target="http://servicios.infoleg.gob.ar/infolegInternet/anexos/275000-279999/276625/texact.htm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lan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WTO2012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DA9E9-182D-4BF6-BFB7-BC6DE1941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74</TotalTime>
  <Pages>5</Pages>
  <Words>1897</Words>
  <Characters>10740</Characters>
  <Application>Microsoft Office Word</Application>
  <DocSecurity>0</DocSecurity>
  <Lines>342</Lines>
  <Paragraphs>165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IMPORT LICENSING SYSTEM OF ARGENTINA</dc:title>
  <dc:creator/>
  <dc:description>LDIMD - DTU</dc:description>
  <cp:lastModifiedBy/>
  <cp:revision>11</cp:revision>
  <cp:lastPrinted>2020-11-18T15:28:00Z</cp:lastPrinted>
  <dcterms:created xsi:type="dcterms:W3CDTF">2020-11-19T09:43:00Z</dcterms:created>
  <dcterms:modified xsi:type="dcterms:W3CDTF">2020-11-19T14:15:00Z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2ec2eb5a-97d7-4636-8fd9-4ee517160e53</vt:lpwstr>
  </property>
  <property fmtid="{D5CDD505-2E9C-101B-9397-08002B2CF9AE}" pid="3" name="WTOCLASSIFICATION">
    <vt:lpwstr>WTO OFFICIAL</vt:lpwstr>
  </property>
</Properties>
</file>