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C27A" w14:textId="77777777" w:rsidR="00FE755A" w:rsidRPr="00F95875" w:rsidRDefault="00FE755A" w:rsidP="00FE755A">
      <w:pPr>
        <w:pStyle w:val="Titre"/>
        <w:rPr>
          <w:szCs w:val="18"/>
        </w:rPr>
      </w:pPr>
      <w:r w:rsidRPr="00F95875">
        <w:rPr>
          <w:szCs w:val="18"/>
        </w:rPr>
        <w:t>IMPORT LICENSING SYSTEM OF INDONESIA</w:t>
      </w:r>
    </w:p>
    <w:p w14:paraId="78F0B675" w14:textId="6F4E80A0" w:rsidR="00FE755A" w:rsidRPr="00F95875" w:rsidRDefault="00FE755A" w:rsidP="00FE755A">
      <w:pPr>
        <w:pStyle w:val="Title2"/>
      </w:pPr>
      <w:r w:rsidRPr="00F95875">
        <w:t>REPLIES BY INDONESIA TO THE QUESTIONS FROM THE EUROPEAN UNION</w:t>
      </w:r>
      <w:r w:rsidRPr="00F95875">
        <w:rPr>
          <w:rStyle w:val="Appelnotedebasdep"/>
          <w:rFonts w:eastAsia="Verdana" w:cs="Verdana"/>
        </w:rPr>
        <w:footnoteReference w:id="1"/>
      </w:r>
      <w:r w:rsidRPr="00F95875">
        <w:t xml:space="preserve"> </w:t>
      </w:r>
    </w:p>
    <w:p w14:paraId="702B9DC3" w14:textId="2B6F737F" w:rsidR="00FE755A" w:rsidRDefault="00FE755A" w:rsidP="00FE755A">
      <w:pPr>
        <w:rPr>
          <w:rFonts w:eastAsia="Verdana" w:cs="Verdana"/>
          <w:szCs w:val="18"/>
        </w:rPr>
      </w:pPr>
      <w:r w:rsidRPr="00F95875">
        <w:rPr>
          <w:rFonts w:eastAsia="Verdana" w:cs="Verdana"/>
          <w:szCs w:val="18"/>
        </w:rPr>
        <w:t xml:space="preserve">The following communication, dated </w:t>
      </w:r>
      <w:r>
        <w:rPr>
          <w:rFonts w:eastAsia="Verdana" w:cs="Verdana"/>
          <w:szCs w:val="18"/>
        </w:rPr>
        <w:t>20</w:t>
      </w:r>
      <w:r w:rsidRPr="00F95875">
        <w:rPr>
          <w:rFonts w:eastAsia="Verdana" w:cs="Verdana"/>
          <w:szCs w:val="18"/>
        </w:rPr>
        <w:t xml:space="preserve"> </w:t>
      </w:r>
      <w:r>
        <w:rPr>
          <w:rFonts w:eastAsia="Verdana" w:cs="Verdana"/>
          <w:szCs w:val="18"/>
        </w:rPr>
        <w:t>April</w:t>
      </w:r>
      <w:r w:rsidRPr="00F95875">
        <w:rPr>
          <w:rFonts w:eastAsia="Verdana" w:cs="Verdana"/>
          <w:szCs w:val="18"/>
        </w:rPr>
        <w:t xml:space="preserve"> 202</w:t>
      </w:r>
      <w:r>
        <w:rPr>
          <w:rFonts w:eastAsia="Verdana" w:cs="Verdana"/>
          <w:szCs w:val="18"/>
        </w:rPr>
        <w:t>2</w:t>
      </w:r>
      <w:r w:rsidRPr="00F95875">
        <w:rPr>
          <w:rFonts w:eastAsia="Verdana" w:cs="Verdana"/>
          <w:szCs w:val="18"/>
        </w:rPr>
        <w:t xml:space="preserve">, is being circulated at the request of the delegation of </w:t>
      </w:r>
      <w:r>
        <w:rPr>
          <w:rFonts w:eastAsia="Verdana" w:cs="Verdana"/>
          <w:szCs w:val="18"/>
        </w:rPr>
        <w:t>Indonesia</w:t>
      </w:r>
      <w:r w:rsidRPr="00F95875">
        <w:rPr>
          <w:rFonts w:eastAsia="Verdana" w:cs="Verdana"/>
          <w:szCs w:val="18"/>
        </w:rPr>
        <w:t>.</w:t>
      </w:r>
    </w:p>
    <w:p w14:paraId="6DAE8994" w14:textId="5BE0E6AE" w:rsidR="00FE755A" w:rsidRDefault="00FE755A" w:rsidP="00FE755A">
      <w:pPr>
        <w:rPr>
          <w:rFonts w:eastAsia="Verdana" w:cs="Verdana"/>
          <w:szCs w:val="18"/>
        </w:rPr>
      </w:pPr>
    </w:p>
    <w:p w14:paraId="132EC315" w14:textId="60B8FF4F" w:rsidR="00FE755A" w:rsidRDefault="00FE755A" w:rsidP="00FE755A">
      <w:pPr>
        <w:jc w:val="center"/>
        <w:rPr>
          <w:rFonts w:eastAsia="Verdana" w:cs="Verdana"/>
          <w:b/>
          <w:szCs w:val="18"/>
        </w:rPr>
      </w:pPr>
      <w:r>
        <w:rPr>
          <w:rFonts w:eastAsia="Verdana" w:cs="Verdana"/>
          <w:b/>
          <w:szCs w:val="18"/>
        </w:rPr>
        <w:t>_______________</w:t>
      </w:r>
    </w:p>
    <w:p w14:paraId="34276C0A" w14:textId="135057EE" w:rsidR="00FE755A" w:rsidRDefault="00FE755A" w:rsidP="00FE755A">
      <w:pPr>
        <w:rPr>
          <w:rFonts w:eastAsia="Verdana" w:cs="Verdana"/>
          <w:szCs w:val="18"/>
        </w:rPr>
      </w:pPr>
    </w:p>
    <w:p w14:paraId="0C49FDCF" w14:textId="77777777" w:rsidR="00FE755A" w:rsidRDefault="00FE755A" w:rsidP="00FE755A">
      <w:pPr>
        <w:rPr>
          <w:rFonts w:eastAsia="Verdana" w:cs="Verdana"/>
          <w:szCs w:val="18"/>
        </w:rPr>
      </w:pPr>
    </w:p>
    <w:p w14:paraId="30635E49" w14:textId="77777777" w:rsidR="00FE755A" w:rsidRPr="00F95875" w:rsidRDefault="00FE755A" w:rsidP="00FE755A">
      <w:pPr>
        <w:shd w:val="clear" w:color="auto" w:fill="FFFFFF"/>
        <w:spacing w:after="240"/>
        <w:rPr>
          <w:rFonts w:eastAsia="Verdana" w:cs="Verdana"/>
          <w:szCs w:val="18"/>
        </w:rPr>
      </w:pPr>
      <w:r w:rsidRPr="00F95875">
        <w:rPr>
          <w:rFonts w:eastAsia="Verdana" w:cs="Verdana"/>
          <w:szCs w:val="18"/>
        </w:rPr>
        <w:t xml:space="preserve">The EU notes that Indonesia has not submitted yet notifications on import licensing procedures of several products. </w:t>
      </w:r>
    </w:p>
    <w:p w14:paraId="6F24E93D" w14:textId="77777777" w:rsidR="00FE755A" w:rsidRPr="00F95875" w:rsidRDefault="00FE755A" w:rsidP="00FE755A">
      <w:pPr>
        <w:shd w:val="clear" w:color="auto" w:fill="FFFFFF"/>
        <w:spacing w:after="240"/>
        <w:rPr>
          <w:rFonts w:eastAsia="Verdana" w:cs="Verdana"/>
          <w:szCs w:val="18"/>
        </w:rPr>
      </w:pPr>
      <w:r w:rsidRPr="00F95875">
        <w:rPr>
          <w:rFonts w:eastAsia="Verdana" w:cs="Verdana"/>
          <w:szCs w:val="18"/>
        </w:rPr>
        <w:t xml:space="preserve">In the lack of such notifications and considering the increasing number of concerns of the EU traders on the import licensing procedures applied by Indonesia, the EU would like to ask Indonesia to clarify the aspects listed below. </w:t>
      </w:r>
    </w:p>
    <w:p w14:paraId="7614B760" w14:textId="77777777" w:rsidR="00FE755A" w:rsidRPr="00F95875" w:rsidRDefault="00FE755A" w:rsidP="00FE755A">
      <w:pPr>
        <w:shd w:val="clear" w:color="auto" w:fill="FFFFFF"/>
        <w:spacing w:after="240"/>
        <w:rPr>
          <w:rFonts w:eastAsia="Verdana" w:cs="Verdana"/>
          <w:szCs w:val="18"/>
        </w:rPr>
      </w:pPr>
      <w:r w:rsidRPr="00F95875">
        <w:rPr>
          <w:rFonts w:eastAsia="Verdana" w:cs="Verdana"/>
          <w:szCs w:val="18"/>
        </w:rPr>
        <w:t>According to the recent Trade Policy Review of Indonesia in the WTO</w:t>
      </w:r>
      <w:r w:rsidRPr="00F95875">
        <w:rPr>
          <w:rFonts w:eastAsia="Verdana" w:cs="Verdana"/>
          <w:szCs w:val="18"/>
          <w:vertAlign w:val="superscript"/>
        </w:rPr>
        <w:footnoteReference w:id="2"/>
      </w:r>
      <w:r w:rsidRPr="00F95875">
        <w:rPr>
          <w:rFonts w:eastAsia="Verdana" w:cs="Verdana"/>
          <w:szCs w:val="18"/>
        </w:rPr>
        <w:t>, "the regulatory framework of import licensing was expanded and revised for several items, including: animals and animal products; cloves; sugar; horticultural products; alcoholic beverages; salt; pearls; lubricants; plastic; nitro cellulose; sodium triopoly-phosphate; ozone-depleting substances; non-hazardous and non-toxic waste; optical discs (empty and filled) and machines and materials used to produce them; textiles and textile products; cell phones, handheld computers, and tablets; and colour multi-functional machines, colour photocopying and printing machines".</w:t>
      </w:r>
    </w:p>
    <w:p w14:paraId="13CBE593" w14:textId="77777777" w:rsidR="00FE755A" w:rsidRPr="00FE755A" w:rsidRDefault="00FE755A" w:rsidP="00FE755A">
      <w:pPr>
        <w:spacing w:after="240"/>
        <w:rPr>
          <w:b/>
          <w:bCs/>
        </w:rPr>
      </w:pPr>
      <w:r w:rsidRPr="00FE755A">
        <w:rPr>
          <w:b/>
          <w:bCs/>
        </w:rPr>
        <w:t xml:space="preserve">Regulation of the Minister of Trade of the Republic of Indonesia No. 77/2019 concerning the provisions on the import of textiles and textile products: </w:t>
      </w:r>
    </w:p>
    <w:p w14:paraId="1032EA15" w14:textId="77777777" w:rsidR="00FE755A" w:rsidRPr="00F95875" w:rsidRDefault="00FE755A" w:rsidP="00FE755A">
      <w:pPr>
        <w:numPr>
          <w:ilvl w:val="0"/>
          <w:numId w:val="17"/>
        </w:numPr>
        <w:shd w:val="clear" w:color="auto" w:fill="FFFFFF"/>
        <w:spacing w:after="240"/>
        <w:ind w:left="567" w:hanging="567"/>
        <w:rPr>
          <w:rFonts w:eastAsia="Verdana" w:cs="Verdana"/>
          <w:szCs w:val="18"/>
        </w:rPr>
      </w:pPr>
      <w:r w:rsidRPr="00F95875">
        <w:rPr>
          <w:rFonts w:eastAsia="Verdana" w:cs="Verdana"/>
          <w:szCs w:val="18"/>
        </w:rPr>
        <w:t xml:space="preserve">When will Indonesia submit the notification of the above-mentioned law to the WTO, as required under Articles 1.5 and 5 of the WTO Agreement on Import Licensing procedures? </w:t>
      </w:r>
    </w:p>
    <w:p w14:paraId="0C4AEB84" w14:textId="77777777" w:rsidR="00FE755A" w:rsidRPr="00F95875" w:rsidRDefault="00FE755A" w:rsidP="00FE755A">
      <w:pPr>
        <w:numPr>
          <w:ilvl w:val="0"/>
          <w:numId w:val="17"/>
        </w:numPr>
        <w:shd w:val="clear" w:color="auto" w:fill="FFFFFF"/>
        <w:spacing w:after="240"/>
        <w:ind w:left="567" w:hanging="567"/>
        <w:rPr>
          <w:rFonts w:eastAsia="Verdana" w:cs="Verdana"/>
          <w:szCs w:val="18"/>
        </w:rPr>
      </w:pPr>
      <w:r w:rsidRPr="00F95875">
        <w:rPr>
          <w:rFonts w:eastAsia="Verdana" w:cs="Verdana"/>
          <w:szCs w:val="18"/>
        </w:rPr>
        <w:t>Could Indonesia indicate whether traders, which were taken by surprise by the application of Regulation No. 77/2019 without advance notification to the WTO, could at least complete their importations into Indonesia under the previous regime?</w:t>
      </w:r>
    </w:p>
    <w:p w14:paraId="3139F029" w14:textId="77777777" w:rsidR="00FE755A" w:rsidRPr="00F95875" w:rsidRDefault="00FE755A" w:rsidP="00FE755A">
      <w:pPr>
        <w:numPr>
          <w:ilvl w:val="0"/>
          <w:numId w:val="17"/>
        </w:numPr>
        <w:shd w:val="clear" w:color="auto" w:fill="FFFFFF"/>
        <w:spacing w:after="240"/>
        <w:ind w:left="567" w:hanging="567"/>
        <w:rPr>
          <w:rFonts w:eastAsia="Verdana" w:cs="Verdana"/>
          <w:szCs w:val="18"/>
        </w:rPr>
      </w:pPr>
      <w:r w:rsidRPr="00F95875">
        <w:rPr>
          <w:rFonts w:eastAsia="Verdana" w:cs="Verdana"/>
          <w:szCs w:val="18"/>
        </w:rPr>
        <w:t>Could Indonesia indicate whether finished textile products, listed in the Annex to Regulation No. 77/2019, may be imported into Indonesia for purposes other than further processing by domestic producer importers, their cooperating production parties, and/or small- and mid-sized industries?</w:t>
      </w:r>
    </w:p>
    <w:p w14:paraId="16BF1A22" w14:textId="77777777" w:rsidR="00FE755A" w:rsidRPr="00F95875" w:rsidRDefault="00FE755A" w:rsidP="00FE755A">
      <w:pPr>
        <w:numPr>
          <w:ilvl w:val="0"/>
          <w:numId w:val="17"/>
        </w:numPr>
        <w:shd w:val="clear" w:color="auto" w:fill="FFFFFF"/>
        <w:spacing w:after="240"/>
        <w:ind w:left="567" w:hanging="567"/>
        <w:rPr>
          <w:rFonts w:eastAsia="Verdana" w:cs="Verdana"/>
          <w:szCs w:val="18"/>
        </w:rPr>
      </w:pPr>
      <w:r w:rsidRPr="00F95875">
        <w:rPr>
          <w:rFonts w:eastAsia="Verdana" w:cs="Verdana"/>
          <w:szCs w:val="18"/>
        </w:rPr>
        <w:t>If so, could Indonesia please provide the following information:</w:t>
      </w:r>
    </w:p>
    <w:p w14:paraId="3C5A3789" w14:textId="77777777" w:rsidR="00FE755A" w:rsidRPr="00F95875" w:rsidRDefault="00FE755A" w:rsidP="00FE755A">
      <w:pPr>
        <w:shd w:val="clear" w:color="auto" w:fill="FFFFFF"/>
        <w:ind w:left="1134" w:hanging="567"/>
        <w:rPr>
          <w:rFonts w:eastAsia="Verdana" w:cs="Verdana"/>
          <w:szCs w:val="18"/>
        </w:rPr>
      </w:pPr>
      <w:r w:rsidRPr="00F95875">
        <w:rPr>
          <w:rFonts w:eastAsia="Verdana" w:cs="Verdana"/>
          <w:szCs w:val="18"/>
        </w:rPr>
        <w:t>4.1</w:t>
      </w:r>
      <w:r w:rsidRPr="00F95875">
        <w:rPr>
          <w:rFonts w:eastAsia="Verdana" w:cs="Verdana"/>
          <w:szCs w:val="18"/>
        </w:rPr>
        <w:tab/>
        <w:t>How many licenses have been issued, for the importation of finished textile products for retail or trading purposes, since the entry into force of Regulation No. 77/2019?</w:t>
      </w:r>
    </w:p>
    <w:p w14:paraId="6C114A8C" w14:textId="77777777" w:rsidR="00FE755A" w:rsidRPr="00F95875" w:rsidRDefault="00FE755A" w:rsidP="00FE755A">
      <w:pPr>
        <w:shd w:val="clear" w:color="auto" w:fill="FFFFFF"/>
        <w:ind w:left="1134" w:hanging="567"/>
        <w:rPr>
          <w:rFonts w:eastAsia="Verdana" w:cs="Verdana"/>
          <w:szCs w:val="18"/>
        </w:rPr>
      </w:pPr>
      <w:r w:rsidRPr="00F95875">
        <w:rPr>
          <w:rFonts w:eastAsia="Verdana" w:cs="Verdana"/>
          <w:szCs w:val="18"/>
        </w:rPr>
        <w:t>4.2</w:t>
      </w:r>
      <w:r w:rsidRPr="00F95875">
        <w:rPr>
          <w:rFonts w:eastAsia="Verdana" w:cs="Verdana"/>
          <w:szCs w:val="18"/>
        </w:rPr>
        <w:tab/>
        <w:t>What volumes of finished textile products, imported for retail purposes or for trading, have entered Indonesia since the entry into force of Regulation No. 77/2019?</w:t>
      </w:r>
    </w:p>
    <w:p w14:paraId="6E65DD82" w14:textId="77777777" w:rsidR="00FE755A" w:rsidRPr="00F95875" w:rsidRDefault="00FE755A" w:rsidP="00FE755A">
      <w:pPr>
        <w:shd w:val="clear" w:color="auto" w:fill="FFFFFF"/>
        <w:spacing w:after="240"/>
        <w:ind w:left="1134" w:hanging="567"/>
        <w:rPr>
          <w:rFonts w:eastAsia="Verdana" w:cs="Verdana"/>
          <w:szCs w:val="18"/>
        </w:rPr>
      </w:pPr>
      <w:r w:rsidRPr="00F95875">
        <w:rPr>
          <w:rFonts w:eastAsia="Verdana" w:cs="Verdana"/>
          <w:szCs w:val="18"/>
        </w:rPr>
        <w:lastRenderedPageBreak/>
        <w:t>4.3</w:t>
      </w:r>
      <w:r w:rsidRPr="00F95875">
        <w:rPr>
          <w:rFonts w:eastAsia="Verdana" w:cs="Verdana"/>
          <w:szCs w:val="18"/>
        </w:rPr>
        <w:tab/>
        <w:t>From which country did the finished textile products, imported for retail purposes or for trading since the entry into force of Regulation No. 77/2019, originate in?</w:t>
      </w:r>
    </w:p>
    <w:p w14:paraId="54EFBFC8" w14:textId="77777777" w:rsidR="00FE755A" w:rsidRPr="00F95875" w:rsidRDefault="00FE755A" w:rsidP="00FE755A">
      <w:pPr>
        <w:numPr>
          <w:ilvl w:val="0"/>
          <w:numId w:val="17"/>
        </w:numPr>
        <w:shd w:val="clear" w:color="auto" w:fill="FFFFFF"/>
        <w:spacing w:after="240"/>
        <w:ind w:left="567" w:hanging="567"/>
        <w:rPr>
          <w:rFonts w:eastAsia="Verdana" w:cs="Verdana"/>
          <w:szCs w:val="18"/>
        </w:rPr>
      </w:pPr>
      <w:r w:rsidRPr="00F95875">
        <w:rPr>
          <w:rFonts w:eastAsia="Verdana" w:cs="Verdana"/>
          <w:szCs w:val="18"/>
        </w:rPr>
        <w:t>Could Indonesia confirm that the Regulation No. 77/2019 allows non-manufacturers and retailers to carry out imports to Indonesia only under the condition that they establish a partnership with Indonesian small and medium enterprises (SMEs)? If so, could Indonesia please provide clarity on the specifics regarding the nature of the partnership and the SMEs?</w:t>
      </w:r>
    </w:p>
    <w:p w14:paraId="0C9D49BB" w14:textId="77777777" w:rsidR="00FE755A" w:rsidRPr="00F95875" w:rsidRDefault="00FE755A" w:rsidP="00FE755A">
      <w:pPr>
        <w:numPr>
          <w:ilvl w:val="0"/>
          <w:numId w:val="17"/>
        </w:numPr>
        <w:shd w:val="clear" w:color="auto" w:fill="FFFFFF"/>
        <w:spacing w:after="240"/>
        <w:ind w:left="567" w:hanging="567"/>
        <w:rPr>
          <w:rFonts w:eastAsia="Verdana" w:cs="Verdana"/>
          <w:szCs w:val="18"/>
        </w:rPr>
      </w:pPr>
      <w:r w:rsidRPr="00F95875">
        <w:rPr>
          <w:rFonts w:eastAsia="Verdana" w:cs="Verdana"/>
          <w:szCs w:val="18"/>
        </w:rPr>
        <w:t>Could Indonesia indicate whether it believes that the import prohibition maintained under Regulation No. 85/2015, as last amended by Regulation No. 77/2019, is consistent with Article XI of the GATT?</w:t>
      </w:r>
    </w:p>
    <w:p w14:paraId="092237E5" w14:textId="77777777" w:rsidR="00FE755A" w:rsidRPr="00F95875" w:rsidRDefault="00FE755A" w:rsidP="00FE755A">
      <w:pPr>
        <w:numPr>
          <w:ilvl w:val="0"/>
          <w:numId w:val="17"/>
        </w:numPr>
        <w:shd w:val="clear" w:color="auto" w:fill="FFFFFF"/>
        <w:spacing w:after="240"/>
        <w:ind w:left="567" w:hanging="567"/>
        <w:rPr>
          <w:rFonts w:eastAsia="Verdana" w:cs="Verdana"/>
          <w:szCs w:val="18"/>
        </w:rPr>
      </w:pPr>
      <w:r w:rsidRPr="00F95875">
        <w:rPr>
          <w:rFonts w:eastAsia="Verdana" w:cs="Verdana"/>
          <w:szCs w:val="18"/>
        </w:rPr>
        <w:t xml:space="preserve">If so, could Indonesia please explain why, de facto if not de jure, no import license has been issued, since the entry into force of Regulation No. 77/2019, for the importation of finished textile products from the EU for retail purposes or for trading? </w:t>
      </w:r>
    </w:p>
    <w:p w14:paraId="7DF25D3A" w14:textId="24727C84" w:rsidR="008F5105" w:rsidRPr="008F5105" w:rsidRDefault="008F5105" w:rsidP="00FE755A">
      <w:pPr>
        <w:pBdr>
          <w:top w:val="nil"/>
          <w:left w:val="nil"/>
          <w:bottom w:val="nil"/>
          <w:right w:val="nil"/>
          <w:between w:val="nil"/>
        </w:pBdr>
        <w:rPr>
          <w:rFonts w:eastAsia="Verdana" w:cs="Arial"/>
          <w:color w:val="000000"/>
          <w:szCs w:val="18"/>
          <w:u w:val="single"/>
        </w:rPr>
      </w:pPr>
      <w:r w:rsidRPr="008F5105">
        <w:rPr>
          <w:rFonts w:eastAsia="Verdana" w:cs="Arial"/>
          <w:color w:val="000000"/>
          <w:szCs w:val="18"/>
          <w:u w:val="single"/>
        </w:rPr>
        <w:t>Reply:</w:t>
      </w:r>
    </w:p>
    <w:p w14:paraId="571F99C9" w14:textId="77777777" w:rsidR="008F5105" w:rsidRDefault="008F5105" w:rsidP="00FE755A">
      <w:pPr>
        <w:pBdr>
          <w:top w:val="nil"/>
          <w:left w:val="nil"/>
          <w:bottom w:val="nil"/>
          <w:right w:val="nil"/>
          <w:between w:val="nil"/>
        </w:pBdr>
        <w:rPr>
          <w:rFonts w:eastAsia="Verdana" w:cs="Arial"/>
          <w:b/>
          <w:bCs/>
          <w:i/>
          <w:iCs/>
          <w:color w:val="000000"/>
          <w:szCs w:val="18"/>
        </w:rPr>
      </w:pPr>
    </w:p>
    <w:p w14:paraId="00C6FF12" w14:textId="6673C4F6" w:rsidR="00FE755A" w:rsidRPr="008F5105" w:rsidRDefault="008F5105" w:rsidP="00FE755A">
      <w:pPr>
        <w:pBdr>
          <w:top w:val="nil"/>
          <w:left w:val="nil"/>
          <w:bottom w:val="nil"/>
          <w:right w:val="nil"/>
          <w:between w:val="nil"/>
        </w:pBdr>
        <w:rPr>
          <w:color w:val="000000"/>
          <w:szCs w:val="18"/>
        </w:rPr>
      </w:pPr>
      <w:r w:rsidRPr="008F5105">
        <w:rPr>
          <w:rFonts w:eastAsia="Verdana" w:cs="Arial"/>
          <w:color w:val="000000"/>
          <w:szCs w:val="18"/>
        </w:rPr>
        <w:t>Questions</w:t>
      </w:r>
      <w:r w:rsidR="00FE755A" w:rsidRPr="008F5105">
        <w:rPr>
          <w:rFonts w:eastAsia="Verdana" w:cs="Arial"/>
          <w:color w:val="000000"/>
          <w:szCs w:val="18"/>
        </w:rPr>
        <w:t xml:space="preserve"> 1-7: Regulation No. 77/2019 has been revoked and </w:t>
      </w:r>
      <w:r w:rsidR="00AE4ABC">
        <w:rPr>
          <w:rFonts w:eastAsia="Verdana" w:cs="Arial"/>
          <w:color w:val="000000"/>
          <w:szCs w:val="18"/>
        </w:rPr>
        <w:t xml:space="preserve">is </w:t>
      </w:r>
      <w:r w:rsidR="00FE755A" w:rsidRPr="008F5105">
        <w:rPr>
          <w:rFonts w:eastAsia="Verdana" w:cs="Arial"/>
          <w:color w:val="000000"/>
          <w:szCs w:val="18"/>
        </w:rPr>
        <w:t xml:space="preserve">no longer in place. However, Indonesia </w:t>
      </w:r>
      <w:r w:rsidRPr="008F5105">
        <w:rPr>
          <w:rFonts w:eastAsia="Verdana" w:cs="Arial"/>
          <w:color w:val="000000"/>
          <w:szCs w:val="18"/>
        </w:rPr>
        <w:t>ensures</w:t>
      </w:r>
      <w:r w:rsidR="00FE755A" w:rsidRPr="008F5105">
        <w:rPr>
          <w:rFonts w:eastAsia="Verdana" w:cs="Arial"/>
          <w:color w:val="000000"/>
          <w:szCs w:val="18"/>
        </w:rPr>
        <w:t xml:space="preserve"> that </w:t>
      </w:r>
      <w:r w:rsidR="00FE755A" w:rsidRPr="008F5105">
        <w:rPr>
          <w:rFonts w:cs="Arial"/>
          <w:color w:val="000000"/>
          <w:szCs w:val="18"/>
        </w:rPr>
        <w:t xml:space="preserve">the application for Import Approval in Indonesia is done electronically and after the documents are complete and correct, </w:t>
      </w:r>
      <w:r w:rsidR="00FE755A" w:rsidRPr="008F5105">
        <w:rPr>
          <w:color w:val="000000"/>
          <w:szCs w:val="18"/>
        </w:rPr>
        <w:t xml:space="preserve">the Import Approval will be processed </w:t>
      </w:r>
      <w:r w:rsidR="00AE4ABC" w:rsidRPr="008F5105">
        <w:rPr>
          <w:color w:val="000000"/>
          <w:szCs w:val="18"/>
        </w:rPr>
        <w:t xml:space="preserve">in </w:t>
      </w:r>
      <w:r w:rsidR="00AE4ABC">
        <w:rPr>
          <w:color w:val="000000"/>
          <w:szCs w:val="18"/>
        </w:rPr>
        <w:t xml:space="preserve">a </w:t>
      </w:r>
      <w:r w:rsidR="00FE755A" w:rsidRPr="008F5105">
        <w:rPr>
          <w:color w:val="000000"/>
          <w:szCs w:val="18"/>
        </w:rPr>
        <w:t xml:space="preserve">relatively short </w:t>
      </w:r>
      <w:r w:rsidR="00AE4ABC">
        <w:rPr>
          <w:color w:val="000000"/>
          <w:szCs w:val="18"/>
        </w:rPr>
        <w:t>time-period and</w:t>
      </w:r>
      <w:r w:rsidR="00FE755A" w:rsidRPr="008F5105">
        <w:rPr>
          <w:color w:val="000000"/>
          <w:szCs w:val="18"/>
        </w:rPr>
        <w:t xml:space="preserve"> within the timeframe in line with the Import Licensing Agreement</w:t>
      </w:r>
      <w:r w:rsidRPr="008F5105">
        <w:rPr>
          <w:color w:val="000000"/>
          <w:szCs w:val="18"/>
        </w:rPr>
        <w:t>.</w:t>
      </w:r>
    </w:p>
    <w:p w14:paraId="754F57B6" w14:textId="77777777" w:rsidR="008F5105" w:rsidRPr="00F95875" w:rsidRDefault="008F5105" w:rsidP="00FE755A">
      <w:pPr>
        <w:pBdr>
          <w:top w:val="nil"/>
          <w:left w:val="nil"/>
          <w:bottom w:val="nil"/>
          <w:right w:val="nil"/>
          <w:between w:val="nil"/>
        </w:pBdr>
        <w:rPr>
          <w:rFonts w:eastAsia="Verdana" w:cs="Verdana"/>
          <w:b/>
          <w:bCs/>
          <w:i/>
          <w:iCs/>
          <w:szCs w:val="18"/>
        </w:rPr>
      </w:pPr>
    </w:p>
    <w:p w14:paraId="6D3415D3" w14:textId="0BCA4C76" w:rsidR="00FE755A" w:rsidRDefault="00FE755A" w:rsidP="008F5105">
      <w:pPr>
        <w:rPr>
          <w:b/>
          <w:bCs/>
        </w:rPr>
      </w:pPr>
      <w:r w:rsidRPr="008F5105">
        <w:rPr>
          <w:b/>
          <w:bCs/>
        </w:rPr>
        <w:t>Regulation No. 68/2020 on import provisions for footwear, electronics and bicycles/tricycles, which entered into force on 28 August 2020), as last amended by Regulation No. 78/2020, which entered into force on 8 October 2020:</w:t>
      </w:r>
    </w:p>
    <w:p w14:paraId="6AE400D0" w14:textId="77777777" w:rsidR="008F5105" w:rsidRPr="008F5105" w:rsidRDefault="008F5105" w:rsidP="008F5105">
      <w:pPr>
        <w:rPr>
          <w:b/>
          <w:bCs/>
        </w:rPr>
      </w:pPr>
    </w:p>
    <w:p w14:paraId="02363A04" w14:textId="77777777" w:rsidR="00FE755A" w:rsidRPr="00F95875" w:rsidRDefault="00FE755A" w:rsidP="00FE755A">
      <w:pPr>
        <w:numPr>
          <w:ilvl w:val="0"/>
          <w:numId w:val="17"/>
        </w:numPr>
        <w:shd w:val="clear" w:color="auto" w:fill="FFFFFF"/>
        <w:spacing w:after="240"/>
        <w:ind w:left="567" w:hanging="567"/>
        <w:rPr>
          <w:rFonts w:eastAsia="Verdana" w:cs="Verdana"/>
          <w:szCs w:val="18"/>
        </w:rPr>
      </w:pPr>
      <w:r w:rsidRPr="00F95875">
        <w:rPr>
          <w:rFonts w:eastAsia="Verdana" w:cs="Verdana"/>
          <w:szCs w:val="18"/>
        </w:rPr>
        <w:t xml:space="preserve">When will Indonesia submit the notification of the above-mentioned law and the amendment to the WTO, as required under Articles 1.5 and 5 of the WTO Agreement on Import Licensing procedures? </w:t>
      </w:r>
    </w:p>
    <w:p w14:paraId="755C5BEE" w14:textId="77777777" w:rsidR="00FE755A" w:rsidRPr="00F95875" w:rsidRDefault="00FE755A" w:rsidP="00FE755A">
      <w:pPr>
        <w:numPr>
          <w:ilvl w:val="0"/>
          <w:numId w:val="17"/>
        </w:numPr>
        <w:shd w:val="clear" w:color="auto" w:fill="FFFFFF"/>
        <w:spacing w:after="240"/>
        <w:ind w:left="567" w:hanging="567"/>
        <w:rPr>
          <w:rFonts w:eastAsia="Verdana" w:cs="Verdana"/>
          <w:szCs w:val="18"/>
        </w:rPr>
      </w:pPr>
      <w:r w:rsidRPr="00F95875">
        <w:rPr>
          <w:rFonts w:eastAsia="Verdana" w:cs="Verdana"/>
          <w:szCs w:val="18"/>
        </w:rPr>
        <w:t>Could Indonesia submit all relevant information justifying the import restrictions (restricted port of entry, pre-shipment inspection, import plan obligation)?</w:t>
      </w:r>
    </w:p>
    <w:p w14:paraId="39AE5941" w14:textId="033F7922" w:rsidR="008F5105" w:rsidRPr="008F5105" w:rsidRDefault="008F5105" w:rsidP="00FE755A">
      <w:pPr>
        <w:shd w:val="clear" w:color="auto" w:fill="FFFFFF"/>
        <w:spacing w:after="240"/>
        <w:rPr>
          <w:rFonts w:eastAsia="Verdana" w:cs="Arial"/>
          <w:color w:val="000000"/>
          <w:szCs w:val="18"/>
          <w:u w:val="single"/>
        </w:rPr>
      </w:pPr>
      <w:r w:rsidRPr="008F5105">
        <w:rPr>
          <w:rFonts w:eastAsia="Verdana" w:cs="Arial"/>
          <w:color w:val="000000"/>
          <w:szCs w:val="18"/>
          <w:u w:val="single"/>
        </w:rPr>
        <w:t>Reply</w:t>
      </w:r>
      <w:r>
        <w:rPr>
          <w:rFonts w:eastAsia="Verdana" w:cs="Arial"/>
          <w:color w:val="000000"/>
          <w:szCs w:val="18"/>
          <w:u w:val="single"/>
        </w:rPr>
        <w:t>:</w:t>
      </w:r>
    </w:p>
    <w:p w14:paraId="733FA74E" w14:textId="40484DAA" w:rsidR="00FE755A" w:rsidRPr="008F5105" w:rsidRDefault="008F5105" w:rsidP="00FE755A">
      <w:pPr>
        <w:shd w:val="clear" w:color="auto" w:fill="FFFFFF"/>
        <w:spacing w:after="240"/>
        <w:rPr>
          <w:rFonts w:eastAsia="Verdana" w:cs="Verdana"/>
          <w:szCs w:val="18"/>
        </w:rPr>
      </w:pPr>
      <w:r w:rsidRPr="008F5105">
        <w:rPr>
          <w:rFonts w:eastAsia="Verdana" w:cs="Arial"/>
          <w:color w:val="000000"/>
          <w:szCs w:val="18"/>
        </w:rPr>
        <w:t>Questions</w:t>
      </w:r>
      <w:r w:rsidR="00FE755A" w:rsidRPr="008F5105">
        <w:rPr>
          <w:rFonts w:eastAsia="Verdana" w:cs="Arial"/>
          <w:color w:val="000000"/>
          <w:szCs w:val="18"/>
        </w:rPr>
        <w:t xml:space="preserve"> 8-9: Regulation No</w:t>
      </w:r>
      <w:r>
        <w:rPr>
          <w:rFonts w:eastAsia="Verdana" w:cs="Arial"/>
          <w:color w:val="000000"/>
          <w:szCs w:val="18"/>
        </w:rPr>
        <w:t>s</w:t>
      </w:r>
      <w:r w:rsidR="00FE755A" w:rsidRPr="008F5105">
        <w:rPr>
          <w:rFonts w:eastAsia="Verdana" w:cs="Arial"/>
          <w:color w:val="000000"/>
          <w:szCs w:val="18"/>
        </w:rPr>
        <w:t>. 68/2020 and 78/2020 ha</w:t>
      </w:r>
      <w:r>
        <w:rPr>
          <w:rFonts w:eastAsia="Verdana" w:cs="Arial"/>
          <w:color w:val="000000"/>
          <w:szCs w:val="18"/>
        </w:rPr>
        <w:t>ve</w:t>
      </w:r>
      <w:r w:rsidR="00FE755A" w:rsidRPr="008F5105">
        <w:rPr>
          <w:rFonts w:eastAsia="Verdana" w:cs="Arial"/>
          <w:color w:val="000000"/>
          <w:szCs w:val="18"/>
        </w:rPr>
        <w:t xml:space="preserve"> been revoked and </w:t>
      </w:r>
      <w:r w:rsidR="00AE4ABC">
        <w:rPr>
          <w:rFonts w:eastAsia="Verdana" w:cs="Arial"/>
          <w:color w:val="000000"/>
          <w:szCs w:val="18"/>
        </w:rPr>
        <w:t xml:space="preserve">are </w:t>
      </w:r>
      <w:r w:rsidR="00FE755A" w:rsidRPr="008F5105">
        <w:rPr>
          <w:rFonts w:eastAsia="Verdana" w:cs="Arial"/>
          <w:color w:val="000000"/>
          <w:szCs w:val="18"/>
        </w:rPr>
        <w:t xml:space="preserve">no longer in place. However, </w:t>
      </w:r>
      <w:r w:rsidR="00FE755A" w:rsidRPr="008F5105">
        <w:rPr>
          <w:rFonts w:eastAsia="Verdana" w:cs="Verdana"/>
          <w:szCs w:val="18"/>
        </w:rPr>
        <w:t xml:space="preserve">the Government of Indonesia </w:t>
      </w:r>
      <w:r w:rsidR="00AE4ABC">
        <w:rPr>
          <w:rFonts w:eastAsia="Verdana" w:cs="Verdana"/>
          <w:szCs w:val="18"/>
        </w:rPr>
        <w:t xml:space="preserve">has </w:t>
      </w:r>
      <w:r w:rsidR="00FE755A" w:rsidRPr="008F5105">
        <w:rPr>
          <w:rFonts w:eastAsia="Verdana" w:cs="Verdana"/>
          <w:szCs w:val="18"/>
        </w:rPr>
        <w:t xml:space="preserve">committed to ensure that the administration of the surveillance of the incoming goods could be carried out optimally in accordance with the standards of the specified port of destinations. Regarding the import verification provisions, the </w:t>
      </w:r>
      <w:r w:rsidR="00846F75" w:rsidRPr="008F5105">
        <w:rPr>
          <w:rFonts w:eastAsia="Verdana" w:cs="Verdana"/>
          <w:szCs w:val="18"/>
        </w:rPr>
        <w:t xml:space="preserve">government </w:t>
      </w:r>
      <w:r w:rsidR="00846F75">
        <w:rPr>
          <w:rFonts w:eastAsia="Verdana" w:cs="Verdana"/>
          <w:szCs w:val="18"/>
        </w:rPr>
        <w:t xml:space="preserve">of </w:t>
      </w:r>
      <w:r w:rsidR="00FE755A" w:rsidRPr="008F5105">
        <w:rPr>
          <w:rFonts w:eastAsia="Verdana" w:cs="Verdana"/>
          <w:szCs w:val="18"/>
        </w:rPr>
        <w:t>Indonesia also has to ensure that certain incoming goods me</w:t>
      </w:r>
      <w:r w:rsidR="00846F75">
        <w:rPr>
          <w:rFonts w:eastAsia="Verdana" w:cs="Verdana"/>
          <w:szCs w:val="18"/>
        </w:rPr>
        <w:t>e</w:t>
      </w:r>
      <w:r w:rsidR="00FE755A" w:rsidRPr="008F5105">
        <w:rPr>
          <w:rFonts w:eastAsia="Verdana" w:cs="Verdana"/>
          <w:szCs w:val="18"/>
        </w:rPr>
        <w:t xml:space="preserve">t the requirements. The Import plan obligation </w:t>
      </w:r>
      <w:r w:rsidR="00846F75">
        <w:rPr>
          <w:rFonts w:eastAsia="Verdana" w:cs="Verdana"/>
          <w:szCs w:val="18"/>
        </w:rPr>
        <w:t xml:space="preserve">is </w:t>
      </w:r>
      <w:r w:rsidR="00FE755A" w:rsidRPr="008F5105">
        <w:rPr>
          <w:rFonts w:eastAsia="Verdana" w:cs="Verdana"/>
          <w:szCs w:val="18"/>
        </w:rPr>
        <w:t>also needed in order to project the future utilization o</w:t>
      </w:r>
      <w:r w:rsidR="00846F75">
        <w:rPr>
          <w:rFonts w:eastAsia="Verdana" w:cs="Verdana"/>
          <w:szCs w:val="18"/>
        </w:rPr>
        <w:t>f</w:t>
      </w:r>
      <w:r w:rsidR="00FE755A" w:rsidRPr="008F5105">
        <w:rPr>
          <w:rFonts w:eastAsia="Verdana" w:cs="Verdana"/>
          <w:szCs w:val="18"/>
        </w:rPr>
        <w:t xml:space="preserve"> import approvals.</w:t>
      </w:r>
    </w:p>
    <w:p w14:paraId="114F1B53" w14:textId="77777777" w:rsidR="00FE755A" w:rsidRPr="008F5105" w:rsidRDefault="00FE755A" w:rsidP="008F5105">
      <w:pPr>
        <w:rPr>
          <w:b/>
          <w:bCs/>
        </w:rPr>
      </w:pPr>
      <w:r w:rsidRPr="008F5105">
        <w:rPr>
          <w:b/>
          <w:bCs/>
        </w:rPr>
        <w:t>Importation of alcohol beverages:</w:t>
      </w:r>
    </w:p>
    <w:p w14:paraId="22D802E4" w14:textId="77777777" w:rsidR="00FE755A" w:rsidRPr="00F95875" w:rsidRDefault="00FE755A" w:rsidP="00FE755A">
      <w:pPr>
        <w:rPr>
          <w:rFonts w:eastAsia="Verdana" w:cs="Verdana"/>
          <w:szCs w:val="18"/>
        </w:rPr>
      </w:pPr>
    </w:p>
    <w:p w14:paraId="53F3A018" w14:textId="77777777" w:rsidR="00FE755A" w:rsidRPr="00F95875" w:rsidRDefault="00FE755A" w:rsidP="00FE755A">
      <w:pPr>
        <w:numPr>
          <w:ilvl w:val="0"/>
          <w:numId w:val="17"/>
        </w:numPr>
        <w:shd w:val="clear" w:color="auto" w:fill="FFFFFF"/>
        <w:spacing w:after="240"/>
        <w:ind w:left="567" w:hanging="567"/>
        <w:rPr>
          <w:rFonts w:eastAsia="Verdana" w:cs="Verdana"/>
          <w:szCs w:val="18"/>
        </w:rPr>
      </w:pPr>
      <w:r w:rsidRPr="00F95875">
        <w:rPr>
          <w:rFonts w:eastAsia="Verdana" w:cs="Verdana"/>
          <w:szCs w:val="18"/>
        </w:rPr>
        <w:t>Could Indonesia confirm that the licensing procedures for EU alcoholic beverages in 2021 will be swift, transparent and non-discriminatory, fulfilling the entire requested amount by the importers?</w:t>
      </w:r>
    </w:p>
    <w:p w14:paraId="0BF9B290" w14:textId="77777777" w:rsidR="008F5105" w:rsidRPr="008F5105" w:rsidRDefault="008F5105" w:rsidP="008F5105">
      <w:pPr>
        <w:shd w:val="clear" w:color="auto" w:fill="FFFFFF"/>
        <w:spacing w:after="240"/>
        <w:rPr>
          <w:rFonts w:eastAsia="Verdana" w:cs="Arial"/>
          <w:color w:val="000000"/>
          <w:szCs w:val="18"/>
          <w:u w:val="single"/>
        </w:rPr>
      </w:pPr>
      <w:r w:rsidRPr="008F5105">
        <w:rPr>
          <w:rFonts w:eastAsia="Verdana" w:cs="Arial"/>
          <w:color w:val="000000"/>
          <w:szCs w:val="18"/>
          <w:u w:val="single"/>
        </w:rPr>
        <w:t>Reply:</w:t>
      </w:r>
    </w:p>
    <w:p w14:paraId="33494879" w14:textId="7B8ECA3C" w:rsidR="00FE755A" w:rsidRPr="008F5105" w:rsidRDefault="008F5105" w:rsidP="00FE755A">
      <w:pPr>
        <w:rPr>
          <w:rFonts w:eastAsia="Verdana" w:cs="Verdana"/>
          <w:szCs w:val="18"/>
        </w:rPr>
      </w:pPr>
      <w:r>
        <w:rPr>
          <w:rFonts w:eastAsia="Verdana" w:cs="Verdana"/>
          <w:szCs w:val="18"/>
        </w:rPr>
        <w:t>Indonesia's</w:t>
      </w:r>
      <w:r w:rsidR="00FE755A" w:rsidRPr="008F5105">
        <w:rPr>
          <w:rFonts w:eastAsia="Verdana" w:cs="Verdana"/>
          <w:szCs w:val="18"/>
        </w:rPr>
        <w:t xml:space="preserve"> government has found no barriers for alcohol</w:t>
      </w:r>
      <w:r w:rsidR="00846F75">
        <w:rPr>
          <w:rFonts w:eastAsia="Verdana" w:cs="Verdana"/>
          <w:szCs w:val="18"/>
        </w:rPr>
        <w:t>ic</w:t>
      </w:r>
      <w:r w:rsidR="00FE755A" w:rsidRPr="008F5105">
        <w:rPr>
          <w:rFonts w:eastAsia="Verdana" w:cs="Verdana"/>
          <w:szCs w:val="18"/>
        </w:rPr>
        <w:t xml:space="preserve"> beverage products </w:t>
      </w:r>
      <w:r w:rsidR="00846F75">
        <w:rPr>
          <w:rFonts w:eastAsia="Verdana" w:cs="Verdana"/>
          <w:szCs w:val="18"/>
        </w:rPr>
        <w:t xml:space="preserve">from the </w:t>
      </w:r>
      <w:r w:rsidR="00846F75" w:rsidRPr="008F5105">
        <w:rPr>
          <w:rFonts w:eastAsia="Verdana" w:cs="Verdana"/>
          <w:szCs w:val="18"/>
        </w:rPr>
        <w:t>European</w:t>
      </w:r>
      <w:r w:rsidR="00846F75">
        <w:rPr>
          <w:rFonts w:eastAsia="Verdana" w:cs="Verdana"/>
          <w:szCs w:val="18"/>
        </w:rPr>
        <w:t> </w:t>
      </w:r>
      <w:r w:rsidR="00846F75" w:rsidRPr="008F5105">
        <w:rPr>
          <w:rFonts w:eastAsia="Verdana" w:cs="Verdana"/>
          <w:szCs w:val="18"/>
        </w:rPr>
        <w:t xml:space="preserve">Union </w:t>
      </w:r>
      <w:r w:rsidR="00FE755A" w:rsidRPr="008F5105">
        <w:rPr>
          <w:rFonts w:eastAsia="Verdana" w:cs="Verdana"/>
          <w:szCs w:val="18"/>
        </w:rPr>
        <w:t xml:space="preserve">entering </w:t>
      </w:r>
      <w:r>
        <w:rPr>
          <w:rFonts w:eastAsia="Verdana" w:cs="Verdana"/>
          <w:szCs w:val="18"/>
        </w:rPr>
        <w:t>Indonesia'</w:t>
      </w:r>
      <w:r w:rsidR="00FE755A" w:rsidRPr="008F5105">
        <w:rPr>
          <w:rFonts w:eastAsia="Verdana" w:cs="Verdana"/>
          <w:szCs w:val="18"/>
        </w:rPr>
        <w:t xml:space="preserve">s market. From January </w:t>
      </w:r>
      <w:r w:rsidR="00846F75">
        <w:rPr>
          <w:rFonts w:eastAsia="Verdana" w:cs="Verdana"/>
          <w:szCs w:val="18"/>
        </w:rPr>
        <w:t>to</w:t>
      </w:r>
      <w:r w:rsidR="00846F75" w:rsidRPr="008F5105">
        <w:rPr>
          <w:rFonts w:eastAsia="Verdana" w:cs="Verdana"/>
          <w:szCs w:val="18"/>
        </w:rPr>
        <w:t xml:space="preserve"> </w:t>
      </w:r>
      <w:r w:rsidR="00FE755A" w:rsidRPr="008F5105">
        <w:rPr>
          <w:rFonts w:eastAsia="Verdana" w:cs="Verdana"/>
          <w:szCs w:val="18"/>
        </w:rPr>
        <w:t>April 2021, Indonesia issued 13 import approvals on alcohol</w:t>
      </w:r>
      <w:r w:rsidR="00846F75">
        <w:rPr>
          <w:rFonts w:eastAsia="Verdana" w:cs="Verdana"/>
          <w:szCs w:val="18"/>
        </w:rPr>
        <w:t>ic</w:t>
      </w:r>
      <w:r w:rsidR="00FE755A" w:rsidRPr="008F5105">
        <w:rPr>
          <w:rFonts w:eastAsia="Verdana" w:cs="Verdana"/>
          <w:szCs w:val="18"/>
        </w:rPr>
        <w:t xml:space="preserve"> beverages originating from several countries, including </w:t>
      </w:r>
      <w:r w:rsidR="00B8689D">
        <w:rPr>
          <w:rFonts w:eastAsia="Verdana" w:cs="Verdana"/>
          <w:szCs w:val="18"/>
        </w:rPr>
        <w:t xml:space="preserve">the </w:t>
      </w:r>
      <w:r w:rsidR="00FE755A" w:rsidRPr="008F5105">
        <w:rPr>
          <w:rFonts w:eastAsia="Verdana" w:cs="Verdana"/>
          <w:szCs w:val="18"/>
        </w:rPr>
        <w:t>European</w:t>
      </w:r>
      <w:r w:rsidR="00B8689D">
        <w:rPr>
          <w:rFonts w:eastAsia="Verdana" w:cs="Verdana"/>
          <w:szCs w:val="18"/>
        </w:rPr>
        <w:t> </w:t>
      </w:r>
      <w:r w:rsidR="00FE755A" w:rsidRPr="008F5105">
        <w:rPr>
          <w:rFonts w:eastAsia="Verdana" w:cs="Verdana"/>
          <w:szCs w:val="18"/>
        </w:rPr>
        <w:t xml:space="preserve">Union. Indonesia </w:t>
      </w:r>
      <w:r w:rsidR="00B8689D">
        <w:rPr>
          <w:rFonts w:eastAsia="Verdana" w:cs="Verdana"/>
          <w:szCs w:val="18"/>
        </w:rPr>
        <w:t xml:space="preserve">is of the </w:t>
      </w:r>
      <w:r w:rsidR="00FE755A" w:rsidRPr="008F5105">
        <w:rPr>
          <w:rFonts w:eastAsia="Verdana" w:cs="Verdana"/>
          <w:szCs w:val="18"/>
        </w:rPr>
        <w:t>view that the utilization of import approvals relating to Alcohol</w:t>
      </w:r>
      <w:r w:rsidR="00B8689D">
        <w:rPr>
          <w:rFonts w:eastAsia="Verdana" w:cs="Verdana"/>
          <w:szCs w:val="18"/>
        </w:rPr>
        <w:t>ic</w:t>
      </w:r>
      <w:r w:rsidR="00FE755A" w:rsidRPr="008F5105">
        <w:rPr>
          <w:rFonts w:eastAsia="Verdana" w:cs="Verdana"/>
          <w:szCs w:val="18"/>
        </w:rPr>
        <w:t xml:space="preserve"> Beverages</w:t>
      </w:r>
      <w:r w:rsidR="00B8689D">
        <w:rPr>
          <w:rFonts w:eastAsia="Verdana" w:cs="Verdana"/>
          <w:szCs w:val="18"/>
        </w:rPr>
        <w:t>,</w:t>
      </w:r>
      <w:r w:rsidR="00FE755A" w:rsidRPr="008F5105">
        <w:rPr>
          <w:rFonts w:eastAsia="Verdana" w:cs="Verdana"/>
          <w:szCs w:val="18"/>
        </w:rPr>
        <w:t xml:space="preserve"> whether originating European Union or not, is based on business-to-business decisions from the business entities/importers.</w:t>
      </w:r>
    </w:p>
    <w:p w14:paraId="30B7C99F" w14:textId="4DB06BC1" w:rsidR="00FE755A" w:rsidRDefault="00FE755A" w:rsidP="008F5105"/>
    <w:p w14:paraId="751B85EA" w14:textId="3BED6A3A" w:rsidR="008F5105" w:rsidRPr="008F5105" w:rsidRDefault="008F5105" w:rsidP="008F5105">
      <w:pPr>
        <w:jc w:val="center"/>
      </w:pPr>
      <w:r>
        <w:rPr>
          <w:b/>
        </w:rPr>
        <w:t>__________</w:t>
      </w:r>
    </w:p>
    <w:sectPr w:rsidR="008F5105" w:rsidRPr="008F5105"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0A56" w14:textId="77777777" w:rsidR="00FE755A" w:rsidRDefault="00FE755A" w:rsidP="00ED54E0">
      <w:r>
        <w:separator/>
      </w:r>
    </w:p>
  </w:endnote>
  <w:endnote w:type="continuationSeparator" w:id="0">
    <w:p w14:paraId="3C8A82C9" w14:textId="77777777" w:rsidR="00FE755A" w:rsidRDefault="00FE755A"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A256" w14:textId="77777777" w:rsidR="00544326" w:rsidRPr="00FE755A" w:rsidRDefault="00FE755A" w:rsidP="00FE755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EA28" w14:textId="77777777" w:rsidR="00544326" w:rsidRPr="00FE755A" w:rsidRDefault="00FE755A" w:rsidP="00FE755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67E4" w14:textId="77777777" w:rsidR="00A53BA8" w:rsidRDefault="00A53B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BEAB" w14:textId="77777777" w:rsidR="00FE755A" w:rsidRDefault="00FE755A" w:rsidP="00ED54E0">
      <w:r>
        <w:separator/>
      </w:r>
    </w:p>
  </w:footnote>
  <w:footnote w:type="continuationSeparator" w:id="0">
    <w:p w14:paraId="7E24E9F2" w14:textId="77777777" w:rsidR="00FE755A" w:rsidRDefault="00FE755A" w:rsidP="00ED54E0">
      <w:r>
        <w:continuationSeparator/>
      </w:r>
    </w:p>
  </w:footnote>
  <w:footnote w:id="1">
    <w:p w14:paraId="54502771" w14:textId="6662368F" w:rsidR="00FE755A" w:rsidRPr="00813E7D" w:rsidRDefault="00FE755A" w:rsidP="00FE755A">
      <w:pPr>
        <w:pStyle w:val="Notedebasdepage"/>
        <w:rPr>
          <w:lang w:val="en-US"/>
        </w:rPr>
      </w:pPr>
      <w:r>
        <w:rPr>
          <w:rStyle w:val="Appelnotedebasdep"/>
        </w:rPr>
        <w:footnoteRef/>
      </w:r>
      <w:r>
        <w:t xml:space="preserve"> </w:t>
      </w:r>
      <w:r w:rsidRPr="00FE755A">
        <w:t>Circulated on 24 January 2021 in document G/LIC/Q/IDN/43</w:t>
      </w:r>
      <w:r w:rsidR="00605FB8">
        <w:t>.</w:t>
      </w:r>
    </w:p>
  </w:footnote>
  <w:footnote w:id="2">
    <w:p w14:paraId="6C025731" w14:textId="77777777" w:rsidR="00FE755A" w:rsidRDefault="00FE755A" w:rsidP="00FE755A">
      <w:pPr>
        <w:pStyle w:val="Notedebasdepage"/>
        <w:rPr>
          <w:color w:val="000000"/>
          <w:sz w:val="20"/>
          <w:szCs w:val="20"/>
        </w:rPr>
      </w:pPr>
      <w:r>
        <w:rPr>
          <w:rStyle w:val="Appelnotedebasdep"/>
        </w:rPr>
        <w:footnoteRef/>
      </w:r>
      <w:r>
        <w:rPr>
          <w:color w:val="000000"/>
          <w:sz w:val="20"/>
          <w:szCs w:val="20"/>
        </w:rPr>
        <w:t xml:space="preserve"> </w:t>
      </w:r>
      <w:r w:rsidRPr="00FE755A">
        <w:t>WTO document WT/TPR/S/401, 4 November 2020, paragraph 3.59, page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A7E6" w14:textId="77777777" w:rsidR="00FE755A" w:rsidRPr="00FE755A" w:rsidRDefault="00FE755A" w:rsidP="00FE755A">
    <w:pPr>
      <w:pStyle w:val="En-tte"/>
      <w:pBdr>
        <w:bottom w:val="single" w:sz="4" w:space="1" w:color="auto"/>
      </w:pBdr>
      <w:tabs>
        <w:tab w:val="clear" w:pos="4513"/>
        <w:tab w:val="clear" w:pos="9027"/>
      </w:tabs>
      <w:jc w:val="center"/>
    </w:pPr>
    <w:r w:rsidRPr="00FE755A">
      <w:t>G/LIC/Q/IDN/48</w:t>
    </w:r>
  </w:p>
  <w:p w14:paraId="4585F6C6" w14:textId="77777777" w:rsidR="00FE755A" w:rsidRPr="00FE755A" w:rsidRDefault="00FE755A" w:rsidP="00FE755A">
    <w:pPr>
      <w:pStyle w:val="En-tte"/>
      <w:pBdr>
        <w:bottom w:val="single" w:sz="4" w:space="1" w:color="auto"/>
      </w:pBdr>
      <w:tabs>
        <w:tab w:val="clear" w:pos="4513"/>
        <w:tab w:val="clear" w:pos="9027"/>
      </w:tabs>
      <w:jc w:val="center"/>
    </w:pPr>
  </w:p>
  <w:p w14:paraId="3F58EA10" w14:textId="77777777" w:rsidR="00FE755A" w:rsidRPr="00FE755A" w:rsidRDefault="00FE755A" w:rsidP="00FE755A">
    <w:pPr>
      <w:pStyle w:val="En-tte"/>
      <w:pBdr>
        <w:bottom w:val="single" w:sz="4" w:space="1" w:color="auto"/>
      </w:pBdr>
      <w:tabs>
        <w:tab w:val="clear" w:pos="4513"/>
        <w:tab w:val="clear" w:pos="9027"/>
      </w:tabs>
      <w:jc w:val="center"/>
    </w:pPr>
    <w:r w:rsidRPr="00FE755A">
      <w:t xml:space="preserve">- </w:t>
    </w:r>
    <w:r w:rsidRPr="00FE755A">
      <w:fldChar w:fldCharType="begin"/>
    </w:r>
    <w:r w:rsidRPr="00FE755A">
      <w:instrText xml:space="preserve"> PAGE </w:instrText>
    </w:r>
    <w:r w:rsidRPr="00FE755A">
      <w:fldChar w:fldCharType="separate"/>
    </w:r>
    <w:r w:rsidRPr="00FE755A">
      <w:rPr>
        <w:noProof/>
      </w:rPr>
      <w:t>1</w:t>
    </w:r>
    <w:r w:rsidRPr="00FE755A">
      <w:fldChar w:fldCharType="end"/>
    </w:r>
    <w:r w:rsidRPr="00FE755A">
      <w:t xml:space="preserve"> -</w:t>
    </w:r>
  </w:p>
  <w:p w14:paraId="51184360" w14:textId="77777777" w:rsidR="00544326" w:rsidRPr="00FE755A" w:rsidRDefault="00544326" w:rsidP="00FE755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E77C" w14:textId="77777777" w:rsidR="00FE755A" w:rsidRPr="00FE755A" w:rsidRDefault="00FE755A" w:rsidP="00FE755A">
    <w:pPr>
      <w:pStyle w:val="En-tte"/>
      <w:pBdr>
        <w:bottom w:val="single" w:sz="4" w:space="1" w:color="auto"/>
      </w:pBdr>
      <w:tabs>
        <w:tab w:val="clear" w:pos="4513"/>
        <w:tab w:val="clear" w:pos="9027"/>
      </w:tabs>
      <w:jc w:val="center"/>
    </w:pPr>
    <w:r w:rsidRPr="00FE755A">
      <w:t>G/LIC/Q/IDN/48</w:t>
    </w:r>
  </w:p>
  <w:p w14:paraId="1B713087" w14:textId="77777777" w:rsidR="00FE755A" w:rsidRPr="00FE755A" w:rsidRDefault="00FE755A" w:rsidP="00FE755A">
    <w:pPr>
      <w:pStyle w:val="En-tte"/>
      <w:pBdr>
        <w:bottom w:val="single" w:sz="4" w:space="1" w:color="auto"/>
      </w:pBdr>
      <w:tabs>
        <w:tab w:val="clear" w:pos="4513"/>
        <w:tab w:val="clear" w:pos="9027"/>
      </w:tabs>
      <w:jc w:val="center"/>
    </w:pPr>
  </w:p>
  <w:p w14:paraId="605F7286" w14:textId="77777777" w:rsidR="00FE755A" w:rsidRPr="00FE755A" w:rsidRDefault="00FE755A" w:rsidP="00FE755A">
    <w:pPr>
      <w:pStyle w:val="En-tte"/>
      <w:pBdr>
        <w:bottom w:val="single" w:sz="4" w:space="1" w:color="auto"/>
      </w:pBdr>
      <w:tabs>
        <w:tab w:val="clear" w:pos="4513"/>
        <w:tab w:val="clear" w:pos="9027"/>
      </w:tabs>
      <w:jc w:val="center"/>
    </w:pPr>
    <w:r w:rsidRPr="00FE755A">
      <w:t xml:space="preserve">- </w:t>
    </w:r>
    <w:r w:rsidRPr="00FE755A">
      <w:fldChar w:fldCharType="begin"/>
    </w:r>
    <w:r w:rsidRPr="00FE755A">
      <w:instrText xml:space="preserve"> PAGE </w:instrText>
    </w:r>
    <w:r w:rsidRPr="00FE755A">
      <w:fldChar w:fldCharType="separate"/>
    </w:r>
    <w:r w:rsidRPr="00FE755A">
      <w:rPr>
        <w:noProof/>
      </w:rPr>
      <w:t>1</w:t>
    </w:r>
    <w:r w:rsidRPr="00FE755A">
      <w:fldChar w:fldCharType="end"/>
    </w:r>
    <w:r w:rsidRPr="00FE755A">
      <w:t xml:space="preserve"> -</w:t>
    </w:r>
  </w:p>
  <w:p w14:paraId="48B96375" w14:textId="77777777" w:rsidR="00544326" w:rsidRPr="00FE755A" w:rsidRDefault="00544326" w:rsidP="00FE755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5383B68D" w14:textId="77777777" w:rsidTr="00544326">
      <w:trPr>
        <w:trHeight w:val="240"/>
        <w:jc w:val="center"/>
      </w:trPr>
      <w:tc>
        <w:tcPr>
          <w:tcW w:w="3794" w:type="dxa"/>
          <w:shd w:val="clear" w:color="auto" w:fill="FFFFFF"/>
          <w:tcMar>
            <w:left w:w="108" w:type="dxa"/>
            <w:right w:w="108" w:type="dxa"/>
          </w:tcMar>
          <w:vAlign w:val="center"/>
        </w:tcPr>
        <w:p w14:paraId="08C753CA"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61E61A16" w14:textId="77777777" w:rsidR="00ED54E0" w:rsidRPr="00182B84" w:rsidRDefault="00ED54E0" w:rsidP="00425DC5">
          <w:pPr>
            <w:jc w:val="right"/>
            <w:rPr>
              <w:b/>
              <w:color w:val="FF0000"/>
              <w:szCs w:val="16"/>
            </w:rPr>
          </w:pPr>
        </w:p>
      </w:tc>
    </w:tr>
    <w:bookmarkEnd w:id="0"/>
    <w:tr w:rsidR="00ED54E0" w:rsidRPr="00182B84" w14:paraId="2F250DF9" w14:textId="77777777" w:rsidTr="00544326">
      <w:trPr>
        <w:trHeight w:val="213"/>
        <w:jc w:val="center"/>
      </w:trPr>
      <w:tc>
        <w:tcPr>
          <w:tcW w:w="3794" w:type="dxa"/>
          <w:vMerge w:val="restart"/>
          <w:shd w:val="clear" w:color="auto" w:fill="FFFFFF"/>
          <w:tcMar>
            <w:left w:w="0" w:type="dxa"/>
            <w:right w:w="0" w:type="dxa"/>
          </w:tcMar>
        </w:tcPr>
        <w:p w14:paraId="7EFF2306" w14:textId="77777777" w:rsidR="00ED54E0" w:rsidRPr="00182B84" w:rsidRDefault="00ED54E0" w:rsidP="00425DC5">
          <w:pPr>
            <w:jc w:val="left"/>
          </w:pPr>
          <w:r w:rsidRPr="00182B84">
            <w:rPr>
              <w:noProof/>
              <w:lang w:val="en-US"/>
            </w:rPr>
            <w:drawing>
              <wp:inline distT="0" distB="0" distL="0" distR="0" wp14:anchorId="3DDEE946" wp14:editId="2BA7E80A">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EF9B49" w14:textId="77777777" w:rsidR="00ED54E0" w:rsidRPr="00182B84" w:rsidRDefault="00ED54E0" w:rsidP="00425DC5">
          <w:pPr>
            <w:jc w:val="right"/>
            <w:rPr>
              <w:b/>
              <w:szCs w:val="16"/>
            </w:rPr>
          </w:pPr>
        </w:p>
      </w:tc>
    </w:tr>
    <w:tr w:rsidR="00ED54E0" w:rsidRPr="00182B84" w14:paraId="14D226B9" w14:textId="77777777" w:rsidTr="00544326">
      <w:trPr>
        <w:trHeight w:val="868"/>
        <w:jc w:val="center"/>
      </w:trPr>
      <w:tc>
        <w:tcPr>
          <w:tcW w:w="3794" w:type="dxa"/>
          <w:vMerge/>
          <w:shd w:val="clear" w:color="auto" w:fill="FFFFFF"/>
          <w:tcMar>
            <w:left w:w="108" w:type="dxa"/>
            <w:right w:w="108" w:type="dxa"/>
          </w:tcMar>
        </w:tcPr>
        <w:p w14:paraId="3B95C3C0"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B8382B9" w14:textId="77777777" w:rsidR="00FE755A" w:rsidRDefault="00FE755A" w:rsidP="00425DC5">
          <w:pPr>
            <w:jc w:val="right"/>
            <w:rPr>
              <w:b/>
              <w:szCs w:val="16"/>
            </w:rPr>
          </w:pPr>
          <w:bookmarkStart w:id="1" w:name="bmkSymbols"/>
          <w:r>
            <w:rPr>
              <w:b/>
              <w:szCs w:val="16"/>
            </w:rPr>
            <w:t>G/LIC/Q/IDN/48</w:t>
          </w:r>
        </w:p>
        <w:bookmarkEnd w:id="1"/>
        <w:p w14:paraId="7F3AFB93" w14:textId="77777777" w:rsidR="00ED54E0" w:rsidRPr="00182B84" w:rsidRDefault="00ED54E0" w:rsidP="00425DC5">
          <w:pPr>
            <w:jc w:val="right"/>
            <w:rPr>
              <w:b/>
              <w:szCs w:val="16"/>
            </w:rPr>
          </w:pPr>
        </w:p>
      </w:tc>
    </w:tr>
    <w:tr w:rsidR="00ED54E0" w:rsidRPr="00182B84" w14:paraId="71C66387" w14:textId="77777777" w:rsidTr="00544326">
      <w:trPr>
        <w:trHeight w:val="240"/>
        <w:jc w:val="center"/>
      </w:trPr>
      <w:tc>
        <w:tcPr>
          <w:tcW w:w="3794" w:type="dxa"/>
          <w:vMerge/>
          <w:shd w:val="clear" w:color="auto" w:fill="FFFFFF"/>
          <w:tcMar>
            <w:left w:w="108" w:type="dxa"/>
            <w:right w:w="108" w:type="dxa"/>
          </w:tcMar>
          <w:vAlign w:val="center"/>
        </w:tcPr>
        <w:p w14:paraId="5D244579" w14:textId="77777777" w:rsidR="00ED54E0" w:rsidRPr="00182B84" w:rsidRDefault="00ED54E0" w:rsidP="00425DC5"/>
      </w:tc>
      <w:tc>
        <w:tcPr>
          <w:tcW w:w="5448" w:type="dxa"/>
          <w:gridSpan w:val="2"/>
          <w:shd w:val="clear" w:color="auto" w:fill="FFFFFF"/>
          <w:tcMar>
            <w:left w:w="108" w:type="dxa"/>
            <w:right w:w="108" w:type="dxa"/>
          </w:tcMar>
          <w:vAlign w:val="center"/>
        </w:tcPr>
        <w:p w14:paraId="538A0A9F" w14:textId="3A519889" w:rsidR="00ED54E0" w:rsidRPr="00182B84" w:rsidRDefault="00B37C04" w:rsidP="00425DC5">
          <w:pPr>
            <w:jc w:val="right"/>
            <w:rPr>
              <w:szCs w:val="16"/>
            </w:rPr>
          </w:pPr>
          <w:r>
            <w:rPr>
              <w:szCs w:val="16"/>
            </w:rPr>
            <w:t>26</w:t>
          </w:r>
          <w:r w:rsidR="00FE755A">
            <w:rPr>
              <w:szCs w:val="16"/>
            </w:rPr>
            <w:t xml:space="preserve"> April 2022</w:t>
          </w:r>
        </w:p>
      </w:tc>
    </w:tr>
    <w:tr w:rsidR="00ED54E0" w:rsidRPr="00182B84" w14:paraId="3E766F8B"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2E53637" w14:textId="5CEE0BBC" w:rsidR="00ED54E0" w:rsidRPr="00182B84" w:rsidRDefault="00ED54E0" w:rsidP="00425DC5">
          <w:pPr>
            <w:jc w:val="left"/>
            <w:rPr>
              <w:b/>
            </w:rPr>
          </w:pPr>
          <w:bookmarkStart w:id="2" w:name="bmkSerial" w:colFirst="0" w:colLast="0"/>
          <w:r w:rsidRPr="00182B84">
            <w:rPr>
              <w:color w:val="FF0000"/>
              <w:szCs w:val="16"/>
            </w:rPr>
            <w:t>(</w:t>
          </w:r>
          <w:r w:rsidR="00C318AE">
            <w:rPr>
              <w:color w:val="FF0000"/>
              <w:szCs w:val="16"/>
            </w:rPr>
            <w:t>22</w:t>
          </w:r>
          <w:r w:rsidRPr="00182B84">
            <w:rPr>
              <w:color w:val="FF0000"/>
              <w:szCs w:val="16"/>
            </w:rPr>
            <w:t>-</w:t>
          </w:r>
          <w:r w:rsidR="00A53BA8">
            <w:rPr>
              <w:color w:val="FF0000"/>
              <w:szCs w:val="16"/>
            </w:rPr>
            <w:t>3313</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E5DC5B5"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5F6F975E"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A20993" w14:textId="77777777" w:rsidR="00ED54E0" w:rsidRPr="00182B84" w:rsidRDefault="00FE755A" w:rsidP="00425DC5">
          <w:pPr>
            <w:jc w:val="left"/>
            <w:rPr>
              <w:sz w:val="14"/>
              <w:szCs w:val="16"/>
            </w:rPr>
          </w:pPr>
          <w:bookmarkStart w:id="4" w:name="bmkCommittee"/>
          <w:bookmarkStart w:id="5" w:name="bmkLanguage" w:colFirst="1" w:colLast="1"/>
          <w:bookmarkEnd w:id="2"/>
          <w:r>
            <w:rPr>
              <w:b/>
            </w:rPr>
            <w:t>Committee on Import Licensing</w:t>
          </w:r>
          <w:bookmarkEnd w:id="4"/>
        </w:p>
      </w:tc>
      <w:tc>
        <w:tcPr>
          <w:tcW w:w="3325" w:type="dxa"/>
          <w:tcBorders>
            <w:top w:val="single" w:sz="4" w:space="0" w:color="auto"/>
          </w:tcBorders>
          <w:tcMar>
            <w:top w:w="113" w:type="dxa"/>
            <w:left w:w="108" w:type="dxa"/>
            <w:bottom w:w="57" w:type="dxa"/>
            <w:right w:w="108" w:type="dxa"/>
          </w:tcMar>
          <w:vAlign w:val="center"/>
        </w:tcPr>
        <w:p w14:paraId="435643B0" w14:textId="77777777" w:rsidR="00ED54E0" w:rsidRPr="00182B84" w:rsidRDefault="00FE755A" w:rsidP="00425DC5">
          <w:pPr>
            <w:jc w:val="right"/>
            <w:rPr>
              <w:bCs/>
              <w:szCs w:val="18"/>
            </w:rPr>
          </w:pPr>
          <w:r>
            <w:rPr>
              <w:szCs w:val="18"/>
            </w:rPr>
            <w:t>Original: English</w:t>
          </w:r>
        </w:p>
      </w:tc>
    </w:tr>
    <w:bookmarkEnd w:id="5"/>
  </w:tbl>
  <w:p w14:paraId="570EE895" w14:textId="77777777" w:rsidR="00ED54E0"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81D38A3"/>
    <w:multiLevelType w:val="multilevel"/>
    <w:tmpl w:val="07C2F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attachedTemplate r:id="rId1"/>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5A"/>
    <w:rsid w:val="000272F6"/>
    <w:rsid w:val="0003550F"/>
    <w:rsid w:val="00037AC4"/>
    <w:rsid w:val="000423BF"/>
    <w:rsid w:val="000A4945"/>
    <w:rsid w:val="000B31E1"/>
    <w:rsid w:val="0011356B"/>
    <w:rsid w:val="0013337F"/>
    <w:rsid w:val="00182B84"/>
    <w:rsid w:val="001E291F"/>
    <w:rsid w:val="00233408"/>
    <w:rsid w:val="0027067B"/>
    <w:rsid w:val="00295E6C"/>
    <w:rsid w:val="003156C6"/>
    <w:rsid w:val="003572B4"/>
    <w:rsid w:val="00467032"/>
    <w:rsid w:val="0046754A"/>
    <w:rsid w:val="004F203A"/>
    <w:rsid w:val="005336B8"/>
    <w:rsid w:val="00544326"/>
    <w:rsid w:val="00547B5F"/>
    <w:rsid w:val="005A1A22"/>
    <w:rsid w:val="005B04B9"/>
    <w:rsid w:val="005B68C7"/>
    <w:rsid w:val="005B7054"/>
    <w:rsid w:val="005D5981"/>
    <w:rsid w:val="005F30CB"/>
    <w:rsid w:val="00605FB8"/>
    <w:rsid w:val="00612644"/>
    <w:rsid w:val="00674CCD"/>
    <w:rsid w:val="006F5826"/>
    <w:rsid w:val="00700181"/>
    <w:rsid w:val="007141CF"/>
    <w:rsid w:val="00745146"/>
    <w:rsid w:val="007577E3"/>
    <w:rsid w:val="00760DB3"/>
    <w:rsid w:val="007E6507"/>
    <w:rsid w:val="007F2B8E"/>
    <w:rsid w:val="007F32D1"/>
    <w:rsid w:val="00807247"/>
    <w:rsid w:val="00840C2B"/>
    <w:rsid w:val="00846F75"/>
    <w:rsid w:val="008739FD"/>
    <w:rsid w:val="00893E85"/>
    <w:rsid w:val="008E372C"/>
    <w:rsid w:val="008F5105"/>
    <w:rsid w:val="009A6F54"/>
    <w:rsid w:val="00A12336"/>
    <w:rsid w:val="00A53BA8"/>
    <w:rsid w:val="00A6057A"/>
    <w:rsid w:val="00A74017"/>
    <w:rsid w:val="00AA332C"/>
    <w:rsid w:val="00AC27F8"/>
    <w:rsid w:val="00AD4C72"/>
    <w:rsid w:val="00AE2AEE"/>
    <w:rsid w:val="00AE4ABC"/>
    <w:rsid w:val="00B00276"/>
    <w:rsid w:val="00B230EC"/>
    <w:rsid w:val="00B37C04"/>
    <w:rsid w:val="00B52738"/>
    <w:rsid w:val="00B56EDC"/>
    <w:rsid w:val="00B8689D"/>
    <w:rsid w:val="00BB1F84"/>
    <w:rsid w:val="00BE5468"/>
    <w:rsid w:val="00C11EAC"/>
    <w:rsid w:val="00C15F6D"/>
    <w:rsid w:val="00C305D7"/>
    <w:rsid w:val="00C30F2A"/>
    <w:rsid w:val="00C318AE"/>
    <w:rsid w:val="00C43456"/>
    <w:rsid w:val="00C65C0C"/>
    <w:rsid w:val="00C808FC"/>
    <w:rsid w:val="00CA2AC9"/>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1136A"/>
    <w:rsid w:val="00F32397"/>
    <w:rsid w:val="00F40595"/>
    <w:rsid w:val="00FA5EBC"/>
    <w:rsid w:val="00FD224A"/>
    <w:rsid w:val="00FE755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2F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uiPriority="9"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9"/>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9"/>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99"/>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0C93D-89D0-402D-A12B-C91A16DA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331</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cp:lastPrinted>2022-04-26T09:30:00Z</cp:lastPrinted>
  <dcterms:created xsi:type="dcterms:W3CDTF">2022-04-22T10:36:00Z</dcterms:created>
  <dcterms:modified xsi:type="dcterms:W3CDTF">2022-04-26T10:46:00Z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04191707-b7a2-4839-928f-0c1531b1bd54</vt:lpwstr>
  </property>
  <property fmtid="{D5CDD505-2E9C-101B-9397-08002B2CF9AE}" pid="3" name="Symbol1">
    <vt:lpwstr>G/LIC/Q/IDN/48</vt:lpwstr>
  </property>
  <property fmtid="{D5CDD505-2E9C-101B-9397-08002B2CF9AE}" pid="4" name="WTOCLASSIFICATION">
    <vt:lpwstr>WTO OFFICIAL</vt:lpwstr>
  </property>
</Properties>
</file>