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63B6" w14:textId="237DC971" w:rsidR="00A3630E" w:rsidRPr="005A5907" w:rsidRDefault="005A5907" w:rsidP="005A5907">
      <w:pPr>
        <w:pStyle w:val="Title"/>
        <w:rPr>
          <w:rFonts w:eastAsia="Times New Roman"/>
          <w:caps w:val="0"/>
          <w:kern w:val="0"/>
        </w:rPr>
      </w:pPr>
      <w:bookmarkStart w:id="32" w:name="_Hlk45708844"/>
      <w:r w:rsidRPr="005A5907">
        <w:rPr>
          <w:rFonts w:eastAsia="Times New Roman"/>
          <w:caps w:val="0"/>
          <w:kern w:val="0"/>
        </w:rPr>
        <w:t>NOTIFICATION PURSUANT TO THE DECISION ON NOTIFICATION PROCEDURES</w:t>
      </w:r>
      <w:r w:rsidRPr="005A5907">
        <w:rPr>
          <w:rFonts w:eastAsia="Times New Roman"/>
          <w:caps w:val="0"/>
          <w:kern w:val="0"/>
        </w:rPr>
        <w:br/>
        <w:t>FOR QUANTITATIVE RESTRICTIONS (G/L/59/REV.1)</w:t>
      </w:r>
    </w:p>
    <w:p w14:paraId="6262214B" w14:textId="5C7373A3" w:rsidR="00A3630E" w:rsidRPr="005A5907" w:rsidRDefault="00A3630E" w:rsidP="005A5907">
      <w:pPr>
        <w:pStyle w:val="TitleCountry"/>
      </w:pPr>
      <w:r w:rsidRPr="005A5907">
        <w:t>Costa Rica</w:t>
      </w:r>
    </w:p>
    <w:p w14:paraId="5B8B8926" w14:textId="40C2EEFA" w:rsidR="00A3630E" w:rsidRPr="005A5907" w:rsidRDefault="00A3630E" w:rsidP="005A5907">
      <w:pPr>
        <w:rPr>
          <w:rFonts w:eastAsia="Calibri"/>
          <w:lang w:eastAsia="en-GB"/>
        </w:rPr>
      </w:pPr>
      <w:r w:rsidRPr="005A5907">
        <w:rPr>
          <w:rFonts w:eastAsia="Calibri"/>
          <w:lang w:eastAsia="en-GB"/>
        </w:rPr>
        <w:t xml:space="preserve">The following communication, dated </w:t>
      </w:r>
      <w:r w:rsidR="005A5907" w:rsidRPr="005A5907">
        <w:rPr>
          <w:rFonts w:eastAsia="Calibri"/>
          <w:lang w:eastAsia="en-GB"/>
        </w:rPr>
        <w:t>1 October 2</w:t>
      </w:r>
      <w:r w:rsidRPr="005A5907">
        <w:rPr>
          <w:rFonts w:eastAsia="Calibri"/>
          <w:lang w:eastAsia="en-GB"/>
        </w:rPr>
        <w:t>020, is being circulated at the request of the delegation of Costa Rica.</w:t>
      </w:r>
    </w:p>
    <w:p w14:paraId="1319525F" w14:textId="77777777" w:rsidR="00A3630E" w:rsidRPr="005A5907" w:rsidRDefault="00A3630E" w:rsidP="005A5907">
      <w:pPr>
        <w:rPr>
          <w:rFonts w:eastAsia="Calibri"/>
          <w:lang w:eastAsia="zh-TW"/>
        </w:rPr>
      </w:pP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A3630E" w:rsidRPr="005A5907" w14:paraId="51AD32E9" w14:textId="77777777" w:rsidTr="008E0351">
        <w:trPr>
          <w:jc w:val="center"/>
        </w:trPr>
        <w:tc>
          <w:tcPr>
            <w:tcW w:w="9027" w:type="dxa"/>
          </w:tcPr>
          <w:p w14:paraId="4D79B8A3" w14:textId="1DE80673" w:rsidR="00A3630E" w:rsidRPr="005A5907" w:rsidRDefault="00A3630E" w:rsidP="005A5907">
            <w:pPr>
              <w:tabs>
                <w:tab w:val="left" w:pos="508"/>
              </w:tabs>
              <w:spacing w:before="120"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A.</w:t>
            </w:r>
            <w:r w:rsidRPr="005A5907">
              <w:rPr>
                <w:rFonts w:eastAsia="Calibri"/>
                <w:b/>
                <w:szCs w:val="18"/>
              </w:rPr>
              <w:tab/>
              <w:t>Notifying Member</w:t>
            </w:r>
            <w:r w:rsidR="005A5907" w:rsidRPr="005A5907">
              <w:rPr>
                <w:rFonts w:eastAsia="Calibri"/>
                <w:b/>
                <w:szCs w:val="18"/>
              </w:rPr>
              <w:t xml:space="preserve">: </w:t>
            </w:r>
            <w:r w:rsidR="005A5907" w:rsidRPr="005A5907">
              <w:rPr>
                <w:rFonts w:eastAsia="Calibri"/>
                <w:szCs w:val="18"/>
              </w:rPr>
              <w:t>C</w:t>
            </w:r>
            <w:r w:rsidRPr="005A5907">
              <w:rPr>
                <w:rFonts w:eastAsia="Calibri"/>
                <w:szCs w:val="18"/>
              </w:rPr>
              <w:t>osta Rica</w:t>
            </w:r>
          </w:p>
        </w:tc>
      </w:tr>
      <w:tr w:rsidR="00A3630E" w:rsidRPr="005A5907" w14:paraId="5F04E1E4" w14:textId="77777777" w:rsidTr="008E0351">
        <w:trPr>
          <w:jc w:val="center"/>
        </w:trPr>
        <w:tc>
          <w:tcPr>
            <w:tcW w:w="9027" w:type="dxa"/>
          </w:tcPr>
          <w:p w14:paraId="7C86EB7C" w14:textId="56C3600D" w:rsidR="00A3630E" w:rsidRPr="005A5907" w:rsidRDefault="00A3630E" w:rsidP="005A5907">
            <w:pPr>
              <w:tabs>
                <w:tab w:val="left" w:pos="508"/>
              </w:tabs>
              <w:spacing w:before="120"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B.</w:t>
            </w:r>
            <w:r w:rsidRPr="005A5907">
              <w:rPr>
                <w:rFonts w:eastAsia="Calibri"/>
                <w:b/>
                <w:szCs w:val="18"/>
              </w:rPr>
              <w:tab/>
              <w:t>Date of notification</w:t>
            </w:r>
            <w:r w:rsidR="005A5907" w:rsidRPr="005A5907">
              <w:rPr>
                <w:rFonts w:eastAsia="Calibri"/>
                <w:b/>
                <w:szCs w:val="18"/>
              </w:rPr>
              <w:t xml:space="preserve">: </w:t>
            </w:r>
            <w:r w:rsidR="005A5907" w:rsidRPr="005A5907">
              <w:rPr>
                <w:rFonts w:eastAsia="Calibri"/>
                <w:szCs w:val="18"/>
              </w:rPr>
              <w:t>30 September 2</w:t>
            </w:r>
            <w:r w:rsidRPr="005A5907">
              <w:rPr>
                <w:rFonts w:eastAsia="Calibri"/>
                <w:szCs w:val="18"/>
              </w:rPr>
              <w:t>020</w:t>
            </w:r>
          </w:p>
        </w:tc>
      </w:tr>
      <w:tr w:rsidR="00A3630E" w:rsidRPr="005A5907" w14:paraId="084FF9F4" w14:textId="77777777" w:rsidTr="008E0351">
        <w:trPr>
          <w:jc w:val="center"/>
        </w:trPr>
        <w:tc>
          <w:tcPr>
            <w:tcW w:w="9027" w:type="dxa"/>
          </w:tcPr>
          <w:p w14:paraId="595ACCC1" w14:textId="77777777" w:rsidR="00A3630E" w:rsidRPr="005A5907" w:rsidRDefault="00A3630E" w:rsidP="005A5907">
            <w:pPr>
              <w:tabs>
                <w:tab w:val="left" w:pos="508"/>
              </w:tabs>
              <w:spacing w:before="120" w:after="120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C.</w:t>
            </w:r>
            <w:r w:rsidRPr="005A5907">
              <w:rPr>
                <w:rFonts w:eastAsia="Calibri"/>
                <w:b/>
                <w:szCs w:val="18"/>
              </w:rPr>
              <w:tab/>
              <w:t>First time notification:</w:t>
            </w:r>
          </w:p>
          <w:p w14:paraId="0B6DFBA8" w14:textId="77777777" w:rsidR="00A3630E" w:rsidRPr="005A5907" w:rsidRDefault="00A3630E" w:rsidP="005A5907">
            <w:pPr>
              <w:spacing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b/>
                <w:szCs w:val="18"/>
              </w:rPr>
              <w:tab/>
            </w:r>
            <w:r w:rsidRPr="005A5907">
              <w:rPr>
                <w:rFonts w:eastAsia="Calibri"/>
                <w:szCs w:val="18"/>
              </w:rPr>
              <w:t>Yes</w:t>
            </w:r>
          </w:p>
          <w:p w14:paraId="155C12F5" w14:textId="4025F275" w:rsidR="00A3630E" w:rsidRPr="005A5907" w:rsidRDefault="00A3630E" w:rsidP="005A5907">
            <w:pPr>
              <w:spacing w:after="120"/>
              <w:ind w:left="602" w:hanging="602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b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 xml:space="preserve">No, last notification was made in </w:t>
            </w:r>
            <w:r w:rsidRPr="005A5907">
              <w:rPr>
                <w:rFonts w:eastAsia="Calibri"/>
                <w:szCs w:val="18"/>
              </w:rPr>
              <w:t>G/MA/QR/N/CRI/3/Add.</w:t>
            </w:r>
            <w:r w:rsidR="008E0351" w:rsidRPr="005A5907">
              <w:rPr>
                <w:rFonts w:eastAsia="Calibri"/>
                <w:szCs w:val="18"/>
              </w:rPr>
              <w:t>2</w:t>
            </w:r>
            <w:r w:rsidR="002F798D" w:rsidRPr="005A5907">
              <w:rPr>
                <w:rFonts w:eastAsia="Calibri"/>
                <w:szCs w:val="18"/>
              </w:rPr>
              <w:t>.</w:t>
            </w:r>
          </w:p>
        </w:tc>
      </w:tr>
      <w:tr w:rsidR="00A3630E" w:rsidRPr="005A5907" w14:paraId="26B18BC0" w14:textId="77777777" w:rsidTr="008E0351">
        <w:trPr>
          <w:jc w:val="center"/>
        </w:trPr>
        <w:tc>
          <w:tcPr>
            <w:tcW w:w="9027" w:type="dxa"/>
          </w:tcPr>
          <w:p w14:paraId="7F34BAE9" w14:textId="77777777" w:rsidR="00A3630E" w:rsidRPr="005A5907" w:rsidRDefault="00A3630E" w:rsidP="005A5907">
            <w:pPr>
              <w:tabs>
                <w:tab w:val="left" w:pos="508"/>
              </w:tabs>
              <w:spacing w:before="120" w:after="120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D.</w:t>
            </w:r>
            <w:r w:rsidRPr="005A5907">
              <w:rPr>
                <w:rFonts w:eastAsia="Calibri"/>
                <w:b/>
                <w:szCs w:val="18"/>
              </w:rPr>
              <w:tab/>
              <w:t>Type of notification:</w:t>
            </w:r>
          </w:p>
          <w:p w14:paraId="24F38278" w14:textId="02D68E5D" w:rsidR="00A3630E" w:rsidRPr="005A5907" w:rsidRDefault="003C35E3" w:rsidP="005A5907">
            <w:pPr>
              <w:tabs>
                <w:tab w:val="left" w:pos="1006"/>
              </w:tabs>
              <w:spacing w:after="120"/>
              <w:ind w:left="602" w:hanging="602"/>
              <w:jc w:val="left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="00A3630E" w:rsidRPr="005A5907">
              <w:rPr>
                <w:rFonts w:eastAsia="Calibri"/>
                <w:b/>
                <w:szCs w:val="18"/>
              </w:rPr>
              <w:tab/>
            </w:r>
            <w:r w:rsidR="00A3630E" w:rsidRPr="005A5907">
              <w:rPr>
                <w:rFonts w:eastAsia="Calibri"/>
                <w:szCs w:val="18"/>
              </w:rPr>
              <w:t>1.</w:t>
            </w:r>
            <w:r w:rsidR="00A3630E" w:rsidRPr="005A5907">
              <w:rPr>
                <w:rFonts w:eastAsia="Calibri"/>
                <w:szCs w:val="18"/>
              </w:rPr>
              <w:tab/>
            </w:r>
            <w:r w:rsidR="00A3630E" w:rsidRPr="005A5907">
              <w:rPr>
                <w:rFonts w:eastAsia="Calibri"/>
                <w:bCs/>
                <w:szCs w:val="18"/>
              </w:rPr>
              <w:t>Complete (i.e. notification of all quantitative restrictions in force</w:t>
            </w:r>
            <w:r w:rsidR="00A3630E" w:rsidRPr="005A5907">
              <w:rPr>
                <w:rFonts w:eastAsia="Calibri"/>
                <w:szCs w:val="18"/>
              </w:rPr>
              <w:t>)</w:t>
            </w:r>
          </w:p>
          <w:p w14:paraId="4DBB8DCB" w14:textId="61A600BE" w:rsidR="00A3630E" w:rsidRPr="005A5907" w:rsidRDefault="008E0351" w:rsidP="005A5907">
            <w:pPr>
              <w:tabs>
                <w:tab w:val="left" w:pos="574"/>
              </w:tabs>
              <w:spacing w:after="120"/>
              <w:ind w:left="1006" w:hanging="1006"/>
              <w:jc w:val="left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="00A3630E" w:rsidRPr="005A5907">
              <w:rPr>
                <w:rFonts w:eastAsia="Calibri"/>
                <w:b/>
                <w:szCs w:val="18"/>
              </w:rPr>
              <w:tab/>
            </w:r>
            <w:r w:rsidR="00A3630E" w:rsidRPr="005A5907">
              <w:rPr>
                <w:rFonts w:eastAsia="Calibri"/>
                <w:szCs w:val="18"/>
              </w:rPr>
              <w:t>2.</w:t>
            </w:r>
            <w:r w:rsidR="00A3630E" w:rsidRPr="005A5907">
              <w:rPr>
                <w:rFonts w:eastAsia="Calibri"/>
                <w:szCs w:val="18"/>
              </w:rPr>
              <w:tab/>
            </w:r>
            <w:r w:rsidR="00A3630E" w:rsidRPr="005A5907">
              <w:rPr>
                <w:rFonts w:eastAsia="Calibri"/>
                <w:bCs/>
                <w:szCs w:val="18"/>
              </w:rPr>
              <w:t xml:space="preserve">Changes to a notification previously made in </w:t>
            </w:r>
            <w:r w:rsidRPr="005A5907">
              <w:rPr>
                <w:rFonts w:eastAsia="Calibri"/>
                <w:bCs/>
                <w:szCs w:val="18"/>
              </w:rPr>
              <w:t>(</w:t>
            </w:r>
            <w:r w:rsidRPr="005A5907">
              <w:rPr>
                <w:bCs/>
              </w:rPr>
              <w:t>doc. symbol)</w:t>
            </w:r>
            <w:r w:rsidR="005544F6" w:rsidRPr="005A5907">
              <w:rPr>
                <w:rFonts w:eastAsia="Calibri"/>
                <w:bCs/>
                <w:szCs w:val="18"/>
              </w:rPr>
              <w:t xml:space="preserve"> </w:t>
            </w:r>
            <w:r w:rsidR="00A3630E" w:rsidRPr="005A5907">
              <w:rPr>
                <w:rFonts w:eastAsia="Calibri"/>
                <w:bCs/>
                <w:szCs w:val="18"/>
              </w:rPr>
              <w:t>which are of the following nature</w:t>
            </w:r>
            <w:r w:rsidR="00A3630E" w:rsidRPr="005A5907">
              <w:rPr>
                <w:rFonts w:eastAsia="Calibri"/>
                <w:szCs w:val="18"/>
              </w:rPr>
              <w:t>:</w:t>
            </w:r>
          </w:p>
          <w:p w14:paraId="2F3B86D4" w14:textId="023A48C1" w:rsidR="00A3630E" w:rsidRPr="005A5907" w:rsidRDefault="00A3630E" w:rsidP="005A5907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ab/>
            </w:r>
            <w:r w:rsidR="008E0351"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51"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="008E0351"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szCs w:val="18"/>
              </w:rPr>
              <w:t xml:space="preserve"> 2.1</w:t>
            </w:r>
            <w:r w:rsidRPr="005A5907">
              <w:rPr>
                <w:rFonts w:eastAsia="Calibri"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 xml:space="preserve">Introduction of new restrictions, as listed in Section </w:t>
            </w:r>
            <w:r w:rsidRPr="005A5907">
              <w:rPr>
                <w:rFonts w:eastAsia="Calibri"/>
                <w:szCs w:val="18"/>
              </w:rPr>
              <w:t>1.</w:t>
            </w:r>
          </w:p>
          <w:p w14:paraId="19B043F1" w14:textId="77777777" w:rsidR="00A3630E" w:rsidRPr="005A5907" w:rsidRDefault="00A3630E" w:rsidP="005A5907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tab/>
            </w: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szCs w:val="18"/>
              </w:rPr>
              <w:t xml:space="preserve"> 2.2</w:t>
            </w:r>
            <w:r w:rsidRPr="005A5907">
              <w:rPr>
                <w:rFonts w:eastAsia="Calibri"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>Elimination of restrictions, as described in G below</w:t>
            </w:r>
            <w:r w:rsidRPr="005A5907">
              <w:rPr>
                <w:rFonts w:eastAsia="Calibri"/>
                <w:szCs w:val="18"/>
              </w:rPr>
              <w:t>.</w:t>
            </w:r>
          </w:p>
          <w:p w14:paraId="1A2B2E9F" w14:textId="43466B58" w:rsidR="00A3630E" w:rsidRPr="005A5907" w:rsidRDefault="00A3630E" w:rsidP="005A5907">
            <w:pPr>
              <w:tabs>
                <w:tab w:val="left" w:pos="567"/>
                <w:tab w:val="left" w:pos="964"/>
                <w:tab w:val="left" w:pos="1418"/>
              </w:tabs>
              <w:spacing w:after="120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tab/>
            </w:r>
            <w:r w:rsidR="008E0351" w:rsidRPr="005A5907">
              <w:rPr>
                <w:rFonts w:eastAsia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51"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="008E0351"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szCs w:val="18"/>
              </w:rPr>
              <w:t xml:space="preserve"> 2.3</w:t>
            </w:r>
            <w:r w:rsidRPr="005A5907">
              <w:rPr>
                <w:rFonts w:eastAsia="Calibri"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 xml:space="preserve">Modification of a previously notified restriction, as described in Section </w:t>
            </w:r>
            <w:r w:rsidRPr="005A5907">
              <w:rPr>
                <w:rFonts w:eastAsia="Calibri"/>
                <w:szCs w:val="18"/>
              </w:rPr>
              <w:t>1.</w:t>
            </w:r>
          </w:p>
          <w:p w14:paraId="05A85AD7" w14:textId="77777777" w:rsidR="00A3630E" w:rsidRPr="005A5907" w:rsidRDefault="00A3630E" w:rsidP="005A5907">
            <w:pPr>
              <w:tabs>
                <w:tab w:val="left" w:pos="1006"/>
              </w:tabs>
              <w:spacing w:after="120"/>
              <w:ind w:left="601" w:hanging="601"/>
              <w:jc w:val="left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szCs w:val="18"/>
              </w:rPr>
              <w:tab/>
              <w:t>3.</w:t>
            </w:r>
            <w:r w:rsidRPr="005A5907">
              <w:rPr>
                <w:rFonts w:eastAsia="Calibri"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>Reverse notification of restrictions maintained by (Member</w:t>
            </w:r>
            <w:r w:rsidRPr="005A5907">
              <w:rPr>
                <w:rFonts w:eastAsia="Calibri"/>
                <w:szCs w:val="18"/>
              </w:rPr>
              <w:t>):</w:t>
            </w:r>
          </w:p>
        </w:tc>
      </w:tr>
      <w:tr w:rsidR="00A3630E" w:rsidRPr="005A5907" w14:paraId="4E54D5E2" w14:textId="77777777" w:rsidTr="008E0351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044B0D96" w14:textId="133AC70B" w:rsidR="00A3630E" w:rsidRPr="005A5907" w:rsidRDefault="00A3630E" w:rsidP="005A5907">
            <w:pPr>
              <w:tabs>
                <w:tab w:val="left" w:pos="602"/>
              </w:tabs>
              <w:spacing w:before="120" w:after="120"/>
              <w:ind w:left="602" w:hanging="602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E.</w:t>
            </w:r>
            <w:r w:rsidRPr="005A5907">
              <w:rPr>
                <w:rFonts w:eastAsia="Calibri"/>
                <w:b/>
                <w:szCs w:val="18"/>
              </w:rPr>
              <w:tab/>
              <w:t>The notification provides information for the following biennial period</w:t>
            </w:r>
            <w:r w:rsidR="005A5907" w:rsidRPr="005A5907">
              <w:rPr>
                <w:rFonts w:eastAsia="Calibri"/>
                <w:b/>
                <w:szCs w:val="18"/>
              </w:rPr>
              <w:t xml:space="preserve">: </w:t>
            </w:r>
            <w:r w:rsidR="005A5907" w:rsidRPr="005A5907">
              <w:rPr>
                <w:rFonts w:eastAsia="Calibri"/>
                <w:b/>
                <w:szCs w:val="18"/>
                <w:u w:val="single"/>
              </w:rPr>
              <w:t>2</w:t>
            </w:r>
            <w:r w:rsidRPr="005A5907">
              <w:rPr>
                <w:rFonts w:eastAsia="Calibri"/>
                <w:b/>
                <w:szCs w:val="18"/>
                <w:u w:val="single"/>
              </w:rPr>
              <w:t>0</w:t>
            </w:r>
            <w:r w:rsidR="008E0351" w:rsidRPr="005A5907">
              <w:rPr>
                <w:rFonts w:eastAsia="Calibri"/>
                <w:b/>
                <w:szCs w:val="18"/>
                <w:u w:val="single"/>
              </w:rPr>
              <w:t>20</w:t>
            </w:r>
            <w:r w:rsidR="005A5907" w:rsidRPr="005A5907">
              <w:rPr>
                <w:rFonts w:eastAsia="Calibri"/>
                <w:b/>
                <w:szCs w:val="18"/>
                <w:u w:val="single"/>
              </w:rPr>
              <w:t>-</w:t>
            </w:r>
            <w:r w:rsidRPr="005A5907">
              <w:rPr>
                <w:rFonts w:eastAsia="Calibri"/>
                <w:b/>
                <w:szCs w:val="18"/>
                <w:u w:val="single"/>
              </w:rPr>
              <w:t>202</w:t>
            </w:r>
            <w:r w:rsidR="008E0351" w:rsidRPr="005A5907">
              <w:rPr>
                <w:rFonts w:eastAsia="Calibri"/>
                <w:b/>
                <w:szCs w:val="18"/>
                <w:u w:val="single"/>
              </w:rPr>
              <w:t>2</w:t>
            </w:r>
            <w:r w:rsidRPr="005A5907">
              <w:rPr>
                <w:rFonts w:eastAsia="Calibri"/>
                <w:b/>
                <w:szCs w:val="18"/>
              </w:rPr>
              <w:t xml:space="preserve"> and relates to restrictions in force </w:t>
            </w:r>
            <w:r w:rsidRPr="005A5907">
              <w:rPr>
                <w:rFonts w:eastAsia="Calibri"/>
                <w:b/>
                <w:szCs w:val="18"/>
                <w:u w:val="single"/>
              </w:rPr>
              <w:t xml:space="preserve">as of </w:t>
            </w:r>
            <w:r w:rsidR="008E0351" w:rsidRPr="005A5907">
              <w:rPr>
                <w:rFonts w:eastAsia="Calibri"/>
                <w:b/>
                <w:bCs/>
                <w:szCs w:val="18"/>
                <w:u w:val="single"/>
              </w:rPr>
              <w:t>30</w:t>
            </w:r>
            <w:r w:rsidR="005A5907" w:rsidRPr="005A5907">
              <w:rPr>
                <w:rFonts w:eastAsia="Calibri"/>
                <w:b/>
                <w:bCs/>
                <w:szCs w:val="18"/>
                <w:u w:val="single"/>
              </w:rPr>
              <w:t xml:space="preserve"> </w:t>
            </w:r>
            <w:r w:rsidR="008E0351" w:rsidRPr="005A5907">
              <w:rPr>
                <w:rFonts w:eastAsia="Calibri"/>
                <w:b/>
                <w:bCs/>
                <w:szCs w:val="18"/>
                <w:u w:val="single"/>
              </w:rPr>
              <w:t>September</w:t>
            </w:r>
            <w:r w:rsidR="005A5907" w:rsidRPr="005A5907">
              <w:rPr>
                <w:rFonts w:eastAsia="Calibri"/>
                <w:b/>
                <w:bCs/>
                <w:szCs w:val="18"/>
                <w:u w:val="single"/>
              </w:rPr>
              <w:t xml:space="preserve"> </w:t>
            </w:r>
            <w:r w:rsidRPr="005A5907">
              <w:rPr>
                <w:rFonts w:eastAsia="Calibri"/>
                <w:b/>
                <w:bCs/>
                <w:szCs w:val="18"/>
                <w:u w:val="single"/>
              </w:rPr>
              <w:t>2020</w:t>
            </w:r>
          </w:p>
        </w:tc>
      </w:tr>
      <w:tr w:rsidR="00A3630E" w:rsidRPr="005A5907" w14:paraId="7052D708" w14:textId="77777777" w:rsidTr="008E0351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279E2741" w14:textId="23C35BAD" w:rsidR="00A3630E" w:rsidRPr="005A5907" w:rsidRDefault="00A3630E" w:rsidP="005A5907">
            <w:pPr>
              <w:tabs>
                <w:tab w:val="left" w:pos="508"/>
              </w:tabs>
              <w:spacing w:before="120" w:after="240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b/>
                <w:szCs w:val="18"/>
              </w:rPr>
              <w:t>F.</w:t>
            </w:r>
            <w:r w:rsidRPr="005A5907">
              <w:rPr>
                <w:rFonts w:eastAsia="Calibri"/>
                <w:b/>
                <w:szCs w:val="18"/>
              </w:rPr>
              <w:tab/>
              <w:t>This notification contains information</w:t>
            </w:r>
            <w:r w:rsidR="006128E7" w:rsidRPr="006128E7">
              <w:rPr>
                <w:rStyle w:val="FootnoteReference"/>
                <w:rFonts w:eastAsia="Calibri"/>
                <w:b/>
                <w:szCs w:val="18"/>
              </w:rPr>
              <w:footnoteReference w:customMarkFollows="1" w:id="1"/>
              <w:sym w:font="Symbol" w:char="F02A"/>
            </w:r>
            <w:r w:rsidRPr="005A5907">
              <w:rPr>
                <w:rFonts w:eastAsia="Calibri"/>
                <w:b/>
                <w:szCs w:val="18"/>
              </w:rPr>
              <w:t xml:space="preserve"> relating to:</w:t>
            </w:r>
          </w:p>
          <w:p w14:paraId="7954AE85" w14:textId="77777777" w:rsidR="00A3630E" w:rsidRPr="005A5907" w:rsidRDefault="00A3630E" w:rsidP="005A5907">
            <w:pPr>
              <w:tabs>
                <w:tab w:val="left" w:pos="559"/>
              </w:tabs>
              <w:spacing w:after="240"/>
              <w:ind w:left="1701" w:hanging="1701"/>
              <w:rPr>
                <w:rFonts w:eastAsia="Calibri"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b/>
                <w:szCs w:val="18"/>
              </w:rPr>
              <w:tab/>
              <w:t>Section 1:</w:t>
            </w:r>
            <w:r w:rsidRPr="005A5907">
              <w:rPr>
                <w:rFonts w:eastAsia="Calibri"/>
                <w:b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>List of quantitative restrictions that are currently in force</w:t>
            </w:r>
            <w:r w:rsidRPr="005A5907">
              <w:rPr>
                <w:rFonts w:eastAsia="Calibri"/>
                <w:szCs w:val="18"/>
              </w:rPr>
              <w:t>.</w:t>
            </w:r>
          </w:p>
          <w:p w14:paraId="40B81037" w14:textId="63B62C36" w:rsidR="00A3630E" w:rsidRPr="005A5907" w:rsidRDefault="00A3630E" w:rsidP="005A5907">
            <w:pPr>
              <w:tabs>
                <w:tab w:val="left" w:pos="559"/>
              </w:tabs>
              <w:spacing w:after="240"/>
              <w:ind w:left="1701" w:hanging="1701"/>
              <w:rPr>
                <w:rFonts w:eastAsia="Calibri"/>
                <w:b/>
                <w:szCs w:val="18"/>
              </w:rPr>
            </w:pPr>
            <w:r w:rsidRPr="005A5907">
              <w:rPr>
                <w:rFonts w:eastAsia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907">
              <w:rPr>
                <w:rFonts w:eastAsia="Calibri"/>
                <w:szCs w:val="18"/>
              </w:rPr>
              <w:instrText xml:space="preserve"> FORMCHECKBOX </w:instrText>
            </w:r>
            <w:r w:rsidR="009F5089">
              <w:rPr>
                <w:rFonts w:eastAsia="Calibri"/>
                <w:szCs w:val="18"/>
              </w:rPr>
            </w:r>
            <w:r w:rsidR="009F5089">
              <w:rPr>
                <w:rFonts w:eastAsia="Calibri"/>
                <w:szCs w:val="18"/>
              </w:rPr>
              <w:fldChar w:fldCharType="separate"/>
            </w:r>
            <w:r w:rsidRPr="005A5907">
              <w:rPr>
                <w:rFonts w:eastAsia="Calibri"/>
                <w:szCs w:val="18"/>
              </w:rPr>
              <w:fldChar w:fldCharType="end"/>
            </w:r>
            <w:r w:rsidRPr="005A5907">
              <w:rPr>
                <w:rFonts w:eastAsia="Calibri"/>
                <w:b/>
                <w:szCs w:val="18"/>
              </w:rPr>
              <w:tab/>
              <w:t>Section 2:</w:t>
            </w:r>
            <w:r w:rsidRPr="005A5907">
              <w:rPr>
                <w:rFonts w:eastAsia="Calibri"/>
                <w:b/>
                <w:szCs w:val="18"/>
              </w:rPr>
              <w:tab/>
            </w:r>
            <w:r w:rsidRPr="005A5907">
              <w:rPr>
                <w:rFonts w:eastAsia="Calibri"/>
                <w:bCs/>
                <w:szCs w:val="18"/>
              </w:rPr>
              <w:t>Cross</w:t>
            </w:r>
            <w:r w:rsidR="005A5907" w:rsidRPr="005A5907">
              <w:rPr>
                <w:rFonts w:eastAsia="Calibri"/>
                <w:bCs/>
                <w:szCs w:val="18"/>
              </w:rPr>
              <w:t>-</w:t>
            </w:r>
            <w:r w:rsidRPr="005A5907">
              <w:rPr>
                <w:rFonts w:eastAsia="Calibri"/>
                <w:bCs/>
                <w:szCs w:val="18"/>
              </w:rPr>
              <w:t>reference to other WTO notifications with information on quantitative restrictions that are currently in force and additional information</w:t>
            </w:r>
            <w:r w:rsidRPr="005A5907">
              <w:rPr>
                <w:rFonts w:eastAsia="Calibri"/>
                <w:szCs w:val="18"/>
              </w:rPr>
              <w:t>.</w:t>
            </w:r>
          </w:p>
        </w:tc>
      </w:tr>
      <w:tr w:rsidR="00A3630E" w:rsidRPr="005A5907" w14:paraId="4C34DFC8" w14:textId="77777777" w:rsidTr="008E0351">
        <w:trPr>
          <w:cantSplit/>
          <w:jc w:val="center"/>
        </w:trPr>
        <w:tc>
          <w:tcPr>
            <w:tcW w:w="9027" w:type="dxa"/>
            <w:tcBorders>
              <w:top w:val="single" w:sz="4" w:space="0" w:color="auto"/>
            </w:tcBorders>
          </w:tcPr>
          <w:tbl>
            <w:tblPr>
              <w:tblW w:w="9027" w:type="dxa"/>
              <w:jc w:val="center"/>
              <w:tblBorders>
                <w:top w:val="single" w:sz="4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27"/>
            </w:tblGrid>
            <w:tr w:rsidR="00A3630E" w:rsidRPr="005A5907" w14:paraId="543D6506" w14:textId="77777777" w:rsidTr="008E0351">
              <w:trPr>
                <w:jc w:val="center"/>
              </w:trPr>
              <w:tc>
                <w:tcPr>
                  <w:tcW w:w="9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051EE" w14:textId="77777777" w:rsidR="00A3630E" w:rsidRPr="005A5907" w:rsidRDefault="00A3630E" w:rsidP="005A5907">
                  <w:pPr>
                    <w:spacing w:before="120" w:after="120"/>
                    <w:ind w:left="567" w:hanging="567"/>
                    <w:rPr>
                      <w:rFonts w:eastAsia="Calibri"/>
                      <w:b/>
                    </w:rPr>
                  </w:pPr>
                  <w:r w:rsidRPr="005A5907">
                    <w:rPr>
                      <w:rFonts w:eastAsia="Calibri"/>
                      <w:b/>
                    </w:rPr>
                    <w:t>G.</w:t>
                  </w:r>
                  <w:r w:rsidRPr="005A5907">
                    <w:rPr>
                      <w:rFonts w:eastAsia="Calibri"/>
                      <w:b/>
                    </w:rPr>
                    <w:tab/>
                  </w:r>
                  <w:r w:rsidRPr="005A5907">
                    <w:rPr>
                      <w:rFonts w:eastAsia="Calibri"/>
                      <w:b/>
                      <w:szCs w:val="18"/>
                    </w:rPr>
                    <w:t>Comments of a general nature, including a description of the elimination of restrictions notified under D.2.2 and the date they ceased to be in force</w:t>
                  </w:r>
                  <w:r w:rsidRPr="005A5907">
                    <w:rPr>
                      <w:rFonts w:eastAsia="Calibri"/>
                      <w:b/>
                    </w:rPr>
                    <w:t>.</w:t>
                  </w:r>
                </w:p>
                <w:p w14:paraId="4E23F366" w14:textId="2BA5AF78" w:rsidR="00A3630E" w:rsidRPr="005A5907" w:rsidRDefault="00A3630E" w:rsidP="005A5907">
                  <w:pPr>
                    <w:spacing w:after="120"/>
                    <w:ind w:left="567" w:hanging="567"/>
                    <w:rPr>
                      <w:rFonts w:eastAsia="Calibri"/>
                    </w:rPr>
                  </w:pPr>
                </w:p>
              </w:tc>
            </w:tr>
          </w:tbl>
          <w:p w14:paraId="52597045" w14:textId="77777777" w:rsidR="00A3630E" w:rsidRPr="005A5907" w:rsidRDefault="00A3630E" w:rsidP="005A5907">
            <w:pPr>
              <w:spacing w:before="120"/>
              <w:rPr>
                <w:rFonts w:eastAsia="Calibri"/>
                <w:b/>
                <w:szCs w:val="18"/>
              </w:rPr>
            </w:pPr>
          </w:p>
        </w:tc>
      </w:tr>
    </w:tbl>
    <w:p w14:paraId="2379D7E5" w14:textId="77777777" w:rsidR="00A3630E" w:rsidRPr="005A5907" w:rsidRDefault="00A3630E" w:rsidP="005A5907">
      <w:pPr>
        <w:rPr>
          <w:rFonts w:eastAsia="Calibri"/>
          <w:lang w:eastAsia="en-GB"/>
        </w:rPr>
      </w:pPr>
    </w:p>
    <w:p w14:paraId="41AD388A" w14:textId="77777777" w:rsidR="0069530C" w:rsidRPr="005A5907" w:rsidRDefault="0069530C" w:rsidP="005A5907">
      <w:pPr>
        <w:sectPr w:rsidR="0069530C" w:rsidRPr="005A5907" w:rsidSect="005A59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bookmarkEnd w:id="32"/>
    <w:p w14:paraId="4018D2B0" w14:textId="77777777" w:rsidR="00776F32" w:rsidRDefault="00776F32" w:rsidP="00776F32">
      <w:pPr>
        <w:jc w:val="left"/>
        <w:rPr>
          <w:b/>
          <w:bCs/>
          <w:szCs w:val="18"/>
        </w:rPr>
      </w:pPr>
      <w:proofErr w:type="spellStart"/>
      <w:r w:rsidRPr="007322B4">
        <w:rPr>
          <w:b/>
        </w:rPr>
        <w:lastRenderedPageBreak/>
        <w:t>Sección</w:t>
      </w:r>
      <w:proofErr w:type="spellEnd"/>
      <w:r w:rsidRPr="007322B4">
        <w:rPr>
          <w:b/>
        </w:rPr>
        <w:t xml:space="preserve"> 1</w:t>
      </w:r>
      <w:r>
        <w:rPr>
          <w:b/>
        </w:rPr>
        <w:t xml:space="preserve">: </w:t>
      </w:r>
      <w:r w:rsidRPr="00C124B4">
        <w:rPr>
          <w:b/>
          <w:bCs/>
          <w:szCs w:val="18"/>
        </w:rPr>
        <w:t xml:space="preserve">Lista de </w:t>
      </w:r>
      <w:proofErr w:type="spellStart"/>
      <w:r w:rsidRPr="00C124B4">
        <w:rPr>
          <w:b/>
          <w:bCs/>
          <w:szCs w:val="18"/>
        </w:rPr>
        <w:t>restricciones</w:t>
      </w:r>
      <w:proofErr w:type="spellEnd"/>
      <w:r w:rsidRPr="00C124B4">
        <w:rPr>
          <w:b/>
          <w:bCs/>
          <w:szCs w:val="18"/>
        </w:rPr>
        <w:t xml:space="preserve"> </w:t>
      </w:r>
      <w:proofErr w:type="spellStart"/>
      <w:r w:rsidRPr="00C124B4">
        <w:rPr>
          <w:b/>
          <w:bCs/>
          <w:szCs w:val="18"/>
        </w:rPr>
        <w:t>cuantitativas</w:t>
      </w:r>
      <w:proofErr w:type="spellEnd"/>
      <w:r w:rsidRPr="00C124B4">
        <w:rPr>
          <w:b/>
          <w:bCs/>
          <w:szCs w:val="18"/>
        </w:rPr>
        <w:t xml:space="preserve"> </w:t>
      </w:r>
      <w:proofErr w:type="spellStart"/>
      <w:r w:rsidRPr="00C124B4">
        <w:rPr>
          <w:b/>
          <w:bCs/>
          <w:szCs w:val="18"/>
        </w:rPr>
        <w:t>adicionales</w:t>
      </w:r>
      <w:proofErr w:type="spellEnd"/>
      <w:r w:rsidRPr="00C124B4">
        <w:rPr>
          <w:b/>
          <w:bCs/>
          <w:szCs w:val="18"/>
        </w:rPr>
        <w:t>:</w:t>
      </w:r>
    </w:p>
    <w:p w14:paraId="135783EE" w14:textId="77777777" w:rsidR="00776F32" w:rsidRPr="00C124B4" w:rsidRDefault="00776F32" w:rsidP="00776F32">
      <w:pPr>
        <w:rPr>
          <w:b/>
          <w:bCs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917"/>
        <w:gridCol w:w="1376"/>
        <w:gridCol w:w="1734"/>
        <w:gridCol w:w="1813"/>
        <w:gridCol w:w="2209"/>
        <w:gridCol w:w="1749"/>
        <w:gridCol w:w="1630"/>
      </w:tblGrid>
      <w:tr w:rsidR="00776F32" w:rsidRPr="003250DB" w14:paraId="2B9C6DCC" w14:textId="77777777" w:rsidTr="009F5089">
        <w:trPr>
          <w:tblHeader/>
        </w:trPr>
        <w:tc>
          <w:tcPr>
            <w:tcW w:w="680" w:type="dxa"/>
            <w:vMerge w:val="restart"/>
            <w:tcBorders>
              <w:top w:val="double" w:sz="4" w:space="0" w:color="auto"/>
            </w:tcBorders>
          </w:tcPr>
          <w:p w14:paraId="1F6CFAB5" w14:textId="77777777" w:rsidR="00776F32" w:rsidRPr="001F371D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57" w:name="_GoBack"/>
            <w:r w:rsidRPr="001F371D">
              <w:rPr>
                <w:rFonts w:cs="Arial"/>
                <w:b/>
                <w:sz w:val="16"/>
                <w:szCs w:val="16"/>
              </w:rPr>
              <w:t>RC N°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32DAC2E7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Descripción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general de la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376" w:type="dxa"/>
            <w:tcBorders>
              <w:top w:val="double" w:sz="4" w:space="0" w:color="auto"/>
            </w:tcBorders>
          </w:tcPr>
          <w:p w14:paraId="0D73E6E5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 xml:space="preserve">Tipo de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654" w:type="dxa"/>
            <w:tcBorders>
              <w:top w:val="double" w:sz="4" w:space="0" w:color="auto"/>
            </w:tcBorders>
          </w:tcPr>
          <w:p w14:paraId="326DA3E7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línea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(s)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arancelaria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(s)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afectada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(s),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basado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el SA2017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33359E0D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Designación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detallada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2209" w:type="dxa"/>
            <w:tcBorders>
              <w:top w:val="double" w:sz="4" w:space="0" w:color="auto"/>
            </w:tcBorders>
          </w:tcPr>
          <w:p w14:paraId="2AFD16FD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Justificación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marco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de la OMC  y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motivos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restricción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, por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ejemplo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compromisos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internacionales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  <w:tcBorders>
              <w:top w:val="double" w:sz="4" w:space="0" w:color="auto"/>
            </w:tcBorders>
          </w:tcPr>
          <w:p w14:paraId="4A67BF93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Fundamento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jurídico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nacional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y entrada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vigor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14:paraId="092D582D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Administración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modificación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medidas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notificadas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anteriormente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otras</w:t>
            </w:r>
            <w:proofErr w:type="spellEnd"/>
            <w:r w:rsidRPr="003250D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3250DB" w14:paraId="728BE0E1" w14:textId="77777777" w:rsidTr="00D651E3">
        <w:trPr>
          <w:tblHeader/>
        </w:trPr>
        <w:tc>
          <w:tcPr>
            <w:tcW w:w="680" w:type="dxa"/>
            <w:vMerge/>
          </w:tcPr>
          <w:p w14:paraId="2B2CEE79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</w:tcPr>
          <w:p w14:paraId="75C556BE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376" w:type="dxa"/>
          </w:tcPr>
          <w:p w14:paraId="2E9DBF78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654" w:type="dxa"/>
          </w:tcPr>
          <w:p w14:paraId="74C72F97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14:paraId="18799B42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09" w:type="dxa"/>
          </w:tcPr>
          <w:p w14:paraId="0C45FFEE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749" w:type="dxa"/>
          </w:tcPr>
          <w:p w14:paraId="747815D7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598" w:type="dxa"/>
          </w:tcPr>
          <w:p w14:paraId="3DEAC4C7" w14:textId="77777777" w:rsidR="00776F32" w:rsidRPr="003250DB" w:rsidRDefault="00776F32" w:rsidP="00D651E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250DB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76F32" w:rsidRPr="003250DB" w14:paraId="2DC86537" w14:textId="77777777" w:rsidTr="00D651E3">
        <w:tc>
          <w:tcPr>
            <w:tcW w:w="680" w:type="dxa"/>
          </w:tcPr>
          <w:p w14:paraId="7B3F08BA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917" w:type="dxa"/>
          </w:tcPr>
          <w:p w14:paraId="3C3EC47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Permiso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</w:t>
            </w:r>
          </w:p>
          <w:p w14:paraId="4F044E5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</w:p>
          <w:p w14:paraId="733F420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comercio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</w:t>
            </w:r>
          </w:p>
          <w:p w14:paraId="5CD4736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especies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amenazadas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fauna y</w:t>
            </w:r>
          </w:p>
          <w:p w14:paraId="5D5D5D6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flora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silvestres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(CITES)</w:t>
            </w:r>
          </w:p>
        </w:tc>
        <w:tc>
          <w:tcPr>
            <w:tcW w:w="1376" w:type="dxa"/>
          </w:tcPr>
          <w:p w14:paraId="61D486AA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</w:p>
          <w:p w14:paraId="313F109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5B6C026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0106.1; 0106.2; 0106.3; 0106.9; 0301.19; 0302.81; 0303.81; ex.0304.59; ex.0304.99; 0305.71; ex.0602.20; ex.0602.90; ex.4403.99; ex.4407.99; ex.4408.90; ex.4412.10; ex.4412.31; 4412.34; ex.4412.39; ex.4412.39; ex.4412.94; ex.4412.99.</w:t>
            </w:r>
          </w:p>
        </w:tc>
        <w:tc>
          <w:tcPr>
            <w:tcW w:w="1813" w:type="dxa"/>
          </w:tcPr>
          <w:p w14:paraId="59A47D2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Mamíferos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aves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demás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animales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peces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escualos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aletas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tiburón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almendro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montaña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plantas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ciertos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tipos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madera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1661742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(g)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naturales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3B16D6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8BF10F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Comercio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Especies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Amenazadas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Fauna y Flora Silvestre (CITIES),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ratificada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Costa Rica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1975.</w:t>
            </w:r>
          </w:p>
        </w:tc>
        <w:tc>
          <w:tcPr>
            <w:tcW w:w="1749" w:type="dxa"/>
          </w:tcPr>
          <w:p w14:paraId="14F99F1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7317, Ley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Vida Silvestre,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Reglamento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8" w:type="dxa"/>
          </w:tcPr>
          <w:p w14:paraId="47589E9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tramita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Nota Técnica 81.</w:t>
            </w:r>
          </w:p>
        </w:tc>
      </w:tr>
      <w:tr w:rsidR="00776F32" w:rsidRPr="003250DB" w14:paraId="73F60BC4" w14:textId="77777777" w:rsidTr="00D651E3">
        <w:tc>
          <w:tcPr>
            <w:tcW w:w="680" w:type="dxa"/>
          </w:tcPr>
          <w:p w14:paraId="7BDFB376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17" w:type="dxa"/>
          </w:tcPr>
          <w:p w14:paraId="4FF4B6D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peces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moluscos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crustáceos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estadías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escualos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subproductos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atún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espada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vela,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presentaciones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tránsito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escualo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subproductos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presentaciones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14:paraId="7A1660FD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>CP</w:t>
            </w:r>
          </w:p>
          <w:p w14:paraId="4793CDC9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CP-X</w:t>
            </w:r>
          </w:p>
        </w:tc>
        <w:tc>
          <w:tcPr>
            <w:tcW w:w="1654" w:type="dxa"/>
          </w:tcPr>
          <w:p w14:paraId="0C4A65E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ex.0301.19; ex.0301.91; ex.0301.92; ex.0301.93; ex.0301.99; 0302.71; ex.0302.81;  ex.0302.89; 0302.92; ex.0303.69; ex.0303.81; 0303.92; ex.0304.90; ex.0304.59; ex.0304.89;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>ex.0304.99; ex.0305.71; ex.0306.31; ex.0306.36;</w:t>
            </w:r>
          </w:p>
          <w:p w14:paraId="1D32EB4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ex.0306.95</w:t>
            </w:r>
          </w:p>
        </w:tc>
        <w:tc>
          <w:tcPr>
            <w:tcW w:w="1813" w:type="dxa"/>
          </w:tcPr>
          <w:p w14:paraId="4579301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Escualos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subproductos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atún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espada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vela,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presentaciones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5537347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41E42C4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Aleta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tiburón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69831CA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5EECE0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Langostas, camarones,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langostinos</w:t>
            </w:r>
            <w:proofErr w:type="spellEnd"/>
          </w:p>
        </w:tc>
        <w:tc>
          <w:tcPr>
            <w:tcW w:w="2209" w:type="dxa"/>
          </w:tcPr>
          <w:p w14:paraId="156254C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(g)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naturales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785A602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7384 del 16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marzo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1994 “Ley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Creación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Instituto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Costarricense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Pesca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Acuacultura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INCOPESCA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)”.</w:t>
            </w:r>
          </w:p>
          <w:p w14:paraId="3E26C10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FC8313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Acuerdo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Junta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Directiva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INCOPESCA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AJDIP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/238-2002,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25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>“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Requisitos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descarga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pesqueros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”,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192 del 07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octubre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2002.</w:t>
            </w:r>
          </w:p>
          <w:p w14:paraId="6E15C92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4D1B40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37354, de 10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octubre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2012,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prohíbe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aleteo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tiburón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especie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aguas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jurisdiccionales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Costa Rica. </w:t>
            </w:r>
          </w:p>
          <w:p w14:paraId="0BF5586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8" w:type="dxa"/>
          </w:tcPr>
          <w:p w14:paraId="5E4E112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Le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corresponde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funcionarios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Instituto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Costarricense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Pesca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Acuicultura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autoridades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competentes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hacer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cumplir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disposición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</w:tr>
      <w:tr w:rsidR="00776F32" w:rsidRPr="003250DB" w14:paraId="4901DC46" w14:textId="77777777" w:rsidTr="00D651E3">
        <w:tc>
          <w:tcPr>
            <w:tcW w:w="680" w:type="dxa"/>
          </w:tcPr>
          <w:p w14:paraId="412E5A49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917" w:type="dxa"/>
          </w:tcPr>
          <w:p w14:paraId="2A4A749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certificación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orgánica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emitida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la Unidad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Acreditación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Registro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Agricultura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Orgánica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Servicio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Fitosanitario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Estado</w:t>
            </w:r>
          </w:p>
        </w:tc>
        <w:tc>
          <w:tcPr>
            <w:tcW w:w="1376" w:type="dxa"/>
          </w:tcPr>
          <w:p w14:paraId="0566B48C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5029187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0802.61</w:t>
            </w:r>
          </w:p>
          <w:p w14:paraId="539CF44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0802.62</w:t>
            </w:r>
          </w:p>
          <w:p w14:paraId="47555B6E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0804.30</w:t>
            </w:r>
          </w:p>
          <w:p w14:paraId="30A177E8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0805.10</w:t>
            </w:r>
          </w:p>
          <w:p w14:paraId="3D81DD2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0811.20</w:t>
            </w:r>
          </w:p>
          <w:p w14:paraId="3A0E84F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1211.90</w:t>
            </w:r>
          </w:p>
          <w:p w14:paraId="5A0F3F4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1211.93</w:t>
            </w:r>
          </w:p>
          <w:p w14:paraId="15FC9C2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1302.39</w:t>
            </w:r>
          </w:p>
          <w:p w14:paraId="16FF77E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1701.13</w:t>
            </w:r>
          </w:p>
          <w:p w14:paraId="61A8D7A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1701.14</w:t>
            </w:r>
          </w:p>
          <w:p w14:paraId="2565F49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1803.10</w:t>
            </w:r>
          </w:p>
          <w:p w14:paraId="536607C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1804</w:t>
            </w:r>
          </w:p>
          <w:p w14:paraId="0C45F20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2007.99</w:t>
            </w:r>
          </w:p>
          <w:p w14:paraId="7261E27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2008.99</w:t>
            </w:r>
          </w:p>
          <w:p w14:paraId="303A8BE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2009.19</w:t>
            </w:r>
          </w:p>
          <w:p w14:paraId="5115390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2009.49</w:t>
            </w:r>
          </w:p>
          <w:p w14:paraId="363A099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2009.89</w:t>
            </w:r>
          </w:p>
          <w:p w14:paraId="6B8F320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>0901.11</w:t>
            </w:r>
          </w:p>
          <w:p w14:paraId="6F7F5BF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0901.21</w:t>
            </w:r>
          </w:p>
        </w:tc>
        <w:tc>
          <w:tcPr>
            <w:tcW w:w="1813" w:type="dxa"/>
          </w:tcPr>
          <w:p w14:paraId="03F8AEC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Nueces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piñas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naranjas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frambuesas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plantas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mucílagos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espesativos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vegetales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azúcar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pasta de cacao,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manteca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jaleas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jugos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frutas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76561F9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disposición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fundamenta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cumplimiento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serie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estableció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propósito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610619F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RESOLUCIÓN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RES-DGA-231-2019,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publicada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Alcance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Nº 256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Nº 211 el 06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noviembre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2019.</w:t>
            </w:r>
          </w:p>
        </w:tc>
        <w:tc>
          <w:tcPr>
            <w:tcW w:w="1598" w:type="dxa"/>
          </w:tcPr>
          <w:p w14:paraId="421F621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tramita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medio de la Nota Técnica 0390.</w:t>
            </w:r>
          </w:p>
        </w:tc>
      </w:tr>
      <w:tr w:rsidR="00776F32" w:rsidRPr="003250DB" w14:paraId="082C408D" w14:textId="77777777" w:rsidTr="00D651E3">
        <w:tc>
          <w:tcPr>
            <w:tcW w:w="680" w:type="dxa"/>
          </w:tcPr>
          <w:p w14:paraId="676C48D0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917" w:type="dxa"/>
          </w:tcPr>
          <w:p w14:paraId="4032362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café</w:t>
            </w:r>
          </w:p>
        </w:tc>
        <w:tc>
          <w:tcPr>
            <w:tcW w:w="1376" w:type="dxa"/>
          </w:tcPr>
          <w:p w14:paraId="6154EAF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CP-X</w:t>
            </w:r>
          </w:p>
        </w:tc>
        <w:tc>
          <w:tcPr>
            <w:tcW w:w="1654" w:type="dxa"/>
          </w:tcPr>
          <w:p w14:paraId="11C6A2F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0901.1; 0901.2</w:t>
            </w:r>
          </w:p>
        </w:tc>
        <w:tc>
          <w:tcPr>
            <w:tcW w:w="1813" w:type="dxa"/>
          </w:tcPr>
          <w:p w14:paraId="0C663E5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Café sin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tostar</w:t>
            </w:r>
            <w:proofErr w:type="spellEnd"/>
          </w:p>
          <w:p w14:paraId="49723EF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Café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tostado</w:t>
            </w:r>
            <w:proofErr w:type="spellEnd"/>
          </w:p>
        </w:tc>
        <w:tc>
          <w:tcPr>
            <w:tcW w:w="2209" w:type="dxa"/>
          </w:tcPr>
          <w:p w14:paraId="3EE6356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Excepciones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XI: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párrafo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2(b),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restricciones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necesarias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reglamentaciones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clasificación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el control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calidad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comercialización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destinados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comercio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209BF96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2762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fecha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21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1961. Ley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Régimen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entre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Beneficiarios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Exportadores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Café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ICAFE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598" w:type="dxa"/>
          </w:tcPr>
          <w:p w14:paraId="1ABAB7D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Otorgada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Departamento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Liquidaciones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ICAFE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</w:tr>
      <w:tr w:rsidR="00776F32" w:rsidRPr="003250DB" w14:paraId="5A54E81F" w14:textId="77777777" w:rsidTr="00D651E3">
        <w:tc>
          <w:tcPr>
            <w:tcW w:w="680" w:type="dxa"/>
          </w:tcPr>
          <w:p w14:paraId="24B51B98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17" w:type="dxa"/>
          </w:tcPr>
          <w:p w14:paraId="52F05CC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Controles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impuestos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alcohol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etílico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crudos</w:t>
            </w:r>
            <w:proofErr w:type="spellEnd"/>
          </w:p>
        </w:tc>
        <w:tc>
          <w:tcPr>
            <w:tcW w:w="1376" w:type="dxa"/>
          </w:tcPr>
          <w:p w14:paraId="6A25025B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STR</w:t>
            </w:r>
          </w:p>
        </w:tc>
        <w:tc>
          <w:tcPr>
            <w:tcW w:w="1654" w:type="dxa"/>
          </w:tcPr>
          <w:p w14:paraId="28D84DC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2207</w:t>
            </w:r>
          </w:p>
          <w:p w14:paraId="0D2B9FC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2208.40</w:t>
            </w:r>
          </w:p>
          <w:p w14:paraId="5D9D9E1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ex.2208.90</w:t>
            </w:r>
          </w:p>
        </w:tc>
        <w:tc>
          <w:tcPr>
            <w:tcW w:w="1813" w:type="dxa"/>
          </w:tcPr>
          <w:p w14:paraId="02C78BF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Alcohol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etílico</w:t>
            </w:r>
            <w:proofErr w:type="spellEnd"/>
          </w:p>
          <w:p w14:paraId="3C50420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Ron</w:t>
            </w:r>
          </w:p>
        </w:tc>
        <w:tc>
          <w:tcPr>
            <w:tcW w:w="2209" w:type="dxa"/>
          </w:tcPr>
          <w:p w14:paraId="6E01666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disposición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fundamenta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cumplimiento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serie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estableció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propósito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46C24AD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(d)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mantenimiento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vigor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monopolios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administrados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conformidad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párrafo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4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Art.XVII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26BD263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Ley No. 8 Código Fiscal</w:t>
            </w:r>
          </w:p>
        </w:tc>
        <w:tc>
          <w:tcPr>
            <w:tcW w:w="1598" w:type="dxa"/>
          </w:tcPr>
          <w:p w14:paraId="416EFFB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70143E0F" w14:textId="77777777" w:rsidTr="00D651E3">
        <w:tc>
          <w:tcPr>
            <w:tcW w:w="680" w:type="dxa"/>
          </w:tcPr>
          <w:p w14:paraId="0659C289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917" w:type="dxa"/>
          </w:tcPr>
          <w:p w14:paraId="3C88AA0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Permiso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14:paraId="61EED6F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</w:p>
          <w:p w14:paraId="22B952BE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3AA7FF6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2503; 2802; 2814.10; 2827.41; 2829.11; 2829.19; 2829.90; 2830.10; 2834.21; 2842.10; 2842.90; 2836.92; 3102.30; 3102.50; ex3212.90; 3601; ex3602; 3603; 3604.10; 3606.90; 7603.10; 7603.20</w:t>
            </w:r>
          </w:p>
        </w:tc>
        <w:tc>
          <w:tcPr>
            <w:tcW w:w="1813" w:type="dxa"/>
          </w:tcPr>
          <w:p w14:paraId="59FE6EC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primas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fabricación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10ECD05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XXI del GATT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seguridad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objetivo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restricción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regular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adquisición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posesión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inscripción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venta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fabricación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velar por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seguridad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orden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público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6802543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General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Policía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Nº 7410 de 1994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C662A1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66A435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N° 7530,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1996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25A76D2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231247C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realiza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la nota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técnica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60.</w:t>
            </w:r>
          </w:p>
          <w:p w14:paraId="0F579CD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8" w:type="dxa"/>
          </w:tcPr>
          <w:p w14:paraId="2F29BDC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Dirección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entidad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encargada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otorgar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posterior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desalmacenaje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primas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fabricación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Al amparo de la Ley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(N° 7530), es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entidad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facultada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ejercer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control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fiscalización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bienes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incluso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cancelado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tributos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ley.</w:t>
            </w:r>
          </w:p>
          <w:p w14:paraId="6F61451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01A3809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deben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distinguir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tipos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trámite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:</w:t>
            </w:r>
          </w:p>
          <w:p w14:paraId="788995A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1.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Permiso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consiste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que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mercancía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pueda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país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procedencia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Este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trámite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realiza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directamente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Dirección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forma documental (no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electrónica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) y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ello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debe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licencia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anual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513EC4E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2.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desalmacenar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Toda persona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física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jurídica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cuyo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giro sea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comercial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normal,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deberá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gestionar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permiso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desalmacenar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ante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Dirección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</w:tr>
      <w:tr w:rsidR="00776F32" w:rsidRPr="003250DB" w14:paraId="20EDF591" w14:textId="77777777" w:rsidTr="00D651E3">
        <w:tc>
          <w:tcPr>
            <w:tcW w:w="680" w:type="dxa"/>
          </w:tcPr>
          <w:p w14:paraId="539DC07B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917" w:type="dxa"/>
          </w:tcPr>
          <w:p w14:paraId="65EE126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peligrosos</w:t>
            </w:r>
            <w:proofErr w:type="spellEnd"/>
          </w:p>
        </w:tc>
        <w:tc>
          <w:tcPr>
            <w:tcW w:w="1376" w:type="dxa"/>
          </w:tcPr>
          <w:p w14:paraId="79453D47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654" w:type="dxa"/>
          </w:tcPr>
          <w:p w14:paraId="704CC5A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2524.10; ex.2530.90; ex.2710.91; ex.2852.10; ex.2853.90; 2903.14; ex.2903.76; ex.2903.77; ex.2903.79; 2903.81; ex.2903.82; ex.2903.89; ex.2903.92;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>2908.11; 2910.40; ex.2910.50; 2914.71; ex.2931.90; ex.2933.99; 3006.92</w:t>
            </w:r>
          </w:p>
          <w:p w14:paraId="4C47710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BC91AB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Asbesto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criolita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aceites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contengan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PCB,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PCT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PBB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tetracloruro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carbono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ciertos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halogenados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hidrocarburos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ISO; DCI;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farmacéuticos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1D140A7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necesaria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personas.</w:t>
            </w:r>
          </w:p>
          <w:p w14:paraId="24E28BD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221A8BD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Basilea</w:t>
            </w:r>
            <w:proofErr w:type="spellEnd"/>
          </w:p>
        </w:tc>
        <w:tc>
          <w:tcPr>
            <w:tcW w:w="1749" w:type="dxa"/>
          </w:tcPr>
          <w:p w14:paraId="6F72C84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7438 de 06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octubre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1994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Basilea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Control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Movimientos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Transfronterizos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Peligrosos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Eliminación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</w:p>
          <w:p w14:paraId="217A7FE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38A4DA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7520 de 06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julio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1995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Acuerdo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Centroamericano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Movimiento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Transfronterizo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Peligrosos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Prohíbe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peligrosos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</w:t>
            </w:r>
          </w:p>
          <w:p w14:paraId="1BD3215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0DB20C4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29877-S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199 de 17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octubre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2001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Prohíbe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tránsito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…y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prima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contenga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Pentaclorofenol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(PCP)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Sódica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(Na-PCP))</w:t>
            </w:r>
          </w:p>
          <w:p w14:paraId="028CB55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B15860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28530-MTSS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59 de 23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marzo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2000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nematicidas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1,3 dibromo-3-cloropropano (DBCP)</w:t>
            </w:r>
          </w:p>
          <w:p w14:paraId="33C36F9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B9CFBD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17486-MAG-S de 22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abril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1987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Prohíbe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Arseniato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Plomo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</w:t>
            </w:r>
          </w:p>
          <w:p w14:paraId="0076A7A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30B446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Nº 25056-S-MEIC-MINAE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Reglamento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Controlado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Asbesto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lo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Contengan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crocidolita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98" w:type="dxa"/>
          </w:tcPr>
          <w:p w14:paraId="424D0CB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Nota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técnica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73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</w:t>
            </w:r>
          </w:p>
        </w:tc>
      </w:tr>
      <w:tr w:rsidR="00776F32" w:rsidRPr="003250DB" w14:paraId="2FF026F3" w14:textId="77777777" w:rsidTr="00D651E3">
        <w:tc>
          <w:tcPr>
            <w:tcW w:w="680" w:type="dxa"/>
          </w:tcPr>
          <w:p w14:paraId="63F285C7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917" w:type="dxa"/>
          </w:tcPr>
          <w:p w14:paraId="6A0315C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tránsito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peligrosos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Nacional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Designada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Basilea</w:t>
            </w:r>
            <w:proofErr w:type="spellEnd"/>
          </w:p>
        </w:tc>
        <w:tc>
          <w:tcPr>
            <w:tcW w:w="1376" w:type="dxa"/>
          </w:tcPr>
          <w:p w14:paraId="1367887A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</w:p>
          <w:p w14:paraId="05EB7C9A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3617CFF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2619; 2620.21; 2620.29; 2620.30; 2620.60; 2620.91; 2620.99; 2621.10; ex.2710.99;  4011.10; 4011.20; 4011.40; 4011.50; 4011.70; 4011.80; 4011.90; 7204.10; 7204.21; 7204.29;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7204.30; 7204.41; 7204.49; 7204.50; 7802; 8107.30; 8110.20; 8112.13;  8112.20; ex.8113.00; ex.8443.31; ex.8443.32; ex.8443.39; ex.8470.10; ex.8471.30; ex.8471.41; ex.8471.50; ex.8471.60; ex.8471.70; ex.8471.80; ex.8471.90; ex.8504.40; ex.8505.11; ex.8505.19; ex.8505.20; ex.8505.90; ex.8507.10; ex.8507.20; ex.8517.12; ex.8517.62; ex.8525.80; ex.8528.42; ex.8528.52; ex.8528.62; ex.8542.31; ex.8543.70; ex.8548.10;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>8548.90; ex.9008.50</w:t>
            </w:r>
          </w:p>
        </w:tc>
        <w:tc>
          <w:tcPr>
            <w:tcW w:w="1813" w:type="dxa"/>
          </w:tcPr>
          <w:p w14:paraId="4A926DD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Desperdicios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siderurgia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Desperdicios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residuos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contengan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metal,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arsénico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cenizas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procedentes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incineración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desperdicios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municipales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neumáticos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desperdicios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desechos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fundición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hierro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acero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plomo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cadmio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antimonio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berilio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desperdicios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baterías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cintas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tintas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6E8D41B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necesaria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personas.</w:t>
            </w:r>
          </w:p>
          <w:p w14:paraId="3C1E536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271AB0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Basilea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0DBBBA0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7438 de 06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octubre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1994,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220 de 18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noviembre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1994,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ratifica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Basilea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8" w:type="dxa"/>
          </w:tcPr>
          <w:p w14:paraId="75DCBA9E" w14:textId="77777777" w:rsidR="00776F32" w:rsidRPr="003250DB" w:rsidRDefault="00776F32" w:rsidP="00D651E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tramita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la Nota Técnica 269.</w:t>
            </w:r>
          </w:p>
        </w:tc>
      </w:tr>
      <w:tr w:rsidR="00776F32" w:rsidRPr="003250DB" w14:paraId="52B6C4EE" w14:textId="77777777" w:rsidTr="00D651E3">
        <w:tc>
          <w:tcPr>
            <w:tcW w:w="680" w:type="dxa"/>
          </w:tcPr>
          <w:p w14:paraId="2B131351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917" w:type="dxa"/>
          </w:tcPr>
          <w:p w14:paraId="15D8D88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Controles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impuestos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petróleo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crudo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sus combustibles,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asfaltos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naftas</w:t>
            </w:r>
            <w:proofErr w:type="spellEnd"/>
          </w:p>
        </w:tc>
        <w:tc>
          <w:tcPr>
            <w:tcW w:w="1376" w:type="dxa"/>
          </w:tcPr>
          <w:p w14:paraId="3AF68AAE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STR</w:t>
            </w:r>
          </w:p>
        </w:tc>
        <w:tc>
          <w:tcPr>
            <w:tcW w:w="1654" w:type="dxa"/>
          </w:tcPr>
          <w:p w14:paraId="1F33096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ex.2709.00; ex.2710.12;</w:t>
            </w:r>
          </w:p>
          <w:p w14:paraId="03FDA11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ex.2710.19; 2711.12; 2713.20; 2909.19</w:t>
            </w:r>
          </w:p>
        </w:tc>
        <w:tc>
          <w:tcPr>
            <w:tcW w:w="1813" w:type="dxa"/>
          </w:tcPr>
          <w:p w14:paraId="3419F14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Aceites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ligeros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combustibles,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asfalto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 MTBE</w:t>
            </w:r>
          </w:p>
        </w:tc>
        <w:tc>
          <w:tcPr>
            <w:tcW w:w="2209" w:type="dxa"/>
          </w:tcPr>
          <w:p w14:paraId="624A2FA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(d)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mantenimiento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vigor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monopolios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administrados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conformidad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párrafo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4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Art.XVII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5312BAA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7356 del 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setiembre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1993.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Monopolio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Favor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Estado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Refinación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Distribución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Mayoreo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Petróleo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Crudo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sus Combustibles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Asfaltos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Naftas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8" w:type="dxa"/>
          </w:tcPr>
          <w:p w14:paraId="108ED60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65D5BC50" w14:textId="77777777" w:rsidTr="00D651E3">
        <w:tc>
          <w:tcPr>
            <w:tcW w:w="680" w:type="dxa"/>
          </w:tcPr>
          <w:p w14:paraId="48ADC33D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917" w:type="dxa"/>
          </w:tcPr>
          <w:p w14:paraId="4D27E0C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Controles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impuestos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hidrocarburos</w:t>
            </w:r>
            <w:proofErr w:type="spellEnd"/>
          </w:p>
        </w:tc>
        <w:tc>
          <w:tcPr>
            <w:tcW w:w="1376" w:type="dxa"/>
          </w:tcPr>
          <w:p w14:paraId="0DE67E5F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STR</w:t>
            </w:r>
          </w:p>
        </w:tc>
        <w:tc>
          <w:tcPr>
            <w:tcW w:w="1654" w:type="dxa"/>
          </w:tcPr>
          <w:p w14:paraId="5E8ABAB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2710</w:t>
            </w:r>
          </w:p>
        </w:tc>
        <w:tc>
          <w:tcPr>
            <w:tcW w:w="1813" w:type="dxa"/>
          </w:tcPr>
          <w:p w14:paraId="0B29947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Aceites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petróleo</w:t>
            </w:r>
            <w:proofErr w:type="spellEnd"/>
          </w:p>
        </w:tc>
        <w:tc>
          <w:tcPr>
            <w:tcW w:w="2209" w:type="dxa"/>
          </w:tcPr>
          <w:p w14:paraId="553048A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(d)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mantenimiento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vigor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monopolios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administrados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conformidad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párrafo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4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Art.XVII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85F2E5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680AD7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XXI del GATT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seguridad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objetivo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satisfacer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primordialmente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demanda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hidrocarburos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y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excedente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puede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ser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749" w:type="dxa"/>
          </w:tcPr>
          <w:p w14:paraId="018CB35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7399 Ley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Hidrocarburos</w:t>
            </w:r>
            <w:proofErr w:type="spellEnd"/>
          </w:p>
        </w:tc>
        <w:tc>
          <w:tcPr>
            <w:tcW w:w="1598" w:type="dxa"/>
          </w:tcPr>
          <w:p w14:paraId="0DC8A7B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2EB838E2" w14:textId="77777777" w:rsidTr="00D651E3">
        <w:tc>
          <w:tcPr>
            <w:tcW w:w="680" w:type="dxa"/>
          </w:tcPr>
          <w:p w14:paraId="53A6494D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1917" w:type="dxa"/>
          </w:tcPr>
          <w:p w14:paraId="2D56F74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Comisión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Gubernamental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14:paraId="7C590C4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NAL</w:t>
            </w:r>
            <w:proofErr w:type="spellEnd"/>
          </w:p>
          <w:p w14:paraId="7F38BD1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3EBABEF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ex.2711.12; ex.2814.10;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>2903.14; ex.2903.19; ex.2903.31; ex.2903.39; 2903.71; 2903.72; 2903.73; 2903.74; 2903.75; ex.2903.79; ex.3004.32; ex.3808.59; ex.3808.91; ex.3808.99; 3813; ex.3814.00; 3824.71; 3824.74; 3824.75; 3824.75; 3824.76; 3824.77; 3824.78; ex.3907.20; ex.3907.99; ex.3909.50; ex.8415.10; ex.8415.20; 8415.81; 8415.82; 8418.10</w:t>
            </w:r>
          </w:p>
        </w:tc>
        <w:tc>
          <w:tcPr>
            <w:tcW w:w="1813" w:type="dxa"/>
          </w:tcPr>
          <w:p w14:paraId="1D3C2E8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Propano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tetracloruro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carbono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halogenados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hidrocarburos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mezclas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etano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propano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metano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poliéteres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ciertos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tipos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aires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acondicionados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equipos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enfriamiento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refrigeradores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28D2622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(g)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naturales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2A0CACA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4348D39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5BE94B6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Ley Nº 7223,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agotadoras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suscrito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16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septiembre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1987.</w:t>
            </w:r>
          </w:p>
          <w:p w14:paraId="1FFE6D3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EB06C5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7808,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enmienda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anexos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adoptada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Segunda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Reunión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el 29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1990 y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Cuarta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Reunión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25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Noviembre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1992.</w:t>
            </w:r>
          </w:p>
          <w:p w14:paraId="5138F02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0625BB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7228,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adhesión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Costa Rica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Viena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anexos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del 22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marzo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1985</w:t>
            </w:r>
          </w:p>
        </w:tc>
        <w:tc>
          <w:tcPr>
            <w:tcW w:w="1598" w:type="dxa"/>
          </w:tcPr>
          <w:p w14:paraId="28646660" w14:textId="77777777" w:rsidR="00776F32" w:rsidRPr="003250DB" w:rsidRDefault="00776F32" w:rsidP="00D651E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tramita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la Nota Técnica 38</w:t>
            </w:r>
          </w:p>
        </w:tc>
      </w:tr>
      <w:tr w:rsidR="00776F32" w:rsidRPr="003250DB" w14:paraId="5A951660" w14:textId="77777777" w:rsidTr="00D651E3">
        <w:tc>
          <w:tcPr>
            <w:tcW w:w="680" w:type="dxa"/>
          </w:tcPr>
          <w:p w14:paraId="6C6AFEEE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917" w:type="dxa"/>
          </w:tcPr>
          <w:p w14:paraId="5FC2DF9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precursores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químicas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incluido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sellado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14:paraId="520818FD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</w:p>
        </w:tc>
        <w:tc>
          <w:tcPr>
            <w:tcW w:w="1654" w:type="dxa"/>
          </w:tcPr>
          <w:p w14:paraId="1BB3952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Capítulos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ex28, ex29, ex38 </w:t>
            </w:r>
          </w:p>
          <w:p w14:paraId="536DBA9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39BAF8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Capítulo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ex30</w:t>
            </w:r>
          </w:p>
          <w:p w14:paraId="76AADB1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3A3C88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0D511F3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C26521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52864D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ex84.22</w:t>
            </w:r>
          </w:p>
        </w:tc>
        <w:tc>
          <w:tcPr>
            <w:tcW w:w="1813" w:type="dxa"/>
          </w:tcPr>
          <w:p w14:paraId="59B2861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químicas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0D0153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9CA195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93C352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farmacéuticos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5D07C6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A42383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9736EE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C731E8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Máquinas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controladas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: </w:t>
            </w:r>
          </w:p>
          <w:p w14:paraId="47666C3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máquinas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encapsular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farmacéuticos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alimentarios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cualquier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tipo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F52780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9D2D27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Máquinas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tableteadoras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compresoras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presentar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farmacéuticos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alimentarios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forma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tabletas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comprimidos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07E22FF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09" w:type="dxa"/>
          </w:tcPr>
          <w:p w14:paraId="0B5640A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(a) del GATT,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para no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impedir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necesarias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moral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pública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06FA925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5CE023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sentido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un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objetivo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adicional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regular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actividades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financieras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fin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evitar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penetración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capitales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provenientes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delitos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graves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conformidad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1 de la Ley No. 8204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todos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mecanismos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procedimientos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puedan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servir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legitimar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capitales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5B38625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D221D7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para no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impedir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necesarias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personas y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animales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preservar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vegetales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restricción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busca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regular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suministro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prescripción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administración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manipulación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tenencia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tráfico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elaboración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distribución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comercialización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drogas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fármacos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susceptibles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dependencia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física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psíquica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incluidos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distintos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instrumentos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regulan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sin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perjuicio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ordenado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Ley General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40D23BD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C4EBBD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Dentro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compromisos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encuentran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:</w:t>
            </w:r>
          </w:p>
          <w:p w14:paraId="5388EFE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476992F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Única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Unidas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Estupefacientes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del 30 de mayo de 1961, Ley N° 4544 del 18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marzo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1970.</w:t>
            </w:r>
          </w:p>
          <w:p w14:paraId="38370FB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362324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Única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Estupefacientes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Ley Nº 5168 del 8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enero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1973.</w:t>
            </w:r>
          </w:p>
          <w:p w14:paraId="5930798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3B2394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Viena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Psicotrópicas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del 21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febrero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1971, Ley N°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4990 del 10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1972.</w:t>
            </w:r>
          </w:p>
          <w:p w14:paraId="574C5CD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279199B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Unidas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contra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Tráfico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Ilícito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Estupefacientes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Psicotrópicas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1988), Ley Nº 7198 del 25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setiembre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1990.</w:t>
            </w:r>
          </w:p>
        </w:tc>
        <w:tc>
          <w:tcPr>
            <w:tcW w:w="1749" w:type="dxa"/>
          </w:tcPr>
          <w:p w14:paraId="17C2C88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Ley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Estupefacientes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Psicotrópicas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Drogas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Actividades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Conexas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(Ley 8204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publicada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N° 8 del 11-02-2002)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26932AE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6E277B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Nº 35761-MP-MSP-H-COMEX-S,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publicado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N° 40 del 26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febrero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2010. </w:t>
            </w:r>
          </w:p>
          <w:p w14:paraId="6916F14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034311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Reglamento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a la Ley 8204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Reformas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36948-MP-SP-JP-H-S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publicado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Alcance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N° 8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N° 12 del 17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enero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2012.</w:t>
            </w:r>
          </w:p>
        </w:tc>
        <w:tc>
          <w:tcPr>
            <w:tcW w:w="1598" w:type="dxa"/>
          </w:tcPr>
          <w:p w14:paraId="5D4C7E4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 Unidad de Control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Fiscalización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Precursores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Instituto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Costarricense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Drogas (ICD)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Ministerio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Presidencia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entidad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encargada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requisitos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reexportaciones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químicas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preparados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farmacéuticos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máquinas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controladas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incluidos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artículos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51 y 54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Reglamento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a la Ley 8204.</w:t>
            </w:r>
          </w:p>
        </w:tc>
      </w:tr>
      <w:tr w:rsidR="00776F32" w:rsidRPr="003250DB" w14:paraId="75930851" w14:textId="77777777" w:rsidTr="00D651E3">
        <w:tc>
          <w:tcPr>
            <w:tcW w:w="680" w:type="dxa"/>
          </w:tcPr>
          <w:p w14:paraId="24883DA3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917" w:type="dxa"/>
          </w:tcPr>
          <w:p w14:paraId="19B16B1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gas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freón</w:t>
            </w:r>
            <w:proofErr w:type="spellEnd"/>
          </w:p>
        </w:tc>
        <w:tc>
          <w:tcPr>
            <w:tcW w:w="1376" w:type="dxa"/>
          </w:tcPr>
          <w:p w14:paraId="4666E34B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654" w:type="dxa"/>
          </w:tcPr>
          <w:p w14:paraId="742A911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290376.20</w:t>
            </w:r>
          </w:p>
        </w:tc>
        <w:tc>
          <w:tcPr>
            <w:tcW w:w="1813" w:type="dxa"/>
          </w:tcPr>
          <w:p w14:paraId="200CAE7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Gas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freón</w:t>
            </w:r>
            <w:proofErr w:type="spellEnd"/>
          </w:p>
        </w:tc>
        <w:tc>
          <w:tcPr>
            <w:tcW w:w="2209" w:type="dxa"/>
          </w:tcPr>
          <w:p w14:paraId="218EE5E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(g)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naturales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021779E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9ABA33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28A0BC0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7223,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agotadoras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suscrito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16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septiembre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1987.</w:t>
            </w:r>
          </w:p>
          <w:p w14:paraId="395A945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2F8A23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7808,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enmienda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Protocolo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Montreal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sustancias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y sus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anexos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adoptada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Segunda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Reunión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el 29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1990 y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Cuarta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Reunión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25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noviembre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1992.</w:t>
            </w:r>
          </w:p>
          <w:p w14:paraId="777514E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1B0408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Nº 7228,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aprobación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adhesión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Costa Rica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Viena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capa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ozono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anexos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del 22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marzo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1985</w:t>
            </w:r>
          </w:p>
        </w:tc>
        <w:tc>
          <w:tcPr>
            <w:tcW w:w="1598" w:type="dxa"/>
          </w:tcPr>
          <w:p w14:paraId="41A86E0F" w14:textId="77777777" w:rsidR="00776F32" w:rsidRPr="003250DB" w:rsidRDefault="00776F32" w:rsidP="00D651E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Nota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técnica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73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)</w:t>
            </w:r>
          </w:p>
        </w:tc>
      </w:tr>
      <w:tr w:rsidR="00776F32" w:rsidRPr="003250DB" w14:paraId="44EA3415" w14:textId="77777777" w:rsidTr="00D651E3">
        <w:tc>
          <w:tcPr>
            <w:tcW w:w="680" w:type="dxa"/>
          </w:tcPr>
          <w:p w14:paraId="24B30795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1917" w:type="dxa"/>
          </w:tcPr>
          <w:p w14:paraId="0336B83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componentes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anatómicos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procesados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y/o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preservados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derivados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origen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trasplante</w:t>
            </w:r>
            <w:proofErr w:type="spellEnd"/>
          </w:p>
        </w:tc>
        <w:tc>
          <w:tcPr>
            <w:tcW w:w="1376" w:type="dxa"/>
          </w:tcPr>
          <w:p w14:paraId="6546150F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</w:p>
          <w:p w14:paraId="4CA2BCB0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1A2D8D6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ex3001.90; ex3002.90</w:t>
            </w:r>
          </w:p>
        </w:tc>
        <w:tc>
          <w:tcPr>
            <w:tcW w:w="1813" w:type="dxa"/>
          </w:tcPr>
          <w:p w14:paraId="609727C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Huesos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órganos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tejidos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injertos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trasplantes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21DDB1F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101452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Células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origen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trasplante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38C766C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4BF9AB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Sangre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559E586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6B375E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09" w:type="dxa"/>
          </w:tcPr>
          <w:p w14:paraId="1DBE5DF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disposición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fundamenta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cumplimiento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serie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estableció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propósito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proteger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salud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2B27475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9222 Ley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donación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trasplante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órganos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tejidos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humanos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1CE8851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No. 39895-S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regula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Ley No. 9222,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mediante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</w:t>
            </w:r>
          </w:p>
          <w:p w14:paraId="1F46647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procedimientos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donación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extracción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preparación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seguimiento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,</w:t>
            </w:r>
          </w:p>
          <w:p w14:paraId="6A895AB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transporte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distribución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trasplante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órganos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tejidos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fines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terapéuticos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8" w:type="dxa"/>
          </w:tcPr>
          <w:p w14:paraId="326AC3E7" w14:textId="77777777" w:rsidR="00776F32" w:rsidRPr="003250DB" w:rsidRDefault="00776F32" w:rsidP="00D651E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realiza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bajo la nota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técnica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39.</w:t>
            </w:r>
          </w:p>
        </w:tc>
      </w:tr>
      <w:tr w:rsidR="00776F32" w:rsidRPr="003250DB" w14:paraId="6CFE99EE" w14:textId="77777777" w:rsidTr="00D651E3">
        <w:tc>
          <w:tcPr>
            <w:tcW w:w="680" w:type="dxa"/>
          </w:tcPr>
          <w:p w14:paraId="67DCE830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917" w:type="dxa"/>
          </w:tcPr>
          <w:p w14:paraId="20C45C1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municiones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relacionados</w:t>
            </w:r>
            <w:proofErr w:type="spellEnd"/>
          </w:p>
        </w:tc>
        <w:tc>
          <w:tcPr>
            <w:tcW w:w="1376" w:type="dxa"/>
          </w:tcPr>
          <w:p w14:paraId="280ECD35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1654" w:type="dxa"/>
          </w:tcPr>
          <w:p w14:paraId="5AE329B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Ex3602; 93.01, 9305.91, ex9306.90</w:t>
            </w:r>
          </w:p>
          <w:p w14:paraId="57C44BE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20A1223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0AA08B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61C6C6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B77A02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747F85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87.10</w:t>
            </w:r>
          </w:p>
          <w:p w14:paraId="1F10263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4995B29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0EF20D3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8906.10</w:t>
            </w:r>
          </w:p>
        </w:tc>
        <w:tc>
          <w:tcPr>
            <w:tcW w:w="1813" w:type="dxa"/>
          </w:tcPr>
          <w:p w14:paraId="76F1210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municiones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potencia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relacionados</w:t>
            </w:r>
            <w:proofErr w:type="spellEnd"/>
          </w:p>
          <w:p w14:paraId="1B8D495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1644284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Tanques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demás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vehículos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blindados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guerra</w:t>
            </w:r>
            <w:proofErr w:type="spellEnd"/>
          </w:p>
          <w:p w14:paraId="4FC9640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C0EA07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Navíos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guerra</w:t>
            </w:r>
            <w:proofErr w:type="spellEnd"/>
          </w:p>
        </w:tc>
        <w:tc>
          <w:tcPr>
            <w:tcW w:w="2209" w:type="dxa"/>
          </w:tcPr>
          <w:p w14:paraId="582F5CE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XXI del GATT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seguridad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con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propósito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cumplir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siguiente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normativa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:</w:t>
            </w:r>
          </w:p>
          <w:p w14:paraId="2C0C226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8906F08" w14:textId="77777777" w:rsidR="00776F32" w:rsidRPr="003250DB" w:rsidRDefault="00776F32" w:rsidP="00D651E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interamericana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contra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fabricación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tráfico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ilícitos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fuego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municiones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080066CB" w14:textId="77777777" w:rsidR="00776F32" w:rsidRPr="003250DB" w:rsidRDefault="00776F32" w:rsidP="00D651E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Represión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Atentados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127427E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D2B9E9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7530 Ley de Control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5D6EC56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7D97675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7957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</w:p>
          <w:p w14:paraId="34636E0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6581206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8042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interamericana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contra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fabricación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tráfico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ilícitos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fuego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municiones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explosivos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otros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materiales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relacionados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25C577D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2393848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8080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Convenio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Represión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Atentados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  <w:p w14:paraId="6D5091A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46EF8BC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9550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Tratado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Armas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Nucleares</w:t>
            </w:r>
            <w:proofErr w:type="spellEnd"/>
          </w:p>
        </w:tc>
        <w:tc>
          <w:tcPr>
            <w:tcW w:w="1598" w:type="dxa"/>
          </w:tcPr>
          <w:p w14:paraId="6ED142DA" w14:textId="77777777" w:rsidR="00776F32" w:rsidRPr="003250DB" w:rsidRDefault="00776F32" w:rsidP="00D651E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La nota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técnica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73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aplica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única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exclusivamente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aquellos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cuya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prohibida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debido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que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Ministerios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clasificado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importables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hacia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Costa Rica.</w:t>
            </w:r>
          </w:p>
        </w:tc>
      </w:tr>
      <w:tr w:rsidR="00776F32" w:rsidRPr="003250DB" w14:paraId="0258FB9F" w14:textId="77777777" w:rsidTr="00D651E3">
        <w:tc>
          <w:tcPr>
            <w:tcW w:w="680" w:type="dxa"/>
          </w:tcPr>
          <w:p w14:paraId="7E643FA9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1917" w:type="dxa"/>
          </w:tcPr>
          <w:p w14:paraId="66EB2E81" w14:textId="77777777" w:rsidR="00776F32" w:rsidRPr="00F26049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Prohibición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maderas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troza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escuadrada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proveniente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bosques</w:t>
            </w:r>
          </w:p>
        </w:tc>
        <w:tc>
          <w:tcPr>
            <w:tcW w:w="1376" w:type="dxa"/>
          </w:tcPr>
          <w:p w14:paraId="6763EB4B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P-X</w:t>
            </w:r>
          </w:p>
        </w:tc>
        <w:tc>
          <w:tcPr>
            <w:tcW w:w="1654" w:type="dxa"/>
          </w:tcPr>
          <w:p w14:paraId="7F4693A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4403</w:t>
            </w:r>
          </w:p>
        </w:tc>
        <w:tc>
          <w:tcPr>
            <w:tcW w:w="1813" w:type="dxa"/>
          </w:tcPr>
          <w:p w14:paraId="519C689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Madera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troza</w:t>
            </w:r>
            <w:proofErr w:type="spellEnd"/>
          </w:p>
        </w:tc>
        <w:tc>
          <w:tcPr>
            <w:tcW w:w="2209" w:type="dxa"/>
          </w:tcPr>
          <w:p w14:paraId="7864E50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(g)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conservación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recursos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naturales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agotables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51B359F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Ley No. 7575 Ley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Forestal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16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abril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1996</w:t>
            </w:r>
          </w:p>
        </w:tc>
        <w:tc>
          <w:tcPr>
            <w:tcW w:w="1598" w:type="dxa"/>
          </w:tcPr>
          <w:p w14:paraId="6890494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4D1D2CBA" w14:textId="77777777" w:rsidTr="00D651E3">
        <w:tc>
          <w:tcPr>
            <w:tcW w:w="680" w:type="dxa"/>
          </w:tcPr>
          <w:p w14:paraId="2AB9C4C6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1917" w:type="dxa"/>
          </w:tcPr>
          <w:p w14:paraId="33BEBAB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Autorización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piezas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arqueológicas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originales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junta y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comisión</w:t>
            </w:r>
            <w:proofErr w:type="spellEnd"/>
          </w:p>
        </w:tc>
        <w:tc>
          <w:tcPr>
            <w:tcW w:w="1376" w:type="dxa"/>
          </w:tcPr>
          <w:p w14:paraId="370F0190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</w:tcPr>
          <w:p w14:paraId="55BBB26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9705</w:t>
            </w:r>
          </w:p>
        </w:tc>
        <w:tc>
          <w:tcPr>
            <w:tcW w:w="1813" w:type="dxa"/>
          </w:tcPr>
          <w:p w14:paraId="1CB8D38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Colecciones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especímenes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colecciones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zoología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botánica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mineralogía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anatomía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tenga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interés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histórico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arqueológico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paleontológico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etnográfico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numismático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</w:tcPr>
          <w:p w14:paraId="7997599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(f)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relativa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protección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tesoros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nacionales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valor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artístico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histórico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arqueológico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3E54487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Ley N° 6703, Ley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sobre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Patrimonio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Nacional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Arqueológico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98" w:type="dxa"/>
          </w:tcPr>
          <w:p w14:paraId="426C3AEB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46AEABAD" w14:textId="77777777" w:rsidTr="00D651E3">
        <w:tc>
          <w:tcPr>
            <w:tcW w:w="680" w:type="dxa"/>
            <w:vMerge w:val="restart"/>
            <w:vAlign w:val="center"/>
          </w:tcPr>
          <w:p w14:paraId="7349AFDD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  <w:r w:rsidRPr="001F371D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1917" w:type="dxa"/>
            <w:vMerge w:val="restart"/>
            <w:vAlign w:val="center"/>
          </w:tcPr>
          <w:p w14:paraId="6CEC986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Licencias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exportación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productos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específicos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dada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existencia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riesgo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desabasto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para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atención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emergencia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sanitaria por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enfermedad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COVID-19.</w:t>
            </w:r>
          </w:p>
        </w:tc>
        <w:tc>
          <w:tcPr>
            <w:tcW w:w="1376" w:type="dxa"/>
            <w:vMerge w:val="restart"/>
            <w:vAlign w:val="center"/>
          </w:tcPr>
          <w:p w14:paraId="4B9EE568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-X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29D39FB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color w:val="000000"/>
                <w:sz w:val="16"/>
                <w:szCs w:val="16"/>
              </w:rPr>
              <w:t>9004.90.10.00.90</w:t>
            </w:r>
            <w:r w:rsidRPr="003250DB">
              <w:rPr>
                <w:rStyle w:val="FootnoteReference"/>
                <w:rFonts w:cs="Arial"/>
                <w:color w:val="000000"/>
                <w:sz w:val="16"/>
                <w:szCs w:val="16"/>
              </w:rPr>
              <w:footnoteReference w:id="2"/>
            </w:r>
          </w:p>
          <w:p w14:paraId="36A346F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30E7160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14:paraId="2C44D446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Monogafas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seguridad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ventilación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indirecta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lente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transparente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marco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recubierto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espuma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banda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para la cabeza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ajustable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Diseño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ergonómico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panorámica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3250DB">
              <w:rPr>
                <w:rFonts w:cs="Arial"/>
                <w:sz w:val="16"/>
                <w:szCs w:val="16"/>
              </w:rPr>
              <w:t xml:space="preserve">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tipo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utilizada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</w:p>
          <w:p w14:paraId="6790511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atención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médica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vAlign w:val="center"/>
          </w:tcPr>
          <w:p w14:paraId="2683495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XI:2 (a) del GATT: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Medida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aplicada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temporalmente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para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prevenir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o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remediar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una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escasez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aguda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productos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esenciales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para la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parte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contratante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exportadora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15A0E5E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  <w:p w14:paraId="58A1505F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Artículo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XX (b) del GATT.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Excepción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General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necesarias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para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proteger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la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salud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y la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vida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de las personas y de los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animales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o para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preservar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los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vegetales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3F952AD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5899949B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Nº 42354-MEIC-S-MAG-COMEX (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reforma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Decreto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Ejecutivo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250DB">
              <w:rPr>
                <w:rFonts w:cs="Arial"/>
                <w:sz w:val="16"/>
                <w:szCs w:val="16"/>
              </w:rPr>
              <w:t xml:space="preserve">Nº </w:t>
            </w:r>
          </w:p>
          <w:p w14:paraId="16E6ECFB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42291-MEIC-S-COMEX),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publicado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Alcance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Nº 151 de la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Gaceta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Nº 149 el 22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de 2020.</w:t>
            </w:r>
          </w:p>
          <w:p w14:paraId="341E1786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01794E5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Rige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partir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22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junio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2020 y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vigencia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finaliza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una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vez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levante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estado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emergencia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todo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territorio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República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Costa Rica.</w:t>
            </w:r>
          </w:p>
        </w:tc>
        <w:tc>
          <w:tcPr>
            <w:tcW w:w="1598" w:type="dxa"/>
            <w:vMerge w:val="restart"/>
            <w:vAlign w:val="center"/>
          </w:tcPr>
          <w:p w14:paraId="25BE3CB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lastRenderedPageBreak/>
              <w:t xml:space="preserve">Se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tramita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por medio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Ministerio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Economía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Industria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Comercio (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MEIC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). La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licencia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es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requerida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únicamente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cuando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las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instituciones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responsables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monitoreo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desabasto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nacional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comuniquen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MEIC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existe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desabasto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riesgo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desabasto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de los</w:t>
            </w:r>
          </w:p>
          <w:p w14:paraId="0E2BF04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mismos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</w:tr>
      <w:tr w:rsidR="00776F32" w:rsidRPr="003250DB" w14:paraId="218DBD1F" w14:textId="77777777" w:rsidTr="00D651E3">
        <w:tc>
          <w:tcPr>
            <w:tcW w:w="680" w:type="dxa"/>
            <w:vMerge/>
            <w:vAlign w:val="center"/>
          </w:tcPr>
          <w:p w14:paraId="35FCEB0C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42D1E96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09F3D72F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6A92D37A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6307.90.20.00.90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1DC7F25F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Mascarillas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N95 y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mascarillas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quirúrgicas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descartables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vAlign w:val="center"/>
          </w:tcPr>
          <w:p w14:paraId="1AA9F471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051342EF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4EFB80E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5F6A5AA2" w14:textId="77777777" w:rsidTr="00D651E3">
        <w:tc>
          <w:tcPr>
            <w:tcW w:w="680" w:type="dxa"/>
            <w:vMerge/>
            <w:vAlign w:val="center"/>
          </w:tcPr>
          <w:p w14:paraId="559D0A81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04A8D23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5B94D879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7841940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4015.19.00.00.00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06D8332D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Guantes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Nitrilo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talla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 L, M y S).</w:t>
            </w:r>
          </w:p>
        </w:tc>
        <w:tc>
          <w:tcPr>
            <w:tcW w:w="2209" w:type="dxa"/>
            <w:vMerge/>
            <w:vAlign w:val="center"/>
          </w:tcPr>
          <w:p w14:paraId="2F2FF10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5D3E95C6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4504ACE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7C461302" w14:textId="77777777" w:rsidTr="00D651E3">
        <w:tc>
          <w:tcPr>
            <w:tcW w:w="680" w:type="dxa"/>
            <w:vMerge/>
            <w:vAlign w:val="center"/>
          </w:tcPr>
          <w:p w14:paraId="0E23D996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105F1614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2ADEB4CA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3CCA73B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6210.10.90.00.00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5"/>
            </w: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3DC5EE26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3250DB">
              <w:rPr>
                <w:rFonts w:cs="Arial"/>
                <w:color w:val="000000"/>
                <w:sz w:val="16"/>
                <w:szCs w:val="16"/>
              </w:rPr>
              <w:t xml:space="preserve">Batas </w:t>
            </w:r>
            <w:proofErr w:type="spellStart"/>
            <w:r w:rsidRPr="003250DB">
              <w:rPr>
                <w:rFonts w:cs="Arial"/>
                <w:color w:val="000000"/>
                <w:sz w:val="16"/>
                <w:szCs w:val="16"/>
              </w:rPr>
              <w:t>descartables</w:t>
            </w:r>
            <w:proofErr w:type="spellEnd"/>
            <w:r w:rsidRPr="003250DB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vAlign w:val="center"/>
          </w:tcPr>
          <w:p w14:paraId="6D4E0A4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65EC79BD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3C0739E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1A117513" w14:textId="77777777" w:rsidTr="00D651E3">
        <w:tc>
          <w:tcPr>
            <w:tcW w:w="680" w:type="dxa"/>
            <w:vMerge/>
            <w:vAlign w:val="center"/>
          </w:tcPr>
          <w:p w14:paraId="275432BB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642B054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61764A5C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5E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3004.90.91.00.90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6"/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04C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Formulaciones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alcohólicas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</w:t>
            </w:r>
          </w:p>
          <w:p w14:paraId="56737935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lastRenderedPageBreak/>
              <w:t>concentraciones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superiores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60%</w:t>
            </w:r>
          </w:p>
          <w:p w14:paraId="26FDBB00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higiene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externo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tcBorders>
              <w:left w:val="single" w:sz="4" w:space="0" w:color="auto"/>
            </w:tcBorders>
            <w:vAlign w:val="center"/>
          </w:tcPr>
          <w:p w14:paraId="6EFBB32F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4915F727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6AB76E5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79E2C50A" w14:textId="77777777" w:rsidTr="00D651E3">
        <w:tc>
          <w:tcPr>
            <w:tcW w:w="680" w:type="dxa"/>
            <w:vMerge/>
            <w:vAlign w:val="center"/>
          </w:tcPr>
          <w:p w14:paraId="2AC50F7A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64EF904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557F3FF9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14:paraId="0DC60C2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3808.94.90.00.99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7"/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vAlign w:val="center"/>
          </w:tcPr>
          <w:p w14:paraId="01CDD03A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Formulaciones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alcohólicas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</w:t>
            </w:r>
          </w:p>
          <w:p w14:paraId="4FB9E52F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concentraciones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superiores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60%</w:t>
            </w:r>
          </w:p>
          <w:p w14:paraId="299A2B0C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higiene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externo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vAlign w:val="center"/>
          </w:tcPr>
          <w:p w14:paraId="1A723637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2A96A111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6FADCEC8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6121BD0F" w14:textId="77777777" w:rsidTr="00D651E3">
        <w:tc>
          <w:tcPr>
            <w:tcW w:w="680" w:type="dxa"/>
            <w:vMerge/>
            <w:vAlign w:val="center"/>
          </w:tcPr>
          <w:p w14:paraId="0BAE108A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2FBD3402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0880FB36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5731E8D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3004.90.91.00.90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8"/>
            </w: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30BF1A23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Formulaciones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alcohólicas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</w:t>
            </w:r>
          </w:p>
          <w:p w14:paraId="2E5A7EDE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concentraciones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superiores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60%</w:t>
            </w:r>
          </w:p>
          <w:p w14:paraId="60C1CF6E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higiene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externo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vAlign w:val="center"/>
          </w:tcPr>
          <w:p w14:paraId="063FA56D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52BA00BE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44BB511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6C318D6D" w14:textId="77777777" w:rsidTr="00D651E3">
        <w:tc>
          <w:tcPr>
            <w:tcW w:w="680" w:type="dxa"/>
            <w:vMerge/>
            <w:vAlign w:val="center"/>
          </w:tcPr>
          <w:p w14:paraId="665ED804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14:paraId="5F91FD0C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14:paraId="7EA5AF44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3541B1D9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3808.94.90.00.99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9"/>
            </w: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14:paraId="3450AC46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Formulaciones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alcohólicas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con</w:t>
            </w:r>
          </w:p>
          <w:p w14:paraId="15EDB620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3250DB">
              <w:rPr>
                <w:rFonts w:cs="Arial"/>
                <w:sz w:val="16"/>
                <w:szCs w:val="16"/>
              </w:rPr>
              <w:t>concentraciones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superiores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al 60%</w:t>
            </w:r>
          </w:p>
          <w:p w14:paraId="5B70A20B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para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higiene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y de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externo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09" w:type="dxa"/>
            <w:vMerge/>
            <w:vAlign w:val="center"/>
          </w:tcPr>
          <w:p w14:paraId="0B057796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vAlign w:val="center"/>
          </w:tcPr>
          <w:p w14:paraId="6BC96512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</w:tcPr>
          <w:p w14:paraId="28374A7E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tr w:rsidR="00776F32" w:rsidRPr="003250DB" w14:paraId="496E6E76" w14:textId="77777777" w:rsidTr="009F5089">
        <w:tc>
          <w:tcPr>
            <w:tcW w:w="680" w:type="dxa"/>
            <w:vMerge/>
            <w:tcBorders>
              <w:bottom w:val="double" w:sz="4" w:space="0" w:color="auto"/>
            </w:tcBorders>
            <w:vAlign w:val="center"/>
          </w:tcPr>
          <w:p w14:paraId="440B7DA4" w14:textId="77777777" w:rsidR="00776F32" w:rsidRPr="001F371D" w:rsidRDefault="00776F32" w:rsidP="00D651E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bottom w:val="double" w:sz="4" w:space="0" w:color="auto"/>
            </w:tcBorders>
            <w:vAlign w:val="center"/>
          </w:tcPr>
          <w:p w14:paraId="07DFDDEA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bottom w:val="double" w:sz="4" w:space="0" w:color="auto"/>
            </w:tcBorders>
            <w:vAlign w:val="center"/>
          </w:tcPr>
          <w:p w14:paraId="32510B9D" w14:textId="77777777" w:rsidR="00776F32" w:rsidRPr="003250DB" w:rsidRDefault="00776F32" w:rsidP="00D651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bottom w:val="double" w:sz="4" w:space="0" w:color="auto"/>
            </w:tcBorders>
            <w:vAlign w:val="center"/>
          </w:tcPr>
          <w:p w14:paraId="6A3742F3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>2207.10</w:t>
            </w:r>
            <w:r w:rsidRPr="003250DB">
              <w:rPr>
                <w:rStyle w:val="FootnoteReference"/>
                <w:rFonts w:cs="Arial"/>
                <w:sz w:val="16"/>
                <w:szCs w:val="16"/>
              </w:rPr>
              <w:footnoteReference w:id="10"/>
            </w:r>
          </w:p>
        </w:tc>
        <w:tc>
          <w:tcPr>
            <w:tcW w:w="1813" w:type="dxa"/>
            <w:tcBorders>
              <w:top w:val="nil"/>
              <w:bottom w:val="double" w:sz="4" w:space="0" w:color="auto"/>
            </w:tcBorders>
            <w:vAlign w:val="center"/>
          </w:tcPr>
          <w:p w14:paraId="651057F7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Alcohol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etílico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sin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desnaturalizar</w:t>
            </w:r>
            <w:proofErr w:type="spellEnd"/>
          </w:p>
          <w:p w14:paraId="3F0B89F4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con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grado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alcohólico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volumétrico</w:t>
            </w:r>
            <w:proofErr w:type="spellEnd"/>
          </w:p>
          <w:p w14:paraId="38B82CB5" w14:textId="77777777" w:rsidR="00776F32" w:rsidRPr="003250DB" w:rsidRDefault="00776F32" w:rsidP="00D651E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250DB">
              <w:rPr>
                <w:rFonts w:cs="Arial"/>
                <w:sz w:val="16"/>
                <w:szCs w:val="16"/>
              </w:rPr>
              <w:t xml:space="preserve">superior o </w:t>
            </w:r>
            <w:proofErr w:type="spellStart"/>
            <w:r w:rsidRPr="003250DB">
              <w:rPr>
                <w:rFonts w:cs="Arial"/>
                <w:sz w:val="16"/>
                <w:szCs w:val="16"/>
              </w:rPr>
              <w:t>igual</w:t>
            </w:r>
            <w:proofErr w:type="spellEnd"/>
            <w:r w:rsidRPr="003250DB">
              <w:rPr>
                <w:rFonts w:cs="Arial"/>
                <w:sz w:val="16"/>
                <w:szCs w:val="16"/>
              </w:rPr>
              <w:t xml:space="preserve"> a 80% vol.</w:t>
            </w:r>
          </w:p>
        </w:tc>
        <w:tc>
          <w:tcPr>
            <w:tcW w:w="2209" w:type="dxa"/>
            <w:vMerge/>
            <w:tcBorders>
              <w:bottom w:val="double" w:sz="4" w:space="0" w:color="auto"/>
            </w:tcBorders>
            <w:vAlign w:val="center"/>
          </w:tcPr>
          <w:p w14:paraId="0C97F825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</w:tcBorders>
            <w:vAlign w:val="center"/>
          </w:tcPr>
          <w:p w14:paraId="3D17557E" w14:textId="77777777" w:rsidR="00776F32" w:rsidRPr="003250DB" w:rsidRDefault="00776F32" w:rsidP="00D651E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bottom w:val="double" w:sz="4" w:space="0" w:color="auto"/>
            </w:tcBorders>
            <w:vAlign w:val="center"/>
          </w:tcPr>
          <w:p w14:paraId="4337A980" w14:textId="77777777" w:rsidR="00776F32" w:rsidRPr="003250DB" w:rsidRDefault="00776F32" w:rsidP="00D651E3">
            <w:pPr>
              <w:rPr>
                <w:rFonts w:cs="Arial"/>
                <w:sz w:val="16"/>
                <w:szCs w:val="16"/>
              </w:rPr>
            </w:pPr>
          </w:p>
        </w:tc>
      </w:tr>
      <w:bookmarkEnd w:id="57"/>
    </w:tbl>
    <w:p w14:paraId="2C909257" w14:textId="77777777" w:rsidR="00776F32" w:rsidRDefault="00776F32" w:rsidP="00776F32"/>
    <w:p w14:paraId="414AD58B" w14:textId="77777777" w:rsidR="00776F32" w:rsidRDefault="00776F32" w:rsidP="00776F32">
      <w:pPr>
        <w:jc w:val="left"/>
      </w:pPr>
      <w:r>
        <w:br w:type="page"/>
      </w:r>
    </w:p>
    <w:p w14:paraId="6EEF0957" w14:textId="77777777" w:rsidR="00776F32" w:rsidRPr="008B0996" w:rsidRDefault="00776F32" w:rsidP="00776F32">
      <w:pPr>
        <w:rPr>
          <w:b/>
          <w:szCs w:val="18"/>
        </w:rPr>
      </w:pPr>
      <w:proofErr w:type="spellStart"/>
      <w:r w:rsidRPr="008B0996">
        <w:rPr>
          <w:b/>
          <w:szCs w:val="18"/>
        </w:rPr>
        <w:lastRenderedPageBreak/>
        <w:t>Sección</w:t>
      </w:r>
      <w:proofErr w:type="spellEnd"/>
      <w:r w:rsidRPr="008B0996">
        <w:rPr>
          <w:b/>
          <w:szCs w:val="18"/>
        </w:rPr>
        <w:t xml:space="preserve"> 2:  </w:t>
      </w:r>
      <w:proofErr w:type="spellStart"/>
      <w:r w:rsidRPr="008B0996">
        <w:rPr>
          <w:b/>
          <w:szCs w:val="18"/>
        </w:rPr>
        <w:t>Referencia</w:t>
      </w:r>
      <w:proofErr w:type="spellEnd"/>
      <w:r w:rsidRPr="008B0996">
        <w:rPr>
          <w:b/>
          <w:szCs w:val="18"/>
        </w:rPr>
        <w:t xml:space="preserve"> a </w:t>
      </w:r>
      <w:proofErr w:type="spellStart"/>
      <w:r w:rsidRPr="008B0996">
        <w:rPr>
          <w:b/>
          <w:szCs w:val="18"/>
        </w:rPr>
        <w:t>otras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notificaciones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presentadas</w:t>
      </w:r>
      <w:proofErr w:type="spellEnd"/>
      <w:r w:rsidRPr="008B0996">
        <w:rPr>
          <w:b/>
          <w:szCs w:val="18"/>
        </w:rPr>
        <w:t xml:space="preserve"> a la OMC que </w:t>
      </w:r>
      <w:proofErr w:type="spellStart"/>
      <w:r w:rsidRPr="008B0996">
        <w:rPr>
          <w:b/>
          <w:szCs w:val="18"/>
        </w:rPr>
        <w:t>contengan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información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sobre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restricciones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cuantitativas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actualmente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en</w:t>
      </w:r>
      <w:proofErr w:type="spellEnd"/>
      <w:r w:rsidRPr="008B0996">
        <w:rPr>
          <w:b/>
          <w:szCs w:val="18"/>
        </w:rPr>
        <w:t xml:space="preserve"> </w:t>
      </w:r>
      <w:proofErr w:type="spellStart"/>
      <w:r w:rsidRPr="008B0996">
        <w:rPr>
          <w:b/>
          <w:szCs w:val="18"/>
        </w:rPr>
        <w:t>vigor</w:t>
      </w:r>
      <w:proofErr w:type="spellEnd"/>
    </w:p>
    <w:p w14:paraId="63463242" w14:textId="77777777" w:rsidR="00776F32" w:rsidRPr="008B0996" w:rsidRDefault="00776F32" w:rsidP="00776F32">
      <w:pPr>
        <w:jc w:val="left"/>
        <w:rPr>
          <w:szCs w:val="18"/>
        </w:rPr>
      </w:pPr>
    </w:p>
    <w:p w14:paraId="1702FE4C" w14:textId="77777777" w:rsidR="00776F32" w:rsidRPr="008B0996" w:rsidRDefault="00776F32" w:rsidP="00776F32">
      <w:pPr>
        <w:ind w:firstLine="708"/>
        <w:rPr>
          <w:szCs w:val="18"/>
        </w:rPr>
      </w:pPr>
      <w:r w:rsidRPr="008B0996">
        <w:rPr>
          <w:szCs w:val="18"/>
        </w:rPr>
        <w:t xml:space="preserve">Los </w:t>
      </w:r>
      <w:proofErr w:type="spellStart"/>
      <w:r w:rsidRPr="008B0996">
        <w:rPr>
          <w:szCs w:val="18"/>
        </w:rPr>
        <w:t>Miembros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cumplimentarán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esta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sección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caso</w:t>
      </w:r>
      <w:proofErr w:type="spellEnd"/>
      <w:r w:rsidRPr="008B0996">
        <w:rPr>
          <w:szCs w:val="18"/>
        </w:rPr>
        <w:t xml:space="preserve"> de que una </w:t>
      </w:r>
      <w:proofErr w:type="spellStart"/>
      <w:r w:rsidRPr="008B0996">
        <w:rPr>
          <w:szCs w:val="18"/>
        </w:rPr>
        <w:t>notificación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hecha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conformidad</w:t>
      </w:r>
      <w:proofErr w:type="spellEnd"/>
      <w:r w:rsidRPr="008B0996">
        <w:rPr>
          <w:szCs w:val="18"/>
        </w:rPr>
        <w:t xml:space="preserve"> con </w:t>
      </w:r>
      <w:proofErr w:type="spellStart"/>
      <w:r w:rsidRPr="008B0996">
        <w:rPr>
          <w:szCs w:val="18"/>
        </w:rPr>
        <w:t>otra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disposición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materia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notificación</w:t>
      </w:r>
      <w:proofErr w:type="spellEnd"/>
      <w:r w:rsidRPr="008B0996">
        <w:rPr>
          <w:szCs w:val="18"/>
        </w:rPr>
        <w:t xml:space="preserve"> (por </w:t>
      </w:r>
      <w:proofErr w:type="spellStart"/>
      <w:r w:rsidRPr="008B0996">
        <w:rPr>
          <w:szCs w:val="18"/>
        </w:rPr>
        <w:t>ejemplo</w:t>
      </w:r>
      <w:proofErr w:type="spellEnd"/>
      <w:r w:rsidRPr="008B0996">
        <w:rPr>
          <w:szCs w:val="18"/>
        </w:rPr>
        <w:t xml:space="preserve">, las </w:t>
      </w:r>
      <w:proofErr w:type="spellStart"/>
      <w:r w:rsidRPr="008B0996">
        <w:rPr>
          <w:szCs w:val="18"/>
        </w:rPr>
        <w:t>establecidas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el </w:t>
      </w:r>
      <w:proofErr w:type="spellStart"/>
      <w:r w:rsidRPr="008B0996">
        <w:rPr>
          <w:szCs w:val="18"/>
        </w:rPr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la Agricultura, el </w:t>
      </w:r>
      <w:proofErr w:type="spellStart"/>
      <w:r w:rsidRPr="008B0996">
        <w:rPr>
          <w:szCs w:val="18"/>
        </w:rPr>
        <w:t>Entendimiento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relativo</w:t>
      </w:r>
      <w:proofErr w:type="spellEnd"/>
      <w:r w:rsidRPr="008B0996">
        <w:rPr>
          <w:szCs w:val="18"/>
        </w:rPr>
        <w:t xml:space="preserve"> a las </w:t>
      </w:r>
      <w:proofErr w:type="spellStart"/>
      <w:r w:rsidRPr="008B0996">
        <w:rPr>
          <w:szCs w:val="18"/>
        </w:rPr>
        <w:t>disposiciones</w:t>
      </w:r>
      <w:proofErr w:type="spellEnd"/>
      <w:r w:rsidRPr="008B0996">
        <w:rPr>
          <w:szCs w:val="18"/>
        </w:rPr>
        <w:t xml:space="preserve"> del GATT de 1994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materia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balanza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pagos</w:t>
      </w:r>
      <w:proofErr w:type="spellEnd"/>
      <w:r w:rsidRPr="008B0996">
        <w:rPr>
          <w:szCs w:val="18"/>
        </w:rPr>
        <w:t xml:space="preserve">, el </w:t>
      </w:r>
      <w:proofErr w:type="spellStart"/>
      <w:r w:rsidRPr="008B0996">
        <w:rPr>
          <w:szCs w:val="18"/>
        </w:rPr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Salvaguardias</w:t>
      </w:r>
      <w:proofErr w:type="spellEnd"/>
      <w:r w:rsidRPr="008B0996">
        <w:rPr>
          <w:szCs w:val="18"/>
        </w:rPr>
        <w:t xml:space="preserve">, el </w:t>
      </w:r>
      <w:proofErr w:type="spellStart"/>
      <w:r w:rsidRPr="008B0996">
        <w:rPr>
          <w:szCs w:val="18"/>
        </w:rPr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Procedimientos</w:t>
      </w:r>
      <w:proofErr w:type="spellEnd"/>
      <w:r w:rsidRPr="008B0996">
        <w:rPr>
          <w:szCs w:val="18"/>
        </w:rPr>
        <w:t xml:space="preserve"> para el </w:t>
      </w:r>
      <w:proofErr w:type="spellStart"/>
      <w:r w:rsidRPr="008B0996">
        <w:rPr>
          <w:szCs w:val="18"/>
        </w:rPr>
        <w:t>Trámite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Licencias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Importación</w:t>
      </w:r>
      <w:proofErr w:type="spellEnd"/>
      <w:r w:rsidRPr="008B0996">
        <w:rPr>
          <w:szCs w:val="18"/>
        </w:rPr>
        <w:t xml:space="preserve">, etc.) </w:t>
      </w:r>
      <w:proofErr w:type="spellStart"/>
      <w:r w:rsidRPr="008B0996">
        <w:rPr>
          <w:szCs w:val="18"/>
        </w:rPr>
        <w:t>contenga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vigor</w:t>
      </w:r>
      <w:proofErr w:type="spellEnd"/>
      <w:r w:rsidRPr="008B0996">
        <w:rPr>
          <w:szCs w:val="18"/>
        </w:rPr>
        <w:t xml:space="preserve"> no </w:t>
      </w:r>
      <w:proofErr w:type="spellStart"/>
      <w:r w:rsidRPr="008B0996">
        <w:rPr>
          <w:szCs w:val="18"/>
        </w:rPr>
        <w:t>enumerada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la </w:t>
      </w:r>
      <w:proofErr w:type="spellStart"/>
      <w:r w:rsidRPr="008B0996">
        <w:rPr>
          <w:szCs w:val="18"/>
        </w:rPr>
        <w:t>sección</w:t>
      </w:r>
      <w:proofErr w:type="spellEnd"/>
      <w:r w:rsidRPr="008B0996">
        <w:rPr>
          <w:szCs w:val="18"/>
        </w:rPr>
        <w:t> 1.</w:t>
      </w:r>
    </w:p>
    <w:p w14:paraId="68E267CC" w14:textId="77777777" w:rsidR="00776F32" w:rsidRPr="008B0996" w:rsidRDefault="00776F32" w:rsidP="00776F32">
      <w:pPr>
        <w:rPr>
          <w:szCs w:val="18"/>
        </w:rPr>
      </w:pPr>
    </w:p>
    <w:p w14:paraId="50B4F42B" w14:textId="77777777" w:rsidR="00776F32" w:rsidRPr="008B0996" w:rsidRDefault="00776F32" w:rsidP="00776F32">
      <w:pPr>
        <w:pStyle w:val="Heading3"/>
        <w:keepLines w:val="0"/>
        <w:numPr>
          <w:ilvl w:val="2"/>
          <w:numId w:val="10"/>
        </w:numPr>
        <w:rPr>
          <w:szCs w:val="18"/>
        </w:rPr>
      </w:pPr>
      <w:proofErr w:type="spellStart"/>
      <w:r w:rsidRPr="008B0996">
        <w:rPr>
          <w:szCs w:val="18"/>
        </w:rPr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la Agricultura</w:t>
      </w:r>
    </w:p>
    <w:p w14:paraId="49080783" w14:textId="77777777" w:rsidR="00776F32" w:rsidRPr="008B0996" w:rsidRDefault="00776F32" w:rsidP="00776F32">
      <w:pPr>
        <w:rPr>
          <w:szCs w:val="18"/>
        </w:rPr>
      </w:pPr>
      <w:r w:rsidRPr="008B0996">
        <w:rPr>
          <w:szCs w:val="18"/>
        </w:rPr>
        <w:t>A.</w:t>
      </w:r>
      <w:r w:rsidRPr="008B0996">
        <w:rPr>
          <w:szCs w:val="18"/>
        </w:rPr>
        <w:tab/>
        <w:t xml:space="preserve">¿Se </w:t>
      </w:r>
      <w:proofErr w:type="spellStart"/>
      <w:r w:rsidRPr="008B0996">
        <w:rPr>
          <w:szCs w:val="18"/>
        </w:rPr>
        <w:t>notificó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>?</w:t>
      </w:r>
      <w:r w:rsidRPr="008B0996">
        <w:rPr>
          <w:szCs w:val="18"/>
        </w:rPr>
        <w:tab/>
      </w:r>
      <w:proofErr w:type="spellStart"/>
      <w:r w:rsidRPr="008B0996">
        <w:rPr>
          <w:szCs w:val="18"/>
        </w:rPr>
        <w:t>Sí</w:t>
      </w:r>
      <w:proofErr w:type="spellEnd"/>
      <w:r w:rsidRPr="008B0996">
        <w:rPr>
          <w:szCs w:val="18"/>
        </w:rPr>
        <w:t xml:space="preserve">  </w:t>
      </w:r>
      <w:r w:rsidRPr="008B0996">
        <w:rPr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996"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 w:rsidRPr="008B0996">
        <w:rPr>
          <w:bCs/>
          <w:szCs w:val="18"/>
        </w:rPr>
        <w:fldChar w:fldCharType="end"/>
      </w:r>
      <w:r w:rsidRPr="008B0996">
        <w:rPr>
          <w:bCs/>
          <w:szCs w:val="18"/>
        </w:rPr>
        <w:tab/>
        <w:t xml:space="preserve">No  </w:t>
      </w:r>
      <w:r>
        <w:rPr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>
        <w:rPr>
          <w:bCs/>
          <w:szCs w:val="18"/>
        </w:rPr>
        <w:fldChar w:fldCharType="end"/>
      </w:r>
    </w:p>
    <w:p w14:paraId="54150A06" w14:textId="77777777" w:rsidR="00776F32" w:rsidRPr="008B0996" w:rsidRDefault="00776F32" w:rsidP="00776F32">
      <w:pPr>
        <w:ind w:left="567" w:hanging="567"/>
        <w:rPr>
          <w:szCs w:val="18"/>
        </w:rPr>
      </w:pPr>
      <w:r w:rsidRPr="008B0996">
        <w:rPr>
          <w:bCs/>
          <w:szCs w:val="18"/>
        </w:rPr>
        <w:t>B.</w:t>
      </w:r>
      <w:r w:rsidRPr="008B0996">
        <w:rPr>
          <w:bCs/>
          <w:szCs w:val="18"/>
        </w:rPr>
        <w:tab/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caso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afirmativo</w:t>
      </w:r>
      <w:proofErr w:type="spellEnd"/>
      <w:r w:rsidRPr="008B0996">
        <w:rPr>
          <w:bCs/>
          <w:szCs w:val="18"/>
        </w:rPr>
        <w:t xml:space="preserve">, </w:t>
      </w:r>
      <w:proofErr w:type="spellStart"/>
      <w:r w:rsidRPr="008B0996">
        <w:rPr>
          <w:bCs/>
          <w:szCs w:val="18"/>
        </w:rPr>
        <w:t>indiquen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signatura</w:t>
      </w:r>
      <w:proofErr w:type="spellEnd"/>
      <w:r w:rsidRPr="008B0996">
        <w:rPr>
          <w:bCs/>
          <w:szCs w:val="18"/>
        </w:rPr>
        <w:t xml:space="preserve"> del </w:t>
      </w:r>
      <w:proofErr w:type="spellStart"/>
      <w:r w:rsidRPr="008B0996">
        <w:rPr>
          <w:bCs/>
          <w:szCs w:val="18"/>
        </w:rPr>
        <w:t>documento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pertinente</w:t>
      </w:r>
      <w:proofErr w:type="spellEnd"/>
      <w:r w:rsidRPr="008B0996">
        <w:rPr>
          <w:bCs/>
          <w:szCs w:val="18"/>
        </w:rPr>
        <w:t xml:space="preserve"> e </w:t>
      </w:r>
      <w:proofErr w:type="spellStart"/>
      <w:r w:rsidRPr="008B0996">
        <w:rPr>
          <w:bCs/>
          <w:szCs w:val="18"/>
        </w:rPr>
        <w:t>incluyan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cualquier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elemento</w:t>
      </w:r>
      <w:proofErr w:type="spellEnd"/>
      <w:r w:rsidRPr="008B0996">
        <w:rPr>
          <w:bCs/>
          <w:szCs w:val="18"/>
        </w:rPr>
        <w:t xml:space="preserve"> de </w:t>
      </w:r>
      <w:proofErr w:type="spellStart"/>
      <w:r w:rsidRPr="008B0996">
        <w:rPr>
          <w:bCs/>
          <w:szCs w:val="18"/>
        </w:rPr>
        <w:t>información</w:t>
      </w:r>
      <w:proofErr w:type="spellEnd"/>
      <w:r w:rsidRPr="008B0996">
        <w:rPr>
          <w:bCs/>
          <w:szCs w:val="18"/>
        </w:rPr>
        <w:t xml:space="preserve"> que no figure </w:t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notificación</w:t>
      </w:r>
      <w:proofErr w:type="spellEnd"/>
      <w:r w:rsidRPr="008B0996">
        <w:rPr>
          <w:bCs/>
          <w:szCs w:val="18"/>
        </w:rPr>
        <w:t>:</w:t>
      </w:r>
    </w:p>
    <w:p w14:paraId="462E756D" w14:textId="77777777" w:rsidR="00776F32" w:rsidRPr="008B0996" w:rsidRDefault="00776F32" w:rsidP="00776F32">
      <w:pPr>
        <w:rPr>
          <w:szCs w:val="18"/>
        </w:rPr>
      </w:pPr>
    </w:p>
    <w:tbl>
      <w:tblPr>
        <w:tblW w:w="1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351"/>
        <w:gridCol w:w="1418"/>
        <w:gridCol w:w="1559"/>
        <w:gridCol w:w="1559"/>
        <w:gridCol w:w="2126"/>
        <w:gridCol w:w="1843"/>
        <w:gridCol w:w="1701"/>
      </w:tblGrid>
      <w:tr w:rsidR="00776F32" w:rsidRPr="00787C78" w14:paraId="63B44B27" w14:textId="77777777" w:rsidTr="00D651E3">
        <w:tc>
          <w:tcPr>
            <w:tcW w:w="1611" w:type="dxa"/>
            <w:shd w:val="clear" w:color="auto" w:fill="auto"/>
          </w:tcPr>
          <w:p w14:paraId="7F5BA9F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Signatura de la </w:t>
            </w:r>
            <w:proofErr w:type="spellStart"/>
            <w:r w:rsidRPr="008B0996">
              <w:rPr>
                <w:b/>
                <w:sz w:val="16"/>
                <w:szCs w:val="16"/>
              </w:rPr>
              <w:t>notificación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7A95557A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Descripción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general</w:t>
            </w:r>
          </w:p>
        </w:tc>
        <w:tc>
          <w:tcPr>
            <w:tcW w:w="1418" w:type="dxa"/>
            <w:shd w:val="clear" w:color="auto" w:fill="auto"/>
          </w:tcPr>
          <w:p w14:paraId="4DFD323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Tipo de </w:t>
            </w:r>
            <w:proofErr w:type="spellStart"/>
            <w:r w:rsidRPr="008B0996">
              <w:rPr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C3C6E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8B0996">
              <w:rPr>
                <w:b/>
                <w:sz w:val="16"/>
                <w:szCs w:val="16"/>
              </w:rPr>
              <w:t>línea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arancelaria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afectada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(s), </w:t>
            </w:r>
            <w:proofErr w:type="spellStart"/>
            <w:r w:rsidRPr="008B0996">
              <w:rPr>
                <w:b/>
                <w:sz w:val="16"/>
                <w:szCs w:val="16"/>
              </w:rPr>
              <w:t>basado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 </w:t>
            </w:r>
            <w:r w:rsidRPr="008B0996">
              <w:rPr>
                <w:b/>
                <w:bCs/>
                <w:sz w:val="16"/>
                <w:szCs w:val="16"/>
              </w:rPr>
              <w:t>SA (</w:t>
            </w:r>
            <w:r w:rsidRPr="008B0996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 w:rsidRPr="008B09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A26F04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Designación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detallada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8B0996"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DC7CA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Justificación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Pr="008B0996">
              <w:rPr>
                <w:b/>
                <w:sz w:val="16"/>
                <w:szCs w:val="16"/>
              </w:rPr>
              <w:t>marco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la OMC</w:t>
            </w:r>
            <w:r w:rsidRPr="008B0996">
              <w:rPr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motivos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restricción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por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ejemplo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otros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compromisos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internacionales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FA6061B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Fundamento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jurídico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nacional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entrada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vigor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F44F69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Administración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sz w:val="16"/>
                <w:szCs w:val="16"/>
              </w:rPr>
              <w:t>modificación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8B0996">
              <w:rPr>
                <w:b/>
                <w:sz w:val="16"/>
                <w:szCs w:val="16"/>
              </w:rPr>
              <w:t>medidas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notificadas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anteriormente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sz w:val="16"/>
                <w:szCs w:val="16"/>
              </w:rPr>
              <w:t>otras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8B0996" w14:paraId="04714ED1" w14:textId="77777777" w:rsidTr="00D651E3">
        <w:tc>
          <w:tcPr>
            <w:tcW w:w="1611" w:type="dxa"/>
            <w:shd w:val="clear" w:color="auto" w:fill="auto"/>
          </w:tcPr>
          <w:p w14:paraId="16B40AA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1408BF2C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9AB80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093A5F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53978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0E8EDD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2F9F1BA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9BB607C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8</w:t>
            </w:r>
          </w:p>
        </w:tc>
      </w:tr>
      <w:tr w:rsidR="00776F32" w:rsidRPr="008B0996" w14:paraId="156DD50B" w14:textId="77777777" w:rsidTr="00D651E3">
        <w:tc>
          <w:tcPr>
            <w:tcW w:w="1611" w:type="dxa"/>
            <w:shd w:val="clear" w:color="auto" w:fill="auto"/>
          </w:tcPr>
          <w:p w14:paraId="09E94C45" w14:textId="77777777" w:rsidR="00776F32" w:rsidRPr="008B0996" w:rsidRDefault="00776F32" w:rsidP="00D651E3">
            <w:pPr>
              <w:rPr>
                <w:sz w:val="16"/>
                <w:szCs w:val="16"/>
              </w:rPr>
            </w:pPr>
            <w:r w:rsidRPr="008B0996">
              <w:rPr>
                <w:sz w:val="16"/>
                <w:szCs w:val="16"/>
              </w:rPr>
              <w:t>G/AG/N/</w:t>
            </w:r>
            <w:r w:rsidRPr="008B0996">
              <w:rPr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351" w:type="dxa"/>
            <w:shd w:val="clear" w:color="auto" w:fill="auto"/>
          </w:tcPr>
          <w:p w14:paraId="561FAA36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7D1CDD5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6D233A7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9146E41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D66C43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004061B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56B0364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</w:tr>
    </w:tbl>
    <w:p w14:paraId="3192C5F0" w14:textId="77777777" w:rsidR="00776F32" w:rsidRPr="008B0996" w:rsidRDefault="00776F32" w:rsidP="00776F32">
      <w:pPr>
        <w:rPr>
          <w:szCs w:val="18"/>
        </w:rPr>
      </w:pPr>
    </w:p>
    <w:p w14:paraId="66C051D7" w14:textId="77777777" w:rsidR="00776F32" w:rsidRPr="008B0996" w:rsidRDefault="00776F32" w:rsidP="00776F32">
      <w:pPr>
        <w:pStyle w:val="Heading3"/>
        <w:keepLines w:val="0"/>
        <w:numPr>
          <w:ilvl w:val="2"/>
          <w:numId w:val="10"/>
        </w:numPr>
        <w:rPr>
          <w:szCs w:val="18"/>
        </w:rPr>
      </w:pPr>
      <w:proofErr w:type="spellStart"/>
      <w:r w:rsidRPr="008B0996">
        <w:rPr>
          <w:szCs w:val="18"/>
        </w:rPr>
        <w:t>Entendimiento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relativo</w:t>
      </w:r>
      <w:proofErr w:type="spellEnd"/>
      <w:r w:rsidRPr="008B0996">
        <w:rPr>
          <w:szCs w:val="18"/>
        </w:rPr>
        <w:t xml:space="preserve"> a las </w:t>
      </w:r>
      <w:proofErr w:type="spellStart"/>
      <w:r w:rsidRPr="008B0996">
        <w:rPr>
          <w:szCs w:val="18"/>
        </w:rPr>
        <w:t>disposiciones</w:t>
      </w:r>
      <w:proofErr w:type="spellEnd"/>
      <w:r w:rsidRPr="008B0996">
        <w:rPr>
          <w:szCs w:val="18"/>
        </w:rPr>
        <w:t xml:space="preserve"> del GATT de 1994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materia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balanza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pagos</w:t>
      </w:r>
      <w:proofErr w:type="spellEnd"/>
    </w:p>
    <w:p w14:paraId="7B109425" w14:textId="77777777" w:rsidR="00776F32" w:rsidRPr="008B0996" w:rsidRDefault="00776F32" w:rsidP="00776F32">
      <w:pPr>
        <w:rPr>
          <w:szCs w:val="18"/>
        </w:rPr>
      </w:pPr>
      <w:r w:rsidRPr="008B0996">
        <w:rPr>
          <w:szCs w:val="18"/>
        </w:rPr>
        <w:t>A.</w:t>
      </w:r>
      <w:r w:rsidRPr="008B0996">
        <w:rPr>
          <w:szCs w:val="18"/>
        </w:rPr>
        <w:tab/>
        <w:t xml:space="preserve">¿Se </w:t>
      </w:r>
      <w:proofErr w:type="spellStart"/>
      <w:r w:rsidRPr="008B0996">
        <w:rPr>
          <w:szCs w:val="18"/>
        </w:rPr>
        <w:t>notificó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>?</w:t>
      </w:r>
      <w:r w:rsidRPr="008B0996">
        <w:rPr>
          <w:szCs w:val="18"/>
        </w:rPr>
        <w:tab/>
      </w:r>
      <w:proofErr w:type="spellStart"/>
      <w:r w:rsidRPr="008B0996">
        <w:rPr>
          <w:szCs w:val="18"/>
        </w:rPr>
        <w:t>Sí</w:t>
      </w:r>
      <w:proofErr w:type="spellEnd"/>
      <w:r w:rsidRPr="008B0996">
        <w:rPr>
          <w:szCs w:val="18"/>
        </w:rPr>
        <w:t xml:space="preserve">  </w:t>
      </w:r>
      <w:r w:rsidRPr="008B0996">
        <w:rPr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996"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 w:rsidRPr="008B0996">
        <w:rPr>
          <w:bCs/>
          <w:szCs w:val="18"/>
        </w:rPr>
        <w:fldChar w:fldCharType="end"/>
      </w:r>
      <w:r w:rsidRPr="008B0996">
        <w:rPr>
          <w:szCs w:val="18"/>
        </w:rPr>
        <w:tab/>
        <w:t xml:space="preserve">No  </w:t>
      </w:r>
      <w:r>
        <w:rPr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>
        <w:rPr>
          <w:bCs/>
          <w:szCs w:val="18"/>
        </w:rPr>
        <w:fldChar w:fldCharType="end"/>
      </w:r>
    </w:p>
    <w:p w14:paraId="461056FD" w14:textId="77777777" w:rsidR="00776F32" w:rsidRPr="008B0996" w:rsidRDefault="00776F32" w:rsidP="00776F32">
      <w:pPr>
        <w:ind w:left="567" w:hanging="567"/>
        <w:rPr>
          <w:szCs w:val="18"/>
        </w:rPr>
      </w:pPr>
      <w:r w:rsidRPr="008B0996">
        <w:rPr>
          <w:szCs w:val="18"/>
        </w:rPr>
        <w:t>B.</w:t>
      </w:r>
      <w:r w:rsidRPr="008B0996">
        <w:rPr>
          <w:szCs w:val="18"/>
        </w:rPr>
        <w:tab/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caso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afirmativo</w:t>
      </w:r>
      <w:proofErr w:type="spellEnd"/>
      <w:r w:rsidRPr="008B0996">
        <w:rPr>
          <w:bCs/>
          <w:szCs w:val="18"/>
        </w:rPr>
        <w:t xml:space="preserve">, </w:t>
      </w:r>
      <w:proofErr w:type="spellStart"/>
      <w:r w:rsidRPr="008B0996">
        <w:rPr>
          <w:bCs/>
          <w:szCs w:val="18"/>
        </w:rPr>
        <w:t>indiquen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signatura</w:t>
      </w:r>
      <w:proofErr w:type="spellEnd"/>
      <w:r w:rsidRPr="008B0996">
        <w:rPr>
          <w:bCs/>
          <w:szCs w:val="18"/>
        </w:rPr>
        <w:t xml:space="preserve"> del </w:t>
      </w:r>
      <w:proofErr w:type="spellStart"/>
      <w:r w:rsidRPr="008B0996">
        <w:rPr>
          <w:bCs/>
          <w:szCs w:val="18"/>
        </w:rPr>
        <w:t>documento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pertinente</w:t>
      </w:r>
      <w:proofErr w:type="spellEnd"/>
      <w:r w:rsidRPr="008B0996">
        <w:rPr>
          <w:bCs/>
          <w:szCs w:val="18"/>
        </w:rPr>
        <w:t xml:space="preserve"> e </w:t>
      </w:r>
      <w:proofErr w:type="spellStart"/>
      <w:r w:rsidRPr="008B0996">
        <w:rPr>
          <w:bCs/>
          <w:szCs w:val="18"/>
        </w:rPr>
        <w:t>incluyan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cualquier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elemento</w:t>
      </w:r>
      <w:proofErr w:type="spellEnd"/>
      <w:r w:rsidRPr="008B0996">
        <w:rPr>
          <w:bCs/>
          <w:szCs w:val="18"/>
        </w:rPr>
        <w:t xml:space="preserve"> de </w:t>
      </w:r>
      <w:proofErr w:type="spellStart"/>
      <w:r w:rsidRPr="008B0996">
        <w:rPr>
          <w:bCs/>
          <w:szCs w:val="18"/>
        </w:rPr>
        <w:t>información</w:t>
      </w:r>
      <w:proofErr w:type="spellEnd"/>
      <w:r w:rsidRPr="008B0996">
        <w:rPr>
          <w:bCs/>
          <w:szCs w:val="18"/>
        </w:rPr>
        <w:t xml:space="preserve"> que no figure </w:t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notificación</w:t>
      </w:r>
      <w:proofErr w:type="spellEnd"/>
      <w:r w:rsidRPr="008B0996">
        <w:rPr>
          <w:szCs w:val="18"/>
        </w:rPr>
        <w:t>:</w:t>
      </w:r>
    </w:p>
    <w:p w14:paraId="7BE5F203" w14:textId="77777777" w:rsidR="00776F32" w:rsidRPr="008B0996" w:rsidRDefault="00776F32" w:rsidP="00776F32">
      <w:pPr>
        <w:rPr>
          <w:szCs w:val="18"/>
        </w:rPr>
      </w:pPr>
    </w:p>
    <w:tbl>
      <w:tblPr>
        <w:tblW w:w="1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75"/>
        <w:gridCol w:w="1560"/>
        <w:gridCol w:w="1559"/>
        <w:gridCol w:w="1559"/>
        <w:gridCol w:w="1985"/>
        <w:gridCol w:w="1984"/>
        <w:gridCol w:w="1701"/>
      </w:tblGrid>
      <w:tr w:rsidR="00776F32" w:rsidRPr="00787C78" w14:paraId="77697396" w14:textId="77777777" w:rsidTr="00D651E3">
        <w:tc>
          <w:tcPr>
            <w:tcW w:w="1545" w:type="dxa"/>
            <w:shd w:val="clear" w:color="auto" w:fill="auto"/>
          </w:tcPr>
          <w:p w14:paraId="3F824F9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Signatura de la </w:t>
            </w:r>
            <w:proofErr w:type="spellStart"/>
            <w:r w:rsidRPr="008B0996">
              <w:rPr>
                <w:b/>
                <w:sz w:val="16"/>
                <w:szCs w:val="16"/>
              </w:rPr>
              <w:t>notificación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533CF9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Descripción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general</w:t>
            </w:r>
          </w:p>
        </w:tc>
        <w:tc>
          <w:tcPr>
            <w:tcW w:w="1560" w:type="dxa"/>
            <w:shd w:val="clear" w:color="auto" w:fill="auto"/>
          </w:tcPr>
          <w:p w14:paraId="2FAF79C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Tipo de </w:t>
            </w:r>
            <w:proofErr w:type="spellStart"/>
            <w:r w:rsidRPr="008B0996">
              <w:rPr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DF50F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8B0996">
              <w:rPr>
                <w:b/>
                <w:sz w:val="16"/>
                <w:szCs w:val="16"/>
              </w:rPr>
              <w:t>línea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arancelaria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afectada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(s), </w:t>
            </w:r>
            <w:proofErr w:type="spellStart"/>
            <w:r w:rsidRPr="008B0996">
              <w:rPr>
                <w:b/>
                <w:sz w:val="16"/>
                <w:szCs w:val="16"/>
              </w:rPr>
              <w:t>basado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 </w:t>
            </w:r>
            <w:r w:rsidRPr="008B0996">
              <w:rPr>
                <w:b/>
                <w:bCs/>
                <w:sz w:val="16"/>
                <w:szCs w:val="16"/>
              </w:rPr>
              <w:t>SA (</w:t>
            </w:r>
            <w:r w:rsidRPr="008B0996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 w:rsidRPr="008B09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31B168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Designación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detallada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8B0996"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86F9390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Justificación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Pr="008B0996">
              <w:rPr>
                <w:b/>
                <w:sz w:val="16"/>
                <w:szCs w:val="16"/>
              </w:rPr>
              <w:t>marco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la OMC</w:t>
            </w:r>
            <w:r w:rsidRPr="008B0996">
              <w:rPr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motivos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restricción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por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ejemplo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otros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compromisos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internacionales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B7CB84F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Fundamento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jurídico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nacional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entrada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vigor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B75CA1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Administración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sz w:val="16"/>
                <w:szCs w:val="16"/>
              </w:rPr>
              <w:t>modificación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8B0996">
              <w:rPr>
                <w:b/>
                <w:sz w:val="16"/>
                <w:szCs w:val="16"/>
              </w:rPr>
              <w:t>medidas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notificadas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anteriormente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sz w:val="16"/>
                <w:szCs w:val="16"/>
              </w:rPr>
              <w:t>otras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8B0996" w14:paraId="7FFB38D5" w14:textId="77777777" w:rsidTr="00D651E3">
        <w:tc>
          <w:tcPr>
            <w:tcW w:w="1545" w:type="dxa"/>
            <w:shd w:val="clear" w:color="auto" w:fill="auto"/>
          </w:tcPr>
          <w:p w14:paraId="23843F4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37D1F8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2302F01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D87F77A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42DF36A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1DFF928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866509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82EA1A0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8</w:t>
            </w:r>
          </w:p>
        </w:tc>
      </w:tr>
      <w:tr w:rsidR="00776F32" w:rsidRPr="008B0996" w14:paraId="7C5313F0" w14:textId="77777777" w:rsidTr="00D651E3">
        <w:tc>
          <w:tcPr>
            <w:tcW w:w="1545" w:type="dxa"/>
            <w:shd w:val="clear" w:color="auto" w:fill="auto"/>
          </w:tcPr>
          <w:p w14:paraId="63C04F0B" w14:textId="77777777" w:rsidR="00776F32" w:rsidRPr="008B0996" w:rsidRDefault="00776F32" w:rsidP="00D651E3">
            <w:pPr>
              <w:rPr>
                <w:sz w:val="16"/>
                <w:szCs w:val="16"/>
              </w:rPr>
            </w:pPr>
            <w:r w:rsidRPr="008B0996">
              <w:rPr>
                <w:sz w:val="16"/>
                <w:szCs w:val="16"/>
              </w:rPr>
              <w:t>WT/BOP/N/</w:t>
            </w:r>
            <w:r w:rsidRPr="008B0996">
              <w:rPr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275" w:type="dxa"/>
            <w:shd w:val="clear" w:color="auto" w:fill="auto"/>
          </w:tcPr>
          <w:p w14:paraId="63A54903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EEE722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625E489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6BD25CD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15FEEA1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852896F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6F0D03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</w:tr>
    </w:tbl>
    <w:p w14:paraId="1A30D4F4" w14:textId="77777777" w:rsidR="00776F32" w:rsidRPr="008B0996" w:rsidRDefault="00776F32" w:rsidP="00776F32">
      <w:pPr>
        <w:rPr>
          <w:szCs w:val="18"/>
        </w:rPr>
      </w:pPr>
    </w:p>
    <w:p w14:paraId="5E66445E" w14:textId="77777777" w:rsidR="00776F32" w:rsidRPr="008B0996" w:rsidRDefault="00776F32" w:rsidP="00776F32">
      <w:pPr>
        <w:pStyle w:val="Heading3"/>
        <w:keepLines w:val="0"/>
        <w:numPr>
          <w:ilvl w:val="2"/>
          <w:numId w:val="10"/>
        </w:numPr>
        <w:rPr>
          <w:szCs w:val="18"/>
        </w:rPr>
      </w:pPr>
      <w:r w:rsidRPr="008B0996">
        <w:rPr>
          <w:szCs w:val="18"/>
        </w:rPr>
        <w:br w:type="page"/>
      </w:r>
      <w:proofErr w:type="spellStart"/>
      <w:r w:rsidRPr="008B0996">
        <w:rPr>
          <w:szCs w:val="18"/>
        </w:rPr>
        <w:lastRenderedPageBreak/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Salvaguardias</w:t>
      </w:r>
      <w:proofErr w:type="spellEnd"/>
    </w:p>
    <w:p w14:paraId="1459BF0A" w14:textId="77777777" w:rsidR="00776F32" w:rsidRPr="008B0996" w:rsidRDefault="00776F32" w:rsidP="00776F32">
      <w:pPr>
        <w:rPr>
          <w:szCs w:val="18"/>
        </w:rPr>
      </w:pPr>
      <w:r w:rsidRPr="008B0996">
        <w:rPr>
          <w:szCs w:val="18"/>
        </w:rPr>
        <w:t>A.</w:t>
      </w:r>
      <w:r w:rsidRPr="008B0996">
        <w:rPr>
          <w:szCs w:val="18"/>
        </w:rPr>
        <w:tab/>
        <w:t xml:space="preserve">¿Se </w:t>
      </w:r>
      <w:proofErr w:type="spellStart"/>
      <w:r w:rsidRPr="008B0996">
        <w:rPr>
          <w:szCs w:val="18"/>
        </w:rPr>
        <w:t>notificó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>?</w:t>
      </w:r>
      <w:r w:rsidRPr="008B0996">
        <w:rPr>
          <w:szCs w:val="18"/>
        </w:rPr>
        <w:tab/>
      </w:r>
      <w:proofErr w:type="spellStart"/>
      <w:r w:rsidRPr="008B0996">
        <w:rPr>
          <w:szCs w:val="18"/>
        </w:rPr>
        <w:t>Sí</w:t>
      </w:r>
      <w:proofErr w:type="spellEnd"/>
      <w:r w:rsidRPr="008B0996">
        <w:rPr>
          <w:szCs w:val="18"/>
        </w:rPr>
        <w:t xml:space="preserve">  </w:t>
      </w:r>
      <w:r w:rsidRPr="008B0996">
        <w:rPr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996"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 w:rsidRPr="008B0996">
        <w:rPr>
          <w:bCs/>
          <w:szCs w:val="18"/>
        </w:rPr>
        <w:fldChar w:fldCharType="end"/>
      </w:r>
      <w:r w:rsidRPr="008B0996">
        <w:rPr>
          <w:szCs w:val="18"/>
        </w:rPr>
        <w:tab/>
        <w:t xml:space="preserve">No  </w:t>
      </w:r>
      <w:r>
        <w:rPr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>
        <w:rPr>
          <w:bCs/>
          <w:szCs w:val="18"/>
        </w:rPr>
        <w:fldChar w:fldCharType="end"/>
      </w:r>
    </w:p>
    <w:p w14:paraId="5202A3E5" w14:textId="77777777" w:rsidR="00776F32" w:rsidRPr="008B0996" w:rsidRDefault="00776F32" w:rsidP="00776F32">
      <w:pPr>
        <w:ind w:left="567" w:hanging="567"/>
        <w:rPr>
          <w:szCs w:val="18"/>
        </w:rPr>
      </w:pPr>
      <w:r w:rsidRPr="008B0996">
        <w:rPr>
          <w:szCs w:val="18"/>
        </w:rPr>
        <w:t>B.</w:t>
      </w:r>
      <w:r w:rsidRPr="008B0996">
        <w:rPr>
          <w:szCs w:val="18"/>
        </w:rPr>
        <w:tab/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caso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afirmativo</w:t>
      </w:r>
      <w:proofErr w:type="spellEnd"/>
      <w:r w:rsidRPr="008B0996">
        <w:rPr>
          <w:bCs/>
          <w:szCs w:val="18"/>
        </w:rPr>
        <w:t xml:space="preserve">, </w:t>
      </w:r>
      <w:proofErr w:type="spellStart"/>
      <w:r w:rsidRPr="008B0996">
        <w:rPr>
          <w:bCs/>
          <w:szCs w:val="18"/>
        </w:rPr>
        <w:t>indiquen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signatura</w:t>
      </w:r>
      <w:proofErr w:type="spellEnd"/>
      <w:r w:rsidRPr="008B0996">
        <w:rPr>
          <w:bCs/>
          <w:szCs w:val="18"/>
        </w:rPr>
        <w:t xml:space="preserve"> del </w:t>
      </w:r>
      <w:proofErr w:type="spellStart"/>
      <w:r w:rsidRPr="008B0996">
        <w:rPr>
          <w:bCs/>
          <w:szCs w:val="18"/>
        </w:rPr>
        <w:t>documento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pertinente</w:t>
      </w:r>
      <w:proofErr w:type="spellEnd"/>
      <w:r w:rsidRPr="008B0996">
        <w:rPr>
          <w:bCs/>
          <w:szCs w:val="18"/>
        </w:rPr>
        <w:t xml:space="preserve"> e </w:t>
      </w:r>
      <w:proofErr w:type="spellStart"/>
      <w:r w:rsidRPr="008B0996">
        <w:rPr>
          <w:bCs/>
          <w:szCs w:val="18"/>
        </w:rPr>
        <w:t>incluyan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cualquier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elemento</w:t>
      </w:r>
      <w:proofErr w:type="spellEnd"/>
      <w:r w:rsidRPr="008B0996">
        <w:rPr>
          <w:bCs/>
          <w:szCs w:val="18"/>
        </w:rPr>
        <w:t xml:space="preserve"> de </w:t>
      </w:r>
      <w:proofErr w:type="spellStart"/>
      <w:r w:rsidRPr="008B0996">
        <w:rPr>
          <w:bCs/>
          <w:szCs w:val="18"/>
        </w:rPr>
        <w:t>información</w:t>
      </w:r>
      <w:proofErr w:type="spellEnd"/>
      <w:r w:rsidRPr="008B0996">
        <w:rPr>
          <w:bCs/>
          <w:szCs w:val="18"/>
        </w:rPr>
        <w:t xml:space="preserve"> que no figure </w:t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notificación</w:t>
      </w:r>
      <w:proofErr w:type="spellEnd"/>
      <w:r w:rsidRPr="008B0996">
        <w:rPr>
          <w:szCs w:val="18"/>
        </w:rPr>
        <w:t>:</w:t>
      </w:r>
    </w:p>
    <w:p w14:paraId="4A566A0C" w14:textId="77777777" w:rsidR="00776F32" w:rsidRPr="008B0996" w:rsidRDefault="00776F32" w:rsidP="00776F32">
      <w:pPr>
        <w:rPr>
          <w:szCs w:val="18"/>
        </w:rPr>
      </w:pPr>
    </w:p>
    <w:tbl>
      <w:tblPr>
        <w:tblW w:w="1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351"/>
        <w:gridCol w:w="1418"/>
        <w:gridCol w:w="1559"/>
        <w:gridCol w:w="1559"/>
        <w:gridCol w:w="1985"/>
        <w:gridCol w:w="1984"/>
        <w:gridCol w:w="1701"/>
      </w:tblGrid>
      <w:tr w:rsidR="00776F32" w:rsidRPr="00787C78" w14:paraId="45B76973" w14:textId="77777777" w:rsidTr="00D651E3">
        <w:tc>
          <w:tcPr>
            <w:tcW w:w="1611" w:type="dxa"/>
            <w:shd w:val="clear" w:color="auto" w:fill="auto"/>
          </w:tcPr>
          <w:p w14:paraId="702F30B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Signatura de la </w:t>
            </w:r>
            <w:proofErr w:type="spellStart"/>
            <w:r w:rsidRPr="008B0996">
              <w:rPr>
                <w:b/>
                <w:sz w:val="16"/>
                <w:szCs w:val="16"/>
              </w:rPr>
              <w:t>notificación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5D6DAF7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Descripción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general</w:t>
            </w:r>
          </w:p>
        </w:tc>
        <w:tc>
          <w:tcPr>
            <w:tcW w:w="1418" w:type="dxa"/>
            <w:shd w:val="clear" w:color="auto" w:fill="auto"/>
          </w:tcPr>
          <w:p w14:paraId="53F0EB7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Tipo de </w:t>
            </w:r>
            <w:proofErr w:type="spellStart"/>
            <w:r w:rsidRPr="008B0996">
              <w:rPr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8593B6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8B0996">
              <w:rPr>
                <w:b/>
                <w:sz w:val="16"/>
                <w:szCs w:val="16"/>
              </w:rPr>
              <w:t>línea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arancelaria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afectada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(s), </w:t>
            </w:r>
            <w:proofErr w:type="spellStart"/>
            <w:r w:rsidRPr="008B0996">
              <w:rPr>
                <w:b/>
                <w:sz w:val="16"/>
                <w:szCs w:val="16"/>
              </w:rPr>
              <w:t>basado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 </w:t>
            </w:r>
            <w:r w:rsidRPr="008B0996">
              <w:rPr>
                <w:b/>
                <w:bCs/>
                <w:sz w:val="16"/>
                <w:szCs w:val="16"/>
              </w:rPr>
              <w:t>SA (</w:t>
            </w:r>
            <w:r w:rsidRPr="008B0996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 w:rsidRPr="008B09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B808D6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Designación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detallada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8B0996"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DBD6B8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Justificación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Pr="008B0996">
              <w:rPr>
                <w:b/>
                <w:sz w:val="16"/>
                <w:szCs w:val="16"/>
              </w:rPr>
              <w:t>marco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la OMC</w:t>
            </w:r>
            <w:r w:rsidRPr="008B0996">
              <w:rPr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motivos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restricción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por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ejemplo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otros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compromisos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internacionales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D3F6D6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Fundamento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jurídico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nacional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entrada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vigor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B137D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Administración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sz w:val="16"/>
                <w:szCs w:val="16"/>
              </w:rPr>
              <w:t>modificación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8B0996">
              <w:rPr>
                <w:b/>
                <w:sz w:val="16"/>
                <w:szCs w:val="16"/>
              </w:rPr>
              <w:t>medidas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notificadas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anteriormente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sz w:val="16"/>
                <w:szCs w:val="16"/>
              </w:rPr>
              <w:t>otras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8B0996" w14:paraId="13EE074F" w14:textId="77777777" w:rsidTr="00D651E3">
        <w:tc>
          <w:tcPr>
            <w:tcW w:w="1611" w:type="dxa"/>
            <w:shd w:val="clear" w:color="auto" w:fill="auto"/>
          </w:tcPr>
          <w:p w14:paraId="28554BC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6B48D37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3E4F1E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208F4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92522EF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0B9EEA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804A57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54C1C7F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8</w:t>
            </w:r>
          </w:p>
        </w:tc>
      </w:tr>
      <w:tr w:rsidR="00776F32" w:rsidRPr="008B0996" w14:paraId="097B8170" w14:textId="77777777" w:rsidTr="00D651E3">
        <w:tc>
          <w:tcPr>
            <w:tcW w:w="1611" w:type="dxa"/>
            <w:shd w:val="clear" w:color="auto" w:fill="auto"/>
          </w:tcPr>
          <w:p w14:paraId="2D9B2D01" w14:textId="77777777" w:rsidR="00776F32" w:rsidRPr="008B0996" w:rsidRDefault="00776F32" w:rsidP="00D651E3">
            <w:pPr>
              <w:rPr>
                <w:sz w:val="16"/>
                <w:szCs w:val="16"/>
              </w:rPr>
            </w:pPr>
            <w:r w:rsidRPr="008B0996">
              <w:rPr>
                <w:sz w:val="16"/>
                <w:szCs w:val="16"/>
              </w:rPr>
              <w:t>G/SG/N/</w:t>
            </w:r>
            <w:r w:rsidRPr="008B0996">
              <w:rPr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351" w:type="dxa"/>
            <w:shd w:val="clear" w:color="auto" w:fill="auto"/>
          </w:tcPr>
          <w:p w14:paraId="351A47E5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C44EF70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BA26DF6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1613AC6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A18B7EA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1545AC1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C2A9AA4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</w:tr>
    </w:tbl>
    <w:p w14:paraId="622162E7" w14:textId="77777777" w:rsidR="00776F32" w:rsidRPr="008B0996" w:rsidRDefault="00776F32" w:rsidP="00776F32">
      <w:pPr>
        <w:rPr>
          <w:b/>
          <w:szCs w:val="18"/>
        </w:rPr>
      </w:pPr>
    </w:p>
    <w:p w14:paraId="35DC211E" w14:textId="77777777" w:rsidR="00776F32" w:rsidRPr="008B0996" w:rsidRDefault="00776F32" w:rsidP="00776F32">
      <w:pPr>
        <w:pStyle w:val="Heading3"/>
        <w:keepLines w:val="0"/>
        <w:numPr>
          <w:ilvl w:val="2"/>
          <w:numId w:val="10"/>
        </w:numPr>
        <w:rPr>
          <w:szCs w:val="18"/>
        </w:rPr>
      </w:pPr>
      <w:proofErr w:type="spellStart"/>
      <w:r w:rsidRPr="008B0996">
        <w:rPr>
          <w:szCs w:val="18"/>
        </w:rPr>
        <w:t>Acuerdo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Procedimientos</w:t>
      </w:r>
      <w:proofErr w:type="spellEnd"/>
      <w:r w:rsidRPr="008B0996">
        <w:rPr>
          <w:szCs w:val="18"/>
        </w:rPr>
        <w:t xml:space="preserve"> para el </w:t>
      </w:r>
      <w:proofErr w:type="spellStart"/>
      <w:r w:rsidRPr="008B0996">
        <w:rPr>
          <w:szCs w:val="18"/>
        </w:rPr>
        <w:t>Trámite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Licencias</w:t>
      </w:r>
      <w:proofErr w:type="spellEnd"/>
      <w:r w:rsidRPr="008B0996">
        <w:rPr>
          <w:szCs w:val="18"/>
        </w:rPr>
        <w:t xml:space="preserve"> de </w:t>
      </w:r>
      <w:proofErr w:type="spellStart"/>
      <w:r w:rsidRPr="008B0996">
        <w:rPr>
          <w:szCs w:val="18"/>
        </w:rPr>
        <w:t>Importación</w:t>
      </w:r>
      <w:proofErr w:type="spellEnd"/>
      <w:r w:rsidRPr="008B0996">
        <w:rPr>
          <w:szCs w:val="18"/>
        </w:rPr>
        <w:t xml:space="preserve"> (</w:t>
      </w:r>
      <w:proofErr w:type="spellStart"/>
      <w:r w:rsidRPr="008B0996">
        <w:rPr>
          <w:szCs w:val="18"/>
        </w:rPr>
        <w:t>licencias</w:t>
      </w:r>
      <w:proofErr w:type="spellEnd"/>
      <w:r w:rsidRPr="008B0996">
        <w:rPr>
          <w:szCs w:val="18"/>
        </w:rPr>
        <w:t xml:space="preserve"> no </w:t>
      </w:r>
      <w:proofErr w:type="spellStart"/>
      <w:r w:rsidRPr="008B0996">
        <w:rPr>
          <w:szCs w:val="18"/>
        </w:rPr>
        <w:t>automáticas</w:t>
      </w:r>
      <w:proofErr w:type="spellEnd"/>
      <w:r w:rsidRPr="008B0996">
        <w:rPr>
          <w:szCs w:val="18"/>
        </w:rPr>
        <w:t>)</w:t>
      </w:r>
    </w:p>
    <w:p w14:paraId="58EF56A3" w14:textId="77777777" w:rsidR="00776F32" w:rsidRPr="008B0996" w:rsidRDefault="00776F32" w:rsidP="00776F32">
      <w:pPr>
        <w:rPr>
          <w:szCs w:val="18"/>
        </w:rPr>
      </w:pPr>
      <w:r w:rsidRPr="008B0996">
        <w:rPr>
          <w:szCs w:val="18"/>
        </w:rPr>
        <w:t>A.</w:t>
      </w:r>
      <w:r w:rsidRPr="008B0996">
        <w:rPr>
          <w:szCs w:val="18"/>
        </w:rPr>
        <w:tab/>
        <w:t xml:space="preserve">¿Se </w:t>
      </w:r>
      <w:proofErr w:type="spellStart"/>
      <w:r w:rsidRPr="008B0996">
        <w:rPr>
          <w:szCs w:val="18"/>
        </w:rPr>
        <w:t>notificó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>?</w:t>
      </w:r>
      <w:r w:rsidRPr="008B0996">
        <w:rPr>
          <w:szCs w:val="18"/>
        </w:rPr>
        <w:tab/>
      </w:r>
      <w:proofErr w:type="spellStart"/>
      <w:r w:rsidRPr="008B0996">
        <w:rPr>
          <w:szCs w:val="18"/>
        </w:rPr>
        <w:t>Sí</w:t>
      </w:r>
      <w:proofErr w:type="spellEnd"/>
      <w:r w:rsidRPr="008B0996">
        <w:rPr>
          <w:szCs w:val="18"/>
        </w:rPr>
        <w:t xml:space="preserve">  </w:t>
      </w:r>
      <w:r w:rsidRPr="008B0996">
        <w:rPr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996"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 w:rsidRPr="008B0996">
        <w:rPr>
          <w:bCs/>
          <w:szCs w:val="18"/>
        </w:rPr>
        <w:fldChar w:fldCharType="end"/>
      </w:r>
      <w:r w:rsidRPr="008B0996">
        <w:rPr>
          <w:szCs w:val="18"/>
        </w:rPr>
        <w:tab/>
        <w:t xml:space="preserve">No  </w:t>
      </w:r>
      <w:r>
        <w:rPr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>
        <w:rPr>
          <w:bCs/>
          <w:szCs w:val="18"/>
        </w:rPr>
        <w:fldChar w:fldCharType="end"/>
      </w:r>
    </w:p>
    <w:p w14:paraId="70DB83C7" w14:textId="77777777" w:rsidR="00776F32" w:rsidRPr="008B0996" w:rsidRDefault="00776F32" w:rsidP="00776F32">
      <w:pPr>
        <w:ind w:left="567" w:hanging="567"/>
        <w:rPr>
          <w:szCs w:val="18"/>
        </w:rPr>
      </w:pPr>
      <w:r w:rsidRPr="008B0996">
        <w:rPr>
          <w:szCs w:val="18"/>
        </w:rPr>
        <w:t>B.</w:t>
      </w:r>
      <w:r w:rsidRPr="008B0996">
        <w:rPr>
          <w:szCs w:val="18"/>
        </w:rPr>
        <w:tab/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caso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afirmativo</w:t>
      </w:r>
      <w:proofErr w:type="spellEnd"/>
      <w:r w:rsidRPr="008B0996">
        <w:rPr>
          <w:bCs/>
          <w:szCs w:val="18"/>
        </w:rPr>
        <w:t xml:space="preserve">, </w:t>
      </w:r>
      <w:proofErr w:type="spellStart"/>
      <w:r w:rsidRPr="008B0996">
        <w:rPr>
          <w:bCs/>
          <w:szCs w:val="18"/>
        </w:rPr>
        <w:t>indiquen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signatura</w:t>
      </w:r>
      <w:proofErr w:type="spellEnd"/>
      <w:r w:rsidRPr="008B0996">
        <w:rPr>
          <w:bCs/>
          <w:szCs w:val="18"/>
        </w:rPr>
        <w:t xml:space="preserve"> del </w:t>
      </w:r>
      <w:proofErr w:type="spellStart"/>
      <w:r w:rsidRPr="008B0996">
        <w:rPr>
          <w:bCs/>
          <w:szCs w:val="18"/>
        </w:rPr>
        <w:t>documento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pertinente</w:t>
      </w:r>
      <w:proofErr w:type="spellEnd"/>
      <w:r w:rsidRPr="008B0996">
        <w:rPr>
          <w:bCs/>
          <w:szCs w:val="18"/>
        </w:rPr>
        <w:t xml:space="preserve"> e </w:t>
      </w:r>
      <w:proofErr w:type="spellStart"/>
      <w:r w:rsidRPr="008B0996">
        <w:rPr>
          <w:bCs/>
          <w:szCs w:val="18"/>
        </w:rPr>
        <w:t>incluyan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cualquier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elemento</w:t>
      </w:r>
      <w:proofErr w:type="spellEnd"/>
      <w:r w:rsidRPr="008B0996">
        <w:rPr>
          <w:bCs/>
          <w:szCs w:val="18"/>
        </w:rPr>
        <w:t xml:space="preserve"> de </w:t>
      </w:r>
      <w:proofErr w:type="spellStart"/>
      <w:r w:rsidRPr="008B0996">
        <w:rPr>
          <w:bCs/>
          <w:szCs w:val="18"/>
        </w:rPr>
        <w:t>información</w:t>
      </w:r>
      <w:proofErr w:type="spellEnd"/>
      <w:r w:rsidRPr="008B0996">
        <w:rPr>
          <w:bCs/>
          <w:szCs w:val="18"/>
        </w:rPr>
        <w:t xml:space="preserve"> que no figure </w:t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notificación</w:t>
      </w:r>
      <w:proofErr w:type="spellEnd"/>
      <w:r w:rsidRPr="008B0996">
        <w:rPr>
          <w:szCs w:val="18"/>
        </w:rPr>
        <w:t>:</w:t>
      </w:r>
    </w:p>
    <w:p w14:paraId="305B5DF5" w14:textId="77777777" w:rsidR="00776F32" w:rsidRPr="008B0996" w:rsidRDefault="00776F32" w:rsidP="00776F32">
      <w:pPr>
        <w:rPr>
          <w:szCs w:val="18"/>
        </w:rPr>
      </w:pPr>
    </w:p>
    <w:tbl>
      <w:tblPr>
        <w:tblW w:w="1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351"/>
        <w:gridCol w:w="1418"/>
        <w:gridCol w:w="1559"/>
        <w:gridCol w:w="1417"/>
        <w:gridCol w:w="2127"/>
        <w:gridCol w:w="1842"/>
        <w:gridCol w:w="1843"/>
      </w:tblGrid>
      <w:tr w:rsidR="00776F32" w:rsidRPr="00787C78" w14:paraId="06400439" w14:textId="77777777" w:rsidTr="00D651E3">
        <w:tc>
          <w:tcPr>
            <w:tcW w:w="1611" w:type="dxa"/>
            <w:shd w:val="clear" w:color="auto" w:fill="auto"/>
          </w:tcPr>
          <w:p w14:paraId="3C3052C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Signatura de la </w:t>
            </w:r>
            <w:proofErr w:type="spellStart"/>
            <w:r w:rsidRPr="008B0996">
              <w:rPr>
                <w:b/>
                <w:sz w:val="16"/>
                <w:szCs w:val="16"/>
              </w:rPr>
              <w:t>notificación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24E5514D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Descripción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general</w:t>
            </w:r>
          </w:p>
        </w:tc>
        <w:tc>
          <w:tcPr>
            <w:tcW w:w="1418" w:type="dxa"/>
            <w:shd w:val="clear" w:color="auto" w:fill="auto"/>
          </w:tcPr>
          <w:p w14:paraId="0C6CADC0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Tipo de </w:t>
            </w:r>
            <w:proofErr w:type="spellStart"/>
            <w:r w:rsidRPr="008B0996">
              <w:rPr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5249C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8B0996">
              <w:rPr>
                <w:b/>
                <w:sz w:val="16"/>
                <w:szCs w:val="16"/>
              </w:rPr>
              <w:t>línea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arancelaria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afectada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(s), </w:t>
            </w:r>
            <w:proofErr w:type="spellStart"/>
            <w:r w:rsidRPr="008B0996">
              <w:rPr>
                <w:b/>
                <w:sz w:val="16"/>
                <w:szCs w:val="16"/>
              </w:rPr>
              <w:t>basado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 </w:t>
            </w:r>
            <w:r w:rsidRPr="008B0996">
              <w:rPr>
                <w:b/>
                <w:bCs/>
                <w:sz w:val="16"/>
                <w:szCs w:val="16"/>
              </w:rPr>
              <w:t>SA (</w:t>
            </w:r>
            <w:r w:rsidRPr="008B0996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 w:rsidRPr="008B09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FE47B5B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Designación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detallada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8B0996"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B5D30C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Justificación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Pr="008B0996">
              <w:rPr>
                <w:b/>
                <w:sz w:val="16"/>
                <w:szCs w:val="16"/>
              </w:rPr>
              <w:t>marco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la OMC</w:t>
            </w:r>
            <w:r w:rsidRPr="008B0996">
              <w:rPr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motivos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restricción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por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ejemplo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otros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compromisos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internacionales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124BFD1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Fundamento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jurídico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nacional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entrada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vigor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9DFB56E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Administración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sz w:val="16"/>
                <w:szCs w:val="16"/>
              </w:rPr>
              <w:t>modificación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8B0996">
              <w:rPr>
                <w:b/>
                <w:sz w:val="16"/>
                <w:szCs w:val="16"/>
              </w:rPr>
              <w:t>medidas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notificadas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anteriormente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sz w:val="16"/>
                <w:szCs w:val="16"/>
              </w:rPr>
              <w:t>otras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8B0996" w14:paraId="459418DF" w14:textId="77777777" w:rsidTr="00D651E3">
        <w:tc>
          <w:tcPr>
            <w:tcW w:w="1611" w:type="dxa"/>
            <w:shd w:val="clear" w:color="auto" w:fill="auto"/>
          </w:tcPr>
          <w:p w14:paraId="60EEA837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3EB837F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C47235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022C38E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0B4CBFF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5302ABF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88BCA4B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5DC757E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8</w:t>
            </w:r>
          </w:p>
        </w:tc>
      </w:tr>
      <w:tr w:rsidR="00776F32" w:rsidRPr="008B0996" w14:paraId="60702690" w14:textId="77777777" w:rsidTr="00D651E3">
        <w:tc>
          <w:tcPr>
            <w:tcW w:w="1611" w:type="dxa"/>
            <w:shd w:val="clear" w:color="auto" w:fill="auto"/>
          </w:tcPr>
          <w:p w14:paraId="5D8B0265" w14:textId="77777777" w:rsidR="00776F32" w:rsidRPr="008B0996" w:rsidRDefault="00776F32" w:rsidP="00D651E3">
            <w:pPr>
              <w:rPr>
                <w:sz w:val="16"/>
                <w:szCs w:val="16"/>
              </w:rPr>
            </w:pPr>
            <w:r w:rsidRPr="008B0996">
              <w:rPr>
                <w:sz w:val="16"/>
                <w:szCs w:val="16"/>
              </w:rPr>
              <w:t>G/</w:t>
            </w:r>
            <w:proofErr w:type="spellStart"/>
            <w:r w:rsidRPr="008B0996">
              <w:rPr>
                <w:sz w:val="16"/>
                <w:szCs w:val="16"/>
              </w:rPr>
              <w:t>LIC</w:t>
            </w:r>
            <w:proofErr w:type="spellEnd"/>
            <w:r w:rsidRPr="008B0996">
              <w:rPr>
                <w:sz w:val="16"/>
                <w:szCs w:val="16"/>
              </w:rPr>
              <w:t>/N/</w:t>
            </w:r>
            <w:r w:rsidRPr="008B0996">
              <w:rPr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351" w:type="dxa"/>
            <w:shd w:val="clear" w:color="auto" w:fill="auto"/>
          </w:tcPr>
          <w:p w14:paraId="38E7BF4C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DA2A1F3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32BAADD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D46B3FB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C7379E7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51864F6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E62D98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</w:tr>
    </w:tbl>
    <w:p w14:paraId="49845660" w14:textId="77777777" w:rsidR="00776F32" w:rsidRPr="008B0996" w:rsidRDefault="00776F32" w:rsidP="00776F32">
      <w:pPr>
        <w:rPr>
          <w:szCs w:val="18"/>
        </w:rPr>
      </w:pPr>
    </w:p>
    <w:p w14:paraId="74F28893" w14:textId="77777777" w:rsidR="00776F32" w:rsidRDefault="00776F32" w:rsidP="00776F32">
      <w:pPr>
        <w:jc w:val="left"/>
        <w:rPr>
          <w:rFonts w:eastAsiaTheme="majorEastAsia" w:cstheme="majorBidi"/>
          <w:b/>
          <w:bCs/>
          <w:color w:val="006283"/>
          <w:szCs w:val="18"/>
        </w:rPr>
      </w:pPr>
      <w:r>
        <w:rPr>
          <w:szCs w:val="18"/>
        </w:rPr>
        <w:br w:type="page"/>
      </w:r>
    </w:p>
    <w:p w14:paraId="176E583B" w14:textId="77777777" w:rsidR="00776F32" w:rsidRPr="008B0996" w:rsidRDefault="00776F32" w:rsidP="00776F32">
      <w:pPr>
        <w:pStyle w:val="Heading3"/>
        <w:keepLines w:val="0"/>
        <w:numPr>
          <w:ilvl w:val="2"/>
          <w:numId w:val="10"/>
        </w:numPr>
        <w:rPr>
          <w:szCs w:val="18"/>
        </w:rPr>
      </w:pPr>
      <w:proofErr w:type="spellStart"/>
      <w:r w:rsidRPr="008B0996">
        <w:rPr>
          <w:szCs w:val="18"/>
        </w:rPr>
        <w:lastRenderedPageBreak/>
        <w:t>Otras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notificaciones</w:t>
      </w:r>
      <w:proofErr w:type="spellEnd"/>
    </w:p>
    <w:p w14:paraId="7F3B8767" w14:textId="77777777" w:rsidR="00776F32" w:rsidRPr="008B0996" w:rsidRDefault="00776F32" w:rsidP="00776F32">
      <w:pPr>
        <w:rPr>
          <w:szCs w:val="18"/>
        </w:rPr>
      </w:pPr>
      <w:r w:rsidRPr="008B0996">
        <w:rPr>
          <w:szCs w:val="18"/>
        </w:rPr>
        <w:t>A.</w:t>
      </w:r>
      <w:r w:rsidRPr="008B0996">
        <w:rPr>
          <w:szCs w:val="18"/>
        </w:rPr>
        <w:tab/>
        <w:t xml:space="preserve">¿Se </w:t>
      </w:r>
      <w:proofErr w:type="spellStart"/>
      <w:r w:rsidRPr="008B0996">
        <w:rPr>
          <w:szCs w:val="18"/>
        </w:rPr>
        <w:t>notificó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información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sobre</w:t>
      </w:r>
      <w:proofErr w:type="spellEnd"/>
      <w:r w:rsidRPr="008B0996">
        <w:rPr>
          <w:szCs w:val="18"/>
        </w:rPr>
        <w:t xml:space="preserve"> una </w:t>
      </w:r>
      <w:proofErr w:type="spellStart"/>
      <w:r w:rsidRPr="008B0996">
        <w:rPr>
          <w:szCs w:val="18"/>
        </w:rPr>
        <w:t>restricción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cuantitativa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en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otras</w:t>
      </w:r>
      <w:proofErr w:type="spellEnd"/>
      <w:r w:rsidRPr="008B0996">
        <w:rPr>
          <w:szCs w:val="18"/>
        </w:rPr>
        <w:t xml:space="preserve"> </w:t>
      </w:r>
      <w:proofErr w:type="spellStart"/>
      <w:r w:rsidRPr="008B0996">
        <w:rPr>
          <w:szCs w:val="18"/>
        </w:rPr>
        <w:t>notificaciones</w:t>
      </w:r>
      <w:proofErr w:type="spellEnd"/>
      <w:r w:rsidRPr="008B0996">
        <w:rPr>
          <w:szCs w:val="18"/>
        </w:rPr>
        <w:t>?</w:t>
      </w:r>
      <w:r w:rsidRPr="008B0996">
        <w:rPr>
          <w:szCs w:val="18"/>
        </w:rPr>
        <w:tab/>
      </w:r>
      <w:proofErr w:type="spellStart"/>
      <w:r w:rsidRPr="008B0996">
        <w:rPr>
          <w:szCs w:val="18"/>
        </w:rPr>
        <w:t>Sí</w:t>
      </w:r>
      <w:proofErr w:type="spellEnd"/>
      <w:r w:rsidRPr="008B0996">
        <w:rPr>
          <w:szCs w:val="18"/>
        </w:rPr>
        <w:t xml:space="preserve">  </w:t>
      </w:r>
      <w:r w:rsidRPr="008B0996">
        <w:rPr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996"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 w:rsidRPr="008B0996">
        <w:rPr>
          <w:bCs/>
          <w:szCs w:val="18"/>
        </w:rPr>
        <w:fldChar w:fldCharType="end"/>
      </w:r>
      <w:r w:rsidRPr="008B0996">
        <w:rPr>
          <w:szCs w:val="18"/>
        </w:rPr>
        <w:tab/>
        <w:t xml:space="preserve">No  </w:t>
      </w:r>
      <w:r>
        <w:rPr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Cs w:val="18"/>
        </w:rPr>
        <w:instrText xml:space="preserve"> FORMCHECKBOX </w:instrText>
      </w:r>
      <w:r w:rsidR="009F5089">
        <w:rPr>
          <w:bCs/>
          <w:szCs w:val="18"/>
        </w:rPr>
      </w:r>
      <w:r w:rsidR="009F5089">
        <w:rPr>
          <w:bCs/>
          <w:szCs w:val="18"/>
        </w:rPr>
        <w:fldChar w:fldCharType="separate"/>
      </w:r>
      <w:r>
        <w:rPr>
          <w:bCs/>
          <w:szCs w:val="18"/>
        </w:rPr>
        <w:fldChar w:fldCharType="end"/>
      </w:r>
    </w:p>
    <w:p w14:paraId="29C66E8F" w14:textId="77777777" w:rsidR="00776F32" w:rsidRDefault="00776F32" w:rsidP="00776F32">
      <w:pPr>
        <w:ind w:left="567" w:hanging="567"/>
        <w:rPr>
          <w:szCs w:val="18"/>
        </w:rPr>
      </w:pPr>
      <w:r w:rsidRPr="008B0996">
        <w:rPr>
          <w:szCs w:val="18"/>
        </w:rPr>
        <w:t>B.</w:t>
      </w:r>
      <w:r w:rsidRPr="008B0996">
        <w:rPr>
          <w:szCs w:val="18"/>
        </w:rPr>
        <w:tab/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caso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afirmativo</w:t>
      </w:r>
      <w:proofErr w:type="spellEnd"/>
      <w:r w:rsidRPr="008B0996">
        <w:rPr>
          <w:bCs/>
          <w:szCs w:val="18"/>
        </w:rPr>
        <w:t xml:space="preserve">, </w:t>
      </w:r>
      <w:proofErr w:type="spellStart"/>
      <w:r w:rsidRPr="008B0996">
        <w:rPr>
          <w:bCs/>
          <w:szCs w:val="18"/>
        </w:rPr>
        <w:t>indiquen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signatura</w:t>
      </w:r>
      <w:proofErr w:type="spellEnd"/>
      <w:r w:rsidRPr="008B0996">
        <w:rPr>
          <w:bCs/>
          <w:szCs w:val="18"/>
        </w:rPr>
        <w:t xml:space="preserve"> del </w:t>
      </w:r>
      <w:proofErr w:type="spellStart"/>
      <w:r w:rsidRPr="008B0996">
        <w:rPr>
          <w:bCs/>
          <w:szCs w:val="18"/>
        </w:rPr>
        <w:t>documento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pertinente</w:t>
      </w:r>
      <w:proofErr w:type="spellEnd"/>
      <w:r w:rsidRPr="008B0996">
        <w:rPr>
          <w:bCs/>
          <w:szCs w:val="18"/>
        </w:rPr>
        <w:t xml:space="preserve"> e </w:t>
      </w:r>
      <w:proofErr w:type="spellStart"/>
      <w:r w:rsidRPr="008B0996">
        <w:rPr>
          <w:bCs/>
          <w:szCs w:val="18"/>
        </w:rPr>
        <w:t>incluyan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cualquier</w:t>
      </w:r>
      <w:proofErr w:type="spellEnd"/>
      <w:r w:rsidRPr="008B0996">
        <w:rPr>
          <w:bCs/>
          <w:szCs w:val="18"/>
        </w:rPr>
        <w:t xml:space="preserve"> </w:t>
      </w:r>
      <w:proofErr w:type="spellStart"/>
      <w:r w:rsidRPr="008B0996">
        <w:rPr>
          <w:bCs/>
          <w:szCs w:val="18"/>
        </w:rPr>
        <w:t>elemento</w:t>
      </w:r>
      <w:proofErr w:type="spellEnd"/>
      <w:r w:rsidRPr="008B0996">
        <w:rPr>
          <w:bCs/>
          <w:szCs w:val="18"/>
        </w:rPr>
        <w:t xml:space="preserve"> de </w:t>
      </w:r>
      <w:proofErr w:type="spellStart"/>
      <w:r w:rsidRPr="008B0996">
        <w:rPr>
          <w:bCs/>
          <w:szCs w:val="18"/>
        </w:rPr>
        <w:t>información</w:t>
      </w:r>
      <w:proofErr w:type="spellEnd"/>
      <w:r w:rsidRPr="008B0996">
        <w:rPr>
          <w:bCs/>
          <w:szCs w:val="18"/>
        </w:rPr>
        <w:t xml:space="preserve"> que no figure </w:t>
      </w:r>
      <w:proofErr w:type="spellStart"/>
      <w:r w:rsidRPr="008B0996">
        <w:rPr>
          <w:bCs/>
          <w:szCs w:val="18"/>
        </w:rPr>
        <w:t>en</w:t>
      </w:r>
      <w:proofErr w:type="spellEnd"/>
      <w:r w:rsidRPr="008B0996">
        <w:rPr>
          <w:bCs/>
          <w:szCs w:val="18"/>
        </w:rPr>
        <w:t xml:space="preserve"> la </w:t>
      </w:r>
      <w:proofErr w:type="spellStart"/>
      <w:r w:rsidRPr="008B0996">
        <w:rPr>
          <w:bCs/>
          <w:szCs w:val="18"/>
        </w:rPr>
        <w:t>notificación</w:t>
      </w:r>
      <w:proofErr w:type="spellEnd"/>
      <w:r w:rsidRPr="008B0996">
        <w:rPr>
          <w:szCs w:val="18"/>
        </w:rPr>
        <w:t>:</w:t>
      </w:r>
    </w:p>
    <w:p w14:paraId="3C8C2C68" w14:textId="77777777" w:rsidR="00776F32" w:rsidRDefault="00776F32" w:rsidP="00776F32">
      <w:pPr>
        <w:rPr>
          <w:szCs w:val="18"/>
        </w:rPr>
      </w:pPr>
    </w:p>
    <w:p w14:paraId="68905E0E" w14:textId="77777777" w:rsidR="00776F32" w:rsidRPr="008B0996" w:rsidRDefault="00776F32" w:rsidP="00776F32">
      <w:pPr>
        <w:rPr>
          <w:szCs w:val="18"/>
        </w:rPr>
      </w:pPr>
    </w:p>
    <w:tbl>
      <w:tblPr>
        <w:tblW w:w="13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351"/>
        <w:gridCol w:w="1418"/>
        <w:gridCol w:w="1559"/>
        <w:gridCol w:w="1276"/>
        <w:gridCol w:w="2268"/>
        <w:gridCol w:w="1701"/>
        <w:gridCol w:w="1842"/>
      </w:tblGrid>
      <w:tr w:rsidR="00776F32" w:rsidRPr="00787C78" w14:paraId="289CFA2C" w14:textId="77777777" w:rsidTr="00D651E3">
        <w:tc>
          <w:tcPr>
            <w:tcW w:w="1611" w:type="dxa"/>
            <w:shd w:val="clear" w:color="auto" w:fill="auto"/>
          </w:tcPr>
          <w:p w14:paraId="05753BD8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Signatura de la </w:t>
            </w:r>
            <w:proofErr w:type="spellStart"/>
            <w:r w:rsidRPr="008B0996">
              <w:rPr>
                <w:b/>
                <w:sz w:val="16"/>
                <w:szCs w:val="16"/>
              </w:rPr>
              <w:t>notificación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7D859180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Descripción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general</w:t>
            </w:r>
          </w:p>
        </w:tc>
        <w:tc>
          <w:tcPr>
            <w:tcW w:w="1418" w:type="dxa"/>
            <w:shd w:val="clear" w:color="auto" w:fill="auto"/>
          </w:tcPr>
          <w:p w14:paraId="082BD90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Tipo de </w:t>
            </w:r>
            <w:proofErr w:type="spellStart"/>
            <w:r w:rsidRPr="008B0996">
              <w:rPr>
                <w:b/>
                <w:sz w:val="16"/>
                <w:szCs w:val="16"/>
              </w:rPr>
              <w:t>restricción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30DECC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 xml:space="preserve">Código(s) de la(s) </w:t>
            </w:r>
            <w:proofErr w:type="spellStart"/>
            <w:r w:rsidRPr="008B0996">
              <w:rPr>
                <w:b/>
                <w:sz w:val="16"/>
                <w:szCs w:val="16"/>
              </w:rPr>
              <w:t>línea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arancelaria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afectada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(s), </w:t>
            </w:r>
            <w:proofErr w:type="spellStart"/>
            <w:r w:rsidRPr="008B0996">
              <w:rPr>
                <w:b/>
                <w:sz w:val="16"/>
                <w:szCs w:val="16"/>
              </w:rPr>
              <w:t>basado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(s)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 </w:t>
            </w:r>
            <w:r w:rsidRPr="008B0996">
              <w:rPr>
                <w:b/>
                <w:bCs/>
                <w:sz w:val="16"/>
                <w:szCs w:val="16"/>
              </w:rPr>
              <w:t>SA (</w:t>
            </w:r>
            <w:r w:rsidRPr="008B0996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 w:rsidRPr="008B099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EDFED0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Designación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detallada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8B0996"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F9448B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Justificación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el </w:t>
            </w:r>
            <w:proofErr w:type="spellStart"/>
            <w:r w:rsidRPr="008B0996">
              <w:rPr>
                <w:b/>
                <w:sz w:val="16"/>
                <w:szCs w:val="16"/>
              </w:rPr>
              <w:t>marco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la OMC</w:t>
            </w:r>
            <w:r w:rsidRPr="008B0996">
              <w:rPr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motivos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restricción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por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ejemplo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otros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compromisos</w:t>
            </w:r>
            <w:proofErr w:type="spellEnd"/>
            <w:r w:rsidRPr="008B099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bCs/>
                <w:sz w:val="16"/>
                <w:szCs w:val="16"/>
              </w:rPr>
              <w:t>internacionales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6B61F92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Fundamento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jurídico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nacional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entrada </w:t>
            </w:r>
            <w:proofErr w:type="spellStart"/>
            <w:r w:rsidRPr="008B0996">
              <w:rPr>
                <w:b/>
                <w:sz w:val="16"/>
                <w:szCs w:val="16"/>
              </w:rPr>
              <w:t>en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vigor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3E5F96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0996">
              <w:rPr>
                <w:b/>
                <w:sz w:val="16"/>
                <w:szCs w:val="16"/>
              </w:rPr>
              <w:t>Administración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0996">
              <w:rPr>
                <w:b/>
                <w:sz w:val="16"/>
                <w:szCs w:val="16"/>
              </w:rPr>
              <w:t>modificación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8B0996">
              <w:rPr>
                <w:b/>
                <w:sz w:val="16"/>
                <w:szCs w:val="16"/>
              </w:rPr>
              <w:t>medidas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notificadas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anteriormente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8B0996">
              <w:rPr>
                <w:b/>
                <w:sz w:val="16"/>
                <w:szCs w:val="16"/>
              </w:rPr>
              <w:t>otras</w:t>
            </w:r>
            <w:proofErr w:type="spellEnd"/>
            <w:r w:rsidRPr="008B09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0996">
              <w:rPr>
                <w:b/>
                <w:sz w:val="16"/>
                <w:szCs w:val="16"/>
              </w:rPr>
              <w:t>observaciones</w:t>
            </w:r>
            <w:proofErr w:type="spellEnd"/>
          </w:p>
        </w:tc>
      </w:tr>
      <w:tr w:rsidR="00776F32" w:rsidRPr="008B0996" w14:paraId="2A8422C1" w14:textId="77777777" w:rsidTr="00D651E3">
        <w:tc>
          <w:tcPr>
            <w:tcW w:w="1611" w:type="dxa"/>
            <w:shd w:val="clear" w:color="auto" w:fill="auto"/>
          </w:tcPr>
          <w:p w14:paraId="29362E19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1E932CD5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2BA041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7AF8BEC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49799F3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6F9E87B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C586B0F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270FF704" w14:textId="77777777" w:rsidR="00776F32" w:rsidRPr="008B0996" w:rsidRDefault="00776F32" w:rsidP="00D651E3">
            <w:pPr>
              <w:jc w:val="center"/>
              <w:rPr>
                <w:b/>
                <w:sz w:val="16"/>
                <w:szCs w:val="16"/>
              </w:rPr>
            </w:pPr>
            <w:r w:rsidRPr="008B0996">
              <w:rPr>
                <w:b/>
                <w:sz w:val="16"/>
                <w:szCs w:val="16"/>
              </w:rPr>
              <w:t>8</w:t>
            </w:r>
          </w:p>
        </w:tc>
      </w:tr>
      <w:tr w:rsidR="00776F32" w:rsidRPr="008B0996" w14:paraId="59CA9C4D" w14:textId="77777777" w:rsidTr="00D651E3">
        <w:tc>
          <w:tcPr>
            <w:tcW w:w="1611" w:type="dxa"/>
            <w:shd w:val="clear" w:color="auto" w:fill="auto"/>
          </w:tcPr>
          <w:p w14:paraId="2A3618D6" w14:textId="77777777" w:rsidR="00776F32" w:rsidRPr="008B0996" w:rsidRDefault="00776F32" w:rsidP="00D651E3">
            <w:pPr>
              <w:rPr>
                <w:sz w:val="16"/>
                <w:szCs w:val="16"/>
              </w:rPr>
            </w:pPr>
            <w:r w:rsidRPr="008B0996">
              <w:rPr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351" w:type="dxa"/>
            <w:shd w:val="clear" w:color="auto" w:fill="auto"/>
          </w:tcPr>
          <w:p w14:paraId="78639198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ED57BD7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FCB840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356497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B60B9B7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8C1788D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13A6F40" w14:textId="77777777" w:rsidR="00776F32" w:rsidRPr="008B0996" w:rsidRDefault="00776F32" w:rsidP="00D651E3">
            <w:pPr>
              <w:rPr>
                <w:sz w:val="16"/>
                <w:szCs w:val="16"/>
              </w:rPr>
            </w:pPr>
          </w:p>
        </w:tc>
      </w:tr>
    </w:tbl>
    <w:p w14:paraId="4CDB1CB3" w14:textId="77777777" w:rsidR="00776F32" w:rsidRPr="008B0996" w:rsidRDefault="00776F32" w:rsidP="00776F32">
      <w:pPr>
        <w:tabs>
          <w:tab w:val="left" w:pos="-1440"/>
          <w:tab w:val="left" w:pos="-720"/>
        </w:tabs>
        <w:suppressAutoHyphens/>
        <w:spacing w:line="240" w:lineRule="atLeast"/>
        <w:rPr>
          <w:spacing w:val="-2"/>
          <w:szCs w:val="18"/>
          <w:lang w:eastAsia="ja-JP"/>
        </w:rPr>
      </w:pPr>
    </w:p>
    <w:p w14:paraId="5445EA84" w14:textId="657AEAAF" w:rsidR="00187F35" w:rsidRPr="00E542DC" w:rsidRDefault="00776F32" w:rsidP="00E542DC">
      <w:pPr>
        <w:jc w:val="center"/>
      </w:pPr>
      <w:r>
        <w:rPr>
          <w:b/>
        </w:rPr>
        <w:t>__________</w:t>
      </w:r>
    </w:p>
    <w:sectPr w:rsidR="00187F35" w:rsidRPr="00E542DC" w:rsidSect="001F371D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170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412F" w14:textId="77777777" w:rsidR="005A5907" w:rsidRPr="005A5907" w:rsidRDefault="005A5907" w:rsidP="0002424F">
      <w:bookmarkStart w:id="16" w:name="_Hlk45708863"/>
      <w:bookmarkStart w:id="17" w:name="_Hlk45708864"/>
      <w:bookmarkStart w:id="18" w:name="_Hlk45708909"/>
      <w:bookmarkStart w:id="19" w:name="_Hlk45708910"/>
      <w:bookmarkStart w:id="20" w:name="_Hlk53150458"/>
      <w:bookmarkStart w:id="21" w:name="_Hlk53150459"/>
      <w:bookmarkStart w:id="22" w:name="_Hlk53154576"/>
      <w:bookmarkStart w:id="23" w:name="_Hlk53154577"/>
      <w:r w:rsidRPr="005A5907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2786785E" w14:textId="77777777" w:rsidR="005A5907" w:rsidRPr="005A5907" w:rsidRDefault="005A5907" w:rsidP="0002424F">
      <w:bookmarkStart w:id="24" w:name="_Hlk45708865"/>
      <w:bookmarkStart w:id="25" w:name="_Hlk45708866"/>
      <w:bookmarkStart w:id="26" w:name="_Hlk45708911"/>
      <w:bookmarkStart w:id="27" w:name="_Hlk45708912"/>
      <w:bookmarkStart w:id="28" w:name="_Hlk53150460"/>
      <w:bookmarkStart w:id="29" w:name="_Hlk53150461"/>
      <w:bookmarkStart w:id="30" w:name="_Hlk53154578"/>
      <w:bookmarkStart w:id="31" w:name="_Hlk53154579"/>
      <w:r w:rsidRPr="005A5907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8DFA" w14:textId="6A61CFD7" w:rsidR="005A5907" w:rsidRPr="005A5907" w:rsidRDefault="005A5907" w:rsidP="005A5907">
    <w:pPr>
      <w:pStyle w:val="Footer"/>
    </w:pPr>
    <w:bookmarkStart w:id="41" w:name="_Hlk53150446"/>
    <w:bookmarkStart w:id="42" w:name="_Hlk53150447"/>
    <w:bookmarkStart w:id="43" w:name="_Hlk53154564"/>
    <w:bookmarkStart w:id="44" w:name="_Hlk53154565"/>
    <w:r w:rsidRPr="005A5907">
      <w:t xml:space="preserve"> </w:t>
    </w:r>
    <w:bookmarkEnd w:id="41"/>
    <w:bookmarkEnd w:id="42"/>
    <w:bookmarkEnd w:id="43"/>
    <w:bookmarkEnd w:id="4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1FED" w14:textId="0D244804" w:rsidR="005A5907" w:rsidRPr="005A5907" w:rsidRDefault="005A5907" w:rsidP="005A5907">
    <w:pPr>
      <w:pStyle w:val="Footer"/>
    </w:pPr>
    <w:bookmarkStart w:id="45" w:name="_Hlk53150448"/>
    <w:bookmarkStart w:id="46" w:name="_Hlk53150449"/>
    <w:bookmarkStart w:id="47" w:name="_Hlk53154566"/>
    <w:bookmarkStart w:id="48" w:name="_Hlk53154567"/>
    <w:r w:rsidRPr="005A5907">
      <w:t xml:space="preserve"> </w:t>
    </w:r>
    <w:bookmarkEnd w:id="45"/>
    <w:bookmarkEnd w:id="46"/>
    <w:bookmarkEnd w:id="47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F134" w14:textId="3D5BA454" w:rsidR="005A5907" w:rsidRPr="005A5907" w:rsidRDefault="005A5907" w:rsidP="005A5907">
    <w:pPr>
      <w:pStyle w:val="Footer"/>
    </w:pPr>
    <w:bookmarkStart w:id="53" w:name="_Hlk53150452"/>
    <w:bookmarkStart w:id="54" w:name="_Hlk53150453"/>
    <w:bookmarkStart w:id="55" w:name="_Hlk53154570"/>
    <w:bookmarkStart w:id="56" w:name="_Hlk53154571"/>
    <w:r w:rsidRPr="005A5907">
      <w:t xml:space="preserve"> </w:t>
    </w:r>
    <w:bookmarkEnd w:id="53"/>
    <w:bookmarkEnd w:id="54"/>
    <w:bookmarkEnd w:id="55"/>
    <w:bookmarkEnd w:id="5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6A64" w14:textId="77777777" w:rsidR="005A5907" w:rsidRPr="005A5907" w:rsidRDefault="005A5907" w:rsidP="0002424F">
      <w:bookmarkStart w:id="0" w:name="_Hlk45708859"/>
      <w:bookmarkStart w:id="1" w:name="_Hlk45708860"/>
      <w:bookmarkStart w:id="2" w:name="_Hlk45708905"/>
      <w:bookmarkStart w:id="3" w:name="_Hlk45708906"/>
      <w:bookmarkStart w:id="4" w:name="_Hlk53150454"/>
      <w:bookmarkStart w:id="5" w:name="_Hlk53150455"/>
      <w:bookmarkStart w:id="6" w:name="_Hlk53154572"/>
      <w:bookmarkStart w:id="7" w:name="_Hlk53154573"/>
      <w:r w:rsidRPr="005A5907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15519FF4" w14:textId="77777777" w:rsidR="005A5907" w:rsidRPr="005A5907" w:rsidRDefault="005A5907" w:rsidP="0002424F">
      <w:bookmarkStart w:id="8" w:name="_Hlk45708861"/>
      <w:bookmarkStart w:id="9" w:name="_Hlk45708862"/>
      <w:bookmarkStart w:id="10" w:name="_Hlk45708907"/>
      <w:bookmarkStart w:id="11" w:name="_Hlk45708908"/>
      <w:bookmarkStart w:id="12" w:name="_Hlk53150456"/>
      <w:bookmarkStart w:id="13" w:name="_Hlk53150457"/>
      <w:bookmarkStart w:id="14" w:name="_Hlk53154574"/>
      <w:bookmarkStart w:id="15" w:name="_Hlk53154575"/>
      <w:r w:rsidRPr="005A5907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  <w:footnote w:id="1">
    <w:p w14:paraId="01653C35" w14:textId="6BBCEEEC" w:rsidR="006128E7" w:rsidRDefault="006128E7">
      <w:pPr>
        <w:pStyle w:val="FootnoteText"/>
      </w:pPr>
      <w:r w:rsidRPr="006128E7">
        <w:rPr>
          <w:rStyle w:val="FootnoteReference"/>
        </w:rPr>
        <w:sym w:font="Symbol" w:char="F02A"/>
      </w:r>
      <w:r>
        <w:t xml:space="preserve"> </w:t>
      </w:r>
      <w:r w:rsidRPr="005A5907">
        <w:t>In Spanish only.</w:t>
      </w:r>
    </w:p>
  </w:footnote>
  <w:footnote w:id="2">
    <w:p w14:paraId="5BFFAC61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bookmarkStart w:id="58" w:name="_Hlk44510108"/>
      <w:r w:rsidRPr="000A6A66">
        <w:rPr>
          <w:rFonts w:cs="Arial"/>
          <w:sz w:val="14"/>
          <w:szCs w:val="14"/>
        </w:rPr>
        <w:t xml:space="preserve">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bookmarkEnd w:id="58"/>
      <w:r w:rsidRPr="000A6A66">
        <w:rPr>
          <w:rFonts w:cs="Arial"/>
          <w:sz w:val="14"/>
          <w:szCs w:val="14"/>
        </w:rPr>
        <w:t xml:space="preserve">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50 </w:t>
      </w:r>
      <w:proofErr w:type="spellStart"/>
      <w:r w:rsidRPr="000A6A66">
        <w:rPr>
          <w:rFonts w:cs="Arial"/>
          <w:sz w:val="14"/>
          <w:szCs w:val="14"/>
        </w:rPr>
        <w:t>unidades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 xml:space="preserve">. </w:t>
      </w:r>
    </w:p>
  </w:footnote>
  <w:footnote w:id="3">
    <w:p w14:paraId="7A84ED89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500 </w:t>
      </w:r>
      <w:proofErr w:type="spellStart"/>
      <w:r w:rsidRPr="000A6A66">
        <w:rPr>
          <w:rFonts w:cs="Arial"/>
          <w:sz w:val="14"/>
          <w:szCs w:val="14"/>
        </w:rPr>
        <w:t>unidades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4">
    <w:p w14:paraId="58999AFA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100 pares,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5">
    <w:p w14:paraId="17DB4C8D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100 </w:t>
      </w:r>
      <w:proofErr w:type="spellStart"/>
      <w:r w:rsidRPr="000A6A66">
        <w:rPr>
          <w:rFonts w:cs="Arial"/>
          <w:sz w:val="14"/>
          <w:szCs w:val="14"/>
        </w:rPr>
        <w:t>unidades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6">
    <w:p w14:paraId="53148DFF" w14:textId="77777777" w:rsidR="00776F32" w:rsidRPr="000A6A66" w:rsidRDefault="00776F32" w:rsidP="00776F32">
      <w:pPr>
        <w:pStyle w:val="FootnoteText"/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1000 </w:t>
      </w:r>
      <w:proofErr w:type="spellStart"/>
      <w:r w:rsidRPr="000A6A66">
        <w:rPr>
          <w:rFonts w:cs="Arial"/>
          <w:sz w:val="14"/>
          <w:szCs w:val="14"/>
        </w:rPr>
        <w:t>litros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7">
    <w:p w14:paraId="56984222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1.000 </w:t>
      </w:r>
      <w:proofErr w:type="spellStart"/>
      <w:r w:rsidRPr="000A6A66">
        <w:rPr>
          <w:rFonts w:cs="Arial"/>
          <w:sz w:val="14"/>
          <w:szCs w:val="14"/>
        </w:rPr>
        <w:t>litros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8">
    <w:p w14:paraId="2A2DEBAB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600 </w:t>
      </w:r>
      <w:proofErr w:type="spellStart"/>
      <w:r w:rsidRPr="000A6A66">
        <w:rPr>
          <w:rFonts w:cs="Arial"/>
          <w:sz w:val="14"/>
          <w:szCs w:val="14"/>
        </w:rPr>
        <w:t>litros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9">
    <w:p w14:paraId="3EB6C661" w14:textId="77777777" w:rsidR="00776F32" w:rsidRPr="000A6A66" w:rsidRDefault="00776F32" w:rsidP="00776F32">
      <w:pPr>
        <w:pStyle w:val="FootnoteText"/>
        <w:rPr>
          <w:rFonts w:cs="Arial"/>
          <w:sz w:val="14"/>
          <w:szCs w:val="14"/>
        </w:rPr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600 </w:t>
      </w:r>
      <w:proofErr w:type="spellStart"/>
      <w:r w:rsidRPr="000A6A66">
        <w:rPr>
          <w:rFonts w:cs="Arial"/>
          <w:sz w:val="14"/>
          <w:szCs w:val="14"/>
        </w:rPr>
        <w:t>litros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  <w:footnote w:id="10">
    <w:p w14:paraId="04E5471E" w14:textId="77777777" w:rsidR="00776F32" w:rsidRPr="000A6A66" w:rsidRDefault="00776F32" w:rsidP="00776F32">
      <w:pPr>
        <w:pStyle w:val="FootnoteText"/>
      </w:pPr>
      <w:r w:rsidRPr="000A6A66">
        <w:rPr>
          <w:rStyle w:val="FootnoteReference"/>
          <w:rFonts w:cs="Arial"/>
          <w:sz w:val="14"/>
          <w:szCs w:val="14"/>
        </w:rPr>
        <w:footnoteRef/>
      </w:r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Quedan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exceptuadas</w:t>
      </w:r>
      <w:proofErr w:type="spellEnd"/>
      <w:r w:rsidRPr="000A6A66">
        <w:rPr>
          <w:rFonts w:cs="Arial"/>
          <w:sz w:val="14"/>
          <w:szCs w:val="14"/>
        </w:rPr>
        <w:t xml:space="preserve"> del </w:t>
      </w:r>
      <w:proofErr w:type="spellStart"/>
      <w:r w:rsidRPr="000A6A66">
        <w:rPr>
          <w:rFonts w:cs="Arial"/>
          <w:sz w:val="14"/>
          <w:szCs w:val="14"/>
        </w:rPr>
        <w:t>trámite</w:t>
      </w:r>
      <w:proofErr w:type="spellEnd"/>
      <w:r w:rsidRPr="000A6A66">
        <w:rPr>
          <w:rFonts w:cs="Arial"/>
          <w:sz w:val="14"/>
          <w:szCs w:val="14"/>
        </w:rPr>
        <w:t xml:space="preserve"> de la </w:t>
      </w:r>
      <w:proofErr w:type="spellStart"/>
      <w:r w:rsidRPr="000A6A66">
        <w:rPr>
          <w:rFonts w:cs="Arial"/>
          <w:sz w:val="14"/>
          <w:szCs w:val="14"/>
        </w:rPr>
        <w:t>licencia</w:t>
      </w:r>
      <w:proofErr w:type="spellEnd"/>
      <w:r w:rsidRPr="000A6A66">
        <w:rPr>
          <w:rFonts w:cs="Arial"/>
          <w:sz w:val="14"/>
          <w:szCs w:val="14"/>
        </w:rPr>
        <w:t xml:space="preserve"> las </w:t>
      </w:r>
      <w:proofErr w:type="spellStart"/>
      <w:r w:rsidRPr="000A6A66">
        <w:rPr>
          <w:rFonts w:cs="Arial"/>
          <w:sz w:val="14"/>
          <w:szCs w:val="14"/>
        </w:rPr>
        <w:t>exportaciones</w:t>
      </w:r>
      <w:proofErr w:type="spellEnd"/>
      <w:r w:rsidRPr="000A6A66">
        <w:rPr>
          <w:rFonts w:cs="Arial"/>
          <w:sz w:val="14"/>
          <w:szCs w:val="14"/>
        </w:rPr>
        <w:t xml:space="preserve"> de hasta 1.000 </w:t>
      </w:r>
      <w:proofErr w:type="spellStart"/>
      <w:r w:rsidRPr="000A6A66">
        <w:rPr>
          <w:rFonts w:cs="Arial"/>
          <w:sz w:val="14"/>
          <w:szCs w:val="14"/>
        </w:rPr>
        <w:t>litros</w:t>
      </w:r>
      <w:proofErr w:type="spellEnd"/>
      <w:r w:rsidRPr="000A6A66">
        <w:rPr>
          <w:rFonts w:cs="Arial"/>
          <w:sz w:val="14"/>
          <w:szCs w:val="14"/>
        </w:rPr>
        <w:t xml:space="preserve">, </w:t>
      </w:r>
      <w:proofErr w:type="spellStart"/>
      <w:r w:rsidRPr="000A6A66">
        <w:rPr>
          <w:rFonts w:cs="Arial"/>
          <w:sz w:val="14"/>
          <w:szCs w:val="14"/>
        </w:rPr>
        <w:t>permitiéndose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exportar</w:t>
      </w:r>
      <w:proofErr w:type="spellEnd"/>
      <w:r w:rsidRPr="000A6A66">
        <w:rPr>
          <w:rFonts w:cs="Arial"/>
          <w:sz w:val="14"/>
          <w:szCs w:val="14"/>
        </w:rPr>
        <w:t xml:space="preserve"> hasta dos </w:t>
      </w:r>
      <w:proofErr w:type="spellStart"/>
      <w:r w:rsidRPr="000A6A66">
        <w:rPr>
          <w:rFonts w:cs="Arial"/>
          <w:sz w:val="14"/>
          <w:szCs w:val="14"/>
        </w:rPr>
        <w:t>envíos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en</w:t>
      </w:r>
      <w:proofErr w:type="spellEnd"/>
      <w:r w:rsidRPr="000A6A66">
        <w:rPr>
          <w:rFonts w:cs="Arial"/>
          <w:sz w:val="14"/>
          <w:szCs w:val="14"/>
        </w:rPr>
        <w:t xml:space="preserve"> el </w:t>
      </w:r>
      <w:proofErr w:type="spellStart"/>
      <w:r w:rsidRPr="000A6A66">
        <w:rPr>
          <w:rFonts w:cs="Arial"/>
          <w:sz w:val="14"/>
          <w:szCs w:val="14"/>
        </w:rPr>
        <w:t>transcurso</w:t>
      </w:r>
      <w:proofErr w:type="spellEnd"/>
      <w:r w:rsidRPr="000A6A66">
        <w:rPr>
          <w:rFonts w:cs="Arial"/>
          <w:sz w:val="14"/>
          <w:szCs w:val="14"/>
        </w:rPr>
        <w:t xml:space="preserve"> de un </w:t>
      </w:r>
      <w:proofErr w:type="spellStart"/>
      <w:r w:rsidRPr="000A6A66">
        <w:rPr>
          <w:rFonts w:cs="Arial"/>
          <w:sz w:val="14"/>
          <w:szCs w:val="14"/>
        </w:rPr>
        <w:t>mismo</w:t>
      </w:r>
      <w:proofErr w:type="spellEnd"/>
      <w:r w:rsidRPr="000A6A66">
        <w:rPr>
          <w:rFonts w:cs="Arial"/>
          <w:sz w:val="14"/>
          <w:szCs w:val="14"/>
        </w:rPr>
        <w:t xml:space="preserve"> </w:t>
      </w:r>
      <w:proofErr w:type="spellStart"/>
      <w:r w:rsidRPr="000A6A66">
        <w:rPr>
          <w:rFonts w:cs="Arial"/>
          <w:sz w:val="14"/>
          <w:szCs w:val="14"/>
        </w:rPr>
        <w:t>mes</w:t>
      </w:r>
      <w:proofErr w:type="spellEnd"/>
      <w:r w:rsidRPr="000A6A66">
        <w:rPr>
          <w:rFonts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6F8" w14:textId="77777777" w:rsidR="005A5907" w:rsidRPr="005A5907" w:rsidRDefault="005A5907" w:rsidP="005A5907">
    <w:pPr>
      <w:pStyle w:val="Header"/>
      <w:spacing w:after="240"/>
      <w:jc w:val="center"/>
    </w:pPr>
    <w:bookmarkStart w:id="33" w:name="_Hlk53150442"/>
    <w:bookmarkStart w:id="34" w:name="_Hlk53150443"/>
    <w:bookmarkStart w:id="35" w:name="_Hlk53154560"/>
    <w:bookmarkStart w:id="36" w:name="_Hlk53154561"/>
    <w:r w:rsidRPr="005A5907">
      <w:t>G/MA/QR/N/CRI/4</w:t>
    </w:r>
  </w:p>
  <w:p w14:paraId="097D4C5B" w14:textId="77777777" w:rsidR="005A5907" w:rsidRPr="005A5907" w:rsidRDefault="005A5907" w:rsidP="005A5907">
    <w:pPr>
      <w:pStyle w:val="Header"/>
      <w:pBdr>
        <w:bottom w:val="single" w:sz="4" w:space="1" w:color="auto"/>
      </w:pBdr>
      <w:jc w:val="center"/>
    </w:pPr>
    <w:r w:rsidRPr="005A5907">
      <w:t xml:space="preserve">- </w:t>
    </w:r>
    <w:r w:rsidRPr="005A5907">
      <w:fldChar w:fldCharType="begin"/>
    </w:r>
    <w:r w:rsidRPr="005A5907">
      <w:instrText xml:space="preserve"> PAGE  \* Arabic  \* MERGEFORMAT </w:instrText>
    </w:r>
    <w:r w:rsidRPr="005A5907">
      <w:fldChar w:fldCharType="separate"/>
    </w:r>
    <w:r w:rsidRPr="005A5907">
      <w:t>1</w:t>
    </w:r>
    <w:r w:rsidRPr="005A5907">
      <w:fldChar w:fldCharType="end"/>
    </w:r>
    <w:r w:rsidRPr="005A5907">
      <w:t xml:space="preserve"> -</w:t>
    </w:r>
    <w:bookmarkEnd w:id="33"/>
    <w:bookmarkEnd w:id="34"/>
    <w:bookmarkEnd w:id="35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C6EB" w14:textId="0AA1C613" w:rsidR="005A5907" w:rsidRPr="005A5907" w:rsidRDefault="005A5907" w:rsidP="005A5907">
    <w:pPr>
      <w:pStyle w:val="Header"/>
      <w:spacing w:after="240"/>
      <w:jc w:val="center"/>
    </w:pPr>
    <w:bookmarkStart w:id="37" w:name="_Hlk53150444"/>
    <w:bookmarkStart w:id="38" w:name="_Hlk53150445"/>
    <w:bookmarkStart w:id="39" w:name="_Hlk53154562"/>
    <w:bookmarkStart w:id="40" w:name="_Hlk53154563"/>
    <w:r w:rsidRPr="005A5907">
      <w:t>G/MA/QR/N/CRI/4</w:t>
    </w:r>
  </w:p>
  <w:p w14:paraId="2E70E67C" w14:textId="77777777" w:rsidR="005A5907" w:rsidRPr="005A5907" w:rsidRDefault="005A5907" w:rsidP="005A5907">
    <w:pPr>
      <w:pStyle w:val="Header"/>
      <w:pBdr>
        <w:bottom w:val="single" w:sz="4" w:space="1" w:color="auto"/>
      </w:pBdr>
      <w:jc w:val="center"/>
    </w:pPr>
    <w:r w:rsidRPr="005A5907">
      <w:t xml:space="preserve">- </w:t>
    </w:r>
    <w:r w:rsidRPr="005A5907">
      <w:fldChar w:fldCharType="begin"/>
    </w:r>
    <w:r w:rsidRPr="005A5907">
      <w:instrText xml:space="preserve"> PAGE  \* Arabic  \* MERGEFORMAT </w:instrText>
    </w:r>
    <w:r w:rsidRPr="005A5907">
      <w:fldChar w:fldCharType="separate"/>
    </w:r>
    <w:r w:rsidRPr="005A5907">
      <w:t>1</w:t>
    </w:r>
    <w:r w:rsidRPr="005A5907">
      <w:fldChar w:fldCharType="end"/>
    </w:r>
    <w:r w:rsidRPr="005A5907">
      <w:t xml:space="preserve"> -</w:t>
    </w:r>
    <w:bookmarkEnd w:id="37"/>
    <w:bookmarkEnd w:id="38"/>
    <w:bookmarkEnd w:id="39"/>
    <w:bookmarkEnd w:id="4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A5907" w:rsidRPr="005A5907" w14:paraId="56CC4940" w14:textId="77777777" w:rsidTr="005A59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63BDDF" w14:textId="77777777" w:rsidR="005A5907" w:rsidRPr="005A5907" w:rsidRDefault="005A5907" w:rsidP="005A59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9" w:name="_Hlk53150450"/>
          <w:bookmarkStart w:id="50" w:name="_Hlk53150451"/>
          <w:bookmarkStart w:id="51" w:name="_Hlk53154568"/>
          <w:bookmarkStart w:id="52" w:name="_Hlk531545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7807B3" w14:textId="77777777" w:rsidR="005A5907" w:rsidRPr="005A5907" w:rsidRDefault="005A5907" w:rsidP="005A59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A5907" w:rsidRPr="005A5907" w14:paraId="04F2720F" w14:textId="77777777" w:rsidTr="005A59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22F350" w14:textId="6AAC1F26" w:rsidR="005A5907" w:rsidRPr="005A5907" w:rsidRDefault="005A5907" w:rsidP="005A5907">
          <w:pPr>
            <w:jc w:val="left"/>
            <w:rPr>
              <w:rFonts w:eastAsia="Verdana" w:cs="Verdana"/>
              <w:szCs w:val="18"/>
            </w:rPr>
          </w:pPr>
          <w:r w:rsidRPr="005A5907">
            <w:rPr>
              <w:rFonts w:cs="Verdana"/>
              <w:noProof/>
              <w:szCs w:val="18"/>
            </w:rPr>
            <w:drawing>
              <wp:inline distT="0" distB="0" distL="0" distR="0" wp14:anchorId="6833E951" wp14:editId="503F43CD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DD46D0" w14:textId="77777777" w:rsidR="005A5907" w:rsidRPr="005A5907" w:rsidRDefault="005A5907" w:rsidP="005A59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5907" w:rsidRPr="005A5907" w14:paraId="0F9950F7" w14:textId="77777777" w:rsidTr="005A59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40E4A6A" w14:textId="77777777" w:rsidR="005A5907" w:rsidRPr="005A5907" w:rsidRDefault="005A5907" w:rsidP="005A59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49C1B7" w14:textId="598BAB5E" w:rsidR="005A5907" w:rsidRPr="005A5907" w:rsidRDefault="005A5907" w:rsidP="005A5907">
          <w:pPr>
            <w:jc w:val="right"/>
            <w:rPr>
              <w:rFonts w:eastAsia="Verdana" w:cs="Verdana"/>
              <w:b/>
              <w:szCs w:val="18"/>
            </w:rPr>
          </w:pPr>
          <w:r w:rsidRPr="005A5907">
            <w:rPr>
              <w:b/>
              <w:szCs w:val="18"/>
            </w:rPr>
            <w:t>G/MA/QR/N/CRI/4</w:t>
          </w:r>
        </w:p>
      </w:tc>
    </w:tr>
    <w:tr w:rsidR="005A5907" w:rsidRPr="005A5907" w14:paraId="06517A87" w14:textId="77777777" w:rsidTr="005A59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7C3D226" w14:textId="77777777" w:rsidR="005A5907" w:rsidRPr="005A5907" w:rsidRDefault="005A5907" w:rsidP="005A59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61BB0A" w14:textId="062FD05D" w:rsidR="005A5907" w:rsidRPr="005A5907" w:rsidRDefault="005A5907" w:rsidP="005A5907">
          <w:pPr>
            <w:jc w:val="right"/>
            <w:rPr>
              <w:rFonts w:eastAsia="Verdana" w:cs="Verdana"/>
              <w:szCs w:val="18"/>
            </w:rPr>
          </w:pPr>
          <w:r w:rsidRPr="005A5907">
            <w:rPr>
              <w:rFonts w:cs="Verdana"/>
              <w:szCs w:val="18"/>
            </w:rPr>
            <w:t>6 October 2020</w:t>
          </w:r>
        </w:p>
      </w:tc>
    </w:tr>
    <w:tr w:rsidR="005A5907" w:rsidRPr="005A5907" w14:paraId="6784DF73" w14:textId="77777777" w:rsidTr="005A59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D64550" w14:textId="4B0DA4DF" w:rsidR="005A5907" w:rsidRPr="005A5907" w:rsidRDefault="005A5907" w:rsidP="005A5907">
          <w:pPr>
            <w:jc w:val="left"/>
            <w:rPr>
              <w:rFonts w:eastAsia="Verdana" w:cs="Verdana"/>
              <w:b/>
              <w:szCs w:val="18"/>
            </w:rPr>
          </w:pPr>
          <w:r w:rsidRPr="005A5907">
            <w:rPr>
              <w:rFonts w:cs="Verdana"/>
              <w:color w:val="FF0000"/>
              <w:szCs w:val="18"/>
            </w:rPr>
            <w:t>(20</w:t>
          </w:r>
          <w:r w:rsidRPr="005A5907">
            <w:rPr>
              <w:rFonts w:cs="Verdana"/>
              <w:color w:val="FF0000"/>
              <w:szCs w:val="18"/>
            </w:rPr>
            <w:noBreakHyphen/>
          </w:r>
          <w:r w:rsidR="00E542DC">
            <w:rPr>
              <w:rFonts w:cs="Verdana"/>
              <w:color w:val="FF0000"/>
              <w:szCs w:val="18"/>
            </w:rPr>
            <w:t>6832</w:t>
          </w:r>
          <w:r w:rsidRPr="005A5907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2DF7B5" w14:textId="7AAA0170" w:rsidR="005A5907" w:rsidRPr="005A5907" w:rsidRDefault="005A5907" w:rsidP="005A5907">
          <w:pPr>
            <w:jc w:val="right"/>
            <w:rPr>
              <w:rFonts w:eastAsia="Verdana" w:cs="Verdana"/>
              <w:szCs w:val="18"/>
            </w:rPr>
          </w:pPr>
          <w:r w:rsidRPr="005A5907">
            <w:rPr>
              <w:rFonts w:cs="Verdana"/>
              <w:szCs w:val="18"/>
            </w:rPr>
            <w:t xml:space="preserve">Page: </w:t>
          </w:r>
          <w:r w:rsidRPr="005A5907">
            <w:rPr>
              <w:rFonts w:cs="Verdana"/>
              <w:szCs w:val="18"/>
            </w:rPr>
            <w:fldChar w:fldCharType="begin"/>
          </w:r>
          <w:r w:rsidRPr="005A5907">
            <w:rPr>
              <w:rFonts w:cs="Verdana"/>
              <w:szCs w:val="18"/>
            </w:rPr>
            <w:instrText xml:space="preserve"> PAGE  \* Arabic  \* MERGEFORMAT </w:instrText>
          </w:r>
          <w:r w:rsidRPr="005A5907">
            <w:rPr>
              <w:rFonts w:cs="Verdana"/>
              <w:szCs w:val="18"/>
            </w:rPr>
            <w:fldChar w:fldCharType="separate"/>
          </w:r>
          <w:r w:rsidRPr="005A5907">
            <w:rPr>
              <w:rFonts w:cs="Verdana"/>
              <w:szCs w:val="18"/>
            </w:rPr>
            <w:t>1</w:t>
          </w:r>
          <w:r w:rsidRPr="005A5907">
            <w:rPr>
              <w:rFonts w:cs="Verdana"/>
              <w:szCs w:val="18"/>
            </w:rPr>
            <w:fldChar w:fldCharType="end"/>
          </w:r>
          <w:r w:rsidRPr="005A5907">
            <w:rPr>
              <w:rFonts w:cs="Verdana"/>
              <w:szCs w:val="18"/>
            </w:rPr>
            <w:t>/</w:t>
          </w:r>
          <w:r w:rsidRPr="005A5907">
            <w:rPr>
              <w:rFonts w:cs="Verdana"/>
              <w:szCs w:val="18"/>
            </w:rPr>
            <w:fldChar w:fldCharType="begin"/>
          </w:r>
          <w:r w:rsidRPr="005A5907">
            <w:rPr>
              <w:rFonts w:cs="Verdana"/>
              <w:szCs w:val="18"/>
            </w:rPr>
            <w:instrText xml:space="preserve"> NUMPAGES  \# "0" \* Arabic  \* MERGEFORMAT </w:instrText>
          </w:r>
          <w:r w:rsidRPr="005A5907">
            <w:rPr>
              <w:rFonts w:cs="Verdana"/>
              <w:szCs w:val="18"/>
            </w:rPr>
            <w:fldChar w:fldCharType="separate"/>
          </w:r>
          <w:r w:rsidRPr="005A5907">
            <w:rPr>
              <w:rFonts w:cs="Verdana"/>
              <w:szCs w:val="18"/>
            </w:rPr>
            <w:t>21</w:t>
          </w:r>
          <w:r w:rsidRPr="005A5907">
            <w:rPr>
              <w:rFonts w:cs="Verdana"/>
              <w:szCs w:val="18"/>
            </w:rPr>
            <w:fldChar w:fldCharType="end"/>
          </w:r>
        </w:p>
      </w:tc>
    </w:tr>
    <w:tr w:rsidR="005A5907" w:rsidRPr="005A5907" w14:paraId="4EED2097" w14:textId="77777777" w:rsidTr="005A59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7D32FD" w14:textId="454C26C4" w:rsidR="005A5907" w:rsidRPr="005A5907" w:rsidRDefault="005A5907" w:rsidP="005A5907">
          <w:pPr>
            <w:jc w:val="left"/>
            <w:rPr>
              <w:rFonts w:eastAsia="Verdana" w:cs="Verdana"/>
              <w:szCs w:val="18"/>
            </w:rPr>
          </w:pPr>
          <w:r w:rsidRPr="005A5907"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1A098C" w14:textId="2618FE5E" w:rsidR="005A5907" w:rsidRPr="005A5907" w:rsidRDefault="005A5907" w:rsidP="005A5907">
          <w:pPr>
            <w:jc w:val="right"/>
            <w:rPr>
              <w:rFonts w:eastAsia="Verdana" w:cs="Verdana"/>
              <w:bCs/>
              <w:szCs w:val="18"/>
            </w:rPr>
          </w:pPr>
          <w:r w:rsidRPr="005A5907">
            <w:rPr>
              <w:rFonts w:cs="Verdana"/>
              <w:bCs/>
              <w:szCs w:val="18"/>
            </w:rPr>
            <w:t>Original: Spanish</w:t>
          </w:r>
        </w:p>
      </w:tc>
    </w:tr>
    <w:bookmarkEnd w:id="49"/>
    <w:bookmarkEnd w:id="50"/>
    <w:bookmarkEnd w:id="51"/>
    <w:bookmarkEnd w:id="52"/>
  </w:tbl>
  <w:p w14:paraId="07D33DA9" w14:textId="77777777" w:rsidR="005A5907" w:rsidRPr="005A5907" w:rsidRDefault="005A5907" w:rsidP="005A59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EF23" w14:textId="77777777" w:rsidR="001F371D" w:rsidRPr="001F371D" w:rsidRDefault="00F2604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1F371D">
      <w:rPr>
        <w:lang w:val="fr-CH"/>
      </w:rPr>
      <w:t>G/MA/QR/N/CRI/</w:t>
    </w:r>
    <w:r>
      <w:rPr>
        <w:lang w:val="fr-CH"/>
      </w:rPr>
      <w:t>4</w:t>
    </w:r>
  </w:p>
  <w:p w14:paraId="1213F61F" w14:textId="77777777" w:rsidR="001F371D" w:rsidRPr="001F371D" w:rsidRDefault="009F508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22D5C606" w14:textId="77777777" w:rsidR="001F371D" w:rsidRDefault="00F2604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E1AA7F2" w14:textId="77777777" w:rsidR="005B435F" w:rsidRPr="001F371D" w:rsidRDefault="005B435F" w:rsidP="001F37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5EBC" w14:textId="690BF423" w:rsidR="001F371D" w:rsidRPr="001F371D" w:rsidRDefault="00F2604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1F371D">
      <w:rPr>
        <w:lang w:val="fr-CH"/>
      </w:rPr>
      <w:t>G/MA/QR/N/CRI/</w:t>
    </w:r>
    <w:r>
      <w:rPr>
        <w:lang w:val="fr-CH"/>
      </w:rPr>
      <w:t>4</w:t>
    </w:r>
  </w:p>
  <w:p w14:paraId="43A30925" w14:textId="77777777" w:rsidR="001F371D" w:rsidRPr="001F371D" w:rsidRDefault="009F508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60A2A8C8" w14:textId="77777777" w:rsidR="001F371D" w:rsidRDefault="00F26049" w:rsidP="001F371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5B31E06A" w14:textId="77777777" w:rsidR="005B435F" w:rsidRPr="001F371D" w:rsidRDefault="005B435F" w:rsidP="001F37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76F32" w:rsidRPr="005A5907" w14:paraId="5FE92BF3" w14:textId="77777777" w:rsidTr="005A59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5F4863" w14:textId="77777777" w:rsidR="00776F32" w:rsidRPr="005A5907" w:rsidRDefault="00776F32" w:rsidP="005A590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68EA15" w14:textId="77777777" w:rsidR="00776F32" w:rsidRPr="005A5907" w:rsidRDefault="00776F32" w:rsidP="005A59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6F32" w:rsidRPr="005A5907" w14:paraId="3F5A79B2" w14:textId="77777777" w:rsidTr="005A59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F480117" w14:textId="77777777" w:rsidR="00776F32" w:rsidRPr="005A5907" w:rsidRDefault="00776F32" w:rsidP="005A5907">
          <w:pPr>
            <w:jc w:val="left"/>
            <w:rPr>
              <w:rFonts w:eastAsia="Verdana" w:cs="Verdana"/>
              <w:szCs w:val="18"/>
            </w:rPr>
          </w:pPr>
          <w:r w:rsidRPr="005A5907">
            <w:rPr>
              <w:rFonts w:cs="Verdana"/>
              <w:noProof/>
              <w:szCs w:val="18"/>
            </w:rPr>
            <w:drawing>
              <wp:inline distT="0" distB="0" distL="0" distR="0" wp14:anchorId="021BF334" wp14:editId="054DC213">
                <wp:extent cx="2415902" cy="720090"/>
                <wp:effectExtent l="0" t="0" r="3810" b="381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5E93D7" w14:textId="77777777" w:rsidR="00776F32" w:rsidRPr="005A5907" w:rsidRDefault="00776F32" w:rsidP="005A59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6F32" w:rsidRPr="005A5907" w14:paraId="69DFCA5A" w14:textId="77777777" w:rsidTr="005A59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CFB6C4C" w14:textId="77777777" w:rsidR="00776F32" w:rsidRPr="005A5907" w:rsidRDefault="00776F32" w:rsidP="005A59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764FCA" w14:textId="77777777" w:rsidR="00776F32" w:rsidRPr="005A5907" w:rsidRDefault="00776F32" w:rsidP="005A5907">
          <w:pPr>
            <w:jc w:val="right"/>
            <w:rPr>
              <w:rFonts w:eastAsia="Verdana" w:cs="Verdana"/>
              <w:b/>
              <w:szCs w:val="18"/>
            </w:rPr>
          </w:pPr>
          <w:r w:rsidRPr="005A5907">
            <w:rPr>
              <w:b/>
              <w:szCs w:val="18"/>
            </w:rPr>
            <w:t>G/MA/QR/N/CRI/4</w:t>
          </w:r>
        </w:p>
      </w:tc>
    </w:tr>
    <w:tr w:rsidR="00776F32" w:rsidRPr="005A5907" w14:paraId="5A76F96C" w14:textId="77777777" w:rsidTr="005A59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62D3F5" w14:textId="77777777" w:rsidR="00776F32" w:rsidRPr="005A5907" w:rsidRDefault="00776F32" w:rsidP="005A59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6A421B" w14:textId="77777777" w:rsidR="00776F32" w:rsidRPr="005A5907" w:rsidRDefault="00776F32" w:rsidP="005A5907">
          <w:pPr>
            <w:jc w:val="right"/>
            <w:rPr>
              <w:rFonts w:eastAsia="Verdana" w:cs="Verdana"/>
              <w:szCs w:val="18"/>
            </w:rPr>
          </w:pPr>
          <w:r w:rsidRPr="005A5907">
            <w:rPr>
              <w:rFonts w:cs="Verdana"/>
              <w:szCs w:val="18"/>
            </w:rPr>
            <w:t>6 October 2020</w:t>
          </w:r>
        </w:p>
      </w:tc>
    </w:tr>
    <w:tr w:rsidR="00776F32" w:rsidRPr="005A5907" w14:paraId="73DD797B" w14:textId="77777777" w:rsidTr="005A59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4B8891" w14:textId="77777777" w:rsidR="00776F32" w:rsidRPr="005A5907" w:rsidRDefault="00776F32" w:rsidP="005A5907">
          <w:pPr>
            <w:jc w:val="left"/>
            <w:rPr>
              <w:rFonts w:eastAsia="Verdana" w:cs="Verdana"/>
              <w:b/>
              <w:szCs w:val="18"/>
            </w:rPr>
          </w:pPr>
          <w:r w:rsidRPr="005A5907">
            <w:rPr>
              <w:rFonts w:cs="Verdana"/>
              <w:color w:val="FF0000"/>
              <w:szCs w:val="18"/>
            </w:rPr>
            <w:t>(20</w:t>
          </w:r>
          <w:r w:rsidRPr="005A5907">
            <w:rPr>
              <w:rFonts w:cs="Verdana"/>
              <w:color w:val="FF0000"/>
              <w:szCs w:val="18"/>
            </w:rPr>
            <w:noBreakHyphen/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C2DE77" w14:textId="77777777" w:rsidR="00776F32" w:rsidRPr="005A5907" w:rsidRDefault="00776F32" w:rsidP="005A5907">
          <w:pPr>
            <w:jc w:val="right"/>
            <w:rPr>
              <w:rFonts w:eastAsia="Verdana" w:cs="Verdana"/>
              <w:szCs w:val="18"/>
            </w:rPr>
          </w:pPr>
          <w:r w:rsidRPr="005A5907">
            <w:rPr>
              <w:rFonts w:cs="Verdana"/>
              <w:szCs w:val="18"/>
            </w:rPr>
            <w:t xml:space="preserve">Page: </w:t>
          </w:r>
          <w:r w:rsidRPr="005A5907">
            <w:rPr>
              <w:rFonts w:cs="Verdana"/>
              <w:szCs w:val="18"/>
            </w:rPr>
            <w:fldChar w:fldCharType="begin"/>
          </w:r>
          <w:r w:rsidRPr="005A5907">
            <w:rPr>
              <w:rFonts w:cs="Verdana"/>
              <w:szCs w:val="18"/>
            </w:rPr>
            <w:instrText xml:space="preserve"> PAGE  \* Arabic  \* MERGEFORMAT </w:instrText>
          </w:r>
          <w:r w:rsidRPr="005A5907">
            <w:rPr>
              <w:rFonts w:cs="Verdana"/>
              <w:szCs w:val="18"/>
            </w:rPr>
            <w:fldChar w:fldCharType="separate"/>
          </w:r>
          <w:r w:rsidRPr="005A5907">
            <w:rPr>
              <w:rFonts w:cs="Verdana"/>
              <w:szCs w:val="18"/>
            </w:rPr>
            <w:t>1</w:t>
          </w:r>
          <w:r w:rsidRPr="005A5907">
            <w:rPr>
              <w:rFonts w:cs="Verdana"/>
              <w:szCs w:val="18"/>
            </w:rPr>
            <w:fldChar w:fldCharType="end"/>
          </w:r>
          <w:r w:rsidRPr="005A5907">
            <w:rPr>
              <w:rFonts w:cs="Verdana"/>
              <w:szCs w:val="18"/>
            </w:rPr>
            <w:t>/</w:t>
          </w:r>
          <w:r w:rsidRPr="005A5907">
            <w:rPr>
              <w:rFonts w:cs="Verdana"/>
              <w:szCs w:val="18"/>
            </w:rPr>
            <w:fldChar w:fldCharType="begin"/>
          </w:r>
          <w:r w:rsidRPr="005A5907">
            <w:rPr>
              <w:rFonts w:cs="Verdana"/>
              <w:szCs w:val="18"/>
            </w:rPr>
            <w:instrText xml:space="preserve"> NUMPAGES  \# "0" \* Arabic  \* MERGEFORMAT </w:instrText>
          </w:r>
          <w:r w:rsidRPr="005A5907">
            <w:rPr>
              <w:rFonts w:cs="Verdana"/>
              <w:szCs w:val="18"/>
            </w:rPr>
            <w:fldChar w:fldCharType="separate"/>
          </w:r>
          <w:r w:rsidRPr="005A5907">
            <w:rPr>
              <w:rFonts w:cs="Verdana"/>
              <w:szCs w:val="18"/>
            </w:rPr>
            <w:t>21</w:t>
          </w:r>
          <w:r w:rsidRPr="005A5907">
            <w:rPr>
              <w:rFonts w:cs="Verdana"/>
              <w:szCs w:val="18"/>
            </w:rPr>
            <w:fldChar w:fldCharType="end"/>
          </w:r>
        </w:p>
      </w:tc>
    </w:tr>
    <w:tr w:rsidR="00776F32" w:rsidRPr="005A5907" w14:paraId="3CAC377F" w14:textId="77777777" w:rsidTr="005A59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8A665D" w14:textId="77777777" w:rsidR="00776F32" w:rsidRPr="005A5907" w:rsidRDefault="00776F32" w:rsidP="005A5907">
          <w:pPr>
            <w:jc w:val="left"/>
            <w:rPr>
              <w:rFonts w:eastAsia="Verdana" w:cs="Verdana"/>
              <w:szCs w:val="18"/>
            </w:rPr>
          </w:pPr>
          <w:r w:rsidRPr="005A5907"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285A8DE" w14:textId="77777777" w:rsidR="00776F32" w:rsidRPr="005A5907" w:rsidRDefault="00776F32" w:rsidP="005A5907">
          <w:pPr>
            <w:jc w:val="right"/>
            <w:rPr>
              <w:rFonts w:eastAsia="Verdana" w:cs="Verdana"/>
              <w:bCs/>
              <w:szCs w:val="18"/>
            </w:rPr>
          </w:pPr>
          <w:r w:rsidRPr="005A5907">
            <w:rPr>
              <w:rFonts w:cs="Verdana"/>
              <w:bCs/>
              <w:szCs w:val="18"/>
            </w:rPr>
            <w:t>Original: Spanish</w:t>
          </w:r>
        </w:p>
      </w:tc>
    </w:tr>
  </w:tbl>
  <w:p w14:paraId="35D9DDBA" w14:textId="77777777" w:rsidR="00776F32" w:rsidRPr="005A5907" w:rsidRDefault="00776F32" w:rsidP="005A5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0C43F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5A54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7609C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C5A1FAC"/>
    <w:numStyleLink w:val="LegalHeadings"/>
  </w:abstractNum>
  <w:abstractNum w:abstractNumId="13" w15:restartNumberingAfterBreak="0">
    <w:nsid w:val="57551E12"/>
    <w:multiLevelType w:val="multilevel"/>
    <w:tmpl w:val="DC5A1F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F03E6"/>
    <w:multiLevelType w:val="hybridMultilevel"/>
    <w:tmpl w:val="103E9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4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5839"/>
    <w:rsid w:val="000C724C"/>
    <w:rsid w:val="000D23F0"/>
    <w:rsid w:val="000E2FF0"/>
    <w:rsid w:val="000F2FA7"/>
    <w:rsid w:val="00104D9E"/>
    <w:rsid w:val="00114B29"/>
    <w:rsid w:val="001171A2"/>
    <w:rsid w:val="00120B96"/>
    <w:rsid w:val="001273FC"/>
    <w:rsid w:val="001338F0"/>
    <w:rsid w:val="0014012F"/>
    <w:rsid w:val="001426D0"/>
    <w:rsid w:val="001469A4"/>
    <w:rsid w:val="00151DC9"/>
    <w:rsid w:val="00187F35"/>
    <w:rsid w:val="001B50DF"/>
    <w:rsid w:val="001D0E4B"/>
    <w:rsid w:val="001F5CE0"/>
    <w:rsid w:val="00204E41"/>
    <w:rsid w:val="002149CB"/>
    <w:rsid w:val="002242B5"/>
    <w:rsid w:val="00255119"/>
    <w:rsid w:val="00276383"/>
    <w:rsid w:val="00287066"/>
    <w:rsid w:val="002E12EF"/>
    <w:rsid w:val="002F798D"/>
    <w:rsid w:val="00306D92"/>
    <w:rsid w:val="003267CD"/>
    <w:rsid w:val="00334600"/>
    <w:rsid w:val="00337700"/>
    <w:rsid w:val="003422F5"/>
    <w:rsid w:val="00342A86"/>
    <w:rsid w:val="00397EB7"/>
    <w:rsid w:val="003A0E78"/>
    <w:rsid w:val="003A19CB"/>
    <w:rsid w:val="003B0391"/>
    <w:rsid w:val="003B6D4C"/>
    <w:rsid w:val="003C0EE2"/>
    <w:rsid w:val="003C2749"/>
    <w:rsid w:val="003C35E3"/>
    <w:rsid w:val="003E2736"/>
    <w:rsid w:val="003F0353"/>
    <w:rsid w:val="003F46BB"/>
    <w:rsid w:val="00423F32"/>
    <w:rsid w:val="0043612A"/>
    <w:rsid w:val="004E1A35"/>
    <w:rsid w:val="004E55A0"/>
    <w:rsid w:val="004F4ADE"/>
    <w:rsid w:val="00524772"/>
    <w:rsid w:val="00533502"/>
    <w:rsid w:val="005544F6"/>
    <w:rsid w:val="00571EE1"/>
    <w:rsid w:val="00586B17"/>
    <w:rsid w:val="00592965"/>
    <w:rsid w:val="005A21EE"/>
    <w:rsid w:val="005A5907"/>
    <w:rsid w:val="005B435F"/>
    <w:rsid w:val="005B571A"/>
    <w:rsid w:val="005C6D4E"/>
    <w:rsid w:val="005D1B1F"/>
    <w:rsid w:val="005D21E5"/>
    <w:rsid w:val="005D4F0E"/>
    <w:rsid w:val="005E14C9"/>
    <w:rsid w:val="00605630"/>
    <w:rsid w:val="006128E7"/>
    <w:rsid w:val="00652662"/>
    <w:rsid w:val="006652F7"/>
    <w:rsid w:val="00674833"/>
    <w:rsid w:val="0069530C"/>
    <w:rsid w:val="006A2F2A"/>
    <w:rsid w:val="006E0C67"/>
    <w:rsid w:val="006E31B9"/>
    <w:rsid w:val="0072609E"/>
    <w:rsid w:val="00727F5B"/>
    <w:rsid w:val="00735ADA"/>
    <w:rsid w:val="00776F32"/>
    <w:rsid w:val="00795114"/>
    <w:rsid w:val="007A242D"/>
    <w:rsid w:val="007A761F"/>
    <w:rsid w:val="007B7BB1"/>
    <w:rsid w:val="007C4766"/>
    <w:rsid w:val="007D39B5"/>
    <w:rsid w:val="00817768"/>
    <w:rsid w:val="00827789"/>
    <w:rsid w:val="00832396"/>
    <w:rsid w:val="00834FB6"/>
    <w:rsid w:val="008402D9"/>
    <w:rsid w:val="00842D59"/>
    <w:rsid w:val="0085388D"/>
    <w:rsid w:val="00885409"/>
    <w:rsid w:val="008A1305"/>
    <w:rsid w:val="008A2F61"/>
    <w:rsid w:val="008E0351"/>
    <w:rsid w:val="008E414F"/>
    <w:rsid w:val="009101D1"/>
    <w:rsid w:val="00912133"/>
    <w:rsid w:val="0091244D"/>
    <w:rsid w:val="0091417D"/>
    <w:rsid w:val="00917BFE"/>
    <w:rsid w:val="009304CB"/>
    <w:rsid w:val="0093775F"/>
    <w:rsid w:val="00954BA7"/>
    <w:rsid w:val="00957719"/>
    <w:rsid w:val="009A0D78"/>
    <w:rsid w:val="009A515B"/>
    <w:rsid w:val="009B12F8"/>
    <w:rsid w:val="009D63FB"/>
    <w:rsid w:val="009F491D"/>
    <w:rsid w:val="009F5089"/>
    <w:rsid w:val="00A019A3"/>
    <w:rsid w:val="00A3630E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264EC"/>
    <w:rsid w:val="00B30392"/>
    <w:rsid w:val="00B355AF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BE2D93"/>
    <w:rsid w:val="00C05660"/>
    <w:rsid w:val="00C13E47"/>
    <w:rsid w:val="00C34F2D"/>
    <w:rsid w:val="00C36FDA"/>
    <w:rsid w:val="00C400B5"/>
    <w:rsid w:val="00C41B3D"/>
    <w:rsid w:val="00C45B8E"/>
    <w:rsid w:val="00C55418"/>
    <w:rsid w:val="00C65229"/>
    <w:rsid w:val="00C65F6E"/>
    <w:rsid w:val="00C67AA4"/>
    <w:rsid w:val="00C70413"/>
    <w:rsid w:val="00C71274"/>
    <w:rsid w:val="00C97117"/>
    <w:rsid w:val="00CB2591"/>
    <w:rsid w:val="00CD0195"/>
    <w:rsid w:val="00CD5EC3"/>
    <w:rsid w:val="00CE1C9D"/>
    <w:rsid w:val="00CF4520"/>
    <w:rsid w:val="00D15387"/>
    <w:rsid w:val="00D65AF6"/>
    <w:rsid w:val="00D66DCB"/>
    <w:rsid w:val="00D66F5C"/>
    <w:rsid w:val="00D95E25"/>
    <w:rsid w:val="00DB47DD"/>
    <w:rsid w:val="00DB7CB0"/>
    <w:rsid w:val="00DD65B2"/>
    <w:rsid w:val="00E05453"/>
    <w:rsid w:val="00E274EA"/>
    <w:rsid w:val="00E464CD"/>
    <w:rsid w:val="00E47B1B"/>
    <w:rsid w:val="00E542DC"/>
    <w:rsid w:val="00E81A56"/>
    <w:rsid w:val="00E844E4"/>
    <w:rsid w:val="00E94A83"/>
    <w:rsid w:val="00E97806"/>
    <w:rsid w:val="00EA0223"/>
    <w:rsid w:val="00EA1572"/>
    <w:rsid w:val="00EB1D8F"/>
    <w:rsid w:val="00EB3BB2"/>
    <w:rsid w:val="00EB4982"/>
    <w:rsid w:val="00EC12C0"/>
    <w:rsid w:val="00EE50B7"/>
    <w:rsid w:val="00F009AC"/>
    <w:rsid w:val="00F11625"/>
    <w:rsid w:val="00F26049"/>
    <w:rsid w:val="00F325A3"/>
    <w:rsid w:val="00F66F1F"/>
    <w:rsid w:val="00F712E6"/>
    <w:rsid w:val="00F84BAB"/>
    <w:rsid w:val="00F854DF"/>
    <w:rsid w:val="00F94181"/>
    <w:rsid w:val="00F94890"/>
    <w:rsid w:val="00F94FC2"/>
    <w:rsid w:val="00FA6CCD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3C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590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590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590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5907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5907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5907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59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59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59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590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A590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A590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A590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A590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A590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A590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A590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A590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0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59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A590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A590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A590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A590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590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A59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590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rsid w:val="005A59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5A590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A5907"/>
    <w:rPr>
      <w:szCs w:val="20"/>
    </w:rPr>
  </w:style>
  <w:style w:type="character" w:customStyle="1" w:styleId="EndnoteTextChar">
    <w:name w:val="Endnote Text Char"/>
    <w:link w:val="EndnoteText"/>
    <w:uiPriority w:val="49"/>
    <w:rsid w:val="005A590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A59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A590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A59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590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A5907"/>
    <w:pPr>
      <w:ind w:left="567" w:right="567" w:firstLine="0"/>
    </w:pPr>
  </w:style>
  <w:style w:type="character" w:styleId="FootnoteReference">
    <w:name w:val="footnote reference"/>
    <w:uiPriority w:val="99"/>
    <w:rsid w:val="005A590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A59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5A590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A5907"/>
    <w:pPr>
      <w:numPr>
        <w:numId w:val="6"/>
      </w:numPr>
    </w:pPr>
  </w:style>
  <w:style w:type="paragraph" w:styleId="ListBullet">
    <w:name w:val="List Bullet"/>
    <w:basedOn w:val="Normal"/>
    <w:uiPriority w:val="1"/>
    <w:rsid w:val="005A590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590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590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590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590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5A5907"/>
    <w:pPr>
      <w:ind w:left="720"/>
      <w:contextualSpacing/>
    </w:pPr>
  </w:style>
  <w:style w:type="numbering" w:customStyle="1" w:styleId="ListBullets">
    <w:name w:val="ListBullets"/>
    <w:uiPriority w:val="99"/>
    <w:rsid w:val="005A590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59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59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A59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590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A59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59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590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A59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59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A59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59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59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59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59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A590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590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A590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59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A5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A59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A59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590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5907"/>
  </w:style>
  <w:style w:type="paragraph" w:styleId="BlockText">
    <w:name w:val="Block Text"/>
    <w:basedOn w:val="Normal"/>
    <w:uiPriority w:val="99"/>
    <w:semiHidden/>
    <w:unhideWhenUsed/>
    <w:rsid w:val="005A59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59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59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59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9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9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590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A590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A59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90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5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90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590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5907"/>
  </w:style>
  <w:style w:type="character" w:customStyle="1" w:styleId="DateChar">
    <w:name w:val="Date Char"/>
    <w:basedOn w:val="DefaultParagraphFont"/>
    <w:link w:val="Date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59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90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59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A590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A59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59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590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A590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9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90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A590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A590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A590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A590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9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90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590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A590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A590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A59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59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59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59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59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59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59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59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59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59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590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59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59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A590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A5907"/>
    <w:rPr>
      <w:lang w:val="en-GB"/>
    </w:rPr>
  </w:style>
  <w:style w:type="paragraph" w:styleId="List">
    <w:name w:val="List"/>
    <w:basedOn w:val="Normal"/>
    <w:uiPriority w:val="99"/>
    <w:semiHidden/>
    <w:unhideWhenUsed/>
    <w:rsid w:val="005A59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59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59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59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59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59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59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59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59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59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590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590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59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590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59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5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590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5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590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A590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59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590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59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590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A590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A59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90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59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A590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59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59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590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A590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A590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A5907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5A5907"/>
    <w:pPr>
      <w:spacing w:after="240"/>
      <w:jc w:val="center"/>
    </w:pPr>
    <w:rPr>
      <w:rFonts w:eastAsia="Calibri" w:cs="Times New Roman"/>
      <w:color w:val="006283"/>
    </w:rPr>
  </w:style>
  <w:style w:type="table" w:styleId="TableGridLight">
    <w:name w:val="Grid Table Light"/>
    <w:basedOn w:val="TableNormal"/>
    <w:uiPriority w:val="40"/>
    <w:rsid w:val="009124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">
    <w:name w:val="Colorful Grid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59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59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590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590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5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59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59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59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59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59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59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59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59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59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59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59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59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59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59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5907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59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59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5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59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59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59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59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59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59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590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590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59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590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59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59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59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59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59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59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59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59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590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590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590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590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590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590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59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5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59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5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59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5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590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A59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59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59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59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59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5A5907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5A5907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A590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590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590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590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590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590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590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590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590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590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590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590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590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590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590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590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590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590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590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590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590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590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590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590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590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590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590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590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590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590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590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590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590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590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590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5907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4BF6-6254-4517-AD48-377053B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68</TotalTime>
  <Pages>21</Pages>
  <Words>3882</Words>
  <Characters>22390</Characters>
  <Application>Microsoft Office Word</Application>
  <DocSecurity>0</DocSecurity>
  <Lines>1825</Lines>
  <Paragraphs>397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PURSUANT TO THE DECISION ON NOTIFICATION PROCEDURES FOR QUANTITATIVE RESTRICTIONS (G/L/59/REV.1)</vt:lpstr>
      <vt:lpstr/>
    </vt:vector>
  </TitlesOfParts>
  <Manager/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PURSUANT TO THE DECISION ON NOTIFICATION PROCEDURES FOR QUANTITATIVE RESTRICTIONS (G/L/59/REV.1)</dc:title>
  <dc:creator/>
  <dc:description>LDIMD - DTU</dc:description>
  <cp:lastModifiedBy/>
  <cp:revision>9</cp:revision>
  <dcterms:created xsi:type="dcterms:W3CDTF">2020-10-08T14:52:00Z</dcterms:created>
  <dcterms:modified xsi:type="dcterms:W3CDTF">2020-10-09T15:00:00Z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077d01f2-a10e-43f4-aa80-9376b6524fdf</vt:lpwstr>
  </property>
  <property fmtid="{D5CDD505-2E9C-101B-9397-08002B2CF9AE}" pid="3" name="WTOCLASSIFICATION">
    <vt:lpwstr>WTO OFFICIAL</vt:lpwstr>
  </property>
</Properties>
</file>