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53B8" w14:textId="77777777" w:rsidR="00484D00" w:rsidRPr="00CD4AE5" w:rsidRDefault="00484D00" w:rsidP="00484D00">
      <w:pPr>
        <w:pStyle w:val="Titre"/>
      </w:pPr>
      <w:r w:rsidRPr="00CD4AE5">
        <w:t>NOTIFICATION PURSUANT TO THE DECISION ON NOTIFICATION</w:t>
      </w:r>
      <w:r>
        <w:t xml:space="preserve"> </w:t>
      </w:r>
      <w:r w:rsidRPr="00CD4AE5">
        <w:t>PROCEDURE</w:t>
      </w:r>
      <w:r>
        <w:t>S</w:t>
      </w:r>
      <w:r>
        <w:br/>
        <w:t xml:space="preserve">FOR QUANTITATIVE RESTRICTIONS </w:t>
      </w:r>
      <w:r w:rsidRPr="00CD4AE5">
        <w:t>(G/L/59/Rev.1)</w:t>
      </w:r>
    </w:p>
    <w:p w14:paraId="73E2A0DE" w14:textId="77777777" w:rsidR="00484D00" w:rsidRDefault="00484D00" w:rsidP="00484D00">
      <w:pPr>
        <w:pStyle w:val="TitleCountry"/>
        <w:tabs>
          <w:tab w:val="center" w:pos="4513"/>
          <w:tab w:val="left" w:pos="8280"/>
        </w:tabs>
      </w:pPr>
      <w:r>
        <w:t>Ukraine</w:t>
      </w:r>
    </w:p>
    <w:p w14:paraId="58425B7C" w14:textId="77777777" w:rsidR="00484D00" w:rsidRDefault="00484D00" w:rsidP="00484D00">
      <w:pPr>
        <w:pStyle w:val="Title3"/>
      </w:pPr>
      <w:r>
        <w:t>Addendum</w:t>
      </w:r>
    </w:p>
    <w:p w14:paraId="512CB40A" w14:textId="77777777" w:rsidR="00484D00" w:rsidRDefault="00484D00" w:rsidP="00484D00">
      <w:pPr>
        <w:rPr>
          <w:lang w:eastAsia="en-GB"/>
        </w:rPr>
      </w:pPr>
      <w:r w:rsidRPr="00312848">
        <w:rPr>
          <w:lang w:eastAsia="en-GB"/>
        </w:rPr>
        <w:t xml:space="preserve">The following communication, dated </w:t>
      </w:r>
      <w:r>
        <w:rPr>
          <w:lang w:eastAsia="en-GB"/>
        </w:rPr>
        <w:t>20 May</w:t>
      </w:r>
      <w:r w:rsidRPr="00312848">
        <w:rPr>
          <w:lang w:eastAsia="en-GB"/>
        </w:rPr>
        <w:t xml:space="preserve"> 2022, is being circulated at the request of the delegation of Ukraine.</w:t>
      </w:r>
    </w:p>
    <w:p w14:paraId="3B03CA5C" w14:textId="77777777" w:rsidR="00484D00" w:rsidRDefault="00484D00" w:rsidP="00484D00">
      <w:pPr>
        <w:rPr>
          <w:lang w:eastAsia="en-GB"/>
        </w:rPr>
      </w:pPr>
    </w:p>
    <w:p w14:paraId="1B770663" w14:textId="77777777" w:rsidR="00484D00" w:rsidRDefault="00484D00" w:rsidP="00484D00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5E5C84F2" w14:textId="074E60F4" w:rsidR="007141CF" w:rsidRDefault="007141CF" w:rsidP="00B52738"/>
    <w:p w14:paraId="64EA2E01" w14:textId="06F3D381" w:rsidR="00484D00" w:rsidRDefault="00484D00" w:rsidP="00B52738"/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484D00" w:rsidRPr="00F65DAE" w14:paraId="2AB91369" w14:textId="77777777" w:rsidTr="00852B32">
        <w:trPr>
          <w:jc w:val="center"/>
        </w:trPr>
        <w:tc>
          <w:tcPr>
            <w:tcW w:w="9027" w:type="dxa"/>
            <w:tcBorders>
              <w:top w:val="double" w:sz="6" w:space="0" w:color="auto"/>
            </w:tcBorders>
          </w:tcPr>
          <w:p w14:paraId="7B4F428D" w14:textId="482F8E51" w:rsidR="00484D00" w:rsidRPr="00F65DAE" w:rsidRDefault="00484D00" w:rsidP="00852B32">
            <w:pPr>
              <w:tabs>
                <w:tab w:val="left" w:pos="567"/>
              </w:tabs>
              <w:spacing w:before="120" w:after="120"/>
            </w:pPr>
            <w:r w:rsidRPr="00F65DAE">
              <w:rPr>
                <w:b/>
              </w:rPr>
              <w:t>A.</w:t>
            </w:r>
            <w:r w:rsidRPr="00F65DAE">
              <w:rPr>
                <w:b/>
              </w:rPr>
              <w:tab/>
              <w:t xml:space="preserve">Notifying Member: </w:t>
            </w:r>
            <w:r>
              <w:t>Ukraine</w:t>
            </w:r>
          </w:p>
        </w:tc>
      </w:tr>
      <w:tr w:rsidR="00484D00" w:rsidRPr="00F65DAE" w14:paraId="0A4F4C29" w14:textId="77777777" w:rsidTr="00852B32">
        <w:trPr>
          <w:jc w:val="center"/>
        </w:trPr>
        <w:tc>
          <w:tcPr>
            <w:tcW w:w="9027" w:type="dxa"/>
          </w:tcPr>
          <w:p w14:paraId="192A641C" w14:textId="63739237" w:rsidR="00484D00" w:rsidRPr="008518D1" w:rsidRDefault="00484D00" w:rsidP="00852B32">
            <w:pPr>
              <w:tabs>
                <w:tab w:val="left" w:pos="567"/>
              </w:tabs>
              <w:spacing w:before="120" w:after="120"/>
              <w:rPr>
                <w:lang w:val="en-US"/>
              </w:rPr>
            </w:pPr>
            <w:r w:rsidRPr="00F65DAE">
              <w:rPr>
                <w:b/>
              </w:rPr>
              <w:t>B.</w:t>
            </w:r>
            <w:r w:rsidRPr="00F65DAE">
              <w:rPr>
                <w:b/>
              </w:rPr>
              <w:tab/>
              <w:t xml:space="preserve">Date of notification: </w:t>
            </w:r>
            <w:r w:rsidRPr="00C720B6">
              <w:t>18 May 2022</w:t>
            </w:r>
          </w:p>
        </w:tc>
      </w:tr>
      <w:tr w:rsidR="00484D00" w:rsidRPr="00F65DAE" w14:paraId="6823F55C" w14:textId="77777777" w:rsidTr="00852B32">
        <w:trPr>
          <w:jc w:val="center"/>
        </w:trPr>
        <w:tc>
          <w:tcPr>
            <w:tcW w:w="9027" w:type="dxa"/>
          </w:tcPr>
          <w:p w14:paraId="1F296709" w14:textId="77777777" w:rsidR="00484D00" w:rsidRPr="00F65DAE" w:rsidRDefault="00484D00" w:rsidP="00852B32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C.</w:t>
            </w:r>
            <w:r w:rsidRPr="00F65DAE">
              <w:rPr>
                <w:b/>
              </w:rPr>
              <w:tab/>
              <w:t>First time notification:</w:t>
            </w:r>
          </w:p>
          <w:p w14:paraId="12628935" w14:textId="77777777" w:rsidR="00484D00" w:rsidRPr="00F65DAE" w:rsidRDefault="00484D00" w:rsidP="00852B32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230C">
              <w:rPr>
                <w:b/>
              </w:rPr>
            </w:r>
            <w:r w:rsidR="003823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</w:r>
            <w:r w:rsidRPr="00F65DAE">
              <w:t>Yes</w:t>
            </w:r>
          </w:p>
          <w:p w14:paraId="69366DEC" w14:textId="77777777" w:rsidR="00484D00" w:rsidRPr="00363750" w:rsidRDefault="00484D00" w:rsidP="00852B32">
            <w:pPr>
              <w:tabs>
                <w:tab w:val="left" w:pos="567"/>
              </w:tabs>
              <w:spacing w:before="120" w:after="120"/>
              <w:rPr>
                <w:b/>
                <w:lang w:val="uk-UA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230C">
              <w:rPr>
                <w:b/>
              </w:rPr>
            </w:r>
            <w:r w:rsidR="003823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</w:r>
            <w:r w:rsidRPr="00F65DAE">
              <w:rPr>
                <w:bCs/>
              </w:rPr>
              <w:t>No, last notification was made in (doc. symbol</w:t>
            </w:r>
            <w:r w:rsidRPr="00F65DAE">
              <w:t>):</w:t>
            </w:r>
            <w:r>
              <w:t xml:space="preserve"> </w:t>
            </w:r>
            <w:r w:rsidRPr="00206718">
              <w:t>G/MA/QR/N/UKR/5</w:t>
            </w:r>
            <w:r>
              <w:t>/Add.</w:t>
            </w:r>
            <w:r>
              <w:rPr>
                <w:lang w:val="uk-UA"/>
              </w:rPr>
              <w:t>4</w:t>
            </w:r>
          </w:p>
        </w:tc>
      </w:tr>
      <w:tr w:rsidR="00484D00" w:rsidRPr="00F65DAE" w14:paraId="356D5804" w14:textId="77777777" w:rsidTr="00852B32">
        <w:trPr>
          <w:jc w:val="center"/>
        </w:trPr>
        <w:tc>
          <w:tcPr>
            <w:tcW w:w="9027" w:type="dxa"/>
          </w:tcPr>
          <w:p w14:paraId="4688C993" w14:textId="77777777" w:rsidR="00484D00" w:rsidRPr="0032354F" w:rsidRDefault="00484D00" w:rsidP="00852B32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32354F">
              <w:rPr>
                <w:b/>
              </w:rPr>
              <w:t>D.</w:t>
            </w:r>
            <w:r w:rsidRPr="0032354F">
              <w:rPr>
                <w:b/>
              </w:rPr>
              <w:tab/>
              <w:t>Type of notification:</w:t>
            </w:r>
          </w:p>
          <w:bookmarkStart w:id="0" w:name="Check1"/>
          <w:p w14:paraId="08A9EF9C" w14:textId="77777777" w:rsidR="00484D00" w:rsidRPr="0032354F" w:rsidRDefault="00484D00" w:rsidP="00852B32">
            <w:pPr>
              <w:tabs>
                <w:tab w:val="left" w:pos="567"/>
                <w:tab w:val="left" w:pos="873"/>
              </w:tabs>
              <w:spacing w:after="120"/>
            </w:pPr>
            <w:r w:rsidRPr="0032354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rPr>
                <w:b/>
              </w:rPr>
              <w:instrText xml:space="preserve"> FORMCHECKBOX </w:instrText>
            </w:r>
            <w:r w:rsidR="0038230C">
              <w:rPr>
                <w:b/>
              </w:rPr>
            </w:r>
            <w:r w:rsidR="0038230C">
              <w:rPr>
                <w:b/>
              </w:rPr>
              <w:fldChar w:fldCharType="separate"/>
            </w:r>
            <w:r w:rsidRPr="0032354F">
              <w:rPr>
                <w:b/>
              </w:rPr>
              <w:fldChar w:fldCharType="end"/>
            </w:r>
            <w:bookmarkEnd w:id="0"/>
            <w:r w:rsidRPr="0032354F">
              <w:rPr>
                <w:b/>
              </w:rPr>
              <w:tab/>
            </w:r>
            <w:r w:rsidRPr="0032354F">
              <w:t>1.</w:t>
            </w:r>
            <w:r w:rsidRPr="0032354F">
              <w:rPr>
                <w:rFonts w:ascii="Times New Roman" w:hAnsi="Times New Roman"/>
                <w:bCs/>
                <w:sz w:val="22"/>
              </w:rPr>
              <w:tab/>
            </w:r>
            <w:r w:rsidRPr="0032354F">
              <w:rPr>
                <w:bCs/>
              </w:rPr>
              <w:t>Complete (i.e. notification of all quantitative restrictions in force</w:t>
            </w:r>
            <w:r w:rsidRPr="0032354F">
              <w:t>)</w:t>
            </w:r>
          </w:p>
          <w:p w14:paraId="7A59FA07" w14:textId="77777777" w:rsidR="00484D00" w:rsidRPr="0032354F" w:rsidRDefault="00484D00" w:rsidP="00852B32">
            <w:pPr>
              <w:tabs>
                <w:tab w:val="left" w:pos="567"/>
                <w:tab w:val="left" w:pos="886"/>
              </w:tabs>
              <w:spacing w:after="120"/>
              <w:ind w:left="851" w:hanging="851"/>
            </w:pPr>
            <w:r w:rsidRPr="003235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354F">
              <w:rPr>
                <w:b/>
              </w:rPr>
              <w:instrText xml:space="preserve"> FORMCHECKBOX </w:instrText>
            </w:r>
            <w:r w:rsidR="0038230C">
              <w:rPr>
                <w:b/>
              </w:rPr>
            </w:r>
            <w:r w:rsidR="0038230C">
              <w:rPr>
                <w:b/>
              </w:rPr>
              <w:fldChar w:fldCharType="separate"/>
            </w:r>
            <w:r w:rsidRPr="0032354F">
              <w:rPr>
                <w:b/>
              </w:rPr>
              <w:fldChar w:fldCharType="end"/>
            </w:r>
            <w:r w:rsidRPr="0032354F">
              <w:rPr>
                <w:b/>
              </w:rPr>
              <w:tab/>
            </w:r>
            <w:r w:rsidRPr="0032354F">
              <w:t>2.</w:t>
            </w:r>
            <w:r w:rsidRPr="0032354F">
              <w:tab/>
            </w:r>
            <w:r w:rsidRPr="0032354F">
              <w:rPr>
                <w:bCs/>
              </w:rPr>
              <w:t>Changes to a notification previously made in G/MA/QR/N/UKR/5</w:t>
            </w:r>
            <w:r>
              <w:rPr>
                <w:bCs/>
              </w:rPr>
              <w:t>/Add.4</w:t>
            </w:r>
            <w:r w:rsidRPr="0032354F">
              <w:t xml:space="preserve"> </w:t>
            </w:r>
            <w:r w:rsidRPr="0032354F">
              <w:rPr>
                <w:bCs/>
              </w:rPr>
              <w:t>which are of the following nature</w:t>
            </w:r>
            <w:r w:rsidRPr="0032354F">
              <w:t>:</w:t>
            </w:r>
          </w:p>
          <w:p w14:paraId="68D9CDE2" w14:textId="77777777" w:rsidR="00484D00" w:rsidRPr="0032354F" w:rsidRDefault="00484D00" w:rsidP="00852B32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rPr>
                <w:b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30C">
              <w:fldChar w:fldCharType="separate"/>
            </w:r>
            <w:r>
              <w:fldChar w:fldCharType="end"/>
            </w:r>
            <w:r w:rsidRPr="0032354F">
              <w:tab/>
              <w:t>2.1</w:t>
            </w:r>
            <w:r w:rsidRPr="0032354F">
              <w:tab/>
            </w:r>
            <w:r w:rsidRPr="0032354F">
              <w:rPr>
                <w:bCs/>
              </w:rPr>
              <w:t xml:space="preserve">Introduction of new restrictions, as listed in Section </w:t>
            </w:r>
            <w:r w:rsidRPr="0032354F">
              <w:t>1.</w:t>
            </w:r>
          </w:p>
          <w:p w14:paraId="06BC5450" w14:textId="77777777" w:rsidR="00484D00" w:rsidRPr="0032354F" w:rsidRDefault="00484D00" w:rsidP="00852B32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tab/>
            </w:r>
            <w:r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instrText xml:space="preserve"> FORMCHECKBOX </w:instrText>
            </w:r>
            <w:r w:rsidR="0038230C">
              <w:fldChar w:fldCharType="separate"/>
            </w:r>
            <w:r w:rsidRPr="0032354F">
              <w:fldChar w:fldCharType="end"/>
            </w:r>
            <w:r w:rsidRPr="0032354F">
              <w:tab/>
              <w:t>2.2</w:t>
            </w:r>
            <w:r w:rsidRPr="0032354F">
              <w:tab/>
            </w:r>
            <w:r w:rsidRPr="0032354F">
              <w:rPr>
                <w:bCs/>
              </w:rPr>
              <w:t>Elimination of restrictions, as described in G below</w:t>
            </w:r>
            <w:r w:rsidRPr="0032354F">
              <w:t>.</w:t>
            </w:r>
          </w:p>
          <w:p w14:paraId="01FB222F" w14:textId="77777777" w:rsidR="00484D00" w:rsidRPr="004B312A" w:rsidRDefault="00484D00" w:rsidP="00852B32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tab/>
            </w:r>
            <w:r w:rsidRPr="004B31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B312A">
              <w:instrText xml:space="preserve"> FORMCHECKBOX </w:instrText>
            </w:r>
            <w:r w:rsidR="0038230C">
              <w:fldChar w:fldCharType="separate"/>
            </w:r>
            <w:r w:rsidRPr="004B312A">
              <w:fldChar w:fldCharType="end"/>
            </w:r>
            <w:r w:rsidRPr="004B312A">
              <w:tab/>
              <w:t>2.3</w:t>
            </w:r>
            <w:r w:rsidRPr="004B312A">
              <w:tab/>
            </w:r>
            <w:r w:rsidRPr="004B312A">
              <w:rPr>
                <w:bCs/>
              </w:rPr>
              <w:t xml:space="preserve">Modification of a previously notified restriction, as described in Section </w:t>
            </w:r>
            <w:r w:rsidRPr="004B312A">
              <w:t>1.</w:t>
            </w:r>
          </w:p>
          <w:p w14:paraId="1A5B237E" w14:textId="77777777" w:rsidR="00484D00" w:rsidRPr="00F65DAE" w:rsidRDefault="00484D00" w:rsidP="00852B32">
            <w:pPr>
              <w:tabs>
                <w:tab w:val="left" w:pos="567"/>
                <w:tab w:val="left" w:pos="886"/>
              </w:tabs>
              <w:spacing w:after="120"/>
              <w:ind w:left="851" w:hanging="851"/>
              <w:rPr>
                <w:b/>
              </w:rPr>
            </w:pPr>
            <w:r w:rsidRPr="004B312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12A">
              <w:instrText xml:space="preserve"> FORMCHECKBOX </w:instrText>
            </w:r>
            <w:r w:rsidR="0038230C">
              <w:fldChar w:fldCharType="separate"/>
            </w:r>
            <w:r w:rsidRPr="004B312A">
              <w:fldChar w:fldCharType="end"/>
            </w:r>
            <w:r w:rsidRPr="004B312A">
              <w:tab/>
              <w:t>3.</w:t>
            </w:r>
            <w:r w:rsidRPr="004B312A">
              <w:tab/>
            </w:r>
            <w:r w:rsidRPr="004B312A">
              <w:rPr>
                <w:bCs/>
              </w:rPr>
              <w:t>Reverse notification of r</w:t>
            </w:r>
            <w:r w:rsidRPr="0032354F">
              <w:rPr>
                <w:bCs/>
              </w:rPr>
              <w:t>estrictions maintained by (Member</w:t>
            </w:r>
            <w:r w:rsidRPr="0032354F">
              <w:t>):</w:t>
            </w:r>
            <w:r w:rsidRPr="00F65DAE">
              <w:rPr>
                <w:u w:val="single"/>
              </w:rPr>
              <w:t xml:space="preserve"> </w:t>
            </w:r>
          </w:p>
        </w:tc>
      </w:tr>
      <w:tr w:rsidR="00484D00" w:rsidRPr="00F65DAE" w14:paraId="42521441" w14:textId="77777777" w:rsidTr="00484D00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3ED6679F" w14:textId="77777777" w:rsidR="00484D00" w:rsidRPr="004B312A" w:rsidRDefault="00484D00" w:rsidP="00852B32">
            <w:pPr>
              <w:tabs>
                <w:tab w:val="left" w:pos="567"/>
              </w:tabs>
              <w:spacing w:before="120" w:after="120"/>
              <w:ind w:left="508" w:hanging="508"/>
              <w:rPr>
                <w:b/>
                <w:lang w:val="uk-UA"/>
              </w:rPr>
            </w:pPr>
            <w:r w:rsidRPr="00F65DAE">
              <w:rPr>
                <w:b/>
              </w:rPr>
              <w:t>E.</w:t>
            </w:r>
            <w:r w:rsidRPr="00F65DAE">
              <w:rPr>
                <w:b/>
              </w:rPr>
              <w:tab/>
              <w:t>The notification provides information for the follo</w:t>
            </w:r>
            <w:r>
              <w:rPr>
                <w:b/>
              </w:rPr>
              <w:t>wing biennial period (e.g. 2012</w:t>
            </w:r>
            <w:r>
              <w:rPr>
                <w:b/>
              </w:rPr>
              <w:noBreakHyphen/>
            </w:r>
            <w:r w:rsidRPr="00F65DAE">
              <w:rPr>
                <w:b/>
              </w:rPr>
              <w:t xml:space="preserve">2014): </w:t>
            </w:r>
            <w:r>
              <w:rPr>
                <w:u w:val="single"/>
              </w:rPr>
              <w:t>2020-2022</w:t>
            </w:r>
            <w:r>
              <w:rPr>
                <w:noProof/>
              </w:rPr>
              <w:t xml:space="preserve"> </w:t>
            </w:r>
            <w:r w:rsidRPr="00F65DAE">
              <w:rPr>
                <w:b/>
              </w:rPr>
              <w:t xml:space="preserve">and relates to restrictions in force as of </w:t>
            </w:r>
            <w:r>
              <w:t xml:space="preserve"> </w:t>
            </w:r>
            <w:r>
              <w:br/>
            </w:r>
            <w:r w:rsidRPr="00C720B6">
              <w:t>18 May 2022</w:t>
            </w:r>
          </w:p>
        </w:tc>
      </w:tr>
      <w:tr w:rsidR="00484D00" w:rsidRPr="00F65DAE" w14:paraId="1D0F8F06" w14:textId="77777777" w:rsidTr="00484D00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1DFE51E" w14:textId="77777777" w:rsidR="00484D00" w:rsidRPr="00F65DAE" w:rsidRDefault="00484D00" w:rsidP="00852B32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F.</w:t>
            </w:r>
            <w:r w:rsidRPr="00F65DAE">
              <w:rPr>
                <w:b/>
              </w:rPr>
              <w:tab/>
              <w:t>This notification contains information</w:t>
            </w:r>
            <w:r w:rsidRPr="00F65DAE">
              <w:rPr>
                <w:b/>
                <w:vertAlign w:val="superscript"/>
              </w:rPr>
              <w:footnoteReference w:customMarkFollows="1" w:id="1"/>
              <w:t xml:space="preserve">* </w:t>
            </w:r>
            <w:r w:rsidRPr="00F65DAE">
              <w:rPr>
                <w:b/>
              </w:rPr>
              <w:t>relating to:</w:t>
            </w:r>
          </w:p>
          <w:p w14:paraId="65659221" w14:textId="77777777" w:rsidR="00484D00" w:rsidRPr="00F65DAE" w:rsidRDefault="00484D00" w:rsidP="00852B32">
            <w:pPr>
              <w:tabs>
                <w:tab w:val="left" w:pos="567"/>
                <w:tab w:val="left" w:pos="1736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230C">
              <w:rPr>
                <w:b/>
              </w:rPr>
            </w:r>
            <w:r w:rsidR="003823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  <w:t>Section 1:</w:t>
            </w:r>
            <w:r>
              <w:rPr>
                <w:b/>
              </w:rPr>
              <w:tab/>
            </w:r>
            <w:r w:rsidRPr="00F65DAE">
              <w:rPr>
                <w:bCs/>
              </w:rPr>
              <w:t>List of quantitative restrictions that are currently in force</w:t>
            </w:r>
            <w:r w:rsidRPr="00F65DAE">
              <w:t>.</w:t>
            </w:r>
          </w:p>
          <w:p w14:paraId="04A3DADA" w14:textId="77777777" w:rsidR="00484D00" w:rsidRPr="00674581" w:rsidRDefault="00484D00" w:rsidP="00852B32">
            <w:pPr>
              <w:tabs>
                <w:tab w:val="left" w:pos="567"/>
              </w:tabs>
              <w:spacing w:before="120" w:after="120"/>
              <w:ind w:left="1718" w:hanging="171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8230C">
              <w:rPr>
                <w:b/>
              </w:rPr>
            </w:r>
            <w:r w:rsidR="0038230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  <w:t>Section 2:</w:t>
            </w:r>
            <w:r>
              <w:rPr>
                <w:b/>
              </w:rPr>
              <w:tab/>
            </w:r>
            <w:r w:rsidRPr="00F65DAE">
              <w:rPr>
                <w:bCs/>
              </w:rPr>
              <w:t>Cross-reference to other WTO notifications with information on quantitative restrictions that are currently in force and additional information</w:t>
            </w:r>
            <w:r w:rsidRPr="00F65DAE">
              <w:t>.</w:t>
            </w:r>
          </w:p>
        </w:tc>
      </w:tr>
      <w:tr w:rsidR="00484D00" w:rsidRPr="00374901" w14:paraId="15B68A94" w14:textId="77777777" w:rsidTr="00484D00">
        <w:tblPrEx>
          <w:tblBorders>
            <w:top w:val="single" w:sz="4" w:space="0" w:color="auto"/>
            <w:insideH w:val="double" w:sz="6" w:space="0" w:color="auto"/>
            <w:insideV w:val="double" w:sz="6" w:space="0" w:color="auto"/>
          </w:tblBorders>
        </w:tblPrEx>
        <w:trPr>
          <w:trHeight w:val="828"/>
          <w:jc w:val="center"/>
        </w:trPr>
        <w:tc>
          <w:tcPr>
            <w:tcW w:w="9027" w:type="dxa"/>
            <w:tcBorders>
              <w:top w:val="single" w:sz="4" w:space="0" w:color="auto"/>
            </w:tcBorders>
          </w:tcPr>
          <w:p w14:paraId="78EEAB00" w14:textId="77777777" w:rsidR="00484D00" w:rsidRPr="00374901" w:rsidRDefault="00484D00" w:rsidP="00852B32">
            <w:pPr>
              <w:spacing w:before="120" w:after="120"/>
              <w:ind w:left="567" w:hanging="567"/>
              <w:rPr>
                <w:b/>
                <w:szCs w:val="18"/>
              </w:rPr>
            </w:pPr>
            <w:r w:rsidRPr="00374901">
              <w:rPr>
                <w:b/>
                <w:szCs w:val="18"/>
              </w:rPr>
              <w:lastRenderedPageBreak/>
              <w:t>G.</w:t>
            </w:r>
            <w:r w:rsidRPr="00374901">
              <w:rPr>
                <w:b/>
                <w:szCs w:val="18"/>
              </w:rPr>
              <w:tab/>
              <w:t>Comments of a general nature, including a description of the elimination of restrictions notified under D.2.2 and the date they ceased to be in force.</w:t>
            </w:r>
          </w:p>
          <w:p w14:paraId="77230653" w14:textId="38C8DFCC" w:rsidR="00484D00" w:rsidRPr="00374901" w:rsidRDefault="00484D00" w:rsidP="00852B32">
            <w:pPr>
              <w:tabs>
                <w:tab w:val="left" w:pos="567"/>
                <w:tab w:val="left" w:pos="873"/>
              </w:tabs>
              <w:spacing w:after="120"/>
              <w:ind w:left="567" w:hanging="567"/>
              <w:rPr>
                <w:szCs w:val="18"/>
              </w:rPr>
            </w:pPr>
            <w:r>
              <w:rPr>
                <w:rFonts w:cs="TimesNewRomanPSMT"/>
                <w:szCs w:val="18"/>
              </w:rPr>
              <w:tab/>
            </w:r>
            <w:r w:rsidRPr="00251C16">
              <w:rPr>
                <w:szCs w:val="18"/>
              </w:rPr>
              <w:t xml:space="preserve">According to the Resolution of the Cabinet of Ministers of Ukraine of </w:t>
            </w:r>
            <w:r>
              <w:rPr>
                <w:szCs w:val="18"/>
              </w:rPr>
              <w:t>3 May</w:t>
            </w:r>
            <w:r w:rsidRPr="00251C16">
              <w:rPr>
                <w:szCs w:val="18"/>
              </w:rPr>
              <w:t xml:space="preserve"> 2022 No</w:t>
            </w:r>
            <w:r>
              <w:rPr>
                <w:szCs w:val="18"/>
              </w:rPr>
              <w:t>.</w:t>
            </w:r>
            <w:r w:rsidRPr="00251C16">
              <w:rPr>
                <w:szCs w:val="18"/>
              </w:rPr>
              <w:t xml:space="preserve"> </w:t>
            </w:r>
            <w:r>
              <w:rPr>
                <w:szCs w:val="18"/>
              </w:rPr>
              <w:t>549</w:t>
            </w:r>
            <w:r w:rsidRPr="00251C16">
              <w:rPr>
                <w:szCs w:val="18"/>
              </w:rPr>
              <w:t xml:space="preserve"> </w:t>
            </w:r>
            <w:r>
              <w:rPr>
                <w:szCs w:val="18"/>
              </w:rPr>
              <w:t>"</w:t>
            </w:r>
            <w:r w:rsidRPr="00251C16">
              <w:rPr>
                <w:szCs w:val="18"/>
              </w:rPr>
              <w:t xml:space="preserve">On Amending Annexes 1 and 5 of the Resolution of the Cabinet of Ministers of Ukraine of No. 1424 of </w:t>
            </w:r>
            <w:r>
              <w:rPr>
                <w:szCs w:val="18"/>
              </w:rPr>
              <w:t xml:space="preserve">29 </w:t>
            </w:r>
            <w:r w:rsidRPr="00251C16">
              <w:rPr>
                <w:szCs w:val="18"/>
              </w:rPr>
              <w:t>December 2021</w:t>
            </w:r>
            <w:r>
              <w:rPr>
                <w:szCs w:val="18"/>
              </w:rPr>
              <w:t>"</w:t>
            </w:r>
            <w:r w:rsidRPr="00251C16">
              <w:rPr>
                <w:szCs w:val="18"/>
              </w:rPr>
              <w:t xml:space="preserve"> Ukraine lifted export restrictions of </w:t>
            </w:r>
            <w:r>
              <w:rPr>
                <w:szCs w:val="18"/>
              </w:rPr>
              <w:t>m</w:t>
            </w:r>
            <w:r w:rsidRPr="002C2166">
              <w:rPr>
                <w:szCs w:val="18"/>
              </w:rPr>
              <w:t>illet</w:t>
            </w:r>
            <w:r>
              <w:rPr>
                <w:szCs w:val="18"/>
              </w:rPr>
              <w:t xml:space="preserve"> (</w:t>
            </w:r>
            <w:r w:rsidRPr="002C2166">
              <w:rPr>
                <w:szCs w:val="18"/>
              </w:rPr>
              <w:t>1008 29 00 00</w:t>
            </w:r>
            <w:r>
              <w:rPr>
                <w:szCs w:val="18"/>
              </w:rPr>
              <w:t>) and sugar (</w:t>
            </w:r>
            <w:r w:rsidRPr="002C2166">
              <w:rPr>
                <w:szCs w:val="18"/>
              </w:rPr>
              <w:t>1701</w:t>
            </w:r>
            <w:r>
              <w:rPr>
                <w:szCs w:val="18"/>
              </w:rPr>
              <w:t>). These goods are now subject to</w:t>
            </w:r>
            <w:r w:rsidRPr="00251C16">
              <w:rPr>
                <w:szCs w:val="18"/>
              </w:rPr>
              <w:t xml:space="preserve"> automatic licensing</w:t>
            </w:r>
            <w:r>
              <w:rPr>
                <w:szCs w:val="18"/>
              </w:rPr>
              <w:t>.</w:t>
            </w:r>
            <w:r w:rsidRPr="00251C16">
              <w:rPr>
                <w:szCs w:val="18"/>
              </w:rPr>
              <w:t xml:space="preserve"> Effective</w:t>
            </w:r>
            <w:r>
              <w:rPr>
                <w:szCs w:val="18"/>
              </w:rPr>
              <w:t xml:space="preserve"> as</w:t>
            </w:r>
            <w:r w:rsidRPr="00251C16">
              <w:rPr>
                <w:szCs w:val="18"/>
              </w:rPr>
              <w:t xml:space="preserve"> </w:t>
            </w:r>
            <w:r>
              <w:rPr>
                <w:szCs w:val="18"/>
              </w:rPr>
              <w:t>of 10</w:t>
            </w:r>
            <w:r w:rsidR="00760FC8">
              <w:rPr>
                <w:szCs w:val="18"/>
              </w:rPr>
              <w:t> </w:t>
            </w:r>
            <w:r>
              <w:rPr>
                <w:szCs w:val="18"/>
              </w:rPr>
              <w:t>May</w:t>
            </w:r>
            <w:r w:rsidRPr="00251C16">
              <w:rPr>
                <w:szCs w:val="18"/>
              </w:rPr>
              <w:t xml:space="preserve"> 2022.</w:t>
            </w:r>
          </w:p>
        </w:tc>
      </w:tr>
    </w:tbl>
    <w:p w14:paraId="661576E7" w14:textId="77777777" w:rsidR="00484D00" w:rsidRDefault="00484D00" w:rsidP="00B52738">
      <w:pPr>
        <w:sectPr w:rsidR="00484D00" w:rsidSect="00760D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19FA793E" w14:textId="77777777" w:rsidR="00484D00" w:rsidRDefault="00484D00" w:rsidP="00484D00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  <w:r w:rsidRPr="00FF07FB">
        <w:rPr>
          <w:b/>
          <w:bCs/>
          <w:spacing w:val="-2"/>
        </w:rPr>
        <w:lastRenderedPageBreak/>
        <w:t>S</w:t>
      </w:r>
      <w:r>
        <w:rPr>
          <w:b/>
          <w:bCs/>
          <w:spacing w:val="-2"/>
        </w:rPr>
        <w:t>ection</w:t>
      </w:r>
      <w:r w:rsidRPr="00FF07FB">
        <w:rPr>
          <w:b/>
          <w:bCs/>
          <w:spacing w:val="-2"/>
        </w:rPr>
        <w:t xml:space="preserve"> 1</w:t>
      </w:r>
      <w:r w:rsidRPr="0040416A">
        <w:rPr>
          <w:b/>
          <w:bCs/>
          <w:spacing w:val="-2"/>
        </w:rPr>
        <w:t xml:space="preserve">: </w:t>
      </w:r>
      <w:r>
        <w:rPr>
          <w:b/>
        </w:rPr>
        <w:t>List of quantitative restrictions that are currently in force</w:t>
      </w:r>
    </w:p>
    <w:p w14:paraId="390A01E9" w14:textId="77777777" w:rsidR="00484D00" w:rsidRDefault="00484D00" w:rsidP="00484D00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</w:p>
    <w:tbl>
      <w:tblPr>
        <w:tblStyle w:val="Grilledutableau"/>
        <w:tblW w:w="14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560"/>
        <w:gridCol w:w="2835"/>
        <w:gridCol w:w="1984"/>
        <w:gridCol w:w="2258"/>
        <w:gridCol w:w="1995"/>
      </w:tblGrid>
      <w:tr w:rsidR="00484D00" w:rsidRPr="00576D4B" w14:paraId="37CA9B15" w14:textId="77777777" w:rsidTr="00760FC8">
        <w:trPr>
          <w:tblHeader/>
        </w:trPr>
        <w:tc>
          <w:tcPr>
            <w:tcW w:w="562" w:type="dxa"/>
            <w:tcBorders>
              <w:top w:val="double" w:sz="4" w:space="0" w:color="auto"/>
            </w:tcBorders>
          </w:tcPr>
          <w:p w14:paraId="4FF81EEF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CC7A81D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General description of the restriction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28952F4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 xml:space="preserve">Type of restriction </w:t>
            </w:r>
            <w:r w:rsidRPr="00576D4B">
              <w:rPr>
                <w:b/>
                <w:bCs/>
                <w:spacing w:val="-2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9401C34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Tariff line code(s) affected, according to UKTZED (based on HS 20</w:t>
            </w:r>
            <w:r w:rsidRPr="00576D4B">
              <w:rPr>
                <w:b/>
                <w:bCs/>
                <w:spacing w:val="-2"/>
                <w:sz w:val="16"/>
                <w:szCs w:val="16"/>
                <w:lang w:val="en-US"/>
              </w:rPr>
              <w:t>17</w:t>
            </w:r>
            <w:r w:rsidRPr="00576D4B">
              <w:rPr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B86CE41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Detailed Product Description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DA38BE0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WTO Justification and Grounds for Restriction, e.g., Other International Commitments)</w:t>
            </w:r>
          </w:p>
        </w:tc>
        <w:tc>
          <w:tcPr>
            <w:tcW w:w="2258" w:type="dxa"/>
            <w:tcBorders>
              <w:top w:val="double" w:sz="4" w:space="0" w:color="auto"/>
            </w:tcBorders>
          </w:tcPr>
          <w:p w14:paraId="7639D861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National legal basis and entry into force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242EF06F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Administration, modification of previously notified measures, and other comments</w:t>
            </w:r>
          </w:p>
        </w:tc>
      </w:tr>
      <w:tr w:rsidR="00484D00" w:rsidRPr="00576D4B" w14:paraId="097ACCE1" w14:textId="77777777" w:rsidTr="00760FC8">
        <w:trPr>
          <w:tblHeader/>
        </w:trPr>
        <w:tc>
          <w:tcPr>
            <w:tcW w:w="562" w:type="dxa"/>
          </w:tcPr>
          <w:p w14:paraId="72AC366A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B06CC7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249FA44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5B12D2BA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7C2B031B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14:paraId="19232556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2258" w:type="dxa"/>
          </w:tcPr>
          <w:p w14:paraId="745C17E6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1995" w:type="dxa"/>
          </w:tcPr>
          <w:p w14:paraId="0C0DD396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7</w:t>
            </w:r>
          </w:p>
        </w:tc>
      </w:tr>
      <w:tr w:rsidR="00484D00" w:rsidRPr="00576D4B" w14:paraId="67BCBFB4" w14:textId="77777777" w:rsidTr="00760FC8">
        <w:trPr>
          <w:trHeight w:val="2256"/>
        </w:trPr>
        <w:tc>
          <w:tcPr>
            <w:tcW w:w="562" w:type="dxa"/>
            <w:vMerge w:val="restart"/>
          </w:tcPr>
          <w:p w14:paraId="47128DBC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14:paraId="2DD42F67" w14:textId="77777777" w:rsidR="00484D00" w:rsidRPr="007721D6" w:rsidRDefault="00484D00" w:rsidP="00852B32">
            <w:pPr>
              <w:rPr>
                <w:sz w:val="16"/>
                <w:szCs w:val="16"/>
                <w:lang w:val="fr-CH"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Export restriction</w:t>
            </w:r>
            <w:r>
              <w:rPr>
                <w:sz w:val="16"/>
                <w:szCs w:val="16"/>
                <w:lang w:val="fr-CH" w:eastAsia="en-GB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fr-CH" w:eastAsia="en-GB"/>
              </w:rPr>
              <w:t>fertilizers</w:t>
            </w:r>
            <w:proofErr w:type="spellEnd"/>
          </w:p>
        </w:tc>
        <w:tc>
          <w:tcPr>
            <w:tcW w:w="1134" w:type="dxa"/>
          </w:tcPr>
          <w:p w14:paraId="402B4E8C" w14:textId="77777777" w:rsidR="00484D00" w:rsidRDefault="00484D00" w:rsidP="00852B32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GQ-X</w:t>
            </w:r>
          </w:p>
          <w:p w14:paraId="58711950" w14:textId="77777777" w:rsidR="00484D00" w:rsidRPr="00312848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NAL-X</w:t>
            </w:r>
          </w:p>
        </w:tc>
        <w:tc>
          <w:tcPr>
            <w:tcW w:w="1560" w:type="dxa"/>
          </w:tcPr>
          <w:p w14:paraId="05E504B5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7324E0">
              <w:rPr>
                <w:color w:val="333333"/>
                <w:sz w:val="16"/>
                <w:szCs w:val="16"/>
                <w:shd w:val="clear" w:color="auto" w:fill="FFFFFF"/>
              </w:rPr>
              <w:t>3102 10 10 00</w:t>
            </w:r>
          </w:p>
          <w:p w14:paraId="3DF243C9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121F3A0F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7324E0">
              <w:rPr>
                <w:color w:val="333333"/>
                <w:sz w:val="16"/>
                <w:szCs w:val="16"/>
                <w:shd w:val="clear" w:color="auto" w:fill="FFFFFF"/>
              </w:rPr>
              <w:t>3102 10 90 00</w:t>
            </w:r>
          </w:p>
          <w:p w14:paraId="5303023A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35794E6D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7324E0">
              <w:rPr>
                <w:color w:val="333333"/>
                <w:sz w:val="16"/>
                <w:szCs w:val="16"/>
                <w:shd w:val="clear" w:color="auto" w:fill="FFFFFF"/>
              </w:rPr>
              <w:t>3102 21 00 00</w:t>
            </w:r>
          </w:p>
          <w:p w14:paraId="09C27FE5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05B134EF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7324E0">
              <w:rPr>
                <w:color w:val="333333"/>
                <w:sz w:val="16"/>
                <w:szCs w:val="16"/>
                <w:shd w:val="clear" w:color="auto" w:fill="FFFFFF"/>
              </w:rPr>
              <w:t>3102 29 00 00</w:t>
            </w:r>
          </w:p>
          <w:p w14:paraId="7A4865E6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467A27C8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7324E0">
              <w:rPr>
                <w:color w:val="333333"/>
                <w:sz w:val="16"/>
                <w:szCs w:val="16"/>
                <w:shd w:val="clear" w:color="auto" w:fill="FFFFFF"/>
              </w:rPr>
              <w:t>3102 30 10 00</w:t>
            </w:r>
          </w:p>
          <w:p w14:paraId="57550DFA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7506265B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7324E0">
              <w:rPr>
                <w:color w:val="333333"/>
                <w:sz w:val="16"/>
                <w:szCs w:val="16"/>
                <w:shd w:val="clear" w:color="auto" w:fill="FFFFFF"/>
              </w:rPr>
              <w:t>3102 30 90 00</w:t>
            </w:r>
          </w:p>
          <w:p w14:paraId="07FA588A" w14:textId="77777777" w:rsidR="00484D00" w:rsidRPr="007324E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</w:p>
          <w:p w14:paraId="2A2353C4" w14:textId="77777777" w:rsidR="00484D00" w:rsidRPr="00576D4B" w:rsidRDefault="00484D00" w:rsidP="00852B32">
            <w:pPr>
              <w:rPr>
                <w:b/>
                <w:bCs/>
                <w:spacing w:val="-2"/>
                <w:sz w:val="16"/>
                <w:szCs w:val="16"/>
              </w:rPr>
            </w:pPr>
            <w:r w:rsidRPr="007324E0">
              <w:rPr>
                <w:color w:val="333333"/>
                <w:sz w:val="16"/>
                <w:szCs w:val="16"/>
                <w:shd w:val="clear" w:color="auto" w:fill="FFFFFF"/>
              </w:rPr>
              <w:t>3102 80 00 00</w:t>
            </w:r>
          </w:p>
        </w:tc>
        <w:tc>
          <w:tcPr>
            <w:tcW w:w="2835" w:type="dxa"/>
          </w:tcPr>
          <w:p w14:paraId="2851516F" w14:textId="77777777" w:rsidR="00484D00" w:rsidRPr="00C03508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Mineral or chemical fertilizers, nitrogenous</w:t>
            </w:r>
            <w:r>
              <w:rPr>
                <w:sz w:val="16"/>
                <w:szCs w:val="16"/>
                <w:lang w:eastAsia="en-GB"/>
              </w:rPr>
              <w:t xml:space="preserve">, </w:t>
            </w:r>
            <w:r w:rsidRPr="007324E0">
              <w:rPr>
                <w:sz w:val="16"/>
                <w:szCs w:val="16"/>
                <w:lang w:eastAsia="en-GB"/>
              </w:rPr>
              <w:t>in quota amount of 210,000 tonnes</w:t>
            </w:r>
          </w:p>
        </w:tc>
        <w:tc>
          <w:tcPr>
            <w:tcW w:w="1984" w:type="dxa"/>
            <w:vMerge w:val="restart"/>
          </w:tcPr>
          <w:p w14:paraId="52ADD0E3" w14:textId="77777777" w:rsidR="00484D00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Article XI (2(a)) of the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63DC7">
              <w:rPr>
                <w:sz w:val="16"/>
                <w:szCs w:val="16"/>
                <w:lang w:eastAsia="en-GB"/>
              </w:rPr>
              <w:t>GATT – prevention or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63DC7">
              <w:rPr>
                <w:sz w:val="16"/>
                <w:szCs w:val="16"/>
                <w:lang w:eastAsia="en-GB"/>
              </w:rPr>
              <w:t>relieve critical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63DC7">
              <w:rPr>
                <w:sz w:val="16"/>
                <w:szCs w:val="16"/>
                <w:lang w:eastAsia="en-GB"/>
              </w:rPr>
              <w:t>shortage of product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63DC7">
              <w:rPr>
                <w:sz w:val="16"/>
                <w:szCs w:val="16"/>
                <w:lang w:eastAsia="en-GB"/>
              </w:rPr>
              <w:t>essential for exporting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63DC7">
              <w:rPr>
                <w:sz w:val="16"/>
                <w:szCs w:val="16"/>
                <w:lang w:eastAsia="en-GB"/>
              </w:rPr>
              <w:t>country, inter alia</w:t>
            </w:r>
          </w:p>
          <w:p w14:paraId="71336BD4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5CBC9C46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Article XXI (b) of the GATT – taken action necessary for the protection of essential security interests, inter alia</w:t>
            </w:r>
          </w:p>
          <w:p w14:paraId="4AC417CC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5FD1DC4D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rPr>
                <w:bCs/>
                <w:color w:val="000000" w:themeColor="text1"/>
                <w:spacing w:val="-2"/>
                <w:sz w:val="16"/>
                <w:szCs w:val="16"/>
              </w:rPr>
            </w:pPr>
            <w:r w:rsidRPr="00763DC7">
              <w:rPr>
                <w:sz w:val="16"/>
                <w:szCs w:val="16"/>
                <w:lang w:eastAsia="en-GB"/>
              </w:rPr>
              <w:t>Article XXI(b) (iii) of the GATT - taken in time of war or other emergency in international relations</w:t>
            </w:r>
          </w:p>
        </w:tc>
        <w:tc>
          <w:tcPr>
            <w:tcW w:w="2258" w:type="dxa"/>
          </w:tcPr>
          <w:p w14:paraId="10FD6518" w14:textId="77777777" w:rsidR="00484D00" w:rsidRPr="00505063" w:rsidRDefault="00484D00" w:rsidP="00852B32">
            <w:pPr>
              <w:tabs>
                <w:tab w:val="left" w:pos="-1440"/>
                <w:tab w:val="left" w:pos="-720"/>
              </w:tabs>
              <w:suppressAutoHyphens/>
              <w:rPr>
                <w:bCs/>
                <w:color w:val="000000" w:themeColor="text1"/>
                <w:spacing w:val="-2"/>
                <w:sz w:val="16"/>
                <w:szCs w:val="16"/>
              </w:rPr>
            </w:pP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>Resolution of the Cabinet of Ministers of U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kraine of 24 March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2022 No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.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  <w:lang w:val="en-US"/>
              </w:rPr>
              <w:t>353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"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On Amending Annex I of the Resolution of the Cabinet of Ministers of Ukraine of No. 1424 of 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29 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>December 2021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"</w:t>
            </w:r>
          </w:p>
          <w:p w14:paraId="641C0B81" w14:textId="77777777" w:rsidR="00484D00" w:rsidRPr="00505063" w:rsidRDefault="00484D00" w:rsidP="00852B3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color w:val="000000" w:themeColor="text1"/>
                <w:spacing w:val="-2"/>
                <w:sz w:val="16"/>
                <w:szCs w:val="16"/>
              </w:rPr>
            </w:pPr>
          </w:p>
          <w:p w14:paraId="22F24023" w14:textId="77777777" w:rsidR="00484D00" w:rsidRDefault="00484D00" w:rsidP="00852B3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color w:val="000000" w:themeColor="text1"/>
                <w:spacing w:val="-2"/>
                <w:sz w:val="16"/>
                <w:szCs w:val="16"/>
              </w:rPr>
            </w:pP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Effective 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25 </w:t>
            </w:r>
            <w:r w:rsidRPr="00505063">
              <w:rPr>
                <w:bCs/>
                <w:color w:val="000000" w:themeColor="text1"/>
                <w:spacing w:val="-2"/>
                <w:sz w:val="16"/>
                <w:szCs w:val="16"/>
              </w:rPr>
              <w:t>March 2022</w:t>
            </w:r>
          </w:p>
          <w:p w14:paraId="42934440" w14:textId="77777777" w:rsidR="00484D00" w:rsidRDefault="00484D00" w:rsidP="00852B3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color w:val="000000" w:themeColor="text1"/>
                <w:spacing w:val="-2"/>
                <w:sz w:val="16"/>
                <w:szCs w:val="16"/>
              </w:rPr>
            </w:pPr>
          </w:p>
          <w:p w14:paraId="26AE144F" w14:textId="77777777" w:rsidR="00484D00" w:rsidRDefault="00484D00" w:rsidP="00852B3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color w:val="000000" w:themeColor="text1"/>
                <w:spacing w:val="-2"/>
                <w:sz w:val="16"/>
                <w:szCs w:val="16"/>
              </w:rPr>
            </w:pPr>
            <w:r w:rsidRPr="001D1E90">
              <w:rPr>
                <w:bCs/>
                <w:color w:val="000000" w:themeColor="text1"/>
                <w:spacing w:val="-2"/>
                <w:sz w:val="16"/>
                <w:szCs w:val="16"/>
              </w:rPr>
              <w:t xml:space="preserve">The measure </w:t>
            </w:r>
            <w:r>
              <w:rPr>
                <w:bCs/>
                <w:color w:val="000000" w:themeColor="text1"/>
                <w:spacing w:val="-2"/>
                <w:sz w:val="16"/>
                <w:szCs w:val="16"/>
              </w:rPr>
              <w:t>will be valid until 1 July 2022</w:t>
            </w:r>
          </w:p>
          <w:p w14:paraId="7F4DD1FE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bottom w:val="single" w:sz="4" w:space="0" w:color="auto"/>
            </w:tcBorders>
          </w:tcPr>
          <w:p w14:paraId="677DFF6C" w14:textId="77777777" w:rsidR="00484D00" w:rsidRPr="0069508B" w:rsidRDefault="00484D00" w:rsidP="00852B32">
            <w:pPr>
              <w:rPr>
                <w:sz w:val="16"/>
                <w:szCs w:val="16"/>
                <w:lang w:val="uk-UA"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State Customs Service of Ukraine</w:t>
            </w:r>
          </w:p>
        </w:tc>
      </w:tr>
      <w:tr w:rsidR="00484D00" w:rsidRPr="00576D4B" w14:paraId="64DEF0BD" w14:textId="77777777" w:rsidTr="00760FC8">
        <w:trPr>
          <w:trHeight w:val="225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1344B1" w14:textId="77777777" w:rsidR="00484D00" w:rsidRPr="00576D4B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13F0E26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0E8518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P-X</w:t>
            </w:r>
          </w:p>
          <w:p w14:paraId="5714D9E3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F7B015" w14:textId="77777777" w:rsidR="00484D0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>3103</w:t>
            </w:r>
          </w:p>
          <w:p w14:paraId="1A2AEE92" w14:textId="77777777" w:rsidR="00484D0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</w:p>
          <w:p w14:paraId="7C0F21D0" w14:textId="77777777" w:rsidR="00484D0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</w:p>
          <w:p w14:paraId="6B913367" w14:textId="77777777" w:rsidR="00484D0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>3104</w:t>
            </w:r>
          </w:p>
          <w:p w14:paraId="3C6DE696" w14:textId="77777777" w:rsidR="00484D0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</w:p>
          <w:p w14:paraId="5F33DF2F" w14:textId="77777777" w:rsidR="00484D00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</w:p>
          <w:p w14:paraId="6405EDFB" w14:textId="77777777" w:rsidR="00484D00" w:rsidRPr="00505063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>3105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87A334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Mineral or chemical fertilizers, phosphatic</w:t>
            </w:r>
          </w:p>
          <w:p w14:paraId="388CE6BF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107CF399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Mineral or chemical fertilizers, potassic</w:t>
            </w:r>
          </w:p>
          <w:p w14:paraId="2499EFA1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408AAC0F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63DC7">
              <w:rPr>
                <w:sz w:val="16"/>
                <w:szCs w:val="16"/>
                <w:lang w:eastAsia="en-GB"/>
              </w:rPr>
              <w:t>Mineral or chemical fertilizers containing two or four of the fertilizing elements nitrogen, phosphorus and potassium; other fertilizers; goods of this Chapter in tablets or similar forms or in packages of a gross weight not exceeding 10 kg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2F79A9C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0FF32060" w14:textId="427A0AC0" w:rsidR="00484D00" w:rsidRPr="00763DC7" w:rsidRDefault="00484D00" w:rsidP="00852B32">
            <w:pPr>
              <w:rPr>
                <w:sz w:val="16"/>
                <w:szCs w:val="16"/>
              </w:rPr>
            </w:pPr>
            <w:r w:rsidRPr="00763DC7">
              <w:rPr>
                <w:sz w:val="16"/>
                <w:szCs w:val="16"/>
              </w:rPr>
              <w:t xml:space="preserve">Resolution of the Cabinet of Ministers of Ukraine of </w:t>
            </w:r>
            <w:r>
              <w:rPr>
                <w:sz w:val="16"/>
                <w:szCs w:val="16"/>
              </w:rPr>
              <w:t xml:space="preserve">12 </w:t>
            </w:r>
            <w:r w:rsidRPr="00763DC7">
              <w:rPr>
                <w:sz w:val="16"/>
                <w:szCs w:val="16"/>
              </w:rPr>
              <w:t>March 2022 No</w:t>
            </w:r>
            <w:r>
              <w:rPr>
                <w:sz w:val="16"/>
                <w:szCs w:val="16"/>
              </w:rPr>
              <w:t>.</w:t>
            </w:r>
            <w:r w:rsidRPr="00763DC7">
              <w:rPr>
                <w:sz w:val="16"/>
                <w:szCs w:val="16"/>
              </w:rPr>
              <w:t xml:space="preserve"> 259 </w:t>
            </w:r>
            <w:r>
              <w:rPr>
                <w:sz w:val="16"/>
                <w:szCs w:val="16"/>
              </w:rPr>
              <w:t>"</w:t>
            </w:r>
            <w:r w:rsidRPr="00763DC7">
              <w:rPr>
                <w:sz w:val="16"/>
                <w:szCs w:val="16"/>
              </w:rPr>
              <w:t xml:space="preserve">On Amending Annex I of the Resolution of the Cabinet of Ministers of Ukraine of No. 1424 of </w:t>
            </w:r>
            <w:r>
              <w:rPr>
                <w:sz w:val="16"/>
                <w:szCs w:val="16"/>
              </w:rPr>
              <w:t>29</w:t>
            </w:r>
            <w:r w:rsidR="00760FC8">
              <w:rPr>
                <w:sz w:val="16"/>
                <w:szCs w:val="16"/>
              </w:rPr>
              <w:t> </w:t>
            </w:r>
            <w:r w:rsidRPr="00763DC7">
              <w:rPr>
                <w:sz w:val="16"/>
                <w:szCs w:val="16"/>
              </w:rPr>
              <w:t>December 2021</w:t>
            </w:r>
            <w:r>
              <w:rPr>
                <w:sz w:val="16"/>
                <w:szCs w:val="16"/>
              </w:rPr>
              <w:t>"</w:t>
            </w:r>
          </w:p>
          <w:p w14:paraId="7D2DC436" w14:textId="77777777" w:rsidR="00484D00" w:rsidRPr="00763DC7" w:rsidRDefault="00484D00" w:rsidP="00852B32">
            <w:pPr>
              <w:rPr>
                <w:sz w:val="16"/>
                <w:szCs w:val="16"/>
              </w:rPr>
            </w:pPr>
          </w:p>
          <w:p w14:paraId="5FCD3471" w14:textId="77777777" w:rsidR="00484D00" w:rsidRPr="00763DC7" w:rsidRDefault="00484D00" w:rsidP="00852B32">
            <w:pPr>
              <w:rPr>
                <w:sz w:val="16"/>
                <w:szCs w:val="16"/>
              </w:rPr>
            </w:pPr>
            <w:r w:rsidRPr="00763DC7">
              <w:rPr>
                <w:sz w:val="16"/>
                <w:szCs w:val="16"/>
                <w:lang w:eastAsia="en-GB"/>
              </w:rPr>
              <w:t>Effective</w:t>
            </w:r>
            <w:r>
              <w:rPr>
                <w:sz w:val="16"/>
                <w:szCs w:val="16"/>
                <w:lang w:eastAsia="en-GB"/>
              </w:rPr>
              <w:t xml:space="preserve"> 12</w:t>
            </w:r>
            <w:r w:rsidRPr="00763DC7">
              <w:rPr>
                <w:sz w:val="16"/>
                <w:szCs w:val="16"/>
                <w:lang w:eastAsia="en-GB"/>
              </w:rPr>
              <w:t xml:space="preserve"> March 2022</w:t>
            </w: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14:paraId="5E61B162" w14:textId="77777777" w:rsidR="00484D00" w:rsidRPr="00763DC7" w:rsidRDefault="00484D00" w:rsidP="00852B32">
            <w:pPr>
              <w:rPr>
                <w:sz w:val="16"/>
                <w:szCs w:val="16"/>
                <w:lang w:eastAsia="en-GB"/>
              </w:rPr>
            </w:pPr>
          </w:p>
        </w:tc>
      </w:tr>
      <w:tr w:rsidR="00484D00" w:rsidRPr="00576D4B" w14:paraId="2529B365" w14:textId="77777777" w:rsidTr="00760FC8">
        <w:trPr>
          <w:trHeight w:val="2256"/>
        </w:trPr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</w:tcPr>
          <w:p w14:paraId="57C67154" w14:textId="77777777" w:rsidR="00484D00" w:rsidRDefault="00484D00" w:rsidP="00852B3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bCs/>
                <w:sz w:val="16"/>
                <w:szCs w:val="16"/>
                <w:lang w:val="fr-CH"/>
              </w:rPr>
            </w:pPr>
            <w:r>
              <w:rPr>
                <w:b/>
                <w:bCs/>
                <w:sz w:val="16"/>
                <w:szCs w:val="16"/>
                <w:lang w:val="fr-CH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72F68837" w14:textId="77777777" w:rsidR="00484D00" w:rsidRPr="007721D6" w:rsidRDefault="00484D00" w:rsidP="00852B32">
            <w:pPr>
              <w:rPr>
                <w:sz w:val="16"/>
                <w:szCs w:val="16"/>
                <w:lang w:val="fr-CH" w:eastAsia="en-GB"/>
              </w:rPr>
            </w:pPr>
            <w:r>
              <w:rPr>
                <w:sz w:val="16"/>
                <w:szCs w:val="16"/>
                <w:lang w:val="fr-CH" w:eastAsia="en-GB"/>
              </w:rPr>
              <w:t xml:space="preserve">Export restriction on </w:t>
            </w:r>
            <w:r w:rsidRPr="007721D6">
              <w:rPr>
                <w:sz w:val="16"/>
                <w:szCs w:val="16"/>
                <w:lang w:val="fr-CH" w:eastAsia="en-GB"/>
              </w:rPr>
              <w:t xml:space="preserve">certain agricultural </w:t>
            </w:r>
            <w:r w:rsidRPr="00C03508">
              <w:rPr>
                <w:sz w:val="16"/>
                <w:szCs w:val="16"/>
                <w:lang w:eastAsia="en-GB"/>
              </w:rPr>
              <w:t>products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6D4AAFA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P-X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57B0228B" w14:textId="77777777" w:rsidR="00484D00" w:rsidRPr="007721D6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7721D6"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>1002</w:t>
            </w:r>
          </w:p>
          <w:p w14:paraId="1B2A13BA" w14:textId="77777777" w:rsidR="00484D00" w:rsidRPr="007721D6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</w:p>
          <w:p w14:paraId="38438942" w14:textId="77777777" w:rsidR="00484D00" w:rsidRPr="007721D6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7721D6"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>1004</w:t>
            </w:r>
          </w:p>
          <w:p w14:paraId="11F575C8" w14:textId="77777777" w:rsidR="00484D00" w:rsidRPr="007721D6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</w:p>
          <w:p w14:paraId="10B4341B" w14:textId="77777777" w:rsidR="00484D00" w:rsidRPr="007721D6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7721D6"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>1008 10 00 00</w:t>
            </w:r>
          </w:p>
          <w:p w14:paraId="6C3F96FE" w14:textId="77777777" w:rsidR="00484D00" w:rsidRPr="007721D6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</w:p>
          <w:p w14:paraId="5E908E66" w14:textId="77777777" w:rsidR="00484D00" w:rsidRPr="007721D6" w:rsidRDefault="00484D00" w:rsidP="00852B32">
            <w:pPr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</w:pPr>
            <w:r w:rsidRPr="007721D6">
              <w:rPr>
                <w:color w:val="333333"/>
                <w:sz w:val="16"/>
                <w:szCs w:val="16"/>
                <w:shd w:val="clear" w:color="auto" w:fill="FFFFFF"/>
                <w:lang w:val="ru-RU"/>
              </w:rPr>
              <w:t>2501 00 91 00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6AB3D045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Rye</w:t>
            </w:r>
          </w:p>
          <w:p w14:paraId="0F49D284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1E1DD790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Oats</w:t>
            </w:r>
          </w:p>
          <w:p w14:paraId="79E37F55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2798DFC9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Buckwheat</w:t>
            </w:r>
          </w:p>
          <w:p w14:paraId="2ECDD7E5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29E036AC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Salt, suitable for human consumption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14:paraId="199E2D18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Article XI:2(a) of the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GATT – prevention or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relieve critical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shortage of product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essential for exporting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Pr="007721D6">
              <w:rPr>
                <w:sz w:val="16"/>
                <w:szCs w:val="16"/>
                <w:lang w:eastAsia="en-GB"/>
              </w:rPr>
              <w:t>country, inter alia</w:t>
            </w:r>
          </w:p>
          <w:p w14:paraId="6434A591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52C0A030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Article XXI(b) of the GATT – taken action necessary for the protection of essential security interests</w:t>
            </w:r>
          </w:p>
          <w:p w14:paraId="42CE3C96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</w:p>
          <w:p w14:paraId="7CF71696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Article XXI(b) (iii) of the GATT - taken in time of war or other emergency in international relations</w:t>
            </w:r>
          </w:p>
        </w:tc>
        <w:tc>
          <w:tcPr>
            <w:tcW w:w="2258" w:type="dxa"/>
            <w:tcBorders>
              <w:top w:val="single" w:sz="4" w:space="0" w:color="auto"/>
              <w:bottom w:val="double" w:sz="4" w:space="0" w:color="auto"/>
            </w:tcBorders>
          </w:tcPr>
          <w:p w14:paraId="2E2A7F5D" w14:textId="2DB4E327" w:rsidR="00484D00" w:rsidRPr="007721D6" w:rsidRDefault="00484D00" w:rsidP="00852B32">
            <w:pPr>
              <w:rPr>
                <w:sz w:val="16"/>
                <w:szCs w:val="16"/>
              </w:rPr>
            </w:pPr>
            <w:r w:rsidRPr="007721D6">
              <w:rPr>
                <w:sz w:val="16"/>
                <w:szCs w:val="16"/>
              </w:rPr>
              <w:t xml:space="preserve">Resolution of the Cabinet of Ministers of Ukraine of </w:t>
            </w:r>
            <w:r>
              <w:rPr>
                <w:sz w:val="16"/>
                <w:szCs w:val="16"/>
              </w:rPr>
              <w:t xml:space="preserve">5 </w:t>
            </w:r>
            <w:r w:rsidRPr="007721D6">
              <w:rPr>
                <w:sz w:val="16"/>
                <w:szCs w:val="16"/>
              </w:rPr>
              <w:t xml:space="preserve">March 2022 No. 207 </w:t>
            </w:r>
            <w:r>
              <w:rPr>
                <w:sz w:val="16"/>
                <w:szCs w:val="16"/>
              </w:rPr>
              <w:t>"</w:t>
            </w:r>
            <w:r w:rsidRPr="007721D6">
              <w:rPr>
                <w:sz w:val="16"/>
                <w:szCs w:val="16"/>
              </w:rPr>
              <w:t xml:space="preserve">On Amending Annexes 1 and 5 of the Resolution of the Cabinet of Ministers of Ukraine of No. 1424 of </w:t>
            </w:r>
            <w:r>
              <w:rPr>
                <w:sz w:val="16"/>
                <w:szCs w:val="16"/>
              </w:rPr>
              <w:t>29</w:t>
            </w:r>
            <w:r w:rsidR="00760FC8">
              <w:rPr>
                <w:sz w:val="16"/>
                <w:szCs w:val="16"/>
              </w:rPr>
              <w:t> </w:t>
            </w:r>
            <w:r w:rsidRPr="007721D6">
              <w:rPr>
                <w:sz w:val="16"/>
                <w:szCs w:val="16"/>
              </w:rPr>
              <w:t>December 2021</w:t>
            </w:r>
            <w:r>
              <w:rPr>
                <w:sz w:val="16"/>
                <w:szCs w:val="16"/>
              </w:rPr>
              <w:t>"</w:t>
            </w:r>
          </w:p>
          <w:p w14:paraId="2F64EAD4" w14:textId="77777777" w:rsidR="00484D00" w:rsidRPr="007721D6" w:rsidRDefault="00484D00" w:rsidP="00852B32">
            <w:pPr>
              <w:rPr>
                <w:sz w:val="16"/>
                <w:szCs w:val="16"/>
              </w:rPr>
            </w:pPr>
          </w:p>
          <w:p w14:paraId="4D918AE6" w14:textId="77777777" w:rsidR="00484D00" w:rsidRDefault="00484D00" w:rsidP="00852B32">
            <w:pPr>
              <w:rPr>
                <w:sz w:val="16"/>
                <w:szCs w:val="16"/>
              </w:rPr>
            </w:pPr>
            <w:r w:rsidRPr="007721D6">
              <w:rPr>
                <w:sz w:val="16"/>
                <w:szCs w:val="16"/>
              </w:rPr>
              <w:t xml:space="preserve">Effective </w:t>
            </w:r>
            <w:r>
              <w:rPr>
                <w:sz w:val="16"/>
                <w:szCs w:val="16"/>
              </w:rPr>
              <w:t xml:space="preserve">6 </w:t>
            </w:r>
            <w:r w:rsidRPr="007721D6">
              <w:rPr>
                <w:sz w:val="16"/>
                <w:szCs w:val="16"/>
              </w:rPr>
              <w:t>March 2022</w:t>
            </w:r>
          </w:p>
          <w:p w14:paraId="638A891F" w14:textId="77777777" w:rsidR="00484D00" w:rsidRDefault="00484D00" w:rsidP="00852B32">
            <w:pPr>
              <w:rPr>
                <w:sz w:val="16"/>
                <w:szCs w:val="16"/>
              </w:rPr>
            </w:pPr>
          </w:p>
          <w:p w14:paraId="54BB55DC" w14:textId="77777777" w:rsidR="00484D00" w:rsidRDefault="00484D00" w:rsidP="00852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amended by: </w:t>
            </w:r>
          </w:p>
          <w:p w14:paraId="31D9AC78" w14:textId="77777777" w:rsidR="00484D00" w:rsidRDefault="00484D00" w:rsidP="00852B32">
            <w:pPr>
              <w:rPr>
                <w:sz w:val="16"/>
                <w:szCs w:val="16"/>
              </w:rPr>
            </w:pPr>
          </w:p>
          <w:p w14:paraId="06BA3F61" w14:textId="65E8285B" w:rsidR="00484D00" w:rsidRDefault="00484D00" w:rsidP="00852B32">
            <w:pPr>
              <w:rPr>
                <w:sz w:val="16"/>
                <w:szCs w:val="16"/>
              </w:rPr>
            </w:pPr>
            <w:r w:rsidRPr="007962D3">
              <w:rPr>
                <w:sz w:val="16"/>
                <w:szCs w:val="16"/>
              </w:rPr>
              <w:t>Resolution of the Cabinet of Ministers of Ukraine of 3 May 2022 No. 549 "On Amending Annexes 1 and 5 of the Resolution of the Cabinet of Ministers of Ukraine of No. 1424 of 29</w:t>
            </w:r>
            <w:r w:rsidR="00760FC8">
              <w:rPr>
                <w:sz w:val="16"/>
                <w:szCs w:val="16"/>
              </w:rPr>
              <w:t> </w:t>
            </w:r>
            <w:r w:rsidRPr="007962D3">
              <w:rPr>
                <w:sz w:val="16"/>
                <w:szCs w:val="16"/>
              </w:rPr>
              <w:t>December 2021"</w:t>
            </w:r>
          </w:p>
          <w:p w14:paraId="321E202A" w14:textId="77777777" w:rsidR="00484D00" w:rsidRDefault="00484D00" w:rsidP="00852B32">
            <w:pPr>
              <w:rPr>
                <w:sz w:val="16"/>
                <w:szCs w:val="16"/>
              </w:rPr>
            </w:pPr>
          </w:p>
          <w:p w14:paraId="48C4C060" w14:textId="77777777" w:rsidR="00484D00" w:rsidRPr="007721D6" w:rsidRDefault="00484D00" w:rsidP="00852B32">
            <w:pPr>
              <w:rPr>
                <w:sz w:val="16"/>
                <w:szCs w:val="16"/>
              </w:rPr>
            </w:pPr>
            <w:r w:rsidRPr="007721D6">
              <w:rPr>
                <w:sz w:val="16"/>
                <w:szCs w:val="16"/>
              </w:rPr>
              <w:t xml:space="preserve">Effective </w:t>
            </w:r>
            <w:r>
              <w:rPr>
                <w:sz w:val="16"/>
                <w:szCs w:val="16"/>
              </w:rPr>
              <w:t xml:space="preserve">10 </w:t>
            </w:r>
            <w:r w:rsidRPr="007721D6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y</w:t>
            </w:r>
            <w:r w:rsidRPr="007721D6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</w:tcPr>
          <w:p w14:paraId="3F1509E7" w14:textId="77777777" w:rsidR="00484D00" w:rsidRPr="007721D6" w:rsidRDefault="00484D00" w:rsidP="00852B32">
            <w:pPr>
              <w:rPr>
                <w:sz w:val="16"/>
                <w:szCs w:val="16"/>
                <w:lang w:eastAsia="en-GB"/>
              </w:rPr>
            </w:pPr>
            <w:r w:rsidRPr="007721D6">
              <w:rPr>
                <w:sz w:val="16"/>
                <w:szCs w:val="16"/>
                <w:lang w:eastAsia="en-GB"/>
              </w:rPr>
              <w:t>State Customs Service of Ukraine</w:t>
            </w:r>
          </w:p>
        </w:tc>
      </w:tr>
    </w:tbl>
    <w:p w14:paraId="4BD3E050" w14:textId="77777777" w:rsidR="00484D00" w:rsidRDefault="00484D00" w:rsidP="00484D00">
      <w:pPr>
        <w:tabs>
          <w:tab w:val="left" w:pos="-1440"/>
          <w:tab w:val="left" w:pos="-720"/>
        </w:tabs>
        <w:suppressAutoHyphens/>
        <w:rPr>
          <w:b/>
        </w:rPr>
      </w:pPr>
    </w:p>
    <w:p w14:paraId="1A5146DD" w14:textId="77777777" w:rsidR="00484D00" w:rsidRPr="0027067B" w:rsidRDefault="00484D00" w:rsidP="00484D00">
      <w:pPr>
        <w:tabs>
          <w:tab w:val="left" w:pos="-1440"/>
          <w:tab w:val="left" w:pos="-720"/>
        </w:tabs>
        <w:suppressAutoHyphens/>
        <w:jc w:val="center"/>
      </w:pPr>
      <w:r>
        <w:rPr>
          <w:b/>
        </w:rPr>
        <w:t>__________</w:t>
      </w:r>
    </w:p>
    <w:p w14:paraId="5305A7FF" w14:textId="4E246A79" w:rsidR="00484D00" w:rsidRPr="0027067B" w:rsidRDefault="00484D00" w:rsidP="00B52738"/>
    <w:sectPr w:rsidR="00484D00" w:rsidRPr="0027067B" w:rsidSect="002A3399">
      <w:headerReference w:type="even" r:id="rId12"/>
      <w:headerReference w:type="default" r:id="rId13"/>
      <w:headerReference w:type="first" r:id="rId14"/>
      <w:pgSz w:w="16840" w:h="11907" w:orient="landscape" w:code="9"/>
      <w:pgMar w:top="1440" w:right="1956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0EFC" w14:textId="77777777" w:rsidR="00484D00" w:rsidRDefault="00484D00" w:rsidP="00ED54E0">
      <w:r>
        <w:separator/>
      </w:r>
    </w:p>
  </w:endnote>
  <w:endnote w:type="continuationSeparator" w:id="0">
    <w:p w14:paraId="632B0D03" w14:textId="77777777" w:rsidR="00484D00" w:rsidRDefault="00484D0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1252" w14:textId="05C56F11" w:rsidR="00544326" w:rsidRPr="00484D00" w:rsidRDefault="00484D00" w:rsidP="00484D0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FD1" w14:textId="4D13DC10" w:rsidR="00544326" w:rsidRPr="00484D00" w:rsidRDefault="00484D00" w:rsidP="00484D00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490A" w14:textId="77777777" w:rsidR="00484D00" w:rsidRDefault="00484D00" w:rsidP="00ED54E0">
      <w:r>
        <w:separator/>
      </w:r>
    </w:p>
  </w:footnote>
  <w:footnote w:type="continuationSeparator" w:id="0">
    <w:p w14:paraId="682EA1E7" w14:textId="77777777" w:rsidR="00484D00" w:rsidRDefault="00484D00" w:rsidP="00ED54E0">
      <w:r>
        <w:continuationSeparator/>
      </w:r>
    </w:p>
  </w:footnote>
  <w:footnote w:id="1">
    <w:p w14:paraId="16EEFCF3" w14:textId="77777777" w:rsidR="00484D00" w:rsidRDefault="00484D00" w:rsidP="00484D00">
      <w:pPr>
        <w:pStyle w:val="Notedebasdepage"/>
      </w:pPr>
      <w:r w:rsidRPr="009E4A93">
        <w:rPr>
          <w:rStyle w:val="Appelnotedebasdep"/>
        </w:rPr>
        <w:t>*</w:t>
      </w:r>
      <w:r w:rsidRPr="009E4A93">
        <w:t xml:space="preserve"> In </w:t>
      </w:r>
      <w:r>
        <w:t>English</w:t>
      </w:r>
      <w:r w:rsidRPr="009E4A93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1720" w14:textId="77777777" w:rsidR="00484D00" w:rsidRPr="00484D00" w:rsidRDefault="00484D00" w:rsidP="00484D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484D00">
      <w:rPr>
        <w:lang w:val="pt-PT"/>
      </w:rPr>
      <w:t>G/MA/QR/N/UKR/5/Add.5</w:t>
    </w:r>
  </w:p>
  <w:p w14:paraId="5993245F" w14:textId="77777777" w:rsidR="00484D00" w:rsidRPr="00484D00" w:rsidRDefault="00484D00" w:rsidP="00484D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7621D6CE" w14:textId="67F91478" w:rsidR="00484D00" w:rsidRPr="00484D00" w:rsidRDefault="00484D00" w:rsidP="00484D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D00">
      <w:t xml:space="preserve">- </w:t>
    </w:r>
    <w:r w:rsidRPr="00484D00">
      <w:fldChar w:fldCharType="begin"/>
    </w:r>
    <w:r w:rsidRPr="00484D00">
      <w:instrText xml:space="preserve"> PAGE </w:instrText>
    </w:r>
    <w:r w:rsidRPr="00484D00">
      <w:fldChar w:fldCharType="separate"/>
    </w:r>
    <w:r w:rsidRPr="00484D00">
      <w:rPr>
        <w:noProof/>
      </w:rPr>
      <w:t>1</w:t>
    </w:r>
    <w:r w:rsidRPr="00484D00">
      <w:fldChar w:fldCharType="end"/>
    </w:r>
    <w:r w:rsidRPr="00484D00">
      <w:t xml:space="preserve"> -</w:t>
    </w:r>
  </w:p>
  <w:p w14:paraId="0B65D3D1" w14:textId="37709C1D" w:rsidR="00544326" w:rsidRPr="00484D00" w:rsidRDefault="00544326" w:rsidP="00484D0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3461" w14:textId="77777777" w:rsidR="00484D00" w:rsidRPr="00484D00" w:rsidRDefault="00484D00" w:rsidP="00484D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484D00">
      <w:rPr>
        <w:lang w:val="pt-PT"/>
      </w:rPr>
      <w:t>G/MA/QR/N/UKR/5/Add.5</w:t>
    </w:r>
  </w:p>
  <w:p w14:paraId="5504E276" w14:textId="77777777" w:rsidR="00484D00" w:rsidRPr="00484D00" w:rsidRDefault="00484D00" w:rsidP="00484D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4ECC1FF9" w14:textId="79D755D6" w:rsidR="00484D00" w:rsidRPr="00484D00" w:rsidRDefault="00484D00" w:rsidP="00484D0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4D00">
      <w:t xml:space="preserve">- </w:t>
    </w:r>
    <w:r w:rsidRPr="00484D00">
      <w:fldChar w:fldCharType="begin"/>
    </w:r>
    <w:r w:rsidRPr="00484D00">
      <w:instrText xml:space="preserve"> PAGE </w:instrText>
    </w:r>
    <w:r w:rsidRPr="00484D00">
      <w:fldChar w:fldCharType="separate"/>
    </w:r>
    <w:r w:rsidRPr="00484D00">
      <w:rPr>
        <w:noProof/>
      </w:rPr>
      <w:t>1</w:t>
    </w:r>
    <w:r w:rsidRPr="00484D00">
      <w:fldChar w:fldCharType="end"/>
    </w:r>
    <w:r w:rsidRPr="00484D00">
      <w:t xml:space="preserve"> -</w:t>
    </w:r>
  </w:p>
  <w:p w14:paraId="785F5F61" w14:textId="73E90E07" w:rsidR="00544326" w:rsidRPr="00484D00" w:rsidRDefault="00544326" w:rsidP="00484D0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F09E69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3E030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AC60CA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ED54E0" w:rsidRPr="00182B84" w14:paraId="1BAE8CE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DF49E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FEF0E15" wp14:editId="40FC2F78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23EFAD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484D00" w14:paraId="1A45BB4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5F3CB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A96CC1" w14:textId="77777777" w:rsidR="00484D00" w:rsidRPr="00484D00" w:rsidRDefault="00484D00" w:rsidP="00425DC5">
          <w:pPr>
            <w:jc w:val="right"/>
            <w:rPr>
              <w:b/>
              <w:szCs w:val="16"/>
              <w:lang w:val="pt-PT"/>
            </w:rPr>
          </w:pPr>
          <w:bookmarkStart w:id="2" w:name="bmkSymbols"/>
          <w:r w:rsidRPr="00484D00">
            <w:rPr>
              <w:b/>
              <w:szCs w:val="16"/>
              <w:lang w:val="pt-PT"/>
            </w:rPr>
            <w:t>G/MA/QR/N/UKR/5/Add.5</w:t>
          </w:r>
        </w:p>
        <w:bookmarkEnd w:id="2"/>
        <w:p w14:paraId="00BE295E" w14:textId="77777777" w:rsidR="00ED54E0" w:rsidRPr="00484D00" w:rsidRDefault="00ED54E0" w:rsidP="00425DC5">
          <w:pPr>
            <w:jc w:val="right"/>
            <w:rPr>
              <w:b/>
              <w:szCs w:val="16"/>
              <w:lang w:val="pt-PT"/>
            </w:rPr>
          </w:pPr>
        </w:p>
      </w:tc>
    </w:tr>
    <w:tr w:rsidR="00ED54E0" w:rsidRPr="00182B84" w14:paraId="66F0D324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2ECBF2" w14:textId="77777777" w:rsidR="00ED54E0" w:rsidRPr="00484D00" w:rsidRDefault="00ED54E0" w:rsidP="00425DC5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52BB86" w14:textId="77777777" w:rsidR="00ED54E0" w:rsidRPr="00182B84" w:rsidRDefault="00484D00" w:rsidP="00425DC5">
          <w:pPr>
            <w:jc w:val="right"/>
            <w:rPr>
              <w:szCs w:val="16"/>
            </w:rPr>
          </w:pPr>
          <w:r>
            <w:rPr>
              <w:szCs w:val="16"/>
            </w:rPr>
            <w:t>30 May 2022</w:t>
          </w:r>
        </w:p>
      </w:tc>
    </w:tr>
    <w:tr w:rsidR="00ED54E0" w:rsidRPr="00182B84" w14:paraId="02950E31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E0F949" w14:textId="2A529A89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060496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38230C">
            <w:rPr>
              <w:color w:val="FF0000"/>
              <w:szCs w:val="16"/>
            </w:rPr>
            <w:t>4066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C84893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32159E3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4E18A9" w14:textId="77777777" w:rsidR="00ED54E0" w:rsidRPr="00182B84" w:rsidRDefault="00484D00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14E156" w14:textId="77777777" w:rsidR="00ED54E0" w:rsidRPr="00182B84" w:rsidRDefault="00484D00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0262CB0B" w14:textId="77777777" w:rsidR="00ED54E0" w:rsidRDefault="00ED54E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520B" w14:textId="77777777" w:rsidR="00312848" w:rsidRPr="00312848" w:rsidRDefault="00484D00" w:rsidP="0031284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312848">
      <w:rPr>
        <w:lang w:val="pt-PT"/>
      </w:rPr>
      <w:t>G/MA/QR/N/UKR/5/Add.5</w:t>
    </w:r>
  </w:p>
  <w:p w14:paraId="2F104DF5" w14:textId="77777777" w:rsidR="00312848" w:rsidRPr="00312848" w:rsidRDefault="0038230C" w:rsidP="0031284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1F8B814E" w14:textId="77777777" w:rsidR="00312848" w:rsidRDefault="00484D00" w:rsidP="0031284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45EC43E2" w14:textId="77777777" w:rsidR="00231182" w:rsidRPr="00312848" w:rsidRDefault="0038230C" w:rsidP="0031284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F5B4" w14:textId="77777777" w:rsidR="00312848" w:rsidRPr="00312848" w:rsidRDefault="00484D00" w:rsidP="0031284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312848">
      <w:rPr>
        <w:lang w:val="pt-PT"/>
      </w:rPr>
      <w:t>G/MA/QR/N/UKR/5/Add.5</w:t>
    </w:r>
  </w:p>
  <w:p w14:paraId="7915D7F9" w14:textId="77777777" w:rsidR="00312848" w:rsidRPr="00312848" w:rsidRDefault="0038230C" w:rsidP="0031284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560B66A3" w14:textId="77777777" w:rsidR="00312848" w:rsidRDefault="00484D00" w:rsidP="0031284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0E6D6CBC" w14:textId="77777777" w:rsidR="00231182" w:rsidRPr="00312848" w:rsidRDefault="0038230C" w:rsidP="00312848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4"/>
      <w:gridCol w:w="2099"/>
      <w:gridCol w:w="3325"/>
    </w:tblGrid>
    <w:tr w:rsidR="005E72A0" w:rsidRPr="003C6B7D" w14:paraId="0C1939BC" w14:textId="77777777" w:rsidTr="001F5CE0">
      <w:trPr>
        <w:trHeight w:val="240"/>
        <w:jc w:val="center"/>
      </w:trPr>
      <w:tc>
        <w:tcPr>
          <w:tcW w:w="3818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D46051" w14:textId="77777777" w:rsidR="005E72A0" w:rsidRPr="003C6B7D" w:rsidRDefault="0038230C">
          <w:pPr>
            <w:rPr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7FD4F2" w14:textId="77777777" w:rsidR="005E72A0" w:rsidRPr="003C6B7D" w:rsidRDefault="00484D0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tr w:rsidR="005E72A0" w:rsidRPr="00136016" w14:paraId="3280ED42" w14:textId="77777777" w:rsidTr="00CD4AE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C89167" w14:textId="77777777" w:rsidR="005E72A0" w:rsidRPr="00136016" w:rsidRDefault="00484D00" w:rsidP="00CD4AE5">
          <w:pPr>
            <w:jc w:val="left"/>
          </w:pPr>
          <w:r w:rsidRPr="00777DF5">
            <w:rPr>
              <w:noProof/>
              <w:lang w:val="uk-UA" w:eastAsia="uk-UA"/>
            </w:rPr>
            <w:drawing>
              <wp:inline distT="0" distB="0" distL="0" distR="0" wp14:anchorId="519689A6" wp14:editId="172B7482">
                <wp:extent cx="2343150" cy="6858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2F7EE76C" w14:textId="77777777" w:rsidR="005E72A0" w:rsidRPr="00136016" w:rsidRDefault="0038230C" w:rsidP="00CD4AE5">
          <w:pPr>
            <w:jc w:val="right"/>
            <w:rPr>
              <w:b/>
              <w:szCs w:val="16"/>
            </w:rPr>
          </w:pPr>
        </w:p>
      </w:tc>
    </w:tr>
    <w:tr w:rsidR="005E72A0" w:rsidRPr="00061A36" w14:paraId="3682A8B5" w14:textId="77777777" w:rsidTr="00CD4AE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1ABA58" w14:textId="77777777" w:rsidR="005E72A0" w:rsidRPr="00136016" w:rsidRDefault="0038230C" w:rsidP="00CD4AE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776B92BD" w14:textId="77777777" w:rsidR="005E72A0" w:rsidRDefault="00484D00" w:rsidP="006015F9">
          <w:pPr>
            <w:jc w:val="right"/>
            <w:rPr>
              <w:b/>
              <w:szCs w:val="16"/>
              <w:lang w:val="de-CH"/>
            </w:rPr>
          </w:pPr>
          <w:r>
            <w:rPr>
              <w:b/>
              <w:szCs w:val="16"/>
              <w:lang w:val="de-CH"/>
            </w:rPr>
            <w:t>G/MA/QR/N/UKR/5</w:t>
          </w:r>
        </w:p>
        <w:p w14:paraId="74E95584" w14:textId="77777777" w:rsidR="005E72A0" w:rsidRPr="00093C2D" w:rsidRDefault="0038230C" w:rsidP="006015F9">
          <w:pPr>
            <w:jc w:val="right"/>
            <w:rPr>
              <w:b/>
              <w:szCs w:val="16"/>
              <w:lang w:val="de-CH"/>
            </w:rPr>
          </w:pPr>
        </w:p>
      </w:tc>
    </w:tr>
    <w:tr w:rsidR="005E72A0" w:rsidRPr="00136016" w14:paraId="2156520F" w14:textId="77777777" w:rsidTr="00CD4AE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8EF60E" w14:textId="77777777" w:rsidR="005E72A0" w:rsidRPr="00093C2D" w:rsidRDefault="0038230C" w:rsidP="00CD4AE5">
          <w:pPr>
            <w:rPr>
              <w:lang w:val="de-CH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8249D0" w14:textId="77777777" w:rsidR="005E72A0" w:rsidRPr="00136016" w:rsidRDefault="00484D00" w:rsidP="00A07264">
          <w:pPr>
            <w:jc w:val="right"/>
            <w:rPr>
              <w:szCs w:val="16"/>
            </w:rPr>
          </w:pPr>
          <w:r>
            <w:rPr>
              <w:szCs w:val="16"/>
            </w:rPr>
            <w:t>30 October 2020</w:t>
          </w:r>
        </w:p>
      </w:tc>
    </w:tr>
    <w:tr w:rsidR="005E72A0" w:rsidRPr="00136016" w14:paraId="51710B47" w14:textId="77777777" w:rsidTr="00CD4AE5">
      <w:trPr>
        <w:trHeight w:val="412"/>
        <w:jc w:val="center"/>
      </w:trPr>
      <w:tc>
        <w:tcPr>
          <w:tcW w:w="5917" w:type="dxa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96C459" w14:textId="77777777" w:rsidR="005E72A0" w:rsidRPr="00136016" w:rsidRDefault="00484D00" w:rsidP="00B548AC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(20-0000)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F74078" w14:textId="77777777" w:rsidR="005E72A0" w:rsidRPr="00136016" w:rsidRDefault="00484D00" w:rsidP="00D263AC">
          <w:pPr>
            <w:jc w:val="right"/>
            <w:rPr>
              <w:szCs w:val="16"/>
            </w:rPr>
          </w:pPr>
          <w:r w:rsidRPr="00136016">
            <w:rPr>
              <w:bCs/>
              <w:szCs w:val="16"/>
            </w:rPr>
            <w:t xml:space="preserve">Page: 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PAGE  \* Arabic  \* MERGEFORMAT </w:instrText>
          </w:r>
          <w:r w:rsidRPr="00136016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r w:rsidRPr="00136016">
            <w:rPr>
              <w:bCs/>
              <w:szCs w:val="16"/>
            </w:rPr>
            <w:t>/</w:t>
          </w:r>
          <w:r>
            <w:rPr>
              <w:bCs/>
              <w:szCs w:val="16"/>
            </w:rPr>
            <w:fldChar w:fldCharType="begin"/>
          </w:r>
          <w:r>
            <w:rPr>
              <w:bCs/>
              <w:szCs w:val="16"/>
            </w:rPr>
            <w:instrText xml:space="preserve"> NUMPAGES   \* MERGEFORMAT </w:instrText>
          </w:r>
          <w:r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>
            <w:rPr>
              <w:bCs/>
              <w:szCs w:val="16"/>
            </w:rPr>
            <w:fldChar w:fldCharType="end"/>
          </w:r>
        </w:p>
      </w:tc>
    </w:tr>
    <w:tr w:rsidR="005E72A0" w:rsidRPr="00136016" w14:paraId="6E96B66C" w14:textId="77777777" w:rsidTr="00CD4AE5">
      <w:trPr>
        <w:trHeight w:val="240"/>
        <w:jc w:val="center"/>
      </w:trPr>
      <w:tc>
        <w:tcPr>
          <w:tcW w:w="5917" w:type="dxa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CA967B" w14:textId="77777777" w:rsidR="005E72A0" w:rsidRPr="00136016" w:rsidRDefault="00484D00" w:rsidP="006015F9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FBD7E9" w14:textId="77777777" w:rsidR="005E72A0" w:rsidRPr="00136016" w:rsidRDefault="00484D00" w:rsidP="00CD4AE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26E13097" w14:textId="77777777" w:rsidR="005E72A0" w:rsidRPr="00B07663" w:rsidRDefault="00382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00"/>
    <w:rsid w:val="000272F6"/>
    <w:rsid w:val="00037AC4"/>
    <w:rsid w:val="000423BF"/>
    <w:rsid w:val="00060496"/>
    <w:rsid w:val="000A4945"/>
    <w:rsid w:val="000B31E1"/>
    <w:rsid w:val="0011356B"/>
    <w:rsid w:val="0013337F"/>
    <w:rsid w:val="00182B84"/>
    <w:rsid w:val="001E291F"/>
    <w:rsid w:val="00233408"/>
    <w:rsid w:val="0027067B"/>
    <w:rsid w:val="003156C6"/>
    <w:rsid w:val="003572B4"/>
    <w:rsid w:val="0038230C"/>
    <w:rsid w:val="00467032"/>
    <w:rsid w:val="0046754A"/>
    <w:rsid w:val="00484D00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60FC8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661CD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A4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99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uiPriority w:val="99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2022-05-30T08:05:00Z</dcterms:created>
  <dcterms:modified xsi:type="dcterms:W3CDTF">2022-05-30T10:33:00Z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G/MA/QR/N/UKR/5/Add.5</vt:lpwstr>
  </property>
  <property fmtid="{D5CDD505-2E9C-101B-9397-08002B2CF9AE}" pid="3" name="TitusGUID">
    <vt:lpwstr>25bfd0a1-0919-4d93-8477-2c0789a308e2</vt:lpwstr>
  </property>
  <property fmtid="{D5CDD505-2E9C-101B-9397-08002B2CF9AE}" pid="4" name="WTOCLASSIFICATION">
    <vt:lpwstr>WTO OFFICIAL</vt:lpwstr>
  </property>
</Properties>
</file>