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3B1" w:rsidRPr="00D904DB" w:rsidRDefault="00DF53B1" w:rsidP="00DF53B1">
      <w:pPr>
        <w:pStyle w:val="Title"/>
      </w:pPr>
      <w:bookmarkStart w:id="0" w:name="_GoBack"/>
      <w:bookmarkEnd w:id="0"/>
      <w:r w:rsidRPr="00D904DB">
        <w:t xml:space="preserve">notification of preferential rules of origin for </w:t>
      </w:r>
    </w:p>
    <w:p w:rsidR="00DF53B1" w:rsidRPr="00D904DB" w:rsidRDefault="00DF53B1" w:rsidP="00DF53B1">
      <w:pPr>
        <w:pStyle w:val="Title"/>
      </w:pPr>
      <w:r w:rsidRPr="00D904DB">
        <w:t>least developed countries</w:t>
      </w:r>
    </w:p>
    <w:p w:rsidR="00DF53B1" w:rsidRPr="00D904DB" w:rsidRDefault="00D904DB" w:rsidP="00DF53B1">
      <w:pPr>
        <w:pStyle w:val="TitleCountry"/>
      </w:pPr>
      <w:r w:rsidRPr="00D904DB">
        <w:t>Australia</w:t>
      </w:r>
    </w:p>
    <w:p w:rsidR="00D904DB" w:rsidRPr="00D904DB" w:rsidRDefault="00D904DB" w:rsidP="00D904DB">
      <w:pPr>
        <w:pStyle w:val="Title3"/>
      </w:pPr>
      <w:r w:rsidRPr="00D904DB">
        <w:t>Revision</w:t>
      </w:r>
    </w:p>
    <w:p w:rsidR="00DF53B1" w:rsidRPr="00D904DB" w:rsidRDefault="00DF53B1" w:rsidP="00DF53B1">
      <w:pPr>
        <w:spacing w:after="240"/>
        <w:rPr>
          <w:rFonts w:eastAsia="PMingLiU"/>
          <w:color w:val="000000"/>
        </w:rPr>
      </w:pPr>
      <w:r w:rsidRPr="00D904DB">
        <w:rPr>
          <w:rFonts w:eastAsia="PMingLiU"/>
          <w:color w:val="000000"/>
        </w:rPr>
        <w:t xml:space="preserve">The following communication, dated </w:t>
      </w:r>
      <w:r w:rsidR="00DB58BF" w:rsidRPr="00D904DB">
        <w:rPr>
          <w:rFonts w:eastAsia="PMingLiU"/>
          <w:color w:val="000000"/>
        </w:rPr>
        <w:t>13</w:t>
      </w:r>
      <w:r w:rsidRPr="00D904DB">
        <w:rPr>
          <w:rFonts w:eastAsia="PMingLiU"/>
          <w:color w:val="000000"/>
        </w:rPr>
        <w:t xml:space="preserve"> </w:t>
      </w:r>
      <w:r w:rsidR="00414619" w:rsidRPr="00D904DB">
        <w:rPr>
          <w:rFonts w:eastAsia="PMingLiU"/>
          <w:color w:val="000000"/>
        </w:rPr>
        <w:t>September</w:t>
      </w:r>
      <w:r w:rsidRPr="00D904DB">
        <w:rPr>
          <w:rFonts w:eastAsia="PMingLiU"/>
          <w:color w:val="000000"/>
        </w:rPr>
        <w:t xml:space="preserve"> 201</w:t>
      </w:r>
      <w:r w:rsidR="00F4461C" w:rsidRPr="00D904DB">
        <w:rPr>
          <w:rFonts w:eastAsia="PMingLiU"/>
          <w:color w:val="000000"/>
        </w:rPr>
        <w:t>9</w:t>
      </w:r>
      <w:r w:rsidRPr="00D904DB">
        <w:rPr>
          <w:rFonts w:eastAsia="PMingLiU"/>
          <w:color w:val="000000"/>
        </w:rPr>
        <w:t xml:space="preserve">, is being circulated at the request of the delegation of </w:t>
      </w:r>
      <w:r w:rsidR="00161D93" w:rsidRPr="00D904DB">
        <w:rPr>
          <w:rFonts w:eastAsia="PMingLiU"/>
          <w:color w:val="000000"/>
        </w:rPr>
        <w:t>Australia</w:t>
      </w:r>
      <w:r w:rsidR="004B27BF" w:rsidRPr="00D904DB">
        <w:rPr>
          <w:rFonts w:eastAsia="PMingLiU"/>
          <w:color w:val="000000"/>
        </w:rPr>
        <w:t>.</w:t>
      </w:r>
    </w:p>
    <w:p w:rsidR="00DF53B1" w:rsidRPr="00D904DB" w:rsidRDefault="00DF53B1" w:rsidP="00DF53B1">
      <w:pPr>
        <w:jc w:val="center"/>
      </w:pPr>
      <w:r w:rsidRPr="00D904DB">
        <w:rPr>
          <w:b/>
          <w:lang w:eastAsia="en-GB"/>
        </w:rPr>
        <w:t>_______________</w:t>
      </w:r>
    </w:p>
    <w:p w:rsidR="00DF53B1" w:rsidRPr="00D904DB" w:rsidRDefault="00DF53B1" w:rsidP="00DF53B1">
      <w:pPr>
        <w:rPr>
          <w:rFonts w:eastAsia="PMingLiU"/>
          <w:color w:val="000000"/>
        </w:rPr>
      </w:pPr>
    </w:p>
    <w:p w:rsidR="00DF53B1" w:rsidRPr="00D904DB" w:rsidRDefault="00DF53B1" w:rsidP="00DF53B1">
      <w:pPr>
        <w:rPr>
          <w:rFonts w:eastAsia="PMingLiU"/>
          <w:color w:val="000000"/>
        </w:rPr>
      </w:pPr>
    </w:p>
    <w:p w:rsidR="00DF53B1" w:rsidRPr="00D904DB" w:rsidRDefault="00DF53B1" w:rsidP="00DF53B1">
      <w:pPr>
        <w:rPr>
          <w:rFonts w:eastAsia="PMingLiU"/>
          <w:color w:val="000000"/>
        </w:rPr>
      </w:pPr>
      <w:r w:rsidRPr="00D904DB">
        <w:rPr>
          <w:rFonts w:eastAsia="PMingLiU"/>
          <w:color w:val="000000"/>
        </w:rPr>
        <w:t>Paragraph 4.3 of the 2015 Ministerial Decision on preferential rules of origin for least developed countries (WT/L/917/Add.1) requires preference-granting Members to notify preferential rules of origin as per the established procedures</w:t>
      </w:r>
      <w:r w:rsidRPr="00D904DB">
        <w:rPr>
          <w:rStyle w:val="FootnoteReference"/>
          <w:rFonts w:eastAsia="PMingLiU"/>
          <w:color w:val="000000"/>
        </w:rPr>
        <w:footnoteReference w:id="1"/>
      </w:r>
      <w:r w:rsidRPr="00D904DB">
        <w:rPr>
          <w:rFonts w:eastAsia="PMingLiU"/>
          <w:color w:val="000000"/>
        </w:rPr>
        <w:t>. In addition, as mandated by the Ministerial Decision, the Committee on Rules of Origin agreed, at its meeting of 2 March 2017, to a template for such notifications (G/RO/84).</w:t>
      </w:r>
    </w:p>
    <w:p w:rsidR="00DF53B1" w:rsidRPr="00D904DB" w:rsidRDefault="00DF53B1" w:rsidP="00DF53B1">
      <w:pPr>
        <w:rPr>
          <w:rFonts w:eastAsia="PMingLiU"/>
          <w:color w:val="000000"/>
        </w:rPr>
      </w:pPr>
    </w:p>
    <w:p w:rsidR="00DF53B1" w:rsidRPr="00D904DB" w:rsidRDefault="00DF53B1" w:rsidP="00824F4C">
      <w:pPr>
        <w:spacing w:after="240"/>
        <w:rPr>
          <w:rFonts w:eastAsia="PMingLiU"/>
          <w:color w:val="000000"/>
        </w:rPr>
      </w:pPr>
      <w:r w:rsidRPr="00D904DB">
        <w:rPr>
          <w:rFonts w:eastAsia="PMingLiU"/>
          <w:color w:val="000000"/>
        </w:rPr>
        <w:t xml:space="preserve">Following such requirements, the following </w:t>
      </w:r>
      <w:r w:rsidR="001942B3" w:rsidRPr="00D904DB">
        <w:rPr>
          <w:rFonts w:eastAsia="PMingLiU"/>
          <w:color w:val="000000"/>
        </w:rPr>
        <w:t xml:space="preserve">revised </w:t>
      </w:r>
      <w:r w:rsidRPr="00D904DB">
        <w:rPr>
          <w:rFonts w:eastAsia="PMingLiU"/>
          <w:color w:val="000000"/>
        </w:rPr>
        <w:t xml:space="preserve">notification has been received from: </w:t>
      </w:r>
      <w:r w:rsidR="00161D93" w:rsidRPr="00D904DB">
        <w:rPr>
          <w:rFonts w:eastAsia="PMingLiU"/>
          <w:color w:val="000000"/>
        </w:rPr>
        <w:t>Australia</w:t>
      </w:r>
      <w:r w:rsidRPr="00D904DB">
        <w:rPr>
          <w:rFonts w:eastAsia="PMingLiU"/>
          <w:color w:val="000000"/>
        </w:rPr>
        <w:t>.</w:t>
      </w:r>
    </w:p>
    <w:p w:rsidR="00DF53B1" w:rsidRPr="00D904DB" w:rsidRDefault="00DF53B1" w:rsidP="00824F4C">
      <w:pPr>
        <w:spacing w:after="240"/>
        <w:rPr>
          <w:szCs w:val="18"/>
        </w:rPr>
      </w:pPr>
      <w:r w:rsidRPr="00D904DB">
        <w:rPr>
          <w:b/>
          <w:bCs/>
          <w:szCs w:val="18"/>
        </w:rPr>
        <w:t>A.</w:t>
      </w:r>
      <w:r w:rsidRPr="00D904DB">
        <w:rPr>
          <w:b/>
          <w:bCs/>
          <w:szCs w:val="18"/>
        </w:rPr>
        <w:tab/>
      </w:r>
      <w:r w:rsidRPr="00D904DB">
        <w:rPr>
          <w:b/>
          <w:bCs/>
          <w:szCs w:val="18"/>
          <w:u w:val="single"/>
        </w:rPr>
        <w:t xml:space="preserve">BASIC INFORMATION </w:t>
      </w:r>
    </w:p>
    <w:tbl>
      <w:tblPr>
        <w:tblW w:w="5000" w:type="pct"/>
        <w:tblLayout w:type="fixed"/>
        <w:tblLook w:val="0000" w:firstRow="0" w:lastRow="0" w:firstColumn="0" w:lastColumn="0" w:noHBand="0" w:noVBand="0"/>
      </w:tblPr>
      <w:tblGrid>
        <w:gridCol w:w="520"/>
        <w:gridCol w:w="3041"/>
        <w:gridCol w:w="5435"/>
      </w:tblGrid>
      <w:tr w:rsidR="00DF53B1" w:rsidRPr="00D904DB" w:rsidTr="00824F4C">
        <w:tc>
          <w:tcPr>
            <w:tcW w:w="289" w:type="pct"/>
            <w:tcBorders>
              <w:top w:val="double" w:sz="4" w:space="0" w:color="000000"/>
              <w:left w:val="double" w:sz="4" w:space="0" w:color="000000"/>
              <w:bottom w:val="single" w:sz="4" w:space="0" w:color="000000"/>
            </w:tcBorders>
            <w:shd w:val="clear" w:color="auto" w:fill="auto"/>
          </w:tcPr>
          <w:p w:rsidR="00DF53B1" w:rsidRPr="00D904DB" w:rsidRDefault="00DF53B1" w:rsidP="008674BE">
            <w:pPr>
              <w:numPr>
                <w:ilvl w:val="0"/>
                <w:numId w:val="1"/>
              </w:numPr>
              <w:snapToGrid w:val="0"/>
              <w:ind w:left="567" w:hanging="567"/>
              <w:rPr>
                <w:b/>
                <w:iCs/>
                <w:sz w:val="16"/>
                <w:szCs w:val="16"/>
              </w:rPr>
            </w:pPr>
          </w:p>
        </w:tc>
        <w:tc>
          <w:tcPr>
            <w:tcW w:w="1690" w:type="pct"/>
            <w:tcBorders>
              <w:top w:val="double" w:sz="4" w:space="0" w:color="000000"/>
              <w:left w:val="single" w:sz="4" w:space="0" w:color="000000"/>
              <w:bottom w:val="single" w:sz="4" w:space="0" w:color="000000"/>
            </w:tcBorders>
            <w:shd w:val="clear" w:color="auto" w:fill="auto"/>
          </w:tcPr>
          <w:p w:rsidR="00DF53B1" w:rsidRPr="00D904DB" w:rsidRDefault="00DF53B1" w:rsidP="00DF53B1">
            <w:pPr>
              <w:jc w:val="left"/>
              <w:rPr>
                <w:sz w:val="16"/>
                <w:szCs w:val="16"/>
              </w:rPr>
            </w:pPr>
            <w:r w:rsidRPr="00D904DB">
              <w:rPr>
                <w:b/>
                <w:iCs/>
                <w:sz w:val="16"/>
                <w:szCs w:val="16"/>
              </w:rPr>
              <w:t>Notifying member</w:t>
            </w:r>
          </w:p>
        </w:tc>
        <w:tc>
          <w:tcPr>
            <w:tcW w:w="3021" w:type="pct"/>
            <w:tcBorders>
              <w:top w:val="double" w:sz="4" w:space="0" w:color="000000"/>
              <w:left w:val="single" w:sz="4" w:space="0" w:color="000000"/>
              <w:bottom w:val="single" w:sz="4" w:space="0" w:color="000000"/>
              <w:right w:val="double" w:sz="4" w:space="0" w:color="000000"/>
            </w:tcBorders>
            <w:shd w:val="clear" w:color="auto" w:fill="auto"/>
          </w:tcPr>
          <w:p w:rsidR="00DF53B1" w:rsidRPr="00D904DB" w:rsidRDefault="00161D93" w:rsidP="00DF53B1">
            <w:pPr>
              <w:jc w:val="left"/>
              <w:rPr>
                <w:sz w:val="16"/>
                <w:szCs w:val="16"/>
              </w:rPr>
            </w:pPr>
            <w:r w:rsidRPr="00D904DB">
              <w:rPr>
                <w:rFonts w:cs="Arial"/>
                <w:sz w:val="16"/>
                <w:szCs w:val="16"/>
              </w:rPr>
              <w:t>Australia</w:t>
            </w:r>
          </w:p>
        </w:tc>
      </w:tr>
      <w:tr w:rsidR="00824F4C" w:rsidRPr="00D904DB" w:rsidTr="00824F4C">
        <w:tc>
          <w:tcPr>
            <w:tcW w:w="289" w:type="pct"/>
            <w:tcBorders>
              <w:top w:val="single" w:sz="4" w:space="0" w:color="000000"/>
              <w:left w:val="double" w:sz="4" w:space="0" w:color="000000"/>
              <w:bottom w:val="single" w:sz="4" w:space="0" w:color="000000"/>
            </w:tcBorders>
            <w:shd w:val="clear" w:color="auto" w:fill="auto"/>
          </w:tcPr>
          <w:p w:rsidR="00DF53B1" w:rsidRPr="00D904DB" w:rsidRDefault="00DF53B1" w:rsidP="008674BE">
            <w:pPr>
              <w:numPr>
                <w:ilvl w:val="0"/>
                <w:numId w:val="1"/>
              </w:numPr>
              <w:snapToGrid w:val="0"/>
              <w:ind w:left="567" w:hanging="567"/>
              <w:rPr>
                <w:b/>
                <w:iCs/>
                <w:color w:val="FF0000"/>
                <w:sz w:val="16"/>
                <w:szCs w:val="16"/>
              </w:rPr>
            </w:pPr>
          </w:p>
        </w:tc>
        <w:tc>
          <w:tcPr>
            <w:tcW w:w="1690" w:type="pct"/>
            <w:tcBorders>
              <w:top w:val="single" w:sz="4" w:space="0" w:color="000000"/>
              <w:left w:val="single" w:sz="4" w:space="0" w:color="000000"/>
              <w:bottom w:val="single" w:sz="4" w:space="0" w:color="000000"/>
            </w:tcBorders>
            <w:shd w:val="clear" w:color="auto" w:fill="auto"/>
          </w:tcPr>
          <w:p w:rsidR="00DF53B1" w:rsidRPr="00D904DB" w:rsidRDefault="00DF53B1" w:rsidP="008674BE">
            <w:pPr>
              <w:jc w:val="left"/>
              <w:rPr>
                <w:sz w:val="16"/>
                <w:szCs w:val="16"/>
              </w:rPr>
            </w:pPr>
            <w:r w:rsidRPr="00D904DB">
              <w:rPr>
                <w:b/>
                <w:iCs/>
                <w:sz w:val="16"/>
                <w:szCs w:val="16"/>
              </w:rPr>
              <w:t xml:space="preserve">Date of entering into force of Rules of origin and any </w:t>
            </w:r>
            <w:r w:rsidRPr="00D904DB">
              <w:rPr>
                <w:b/>
                <w:iCs/>
                <w:color w:val="000000"/>
                <w:sz w:val="16"/>
                <w:szCs w:val="16"/>
              </w:rPr>
              <w:t>substantive m</w:t>
            </w:r>
            <w:r w:rsidRPr="00D904DB">
              <w:rPr>
                <w:b/>
                <w:iCs/>
                <w:sz w:val="16"/>
                <w:szCs w:val="16"/>
              </w:rPr>
              <w:t>odification thereof</w:t>
            </w:r>
          </w:p>
        </w:tc>
        <w:tc>
          <w:tcPr>
            <w:tcW w:w="3021" w:type="pct"/>
            <w:tcBorders>
              <w:top w:val="single" w:sz="4" w:space="0" w:color="000000"/>
              <w:left w:val="single" w:sz="4" w:space="0" w:color="000000"/>
              <w:bottom w:val="single" w:sz="4" w:space="0" w:color="000000"/>
              <w:right w:val="double" w:sz="4" w:space="0" w:color="000000"/>
            </w:tcBorders>
            <w:shd w:val="clear" w:color="auto" w:fill="auto"/>
          </w:tcPr>
          <w:p w:rsidR="008012F2" w:rsidRPr="00D904DB" w:rsidRDefault="008012F2" w:rsidP="00CF67CE">
            <w:pPr>
              <w:jc w:val="left"/>
              <w:rPr>
                <w:rFonts w:cs="Arial"/>
                <w:sz w:val="16"/>
                <w:szCs w:val="16"/>
              </w:rPr>
            </w:pPr>
            <w:r w:rsidRPr="00D904DB">
              <w:rPr>
                <w:rFonts w:cs="Arial"/>
                <w:sz w:val="16"/>
                <w:szCs w:val="16"/>
              </w:rPr>
              <w:t>12 April 1966</w:t>
            </w:r>
          </w:p>
          <w:p w:rsidR="00E90781" w:rsidRPr="00D904DB" w:rsidRDefault="00D8015E" w:rsidP="009C2A86">
            <w:pPr>
              <w:jc w:val="left"/>
              <w:rPr>
                <w:bCs/>
                <w:i/>
                <w:color w:val="000000"/>
                <w:sz w:val="16"/>
                <w:szCs w:val="16"/>
              </w:rPr>
            </w:pPr>
            <w:r w:rsidRPr="00D904DB">
              <w:rPr>
                <w:bCs/>
                <w:sz w:val="16"/>
                <w:szCs w:val="16"/>
              </w:rPr>
              <w:t>Most recent a</w:t>
            </w:r>
            <w:r w:rsidR="008012F2" w:rsidRPr="00D904DB">
              <w:rPr>
                <w:bCs/>
                <w:sz w:val="16"/>
                <w:szCs w:val="16"/>
              </w:rPr>
              <w:t xml:space="preserve">mendments made in </w:t>
            </w:r>
            <w:r w:rsidRPr="00D904DB">
              <w:rPr>
                <w:bCs/>
                <w:sz w:val="16"/>
                <w:szCs w:val="16"/>
              </w:rPr>
              <w:t>200</w:t>
            </w:r>
            <w:r w:rsidR="008012F2" w:rsidRPr="00D904DB">
              <w:rPr>
                <w:bCs/>
                <w:sz w:val="16"/>
                <w:szCs w:val="16"/>
              </w:rPr>
              <w:t>3</w:t>
            </w:r>
            <w:r w:rsidRPr="00D904DB">
              <w:rPr>
                <w:bCs/>
                <w:sz w:val="16"/>
                <w:szCs w:val="16"/>
              </w:rPr>
              <w:t>.</w:t>
            </w:r>
            <w:r w:rsidR="008012F2" w:rsidRPr="00D904DB">
              <w:rPr>
                <w:bCs/>
                <w:sz w:val="16"/>
                <w:szCs w:val="16"/>
              </w:rPr>
              <w:t xml:space="preserve"> </w:t>
            </w:r>
          </w:p>
        </w:tc>
      </w:tr>
      <w:tr w:rsidR="00824F4C" w:rsidRPr="00D904DB" w:rsidTr="00824F4C">
        <w:tc>
          <w:tcPr>
            <w:tcW w:w="289" w:type="pct"/>
            <w:tcBorders>
              <w:top w:val="single" w:sz="4" w:space="0" w:color="000000"/>
              <w:left w:val="double" w:sz="4" w:space="0" w:color="000000"/>
              <w:bottom w:val="single" w:sz="4" w:space="0" w:color="000000"/>
            </w:tcBorders>
            <w:shd w:val="clear" w:color="auto" w:fill="auto"/>
          </w:tcPr>
          <w:p w:rsidR="00DF53B1" w:rsidRPr="00D904DB" w:rsidRDefault="00DF53B1" w:rsidP="008674BE">
            <w:pPr>
              <w:numPr>
                <w:ilvl w:val="0"/>
                <w:numId w:val="1"/>
              </w:numPr>
              <w:snapToGrid w:val="0"/>
              <w:ind w:left="567" w:hanging="567"/>
              <w:rPr>
                <w:b/>
                <w:bCs/>
                <w:iCs/>
                <w:color w:val="000000"/>
                <w:sz w:val="16"/>
                <w:szCs w:val="16"/>
                <w:u w:val="single"/>
              </w:rPr>
            </w:pPr>
          </w:p>
        </w:tc>
        <w:tc>
          <w:tcPr>
            <w:tcW w:w="1690" w:type="pct"/>
            <w:tcBorders>
              <w:top w:val="single" w:sz="4" w:space="0" w:color="000000"/>
              <w:left w:val="single" w:sz="4" w:space="0" w:color="000000"/>
              <w:bottom w:val="single" w:sz="4" w:space="0" w:color="000000"/>
            </w:tcBorders>
            <w:shd w:val="clear" w:color="auto" w:fill="auto"/>
          </w:tcPr>
          <w:p w:rsidR="00DF53B1" w:rsidRPr="00D904DB" w:rsidRDefault="00DF53B1" w:rsidP="008674BE">
            <w:pPr>
              <w:jc w:val="left"/>
              <w:rPr>
                <w:sz w:val="16"/>
                <w:szCs w:val="16"/>
              </w:rPr>
            </w:pPr>
            <w:r w:rsidRPr="00D904DB">
              <w:rPr>
                <w:b/>
                <w:iCs/>
                <w:sz w:val="16"/>
                <w:szCs w:val="16"/>
              </w:rPr>
              <w:t>Date of expiration of Rules of origin if applicable</w:t>
            </w:r>
          </w:p>
        </w:tc>
        <w:tc>
          <w:tcPr>
            <w:tcW w:w="3021" w:type="pct"/>
            <w:tcBorders>
              <w:top w:val="single" w:sz="4" w:space="0" w:color="000000"/>
              <w:left w:val="single" w:sz="4" w:space="0" w:color="000000"/>
              <w:bottom w:val="single" w:sz="4" w:space="0" w:color="000000"/>
              <w:right w:val="double" w:sz="4" w:space="0" w:color="000000"/>
            </w:tcBorders>
            <w:shd w:val="clear" w:color="auto" w:fill="auto"/>
          </w:tcPr>
          <w:p w:rsidR="00DF53B1" w:rsidRPr="00D904DB" w:rsidRDefault="00CF67CE" w:rsidP="00CF67CE">
            <w:pPr>
              <w:pStyle w:val="Default"/>
              <w:spacing w:afterLines="60" w:after="144"/>
              <w:rPr>
                <w:color w:val="auto"/>
                <w:sz w:val="16"/>
                <w:szCs w:val="16"/>
                <w:lang w:val="en-GB"/>
              </w:rPr>
            </w:pPr>
            <w:r w:rsidRPr="00D904DB">
              <w:rPr>
                <w:bCs/>
                <w:color w:val="auto"/>
                <w:sz w:val="16"/>
                <w:szCs w:val="16"/>
                <w:lang w:val="en-GB"/>
              </w:rPr>
              <w:t xml:space="preserve">Not </w:t>
            </w:r>
            <w:r w:rsidRPr="00D904DB">
              <w:rPr>
                <w:rFonts w:cs="Arial"/>
                <w:color w:val="auto"/>
                <w:sz w:val="16"/>
                <w:szCs w:val="16"/>
                <w:lang w:val="en-GB"/>
              </w:rPr>
              <w:t>applicable</w:t>
            </w:r>
            <w:r w:rsidRPr="00D904DB">
              <w:rPr>
                <w:bCs/>
                <w:color w:val="auto"/>
                <w:sz w:val="16"/>
                <w:szCs w:val="16"/>
                <w:lang w:val="en-GB"/>
              </w:rPr>
              <w:t xml:space="preserve">. </w:t>
            </w:r>
          </w:p>
        </w:tc>
      </w:tr>
      <w:tr w:rsidR="00824F4C" w:rsidRPr="00D904DB" w:rsidTr="00824F4C">
        <w:tc>
          <w:tcPr>
            <w:tcW w:w="289" w:type="pct"/>
            <w:tcBorders>
              <w:top w:val="single" w:sz="4" w:space="0" w:color="000000"/>
              <w:left w:val="double" w:sz="4" w:space="0" w:color="000000"/>
              <w:bottom w:val="single" w:sz="4" w:space="0" w:color="000000"/>
            </w:tcBorders>
            <w:shd w:val="clear" w:color="auto" w:fill="auto"/>
          </w:tcPr>
          <w:p w:rsidR="00DF53B1" w:rsidRPr="00D904DB" w:rsidRDefault="00DF53B1" w:rsidP="008674BE">
            <w:pPr>
              <w:numPr>
                <w:ilvl w:val="0"/>
                <w:numId w:val="1"/>
              </w:numPr>
              <w:snapToGrid w:val="0"/>
              <w:ind w:left="567" w:hanging="567"/>
              <w:rPr>
                <w:b/>
                <w:iCs/>
                <w:sz w:val="16"/>
                <w:szCs w:val="16"/>
              </w:rPr>
            </w:pPr>
          </w:p>
        </w:tc>
        <w:tc>
          <w:tcPr>
            <w:tcW w:w="1690" w:type="pct"/>
            <w:tcBorders>
              <w:top w:val="single" w:sz="4" w:space="0" w:color="000000"/>
              <w:left w:val="single" w:sz="4" w:space="0" w:color="000000"/>
              <w:bottom w:val="single" w:sz="4" w:space="0" w:color="000000"/>
            </w:tcBorders>
            <w:shd w:val="clear" w:color="auto" w:fill="auto"/>
          </w:tcPr>
          <w:p w:rsidR="00DF53B1" w:rsidRPr="00D904DB" w:rsidRDefault="00DF53B1" w:rsidP="008674BE">
            <w:pPr>
              <w:jc w:val="left"/>
              <w:rPr>
                <w:sz w:val="16"/>
                <w:szCs w:val="16"/>
              </w:rPr>
            </w:pPr>
            <w:r w:rsidRPr="00D904DB">
              <w:rPr>
                <w:b/>
                <w:iCs/>
                <w:sz w:val="16"/>
                <w:szCs w:val="16"/>
              </w:rPr>
              <w:t>Title of the preferential scheme for which legislation on Rules of origin is applicable</w:t>
            </w:r>
          </w:p>
        </w:tc>
        <w:tc>
          <w:tcPr>
            <w:tcW w:w="3021" w:type="pct"/>
            <w:tcBorders>
              <w:top w:val="single" w:sz="4" w:space="0" w:color="000000"/>
              <w:left w:val="single" w:sz="4" w:space="0" w:color="000000"/>
              <w:bottom w:val="single" w:sz="4" w:space="0" w:color="000000"/>
              <w:right w:val="double" w:sz="4" w:space="0" w:color="000000"/>
            </w:tcBorders>
            <w:shd w:val="clear" w:color="auto" w:fill="auto"/>
          </w:tcPr>
          <w:p w:rsidR="00DF53B1" w:rsidRPr="00D904DB" w:rsidRDefault="008012F2" w:rsidP="00824F4C">
            <w:pPr>
              <w:pStyle w:val="Default"/>
              <w:spacing w:afterLines="60" w:after="144"/>
              <w:rPr>
                <w:rFonts w:cs="Arial"/>
                <w:color w:val="auto"/>
                <w:sz w:val="16"/>
                <w:szCs w:val="16"/>
                <w:lang w:val="en-GB"/>
              </w:rPr>
            </w:pPr>
            <w:r w:rsidRPr="00D904DB">
              <w:rPr>
                <w:rFonts w:eastAsia="Verdana"/>
                <w:sz w:val="16"/>
                <w:lang w:val="en-GB"/>
              </w:rPr>
              <w:t>Australian System of Tariff Preferences</w:t>
            </w:r>
            <w:r w:rsidR="00E95C6C" w:rsidRPr="00D904DB">
              <w:rPr>
                <w:rFonts w:eastAsia="Verdana"/>
                <w:sz w:val="16"/>
                <w:lang w:val="en-GB"/>
              </w:rPr>
              <w:t xml:space="preserve"> (ASTP)</w:t>
            </w:r>
          </w:p>
        </w:tc>
      </w:tr>
      <w:tr w:rsidR="00824F4C" w:rsidRPr="00D904DB" w:rsidTr="00824F4C">
        <w:tc>
          <w:tcPr>
            <w:tcW w:w="289" w:type="pct"/>
            <w:tcBorders>
              <w:top w:val="single" w:sz="4" w:space="0" w:color="000000"/>
              <w:left w:val="double" w:sz="4" w:space="0" w:color="000000"/>
              <w:bottom w:val="single" w:sz="4" w:space="0" w:color="000000"/>
            </w:tcBorders>
            <w:shd w:val="clear" w:color="auto" w:fill="auto"/>
          </w:tcPr>
          <w:p w:rsidR="00DF53B1" w:rsidRPr="00D904DB" w:rsidRDefault="00DF53B1" w:rsidP="008674BE">
            <w:pPr>
              <w:numPr>
                <w:ilvl w:val="0"/>
                <w:numId w:val="1"/>
              </w:numPr>
              <w:snapToGrid w:val="0"/>
              <w:ind w:left="567" w:hanging="567"/>
              <w:rPr>
                <w:b/>
                <w:iCs/>
                <w:sz w:val="16"/>
                <w:szCs w:val="16"/>
              </w:rPr>
            </w:pPr>
          </w:p>
        </w:tc>
        <w:tc>
          <w:tcPr>
            <w:tcW w:w="1690" w:type="pct"/>
            <w:tcBorders>
              <w:top w:val="single" w:sz="4" w:space="0" w:color="000000"/>
              <w:left w:val="single" w:sz="4" w:space="0" w:color="000000"/>
              <w:bottom w:val="single" w:sz="4" w:space="0" w:color="000000"/>
            </w:tcBorders>
            <w:shd w:val="clear" w:color="auto" w:fill="auto"/>
          </w:tcPr>
          <w:p w:rsidR="00DF53B1" w:rsidRPr="00D904DB" w:rsidRDefault="00DF53B1" w:rsidP="008674BE">
            <w:pPr>
              <w:jc w:val="left"/>
              <w:rPr>
                <w:sz w:val="16"/>
                <w:szCs w:val="16"/>
              </w:rPr>
            </w:pPr>
            <w:r w:rsidRPr="00D904DB">
              <w:rPr>
                <w:b/>
                <w:iCs/>
                <w:sz w:val="16"/>
                <w:szCs w:val="16"/>
              </w:rPr>
              <w:t>Authority(</w:t>
            </w:r>
            <w:proofErr w:type="spellStart"/>
            <w:r w:rsidRPr="00D904DB">
              <w:rPr>
                <w:b/>
                <w:iCs/>
                <w:sz w:val="16"/>
                <w:szCs w:val="16"/>
              </w:rPr>
              <w:t>ies</w:t>
            </w:r>
            <w:proofErr w:type="spellEnd"/>
            <w:r w:rsidRPr="00D904DB">
              <w:rPr>
                <w:b/>
                <w:iCs/>
                <w:sz w:val="16"/>
                <w:szCs w:val="16"/>
              </w:rPr>
              <w:t>) granting the preferential treatment</w:t>
            </w:r>
          </w:p>
        </w:tc>
        <w:tc>
          <w:tcPr>
            <w:tcW w:w="3021" w:type="pct"/>
            <w:tcBorders>
              <w:top w:val="single" w:sz="4" w:space="0" w:color="000000"/>
              <w:left w:val="single" w:sz="4" w:space="0" w:color="000000"/>
              <w:bottom w:val="single" w:sz="4" w:space="0" w:color="000000"/>
              <w:right w:val="double" w:sz="4" w:space="0" w:color="000000"/>
            </w:tcBorders>
            <w:shd w:val="clear" w:color="auto" w:fill="auto"/>
          </w:tcPr>
          <w:p w:rsidR="00DF53B1" w:rsidRPr="00D904DB" w:rsidRDefault="008012F2" w:rsidP="00824F4C">
            <w:pPr>
              <w:pStyle w:val="Default"/>
              <w:spacing w:afterLines="60" w:after="144"/>
              <w:rPr>
                <w:rFonts w:eastAsia="Verdana"/>
                <w:sz w:val="16"/>
                <w:lang w:val="en-GB"/>
              </w:rPr>
            </w:pPr>
            <w:r w:rsidRPr="00D904DB">
              <w:rPr>
                <w:color w:val="auto"/>
                <w:sz w:val="16"/>
                <w:szCs w:val="16"/>
                <w:lang w:val="en-GB"/>
              </w:rPr>
              <w:t>Australian Border Force</w:t>
            </w:r>
            <w:r w:rsidRPr="00D904DB">
              <w:rPr>
                <w:color w:val="auto"/>
                <w:sz w:val="16"/>
                <w:szCs w:val="16"/>
                <w:lang w:val="en-GB"/>
              </w:rPr>
              <w:br/>
            </w:r>
            <w:hyperlink r:id="rId8" w:history="1">
              <w:r w:rsidRPr="00D904DB">
                <w:rPr>
                  <w:rStyle w:val="Hyperlink"/>
                  <w:rFonts w:eastAsia="Verdana"/>
                  <w:sz w:val="16"/>
                  <w:lang w:val="en-GB"/>
                </w:rPr>
                <w:t>https://www.abf.gov.au/</w:t>
              </w:r>
            </w:hyperlink>
          </w:p>
        </w:tc>
      </w:tr>
      <w:tr w:rsidR="00824F4C" w:rsidRPr="00D904DB" w:rsidTr="00824F4C">
        <w:tc>
          <w:tcPr>
            <w:tcW w:w="289" w:type="pct"/>
            <w:tcBorders>
              <w:top w:val="single" w:sz="4" w:space="0" w:color="000000"/>
              <w:left w:val="double" w:sz="4" w:space="0" w:color="000000"/>
              <w:bottom w:val="double" w:sz="4" w:space="0" w:color="000000"/>
            </w:tcBorders>
            <w:shd w:val="clear" w:color="auto" w:fill="auto"/>
          </w:tcPr>
          <w:p w:rsidR="00DF53B1" w:rsidRPr="00D904DB" w:rsidRDefault="00DF53B1" w:rsidP="008674BE">
            <w:pPr>
              <w:numPr>
                <w:ilvl w:val="0"/>
                <w:numId w:val="1"/>
              </w:numPr>
              <w:snapToGrid w:val="0"/>
              <w:ind w:left="567" w:hanging="567"/>
              <w:rPr>
                <w:b/>
                <w:iCs/>
                <w:sz w:val="16"/>
                <w:szCs w:val="16"/>
              </w:rPr>
            </w:pPr>
          </w:p>
        </w:tc>
        <w:tc>
          <w:tcPr>
            <w:tcW w:w="1690" w:type="pct"/>
            <w:tcBorders>
              <w:top w:val="single" w:sz="4" w:space="0" w:color="000000"/>
              <w:left w:val="single" w:sz="4" w:space="0" w:color="000000"/>
              <w:bottom w:val="double" w:sz="4" w:space="0" w:color="000000"/>
            </w:tcBorders>
            <w:shd w:val="clear" w:color="auto" w:fill="auto"/>
          </w:tcPr>
          <w:p w:rsidR="00DF53B1" w:rsidRPr="00D904DB" w:rsidRDefault="00DF53B1" w:rsidP="008674BE">
            <w:pPr>
              <w:jc w:val="left"/>
              <w:rPr>
                <w:sz w:val="16"/>
                <w:szCs w:val="16"/>
              </w:rPr>
            </w:pPr>
            <w:r w:rsidRPr="00D904DB">
              <w:rPr>
                <w:b/>
                <w:iCs/>
                <w:sz w:val="16"/>
                <w:szCs w:val="16"/>
              </w:rPr>
              <w:t>National authorities in charge of Rules of origin administration</w:t>
            </w:r>
          </w:p>
          <w:p w:rsidR="00DF53B1" w:rsidRPr="00D904DB" w:rsidRDefault="00DF53B1" w:rsidP="008674BE">
            <w:pPr>
              <w:jc w:val="left"/>
              <w:rPr>
                <w:sz w:val="16"/>
                <w:szCs w:val="16"/>
              </w:rPr>
            </w:pPr>
          </w:p>
        </w:tc>
        <w:tc>
          <w:tcPr>
            <w:tcW w:w="3021" w:type="pct"/>
            <w:tcBorders>
              <w:top w:val="single" w:sz="4" w:space="0" w:color="000000"/>
              <w:left w:val="single" w:sz="4" w:space="0" w:color="000000"/>
              <w:bottom w:val="double" w:sz="4" w:space="0" w:color="000000"/>
              <w:right w:val="double" w:sz="4" w:space="0" w:color="000000"/>
            </w:tcBorders>
            <w:shd w:val="clear" w:color="auto" w:fill="auto"/>
          </w:tcPr>
          <w:p w:rsidR="00CF67CE" w:rsidRPr="00D904DB" w:rsidRDefault="009C2A86" w:rsidP="00CF67CE">
            <w:pPr>
              <w:pStyle w:val="Default"/>
              <w:spacing w:afterLines="60" w:after="144"/>
              <w:rPr>
                <w:rFonts w:cs="Arial"/>
                <w:color w:val="auto"/>
                <w:sz w:val="16"/>
                <w:szCs w:val="16"/>
                <w:lang w:val="en-GB"/>
              </w:rPr>
            </w:pPr>
            <w:r w:rsidRPr="00D904DB">
              <w:rPr>
                <w:color w:val="auto"/>
                <w:sz w:val="16"/>
                <w:szCs w:val="16"/>
                <w:lang w:val="en-GB"/>
              </w:rPr>
              <w:t>Australian Border Force</w:t>
            </w:r>
            <w:r w:rsidR="00DF6B48" w:rsidRPr="00D904DB">
              <w:rPr>
                <w:rFonts w:cs="Arial"/>
                <w:color w:val="auto"/>
                <w:sz w:val="16"/>
                <w:szCs w:val="16"/>
                <w:lang w:val="en-GB"/>
              </w:rPr>
              <w:br/>
            </w:r>
            <w:r w:rsidR="00CF67CE" w:rsidRPr="00D904DB">
              <w:rPr>
                <w:rFonts w:cs="Arial"/>
                <w:color w:val="auto"/>
                <w:sz w:val="16"/>
                <w:szCs w:val="16"/>
                <w:lang w:val="en-GB"/>
              </w:rPr>
              <w:t xml:space="preserve">Trade Policy Section </w:t>
            </w:r>
            <w:r w:rsidR="00CF67CE" w:rsidRPr="00D904DB">
              <w:rPr>
                <w:rFonts w:cs="Arial"/>
                <w:color w:val="auto"/>
                <w:sz w:val="16"/>
                <w:szCs w:val="16"/>
                <w:lang w:val="en-GB"/>
              </w:rPr>
              <w:br/>
            </w:r>
            <w:r w:rsidR="008012F2" w:rsidRPr="00D904DB">
              <w:rPr>
                <w:rFonts w:eastAsia="Verdana"/>
                <w:sz w:val="16"/>
                <w:lang w:val="en-GB"/>
              </w:rPr>
              <w:t>Telephone: +61 131 881 / +612 6196 0196</w:t>
            </w:r>
          </w:p>
          <w:p w:rsidR="00DF53B1" w:rsidRPr="00D904DB" w:rsidRDefault="007C6496" w:rsidP="00D8015E">
            <w:pPr>
              <w:pStyle w:val="Default"/>
              <w:tabs>
                <w:tab w:val="left" w:pos="2133"/>
              </w:tabs>
              <w:spacing w:afterLines="60" w:after="144"/>
              <w:rPr>
                <w:color w:val="auto"/>
                <w:sz w:val="16"/>
                <w:szCs w:val="16"/>
                <w:lang w:val="en-GB"/>
              </w:rPr>
            </w:pPr>
            <w:hyperlink r:id="rId9" w:history="1">
              <w:r w:rsidR="00264BA3" w:rsidRPr="00D904DB">
                <w:rPr>
                  <w:rStyle w:val="Hyperlink"/>
                  <w:rFonts w:cs="Arial"/>
                  <w:sz w:val="16"/>
                  <w:szCs w:val="16"/>
                  <w:lang w:val="en-GB"/>
                </w:rPr>
                <w:t>https://www.abf.gov.au/importing-exporting-and-manufacturing/free-trade-agreements/developing-countries-or-least-developed-countries</w:t>
              </w:r>
            </w:hyperlink>
          </w:p>
        </w:tc>
      </w:tr>
    </w:tbl>
    <w:p w:rsidR="00DF53B1" w:rsidRPr="00D904DB" w:rsidRDefault="00DF53B1" w:rsidP="00CF67CE">
      <w:pPr>
        <w:keepNext/>
        <w:pageBreakBefore/>
        <w:spacing w:after="240"/>
        <w:rPr>
          <w:szCs w:val="18"/>
        </w:rPr>
      </w:pPr>
      <w:r w:rsidRPr="00D904DB">
        <w:rPr>
          <w:b/>
          <w:bCs/>
          <w:szCs w:val="18"/>
        </w:rPr>
        <w:lastRenderedPageBreak/>
        <w:t>B.</w:t>
      </w:r>
      <w:r w:rsidRPr="00D904DB">
        <w:rPr>
          <w:b/>
          <w:bCs/>
          <w:szCs w:val="18"/>
        </w:rPr>
        <w:tab/>
      </w:r>
      <w:r w:rsidRPr="00D904DB">
        <w:rPr>
          <w:b/>
          <w:bCs/>
          <w:szCs w:val="18"/>
          <w:u w:val="single"/>
        </w:rPr>
        <w:t>INFORMATION ON RULES OF ORIGIN</w:t>
      </w:r>
    </w:p>
    <w:p w:rsidR="00DF53B1" w:rsidRPr="00D904DB" w:rsidRDefault="00DF53B1" w:rsidP="00DF53B1">
      <w:pPr>
        <w:keepNext/>
        <w:keepLines/>
        <w:spacing w:after="240"/>
        <w:rPr>
          <w:b/>
          <w:szCs w:val="18"/>
        </w:rPr>
      </w:pPr>
      <w:r w:rsidRPr="00D904DB">
        <w:rPr>
          <w:b/>
          <w:szCs w:val="18"/>
        </w:rPr>
        <w:t xml:space="preserve">I. </w:t>
      </w:r>
      <w:r w:rsidRPr="00D904DB">
        <w:rPr>
          <w:b/>
          <w:szCs w:val="18"/>
        </w:rPr>
        <w:tab/>
        <w:t>BENEFICIARIES</w:t>
      </w: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000" w:firstRow="0" w:lastRow="0" w:firstColumn="0" w:lastColumn="0" w:noHBand="0" w:noVBand="0"/>
      </w:tblPr>
      <w:tblGrid>
        <w:gridCol w:w="473"/>
        <w:gridCol w:w="3149"/>
        <w:gridCol w:w="5374"/>
      </w:tblGrid>
      <w:tr w:rsidR="00824F4C" w:rsidRPr="00D904DB" w:rsidTr="00CF67CE">
        <w:tc>
          <w:tcPr>
            <w:tcW w:w="263" w:type="pct"/>
            <w:shd w:val="clear" w:color="auto" w:fill="auto"/>
          </w:tcPr>
          <w:p w:rsidR="00824F4C" w:rsidRPr="00D904DB" w:rsidRDefault="00824F4C" w:rsidP="008674BE">
            <w:pPr>
              <w:jc w:val="center"/>
              <w:rPr>
                <w:sz w:val="16"/>
                <w:szCs w:val="16"/>
              </w:rPr>
            </w:pPr>
            <w:r w:rsidRPr="00D904DB">
              <w:rPr>
                <w:b/>
                <w:sz w:val="16"/>
                <w:szCs w:val="16"/>
              </w:rPr>
              <w:t>1)</w:t>
            </w:r>
          </w:p>
        </w:tc>
        <w:tc>
          <w:tcPr>
            <w:tcW w:w="1750" w:type="pct"/>
            <w:shd w:val="clear" w:color="auto" w:fill="auto"/>
          </w:tcPr>
          <w:p w:rsidR="00824F4C" w:rsidRPr="00D904DB" w:rsidRDefault="00824F4C" w:rsidP="008674BE">
            <w:pPr>
              <w:rPr>
                <w:sz w:val="16"/>
                <w:szCs w:val="16"/>
              </w:rPr>
            </w:pPr>
            <w:r w:rsidRPr="00D904DB">
              <w:rPr>
                <w:b/>
                <w:iCs/>
                <w:sz w:val="16"/>
                <w:szCs w:val="16"/>
              </w:rPr>
              <w:t>List of Beneficiaries</w:t>
            </w:r>
          </w:p>
        </w:tc>
        <w:tc>
          <w:tcPr>
            <w:tcW w:w="2987" w:type="pct"/>
            <w:shd w:val="clear" w:color="auto" w:fill="auto"/>
          </w:tcPr>
          <w:p w:rsidR="00824F4C" w:rsidRPr="00D904DB" w:rsidRDefault="007C6496" w:rsidP="00D8015E">
            <w:pPr>
              <w:jc w:val="left"/>
              <w:rPr>
                <w:rFonts w:cs="Arial"/>
                <w:sz w:val="16"/>
                <w:szCs w:val="16"/>
              </w:rPr>
            </w:pPr>
            <w:hyperlink r:id="rId10" w:history="1">
              <w:r w:rsidR="006F0218" w:rsidRPr="00D904DB">
                <w:rPr>
                  <w:rStyle w:val="Hyperlink"/>
                  <w:sz w:val="16"/>
                  <w:szCs w:val="16"/>
                </w:rPr>
                <w:t>https://www.abf.gov.au/importing-exporting-and-manufacturing/tariff-classification/current-tariff/schedule-1</w:t>
              </w:r>
            </w:hyperlink>
          </w:p>
        </w:tc>
      </w:tr>
      <w:tr w:rsidR="00824F4C" w:rsidRPr="00D904DB" w:rsidTr="00CF67CE">
        <w:tc>
          <w:tcPr>
            <w:tcW w:w="263" w:type="pct"/>
            <w:shd w:val="clear" w:color="auto" w:fill="auto"/>
          </w:tcPr>
          <w:p w:rsidR="00824F4C" w:rsidRPr="00D904DB" w:rsidRDefault="00824F4C" w:rsidP="008674BE">
            <w:pPr>
              <w:jc w:val="center"/>
              <w:rPr>
                <w:sz w:val="16"/>
                <w:szCs w:val="16"/>
              </w:rPr>
            </w:pPr>
            <w:r w:rsidRPr="00D904DB">
              <w:rPr>
                <w:b/>
                <w:sz w:val="16"/>
                <w:szCs w:val="16"/>
              </w:rPr>
              <w:t>2)</w:t>
            </w:r>
          </w:p>
        </w:tc>
        <w:tc>
          <w:tcPr>
            <w:tcW w:w="1750" w:type="pct"/>
            <w:shd w:val="clear" w:color="auto" w:fill="auto"/>
          </w:tcPr>
          <w:p w:rsidR="00824F4C" w:rsidRPr="00D904DB" w:rsidRDefault="00824F4C" w:rsidP="008674BE">
            <w:pPr>
              <w:rPr>
                <w:sz w:val="16"/>
                <w:szCs w:val="16"/>
              </w:rPr>
            </w:pPr>
            <w:r w:rsidRPr="00D904DB">
              <w:rPr>
                <w:b/>
                <w:iCs/>
                <w:sz w:val="16"/>
                <w:szCs w:val="16"/>
              </w:rPr>
              <w:t>Eligibility</w:t>
            </w:r>
          </w:p>
        </w:tc>
        <w:tc>
          <w:tcPr>
            <w:tcW w:w="2987" w:type="pct"/>
            <w:shd w:val="clear" w:color="auto" w:fill="auto"/>
          </w:tcPr>
          <w:p w:rsidR="00824F4C" w:rsidRPr="00D904DB" w:rsidRDefault="00E95C6C" w:rsidP="00D904DB">
            <w:pPr>
              <w:jc w:val="left"/>
              <w:rPr>
                <w:rFonts w:eastAsia="SimSun"/>
                <w:sz w:val="16"/>
                <w:szCs w:val="16"/>
              </w:rPr>
            </w:pPr>
            <w:r w:rsidRPr="00D904DB">
              <w:rPr>
                <w:bCs/>
                <w:sz w:val="16"/>
                <w:szCs w:val="16"/>
              </w:rPr>
              <w:t xml:space="preserve">A country </w:t>
            </w:r>
            <w:r w:rsidR="007949AA" w:rsidRPr="00D904DB">
              <w:rPr>
                <w:bCs/>
                <w:sz w:val="16"/>
                <w:szCs w:val="16"/>
              </w:rPr>
              <w:t>that was</w:t>
            </w:r>
            <w:r w:rsidRPr="00D904DB">
              <w:rPr>
                <w:bCs/>
                <w:sz w:val="16"/>
                <w:szCs w:val="16"/>
              </w:rPr>
              <w:t xml:space="preserve"> recognised as a least developed country by the United Nations </w:t>
            </w:r>
            <w:r w:rsidR="007949AA" w:rsidRPr="00D904DB">
              <w:rPr>
                <w:bCs/>
                <w:sz w:val="16"/>
                <w:szCs w:val="16"/>
              </w:rPr>
              <w:t xml:space="preserve">in 2003 (when </w:t>
            </w:r>
            <w:r w:rsidR="002579A2" w:rsidRPr="00D904DB">
              <w:rPr>
                <w:bCs/>
                <w:sz w:val="16"/>
                <w:szCs w:val="16"/>
              </w:rPr>
              <w:t xml:space="preserve">Australia extended </w:t>
            </w:r>
            <w:r w:rsidR="007949AA" w:rsidRPr="00D904DB">
              <w:rPr>
                <w:bCs/>
                <w:sz w:val="16"/>
                <w:szCs w:val="16"/>
              </w:rPr>
              <w:t>duty-free and quota-free</w:t>
            </w:r>
            <w:r w:rsidRPr="00D904DB">
              <w:rPr>
                <w:bCs/>
                <w:sz w:val="16"/>
                <w:szCs w:val="16"/>
              </w:rPr>
              <w:t xml:space="preserve"> </w:t>
            </w:r>
            <w:r w:rsidR="002579A2" w:rsidRPr="00D904DB">
              <w:rPr>
                <w:bCs/>
                <w:sz w:val="16"/>
                <w:szCs w:val="16"/>
              </w:rPr>
              <w:t xml:space="preserve">treatment </w:t>
            </w:r>
            <w:r w:rsidR="007949AA" w:rsidRPr="00D904DB">
              <w:rPr>
                <w:bCs/>
                <w:sz w:val="16"/>
                <w:szCs w:val="16"/>
              </w:rPr>
              <w:t>to all goods from least developed countries) receives</w:t>
            </w:r>
            <w:r w:rsidR="00045270" w:rsidRPr="00D904DB">
              <w:rPr>
                <w:bCs/>
                <w:sz w:val="16"/>
                <w:szCs w:val="16"/>
              </w:rPr>
              <w:t xml:space="preserve"> </w:t>
            </w:r>
            <w:r w:rsidR="008A36FB" w:rsidRPr="00D904DB">
              <w:rPr>
                <w:bCs/>
                <w:sz w:val="16"/>
                <w:szCs w:val="16"/>
              </w:rPr>
              <w:t xml:space="preserve">least developed country </w:t>
            </w:r>
            <w:r w:rsidR="00045270" w:rsidRPr="00D904DB">
              <w:rPr>
                <w:bCs/>
                <w:sz w:val="16"/>
                <w:szCs w:val="16"/>
              </w:rPr>
              <w:t>preferences under the ASTP</w:t>
            </w:r>
            <w:r w:rsidR="00CF67CE" w:rsidRPr="00D904DB">
              <w:rPr>
                <w:bCs/>
                <w:sz w:val="16"/>
                <w:szCs w:val="16"/>
              </w:rPr>
              <w:t>.</w:t>
            </w:r>
          </w:p>
        </w:tc>
      </w:tr>
    </w:tbl>
    <w:p w:rsidR="00983940" w:rsidRPr="00D904DB" w:rsidRDefault="00983940" w:rsidP="00983940">
      <w:pPr>
        <w:spacing w:after="0"/>
        <w:rPr>
          <w:b/>
          <w:bCs/>
          <w:szCs w:val="18"/>
        </w:rPr>
      </w:pPr>
    </w:p>
    <w:p w:rsidR="00DF53B1" w:rsidRPr="00D904DB" w:rsidRDefault="00DF53B1" w:rsidP="00DF53B1">
      <w:pPr>
        <w:spacing w:after="240"/>
        <w:rPr>
          <w:b/>
          <w:szCs w:val="18"/>
        </w:rPr>
      </w:pPr>
      <w:r w:rsidRPr="00D904DB">
        <w:rPr>
          <w:b/>
          <w:bCs/>
          <w:szCs w:val="18"/>
        </w:rPr>
        <w:t xml:space="preserve">II. </w:t>
      </w:r>
      <w:r w:rsidRPr="00D904DB">
        <w:rPr>
          <w:b/>
          <w:bCs/>
          <w:szCs w:val="18"/>
        </w:rPr>
        <w:tab/>
      </w:r>
      <w:r w:rsidRPr="00D904DB">
        <w:rPr>
          <w:b/>
          <w:szCs w:val="18"/>
        </w:rPr>
        <w:t>CRITERIA FOR DETERMINING SUBSTANTIAL TRANSFORMATION</w:t>
      </w:r>
    </w:p>
    <w:tbl>
      <w:tblPr>
        <w:tblW w:w="9253" w:type="dxa"/>
        <w:tblInd w:w="-4" w:type="dxa"/>
        <w:tblLayout w:type="fixed"/>
        <w:tblLook w:val="0000" w:firstRow="0" w:lastRow="0" w:firstColumn="0" w:lastColumn="0" w:noHBand="0" w:noVBand="0"/>
      </w:tblPr>
      <w:tblGrid>
        <w:gridCol w:w="486"/>
        <w:gridCol w:w="3266"/>
        <w:gridCol w:w="5501"/>
      </w:tblGrid>
      <w:tr w:rsidR="00CF67CE" w:rsidRPr="00D904DB" w:rsidTr="00AB47C0">
        <w:tc>
          <w:tcPr>
            <w:tcW w:w="9253" w:type="dxa"/>
            <w:gridSpan w:val="3"/>
            <w:tcBorders>
              <w:top w:val="double" w:sz="4" w:space="0" w:color="000000"/>
              <w:left w:val="double" w:sz="4" w:space="0" w:color="000000"/>
              <w:bottom w:val="single" w:sz="4" w:space="0" w:color="000000"/>
              <w:right w:val="double" w:sz="4" w:space="0" w:color="000000"/>
            </w:tcBorders>
            <w:shd w:val="clear" w:color="auto" w:fill="auto"/>
          </w:tcPr>
          <w:p w:rsidR="00CF67CE" w:rsidRPr="00D904DB" w:rsidRDefault="00CF67CE" w:rsidP="00CF67CE">
            <w:pPr>
              <w:snapToGrid w:val="0"/>
              <w:rPr>
                <w:rFonts w:cs="Arial"/>
                <w:sz w:val="16"/>
                <w:szCs w:val="16"/>
              </w:rPr>
            </w:pPr>
            <w:r w:rsidRPr="00D904DB">
              <w:rPr>
                <w:b/>
                <w:sz w:val="16"/>
                <w:szCs w:val="16"/>
              </w:rPr>
              <w:t>1)  General criteria, if applicable for all products</w:t>
            </w:r>
          </w:p>
        </w:tc>
      </w:tr>
      <w:tr w:rsidR="00DF53B1" w:rsidRPr="00D904DB" w:rsidTr="00983940">
        <w:tc>
          <w:tcPr>
            <w:tcW w:w="486" w:type="dxa"/>
            <w:tcBorders>
              <w:left w:val="double" w:sz="4" w:space="0" w:color="000000"/>
              <w:bottom w:val="single" w:sz="4" w:space="0" w:color="000000"/>
            </w:tcBorders>
            <w:shd w:val="clear" w:color="auto" w:fill="auto"/>
          </w:tcPr>
          <w:p w:rsidR="00DF53B1" w:rsidRPr="00D904DB" w:rsidRDefault="00DF53B1" w:rsidP="008674BE">
            <w:pPr>
              <w:snapToGrid w:val="0"/>
              <w:rPr>
                <w:sz w:val="16"/>
                <w:szCs w:val="16"/>
              </w:rPr>
            </w:pPr>
          </w:p>
        </w:tc>
        <w:tc>
          <w:tcPr>
            <w:tcW w:w="3266" w:type="dxa"/>
            <w:tcBorders>
              <w:left w:val="single" w:sz="4" w:space="0" w:color="000000"/>
              <w:bottom w:val="single" w:sz="4" w:space="0" w:color="000000"/>
            </w:tcBorders>
            <w:shd w:val="clear" w:color="auto" w:fill="auto"/>
          </w:tcPr>
          <w:p w:rsidR="00DF53B1" w:rsidRPr="00D904DB" w:rsidRDefault="00DF53B1" w:rsidP="008674BE">
            <w:pPr>
              <w:ind w:left="483" w:hanging="426"/>
              <w:jc w:val="left"/>
              <w:rPr>
                <w:sz w:val="16"/>
                <w:szCs w:val="16"/>
              </w:rPr>
            </w:pPr>
            <w:r w:rsidRPr="00D904DB">
              <w:rPr>
                <w:b/>
                <w:sz w:val="16"/>
                <w:szCs w:val="16"/>
              </w:rPr>
              <w:t>(a)</w:t>
            </w:r>
            <w:r w:rsidRPr="00D904DB">
              <w:rPr>
                <w:b/>
                <w:sz w:val="16"/>
                <w:szCs w:val="16"/>
              </w:rPr>
              <w:tab/>
              <w:t>Definition of wholly obtained products</w:t>
            </w:r>
          </w:p>
        </w:tc>
        <w:tc>
          <w:tcPr>
            <w:tcW w:w="5501" w:type="dxa"/>
            <w:tcBorders>
              <w:left w:val="single" w:sz="4" w:space="0" w:color="000000"/>
              <w:bottom w:val="single" w:sz="4" w:space="0" w:color="000000"/>
              <w:right w:val="double" w:sz="4" w:space="0" w:color="000000"/>
            </w:tcBorders>
            <w:shd w:val="clear" w:color="auto" w:fill="auto"/>
          </w:tcPr>
          <w:p w:rsidR="00DF53B1" w:rsidRPr="00D904DB" w:rsidRDefault="00CF67CE" w:rsidP="00D8015E">
            <w:pPr>
              <w:pStyle w:val="Default"/>
              <w:tabs>
                <w:tab w:val="left" w:pos="494"/>
              </w:tabs>
              <w:spacing w:after="60"/>
              <w:rPr>
                <w:rFonts w:cs="Arial"/>
                <w:color w:val="auto"/>
                <w:sz w:val="16"/>
                <w:szCs w:val="16"/>
                <w:lang w:val="en-GB"/>
              </w:rPr>
            </w:pPr>
            <w:r w:rsidRPr="00D904DB">
              <w:rPr>
                <w:color w:val="auto"/>
                <w:sz w:val="16"/>
                <w:szCs w:val="16"/>
                <w:lang w:val="en-GB"/>
              </w:rPr>
              <w:t>Goods claimed to be the produce of a country are the produce of that country if they are its</w:t>
            </w:r>
            <w:r w:rsidR="00D8015E" w:rsidRPr="00D904DB">
              <w:rPr>
                <w:color w:val="auto"/>
                <w:sz w:val="16"/>
                <w:szCs w:val="16"/>
                <w:lang w:val="en-GB"/>
              </w:rPr>
              <w:t xml:space="preserve"> </w:t>
            </w:r>
            <w:r w:rsidRPr="00D904DB">
              <w:rPr>
                <w:bCs/>
                <w:color w:val="auto"/>
                <w:sz w:val="16"/>
                <w:szCs w:val="16"/>
                <w:lang w:val="en-GB"/>
              </w:rPr>
              <w:t>unmanufactured raw</w:t>
            </w:r>
            <w:r w:rsidR="00D8015E" w:rsidRPr="00D904DB">
              <w:rPr>
                <w:bCs/>
                <w:color w:val="auto"/>
                <w:sz w:val="16"/>
                <w:szCs w:val="16"/>
                <w:lang w:val="en-GB"/>
              </w:rPr>
              <w:t xml:space="preserve"> </w:t>
            </w:r>
            <w:r w:rsidRPr="00D904DB">
              <w:rPr>
                <w:color w:val="auto"/>
                <w:sz w:val="16"/>
                <w:szCs w:val="16"/>
                <w:lang w:val="en-GB"/>
              </w:rPr>
              <w:t>products.</w:t>
            </w:r>
          </w:p>
        </w:tc>
      </w:tr>
      <w:tr w:rsidR="00DF53B1" w:rsidRPr="00D904DB" w:rsidTr="00983940">
        <w:tc>
          <w:tcPr>
            <w:tcW w:w="486" w:type="dxa"/>
            <w:tcBorders>
              <w:top w:val="single" w:sz="4" w:space="0" w:color="000000"/>
              <w:left w:val="double" w:sz="4" w:space="0" w:color="000000"/>
              <w:bottom w:val="single" w:sz="4" w:space="0" w:color="000000"/>
            </w:tcBorders>
            <w:shd w:val="clear" w:color="auto" w:fill="auto"/>
          </w:tcPr>
          <w:p w:rsidR="00DF53B1" w:rsidRPr="00D904DB" w:rsidRDefault="00DF53B1" w:rsidP="008674BE">
            <w:pPr>
              <w:snapToGrid w:val="0"/>
              <w:rPr>
                <w:sz w:val="16"/>
                <w:szCs w:val="16"/>
              </w:rPr>
            </w:pPr>
          </w:p>
        </w:tc>
        <w:tc>
          <w:tcPr>
            <w:tcW w:w="3266" w:type="dxa"/>
            <w:tcBorders>
              <w:top w:val="single" w:sz="4" w:space="0" w:color="000000"/>
              <w:left w:val="single" w:sz="4" w:space="0" w:color="000000"/>
              <w:bottom w:val="single" w:sz="4" w:space="0" w:color="000000"/>
            </w:tcBorders>
            <w:shd w:val="clear" w:color="auto" w:fill="auto"/>
          </w:tcPr>
          <w:p w:rsidR="00DF53B1" w:rsidRPr="00D904DB" w:rsidRDefault="00DF53B1" w:rsidP="008674BE">
            <w:pPr>
              <w:ind w:left="483" w:hanging="426"/>
              <w:jc w:val="left"/>
              <w:rPr>
                <w:sz w:val="16"/>
                <w:szCs w:val="16"/>
              </w:rPr>
            </w:pPr>
            <w:r w:rsidRPr="00D904DB">
              <w:rPr>
                <w:b/>
                <w:sz w:val="16"/>
                <w:szCs w:val="16"/>
              </w:rPr>
              <w:t xml:space="preserve">(b) </w:t>
            </w:r>
            <w:r w:rsidR="00983940" w:rsidRPr="00D904DB">
              <w:rPr>
                <w:b/>
                <w:sz w:val="16"/>
                <w:szCs w:val="16"/>
              </w:rPr>
              <w:tab/>
            </w:r>
            <w:r w:rsidRPr="00D904DB">
              <w:rPr>
                <w:b/>
                <w:sz w:val="16"/>
                <w:szCs w:val="16"/>
              </w:rPr>
              <w:t>Describe the criteria for not-wholly produced products</w:t>
            </w:r>
          </w:p>
        </w:tc>
        <w:tc>
          <w:tcPr>
            <w:tcW w:w="5501" w:type="dxa"/>
            <w:tcBorders>
              <w:top w:val="single" w:sz="4" w:space="0" w:color="000000"/>
              <w:left w:val="single" w:sz="4" w:space="0" w:color="000000"/>
              <w:bottom w:val="single" w:sz="4" w:space="0" w:color="000000"/>
              <w:right w:val="double" w:sz="4" w:space="0" w:color="000000"/>
            </w:tcBorders>
            <w:shd w:val="clear" w:color="auto" w:fill="auto"/>
          </w:tcPr>
          <w:p w:rsidR="00DF2BE6" w:rsidRPr="00D904DB" w:rsidRDefault="00DF2BE6" w:rsidP="00DF2BE6">
            <w:pPr>
              <w:pStyle w:val="Default"/>
              <w:tabs>
                <w:tab w:val="left" w:pos="494"/>
              </w:tabs>
              <w:spacing w:after="60"/>
              <w:rPr>
                <w:color w:val="auto"/>
                <w:sz w:val="16"/>
                <w:szCs w:val="16"/>
                <w:lang w:val="en-GB"/>
              </w:rPr>
            </w:pPr>
            <w:r w:rsidRPr="00D904DB">
              <w:rPr>
                <w:color w:val="auto"/>
                <w:sz w:val="16"/>
                <w:szCs w:val="16"/>
                <w:lang w:val="en-GB"/>
              </w:rPr>
              <w:t>Goods are the manufacture of an Least Developed Country (LDC) if: the last process in the manufacture of the goods was performed in an LDC; and the allowable factory cost of the goods is not less than 50%</w:t>
            </w:r>
            <w:r w:rsidR="000E416D" w:rsidRPr="00D904DB">
              <w:rPr>
                <w:color w:val="auto"/>
                <w:sz w:val="16"/>
                <w:szCs w:val="16"/>
                <w:lang w:val="en-GB"/>
              </w:rPr>
              <w:t xml:space="preserve"> of the total factory </w:t>
            </w:r>
            <w:r w:rsidRPr="00D904DB">
              <w:rPr>
                <w:color w:val="auto"/>
                <w:sz w:val="16"/>
                <w:szCs w:val="16"/>
                <w:lang w:val="en-GB"/>
              </w:rPr>
              <w:t>cost of the goods.</w:t>
            </w:r>
          </w:p>
          <w:p w:rsidR="00DF53B1" w:rsidRPr="00D904DB" w:rsidRDefault="00DF2BE6" w:rsidP="00DF2BE6">
            <w:pPr>
              <w:pStyle w:val="Default"/>
              <w:tabs>
                <w:tab w:val="left" w:pos="494"/>
              </w:tabs>
              <w:spacing w:after="60"/>
              <w:rPr>
                <w:color w:val="auto"/>
                <w:sz w:val="16"/>
                <w:szCs w:val="16"/>
                <w:lang w:val="en-GB"/>
              </w:rPr>
            </w:pPr>
            <w:r w:rsidRPr="00D904DB">
              <w:rPr>
                <w:color w:val="auto"/>
                <w:sz w:val="16"/>
                <w:szCs w:val="16"/>
                <w:lang w:val="en-GB"/>
              </w:rPr>
              <w:t>For LDC preferences, at least 25% of the al</w:t>
            </w:r>
            <w:r w:rsidR="000E416D" w:rsidRPr="00D904DB">
              <w:rPr>
                <w:color w:val="auto"/>
                <w:sz w:val="16"/>
                <w:szCs w:val="16"/>
                <w:lang w:val="en-GB"/>
              </w:rPr>
              <w:t>lowable factory</w:t>
            </w:r>
            <w:r w:rsidRPr="00D904DB">
              <w:rPr>
                <w:color w:val="auto"/>
                <w:sz w:val="16"/>
                <w:szCs w:val="16"/>
                <w:lang w:val="en-GB"/>
              </w:rPr>
              <w:t xml:space="preserve"> cost of the goods must be from one or more LDCs, with at least 25% from other countries in the qualifying area.</w:t>
            </w:r>
          </w:p>
        </w:tc>
      </w:tr>
      <w:tr w:rsidR="00DF53B1" w:rsidRPr="00D904DB" w:rsidTr="00C97098">
        <w:trPr>
          <w:cantSplit/>
        </w:trPr>
        <w:tc>
          <w:tcPr>
            <w:tcW w:w="486" w:type="dxa"/>
            <w:tcBorders>
              <w:top w:val="single" w:sz="4" w:space="0" w:color="000000"/>
              <w:left w:val="double" w:sz="4" w:space="0" w:color="000000"/>
              <w:bottom w:val="single" w:sz="4" w:space="0" w:color="000000"/>
            </w:tcBorders>
            <w:shd w:val="clear" w:color="auto" w:fill="auto"/>
          </w:tcPr>
          <w:p w:rsidR="00DF53B1" w:rsidRPr="00D904DB" w:rsidRDefault="00DF53B1" w:rsidP="008674BE">
            <w:pPr>
              <w:snapToGrid w:val="0"/>
              <w:rPr>
                <w:sz w:val="16"/>
                <w:szCs w:val="16"/>
              </w:rPr>
            </w:pPr>
          </w:p>
        </w:tc>
        <w:tc>
          <w:tcPr>
            <w:tcW w:w="3266" w:type="dxa"/>
            <w:tcBorders>
              <w:top w:val="single" w:sz="4" w:space="0" w:color="000000"/>
              <w:left w:val="single" w:sz="4" w:space="0" w:color="000000"/>
              <w:bottom w:val="single" w:sz="4" w:space="0" w:color="000000"/>
            </w:tcBorders>
            <w:shd w:val="clear" w:color="auto" w:fill="auto"/>
          </w:tcPr>
          <w:p w:rsidR="00DF53B1" w:rsidRPr="00D904DB" w:rsidRDefault="00DF53B1" w:rsidP="008674BE">
            <w:pPr>
              <w:ind w:left="483" w:hanging="426"/>
              <w:jc w:val="left"/>
              <w:rPr>
                <w:sz w:val="16"/>
                <w:szCs w:val="16"/>
              </w:rPr>
            </w:pPr>
            <w:r w:rsidRPr="00D904DB">
              <w:rPr>
                <w:b/>
                <w:sz w:val="16"/>
                <w:szCs w:val="16"/>
              </w:rPr>
              <w:t xml:space="preserve">(c) </w:t>
            </w:r>
            <w:r w:rsidRPr="00D904DB">
              <w:rPr>
                <w:b/>
                <w:sz w:val="16"/>
                <w:szCs w:val="16"/>
              </w:rPr>
              <w:tab/>
              <w:t xml:space="preserve">Insert the formula for calculating </w:t>
            </w:r>
            <w:r w:rsidRPr="00D904DB">
              <w:rPr>
                <w:b/>
                <w:i/>
                <w:sz w:val="16"/>
                <w:szCs w:val="16"/>
              </w:rPr>
              <w:t>ad valorem</w:t>
            </w:r>
            <w:r w:rsidRPr="00D904DB">
              <w:rPr>
                <w:b/>
                <w:sz w:val="16"/>
                <w:szCs w:val="16"/>
              </w:rPr>
              <w:t xml:space="preserve"> percentage </w:t>
            </w:r>
          </w:p>
        </w:tc>
        <w:tc>
          <w:tcPr>
            <w:tcW w:w="5501" w:type="dxa"/>
            <w:tcBorders>
              <w:top w:val="single" w:sz="4" w:space="0" w:color="000000"/>
              <w:left w:val="single" w:sz="4" w:space="0" w:color="000000"/>
              <w:bottom w:val="single" w:sz="4" w:space="0" w:color="000000"/>
              <w:right w:val="double" w:sz="4" w:space="0" w:color="000000"/>
            </w:tcBorders>
            <w:shd w:val="clear" w:color="auto" w:fill="auto"/>
          </w:tcPr>
          <w:p w:rsidR="00DF2BE6" w:rsidRPr="00D904DB" w:rsidRDefault="00DF2BE6" w:rsidP="00DF2BE6">
            <w:pPr>
              <w:pStyle w:val="Default"/>
              <w:tabs>
                <w:tab w:val="left" w:pos="494"/>
              </w:tabs>
              <w:spacing w:after="60"/>
              <w:rPr>
                <w:color w:val="auto"/>
                <w:sz w:val="16"/>
                <w:szCs w:val="16"/>
                <w:lang w:val="en-GB"/>
              </w:rPr>
            </w:pPr>
            <w:r w:rsidRPr="00D904DB">
              <w:rPr>
                <w:color w:val="auto"/>
                <w:sz w:val="16"/>
                <w:szCs w:val="16"/>
                <w:lang w:val="en-GB"/>
              </w:rPr>
              <w:t>% = Allowable Factory Costs/Total Factory</w:t>
            </w:r>
            <w:r w:rsidR="000E416D" w:rsidRPr="00D904DB">
              <w:rPr>
                <w:color w:val="auto"/>
                <w:sz w:val="16"/>
                <w:szCs w:val="16"/>
                <w:lang w:val="en-GB"/>
              </w:rPr>
              <w:t xml:space="preserve"> </w:t>
            </w:r>
            <w:r w:rsidRPr="00D904DB">
              <w:rPr>
                <w:color w:val="auto"/>
                <w:sz w:val="16"/>
                <w:szCs w:val="16"/>
                <w:lang w:val="en-GB"/>
              </w:rPr>
              <w:t>Costs</w:t>
            </w:r>
          </w:p>
          <w:p w:rsidR="00DF2BE6" w:rsidRPr="00D904DB" w:rsidRDefault="00DF2BE6" w:rsidP="00DF2BE6">
            <w:pPr>
              <w:pStyle w:val="Default"/>
              <w:tabs>
                <w:tab w:val="left" w:pos="494"/>
              </w:tabs>
              <w:spacing w:after="60"/>
              <w:rPr>
                <w:color w:val="auto"/>
                <w:sz w:val="16"/>
                <w:szCs w:val="16"/>
                <w:lang w:val="en-GB"/>
              </w:rPr>
            </w:pPr>
            <w:r w:rsidRPr="00D904DB">
              <w:rPr>
                <w:color w:val="auto"/>
                <w:sz w:val="16"/>
                <w:szCs w:val="16"/>
                <w:lang w:val="en-GB"/>
              </w:rPr>
              <w:t xml:space="preserve">Section 153B of the Customs Act defines "allowable factory cost" and "total factory cost" in terms of materials, labour and overhead. </w:t>
            </w:r>
          </w:p>
          <w:p w:rsidR="00DF53B1" w:rsidRPr="00D904DB" w:rsidRDefault="00DF2BE6" w:rsidP="00DF2BE6">
            <w:pPr>
              <w:pStyle w:val="Default"/>
              <w:tabs>
                <w:tab w:val="left" w:pos="494"/>
              </w:tabs>
              <w:spacing w:after="60"/>
              <w:rPr>
                <w:color w:val="auto"/>
                <w:sz w:val="16"/>
                <w:szCs w:val="16"/>
                <w:lang w:val="en-GB"/>
              </w:rPr>
            </w:pPr>
            <w:r w:rsidRPr="00D904DB">
              <w:rPr>
                <w:color w:val="auto"/>
                <w:sz w:val="16"/>
                <w:szCs w:val="16"/>
                <w:lang w:val="en-GB"/>
              </w:rPr>
              <w:t>Sections 153D and 153E of the Customs Act establish rules for calculating the total expenditure and allowable expenditure respectively in regard to materials received at the factory.</w:t>
            </w:r>
          </w:p>
        </w:tc>
      </w:tr>
      <w:tr w:rsidR="00422F63" w:rsidRPr="00D904DB" w:rsidTr="008674BE">
        <w:tc>
          <w:tcPr>
            <w:tcW w:w="486" w:type="dxa"/>
            <w:tcBorders>
              <w:top w:val="single" w:sz="4" w:space="0" w:color="000000"/>
              <w:left w:val="double" w:sz="4" w:space="0" w:color="000000"/>
              <w:bottom w:val="single" w:sz="4" w:space="0" w:color="000000"/>
            </w:tcBorders>
            <w:shd w:val="clear" w:color="auto" w:fill="auto"/>
          </w:tcPr>
          <w:p w:rsidR="00422F63" w:rsidRPr="00D904DB" w:rsidRDefault="00422F63" w:rsidP="008674BE">
            <w:pPr>
              <w:snapToGrid w:val="0"/>
              <w:rPr>
                <w:sz w:val="16"/>
                <w:szCs w:val="16"/>
              </w:rPr>
            </w:pPr>
            <w:r w:rsidRPr="00D904DB">
              <w:rPr>
                <w:b/>
                <w:iCs/>
                <w:sz w:val="16"/>
                <w:szCs w:val="16"/>
              </w:rPr>
              <w:t xml:space="preserve">2)  </w:t>
            </w:r>
          </w:p>
        </w:tc>
        <w:tc>
          <w:tcPr>
            <w:tcW w:w="3266" w:type="dxa"/>
            <w:tcBorders>
              <w:top w:val="single" w:sz="4" w:space="0" w:color="000000"/>
              <w:left w:val="single" w:sz="4" w:space="0" w:color="000000"/>
              <w:bottom w:val="single" w:sz="4" w:space="0" w:color="000000"/>
            </w:tcBorders>
            <w:shd w:val="clear" w:color="auto" w:fill="auto"/>
          </w:tcPr>
          <w:p w:rsidR="00422F63" w:rsidRPr="00D904DB" w:rsidRDefault="00422F63" w:rsidP="00026326">
            <w:pPr>
              <w:ind w:left="57"/>
              <w:jc w:val="left"/>
              <w:rPr>
                <w:b/>
                <w:sz w:val="16"/>
                <w:szCs w:val="16"/>
              </w:rPr>
            </w:pPr>
            <w:r w:rsidRPr="00D904DB">
              <w:rPr>
                <w:b/>
                <w:iCs/>
                <w:sz w:val="16"/>
                <w:szCs w:val="16"/>
              </w:rPr>
              <w:t>Product specific rules of origin, where applicable</w:t>
            </w:r>
          </w:p>
        </w:tc>
        <w:tc>
          <w:tcPr>
            <w:tcW w:w="5501" w:type="dxa"/>
            <w:vMerge w:val="restart"/>
            <w:tcBorders>
              <w:top w:val="single" w:sz="4" w:space="0" w:color="000000"/>
              <w:left w:val="single" w:sz="4" w:space="0" w:color="000000"/>
              <w:right w:val="double" w:sz="4" w:space="0" w:color="000000"/>
            </w:tcBorders>
            <w:shd w:val="clear" w:color="auto" w:fill="auto"/>
          </w:tcPr>
          <w:p w:rsidR="00422F63" w:rsidRPr="00D904DB" w:rsidRDefault="00DF2BE6" w:rsidP="00422F63">
            <w:pPr>
              <w:jc w:val="left"/>
              <w:rPr>
                <w:sz w:val="16"/>
                <w:szCs w:val="16"/>
              </w:rPr>
            </w:pPr>
            <w:r w:rsidRPr="00D904DB">
              <w:rPr>
                <w:sz w:val="16"/>
                <w:szCs w:val="16"/>
              </w:rPr>
              <w:t xml:space="preserve">No product specific rules of origin. </w:t>
            </w:r>
          </w:p>
        </w:tc>
      </w:tr>
      <w:tr w:rsidR="00422F63" w:rsidRPr="00D904DB" w:rsidTr="008674BE">
        <w:tc>
          <w:tcPr>
            <w:tcW w:w="486" w:type="dxa"/>
            <w:tcBorders>
              <w:top w:val="single" w:sz="4" w:space="0" w:color="000000"/>
              <w:left w:val="double" w:sz="4" w:space="0" w:color="000000"/>
              <w:bottom w:val="single" w:sz="4" w:space="0" w:color="000000"/>
            </w:tcBorders>
            <w:shd w:val="clear" w:color="auto" w:fill="auto"/>
          </w:tcPr>
          <w:p w:rsidR="00422F63" w:rsidRPr="00D904DB" w:rsidRDefault="00422F63" w:rsidP="008674BE">
            <w:pPr>
              <w:snapToGrid w:val="0"/>
              <w:rPr>
                <w:bCs/>
                <w:iCs/>
                <w:sz w:val="16"/>
                <w:szCs w:val="16"/>
              </w:rPr>
            </w:pPr>
          </w:p>
        </w:tc>
        <w:tc>
          <w:tcPr>
            <w:tcW w:w="3266" w:type="dxa"/>
            <w:tcBorders>
              <w:top w:val="single" w:sz="4" w:space="0" w:color="000000"/>
              <w:left w:val="single" w:sz="4" w:space="0" w:color="000000"/>
              <w:bottom w:val="single" w:sz="4" w:space="0" w:color="000000"/>
            </w:tcBorders>
            <w:shd w:val="clear" w:color="auto" w:fill="auto"/>
          </w:tcPr>
          <w:p w:rsidR="00422F63" w:rsidRPr="00D904DB" w:rsidRDefault="00422F63" w:rsidP="008674BE">
            <w:pPr>
              <w:ind w:left="483" w:hanging="426"/>
              <w:jc w:val="left"/>
              <w:rPr>
                <w:sz w:val="16"/>
                <w:szCs w:val="16"/>
              </w:rPr>
            </w:pPr>
            <w:r w:rsidRPr="00D904DB">
              <w:rPr>
                <w:b/>
                <w:bCs/>
                <w:sz w:val="16"/>
                <w:szCs w:val="16"/>
              </w:rPr>
              <w:t xml:space="preserve">(a) </w:t>
            </w:r>
            <w:r w:rsidRPr="00D904DB">
              <w:rPr>
                <w:b/>
                <w:bCs/>
                <w:sz w:val="16"/>
                <w:szCs w:val="16"/>
              </w:rPr>
              <w:tab/>
            </w:r>
            <w:r w:rsidRPr="00D904DB">
              <w:rPr>
                <w:b/>
                <w:sz w:val="16"/>
                <w:szCs w:val="16"/>
              </w:rPr>
              <w:t>Insert</w:t>
            </w:r>
            <w:r w:rsidRPr="00D904DB">
              <w:rPr>
                <w:b/>
                <w:bCs/>
                <w:sz w:val="16"/>
                <w:szCs w:val="16"/>
              </w:rPr>
              <w:t xml:space="preserve"> the link where the complete list of product specific rules of origin can be found.</w:t>
            </w:r>
          </w:p>
        </w:tc>
        <w:tc>
          <w:tcPr>
            <w:tcW w:w="5501" w:type="dxa"/>
            <w:vMerge/>
            <w:tcBorders>
              <w:left w:val="single" w:sz="4" w:space="0" w:color="000000"/>
              <w:right w:val="double" w:sz="4" w:space="0" w:color="000000"/>
            </w:tcBorders>
            <w:shd w:val="clear" w:color="auto" w:fill="auto"/>
          </w:tcPr>
          <w:p w:rsidR="00422F63" w:rsidRPr="00D904DB" w:rsidRDefault="00422F63"/>
        </w:tc>
      </w:tr>
      <w:tr w:rsidR="00422F63" w:rsidRPr="00D904DB" w:rsidTr="008674BE">
        <w:tc>
          <w:tcPr>
            <w:tcW w:w="486" w:type="dxa"/>
            <w:tcBorders>
              <w:top w:val="single" w:sz="4" w:space="0" w:color="000000"/>
              <w:left w:val="double" w:sz="4" w:space="0" w:color="000000"/>
              <w:bottom w:val="single" w:sz="4" w:space="0" w:color="000000"/>
            </w:tcBorders>
            <w:shd w:val="clear" w:color="auto" w:fill="auto"/>
          </w:tcPr>
          <w:p w:rsidR="00422F63" w:rsidRPr="00D904DB" w:rsidRDefault="00422F63" w:rsidP="008674BE">
            <w:pPr>
              <w:snapToGrid w:val="0"/>
              <w:rPr>
                <w:bCs/>
                <w:sz w:val="16"/>
                <w:szCs w:val="16"/>
              </w:rPr>
            </w:pPr>
          </w:p>
        </w:tc>
        <w:tc>
          <w:tcPr>
            <w:tcW w:w="3266" w:type="dxa"/>
            <w:tcBorders>
              <w:top w:val="single" w:sz="4" w:space="0" w:color="000000"/>
              <w:left w:val="single" w:sz="4" w:space="0" w:color="000000"/>
              <w:bottom w:val="single" w:sz="4" w:space="0" w:color="000000"/>
            </w:tcBorders>
            <w:shd w:val="clear" w:color="auto" w:fill="auto"/>
          </w:tcPr>
          <w:p w:rsidR="00422F63" w:rsidRPr="00D904DB" w:rsidRDefault="00422F63" w:rsidP="008674BE">
            <w:pPr>
              <w:ind w:left="483" w:hanging="426"/>
              <w:jc w:val="left"/>
              <w:rPr>
                <w:sz w:val="16"/>
                <w:szCs w:val="16"/>
              </w:rPr>
            </w:pPr>
            <w:r w:rsidRPr="00D904DB">
              <w:rPr>
                <w:b/>
                <w:bCs/>
                <w:sz w:val="16"/>
                <w:szCs w:val="16"/>
              </w:rPr>
              <w:t xml:space="preserve">(b) </w:t>
            </w:r>
            <w:r w:rsidRPr="00D904DB">
              <w:rPr>
                <w:b/>
                <w:sz w:val="16"/>
                <w:szCs w:val="16"/>
              </w:rPr>
              <w:t xml:space="preserve">Insert the formula for calculating </w:t>
            </w:r>
            <w:r w:rsidRPr="00D904DB">
              <w:rPr>
                <w:b/>
                <w:i/>
                <w:sz w:val="16"/>
                <w:szCs w:val="16"/>
              </w:rPr>
              <w:t>ad valorem</w:t>
            </w:r>
            <w:r w:rsidRPr="00D904DB">
              <w:rPr>
                <w:b/>
                <w:sz w:val="16"/>
                <w:szCs w:val="16"/>
              </w:rPr>
              <w:t xml:space="preserve"> percentage, when applied for product specific rule</w:t>
            </w:r>
          </w:p>
        </w:tc>
        <w:tc>
          <w:tcPr>
            <w:tcW w:w="5501" w:type="dxa"/>
            <w:vMerge/>
            <w:tcBorders>
              <w:left w:val="single" w:sz="4" w:space="0" w:color="000000"/>
              <w:bottom w:val="single" w:sz="4" w:space="0" w:color="000000"/>
              <w:right w:val="double" w:sz="4" w:space="0" w:color="000000"/>
            </w:tcBorders>
            <w:shd w:val="clear" w:color="auto" w:fill="auto"/>
          </w:tcPr>
          <w:p w:rsidR="00422F63" w:rsidRPr="00D904DB" w:rsidRDefault="00422F63"/>
        </w:tc>
      </w:tr>
      <w:tr w:rsidR="00DF53B1" w:rsidRPr="00D904DB" w:rsidTr="00983940">
        <w:tc>
          <w:tcPr>
            <w:tcW w:w="486" w:type="dxa"/>
            <w:tcBorders>
              <w:top w:val="single" w:sz="4" w:space="0" w:color="000000"/>
              <w:left w:val="double" w:sz="4" w:space="0" w:color="000000"/>
              <w:bottom w:val="single" w:sz="4" w:space="0" w:color="000000"/>
            </w:tcBorders>
            <w:shd w:val="clear" w:color="auto" w:fill="auto"/>
          </w:tcPr>
          <w:p w:rsidR="00DF53B1" w:rsidRPr="00D904DB" w:rsidRDefault="00DF53B1" w:rsidP="008674BE">
            <w:pPr>
              <w:jc w:val="center"/>
              <w:rPr>
                <w:sz w:val="16"/>
                <w:szCs w:val="16"/>
              </w:rPr>
            </w:pPr>
            <w:r w:rsidRPr="00D904DB">
              <w:rPr>
                <w:b/>
                <w:sz w:val="16"/>
                <w:szCs w:val="16"/>
              </w:rPr>
              <w:t>3)</w:t>
            </w:r>
          </w:p>
        </w:tc>
        <w:tc>
          <w:tcPr>
            <w:tcW w:w="3266" w:type="dxa"/>
            <w:tcBorders>
              <w:top w:val="single" w:sz="4" w:space="0" w:color="000000"/>
              <w:left w:val="single" w:sz="4" w:space="0" w:color="000000"/>
              <w:bottom w:val="single" w:sz="4" w:space="0" w:color="000000"/>
            </w:tcBorders>
            <w:shd w:val="clear" w:color="auto" w:fill="auto"/>
          </w:tcPr>
          <w:p w:rsidR="00DF53B1" w:rsidRPr="00D904DB" w:rsidRDefault="00DF53B1" w:rsidP="008674BE">
            <w:pPr>
              <w:jc w:val="left"/>
              <w:rPr>
                <w:sz w:val="16"/>
                <w:szCs w:val="16"/>
              </w:rPr>
            </w:pPr>
            <w:r w:rsidRPr="00D904DB">
              <w:rPr>
                <w:b/>
                <w:sz w:val="16"/>
                <w:szCs w:val="16"/>
              </w:rPr>
              <w:t>Definition of non-originating material and originating material, if any</w:t>
            </w:r>
          </w:p>
        </w:tc>
        <w:tc>
          <w:tcPr>
            <w:tcW w:w="5501" w:type="dxa"/>
            <w:tcBorders>
              <w:top w:val="single" w:sz="4" w:space="0" w:color="000000"/>
              <w:left w:val="single" w:sz="4" w:space="0" w:color="000000"/>
              <w:bottom w:val="single" w:sz="4" w:space="0" w:color="000000"/>
              <w:right w:val="double" w:sz="4" w:space="0" w:color="000000"/>
            </w:tcBorders>
            <w:shd w:val="clear" w:color="auto" w:fill="auto"/>
          </w:tcPr>
          <w:p w:rsidR="00DF53B1" w:rsidRPr="00D904DB" w:rsidRDefault="00DF2BE6" w:rsidP="00422F63">
            <w:pPr>
              <w:pStyle w:val="Default"/>
              <w:spacing w:after="60"/>
              <w:rPr>
                <w:rFonts w:cs="Arial"/>
                <w:color w:val="auto"/>
                <w:sz w:val="16"/>
                <w:szCs w:val="16"/>
                <w:lang w:val="en-GB"/>
              </w:rPr>
            </w:pPr>
            <w:r w:rsidRPr="00D904DB">
              <w:rPr>
                <w:color w:val="auto"/>
                <w:sz w:val="16"/>
                <w:szCs w:val="16"/>
                <w:lang w:val="en-GB"/>
              </w:rPr>
              <w:t>Not applicable.</w:t>
            </w:r>
          </w:p>
        </w:tc>
      </w:tr>
      <w:tr w:rsidR="00DF53B1" w:rsidRPr="00D904DB" w:rsidTr="00983940">
        <w:tc>
          <w:tcPr>
            <w:tcW w:w="486" w:type="dxa"/>
            <w:tcBorders>
              <w:top w:val="single" w:sz="4" w:space="0" w:color="000000"/>
              <w:left w:val="double" w:sz="4" w:space="0" w:color="000000"/>
              <w:bottom w:val="single" w:sz="4" w:space="0" w:color="000000"/>
            </w:tcBorders>
            <w:shd w:val="clear" w:color="auto" w:fill="auto"/>
          </w:tcPr>
          <w:p w:rsidR="00DF53B1" w:rsidRPr="00D904DB" w:rsidRDefault="00DF53B1" w:rsidP="008674BE">
            <w:pPr>
              <w:jc w:val="center"/>
              <w:rPr>
                <w:sz w:val="16"/>
                <w:szCs w:val="16"/>
              </w:rPr>
            </w:pPr>
            <w:r w:rsidRPr="00D904DB">
              <w:rPr>
                <w:b/>
                <w:sz w:val="16"/>
                <w:szCs w:val="16"/>
              </w:rPr>
              <w:t>4)</w:t>
            </w:r>
          </w:p>
        </w:tc>
        <w:tc>
          <w:tcPr>
            <w:tcW w:w="3266" w:type="dxa"/>
            <w:tcBorders>
              <w:top w:val="single" w:sz="4" w:space="0" w:color="000000"/>
              <w:left w:val="single" w:sz="4" w:space="0" w:color="000000"/>
              <w:bottom w:val="single" w:sz="4" w:space="0" w:color="000000"/>
            </w:tcBorders>
            <w:shd w:val="clear" w:color="auto" w:fill="auto"/>
          </w:tcPr>
          <w:p w:rsidR="00DF53B1" w:rsidRPr="00D904DB" w:rsidRDefault="00DF53B1" w:rsidP="008674BE">
            <w:pPr>
              <w:jc w:val="left"/>
              <w:rPr>
                <w:sz w:val="16"/>
                <w:szCs w:val="16"/>
              </w:rPr>
            </w:pPr>
            <w:r w:rsidRPr="00D904DB">
              <w:rPr>
                <w:b/>
                <w:sz w:val="16"/>
                <w:szCs w:val="16"/>
              </w:rPr>
              <w:t>List of insufficient working process, if any</w:t>
            </w:r>
          </w:p>
        </w:tc>
        <w:tc>
          <w:tcPr>
            <w:tcW w:w="5501" w:type="dxa"/>
            <w:tcBorders>
              <w:top w:val="single" w:sz="4" w:space="0" w:color="000000"/>
              <w:left w:val="single" w:sz="4" w:space="0" w:color="000000"/>
              <w:bottom w:val="single" w:sz="4" w:space="0" w:color="000000"/>
              <w:right w:val="double" w:sz="4" w:space="0" w:color="000000"/>
            </w:tcBorders>
            <w:shd w:val="clear" w:color="auto" w:fill="auto"/>
          </w:tcPr>
          <w:p w:rsidR="00DF53B1" w:rsidRPr="00D904DB" w:rsidRDefault="00DF2BE6" w:rsidP="00DF2BE6">
            <w:pPr>
              <w:pStyle w:val="Default"/>
              <w:spacing w:after="60"/>
              <w:rPr>
                <w:color w:val="auto"/>
                <w:sz w:val="16"/>
                <w:szCs w:val="16"/>
                <w:lang w:val="en-GB"/>
              </w:rPr>
            </w:pPr>
            <w:r w:rsidRPr="00D904DB">
              <w:rPr>
                <w:color w:val="auto"/>
                <w:sz w:val="16"/>
                <w:szCs w:val="16"/>
                <w:lang w:val="en-GB"/>
              </w:rPr>
              <w:t>The manufacturer of the preference claim goods must perform the last process in the manufacture of those goods. The last process of manufacture must be determined on a case-by-case basis with due regard to the nature of the goods concerned and the processes to which they have been subjected. Manufacture does not include restoration, refitting and/or repair of goods. The manufacturer must be making a different thing from that out of which it is made.</w:t>
            </w:r>
          </w:p>
        </w:tc>
      </w:tr>
      <w:tr w:rsidR="00DF53B1" w:rsidRPr="00D904DB" w:rsidTr="00983940">
        <w:tc>
          <w:tcPr>
            <w:tcW w:w="486" w:type="dxa"/>
            <w:tcBorders>
              <w:top w:val="single" w:sz="4" w:space="0" w:color="000000"/>
              <w:left w:val="double" w:sz="4" w:space="0" w:color="000000"/>
              <w:bottom w:val="single" w:sz="4" w:space="0" w:color="000000"/>
            </w:tcBorders>
            <w:shd w:val="clear" w:color="auto" w:fill="auto"/>
          </w:tcPr>
          <w:p w:rsidR="00DF53B1" w:rsidRPr="00D904DB" w:rsidRDefault="00DF53B1" w:rsidP="00D904DB">
            <w:pPr>
              <w:keepNext/>
              <w:jc w:val="center"/>
              <w:rPr>
                <w:sz w:val="16"/>
                <w:szCs w:val="16"/>
              </w:rPr>
            </w:pPr>
            <w:r w:rsidRPr="00D904DB">
              <w:rPr>
                <w:b/>
                <w:sz w:val="16"/>
                <w:szCs w:val="16"/>
              </w:rPr>
              <w:lastRenderedPageBreak/>
              <w:t>5)</w:t>
            </w:r>
          </w:p>
        </w:tc>
        <w:tc>
          <w:tcPr>
            <w:tcW w:w="3266" w:type="dxa"/>
            <w:tcBorders>
              <w:top w:val="single" w:sz="4" w:space="0" w:color="000000"/>
              <w:left w:val="single" w:sz="4" w:space="0" w:color="000000"/>
              <w:bottom w:val="single" w:sz="4" w:space="0" w:color="000000"/>
            </w:tcBorders>
            <w:shd w:val="clear" w:color="auto" w:fill="auto"/>
          </w:tcPr>
          <w:p w:rsidR="00DF53B1" w:rsidRPr="00D904DB" w:rsidRDefault="00DF53B1" w:rsidP="00D904DB">
            <w:pPr>
              <w:keepNext/>
              <w:jc w:val="left"/>
              <w:rPr>
                <w:sz w:val="16"/>
                <w:szCs w:val="16"/>
              </w:rPr>
            </w:pPr>
            <w:r w:rsidRPr="00D904DB">
              <w:rPr>
                <w:b/>
                <w:sz w:val="16"/>
                <w:szCs w:val="16"/>
              </w:rPr>
              <w:t>Rules for application of cumulation and related procedures if any</w:t>
            </w:r>
          </w:p>
        </w:tc>
        <w:tc>
          <w:tcPr>
            <w:tcW w:w="5501" w:type="dxa"/>
            <w:tcBorders>
              <w:top w:val="single" w:sz="4" w:space="0" w:color="000000"/>
              <w:left w:val="single" w:sz="4" w:space="0" w:color="000000"/>
              <w:bottom w:val="single" w:sz="4" w:space="0" w:color="000000"/>
              <w:right w:val="double" w:sz="4" w:space="0" w:color="000000"/>
            </w:tcBorders>
            <w:shd w:val="clear" w:color="auto" w:fill="auto"/>
          </w:tcPr>
          <w:p w:rsidR="00DF2BE6" w:rsidRPr="00D904DB" w:rsidRDefault="00DF2BE6" w:rsidP="00D904DB">
            <w:pPr>
              <w:pStyle w:val="Default"/>
              <w:keepNext/>
              <w:spacing w:after="60"/>
              <w:rPr>
                <w:color w:val="auto"/>
                <w:sz w:val="16"/>
                <w:szCs w:val="16"/>
                <w:lang w:val="en-GB"/>
              </w:rPr>
            </w:pPr>
            <w:r w:rsidRPr="00D904DB">
              <w:rPr>
                <w:color w:val="auto"/>
                <w:sz w:val="16"/>
                <w:szCs w:val="16"/>
                <w:lang w:val="en-GB"/>
              </w:rPr>
              <w:t xml:space="preserve">LDC goods qualify for preference if a specified percentage (50%) of the total factory cost in producing those goods constitutes allowable expenditure in relation to the particular "qualifying area". </w:t>
            </w:r>
          </w:p>
          <w:p w:rsidR="00DF53B1" w:rsidRPr="00D904DB" w:rsidRDefault="00DF2BE6" w:rsidP="00D904DB">
            <w:pPr>
              <w:pStyle w:val="Default"/>
              <w:keepNext/>
              <w:spacing w:after="60"/>
              <w:rPr>
                <w:color w:val="auto"/>
                <w:sz w:val="16"/>
                <w:szCs w:val="16"/>
                <w:lang w:val="en-GB"/>
              </w:rPr>
            </w:pPr>
            <w:r w:rsidRPr="00D904DB">
              <w:rPr>
                <w:color w:val="auto"/>
                <w:sz w:val="16"/>
                <w:szCs w:val="16"/>
                <w:lang w:val="en-GB"/>
              </w:rPr>
              <w:t xml:space="preserve">For LDCs the qualifying area is a minimum of 25% allowable costs from least developed countries, Papua New Guinea, Forum Island countries and up to 25% from developing countries as per list in question BI 1). </w:t>
            </w:r>
          </w:p>
        </w:tc>
      </w:tr>
      <w:tr w:rsidR="00DF53B1" w:rsidRPr="00D904DB" w:rsidTr="00983940">
        <w:trPr>
          <w:cantSplit/>
        </w:trPr>
        <w:tc>
          <w:tcPr>
            <w:tcW w:w="486" w:type="dxa"/>
            <w:tcBorders>
              <w:top w:val="single" w:sz="4" w:space="0" w:color="000000"/>
              <w:left w:val="double" w:sz="4" w:space="0" w:color="000000"/>
              <w:bottom w:val="double" w:sz="4" w:space="0" w:color="000000"/>
            </w:tcBorders>
            <w:shd w:val="clear" w:color="auto" w:fill="auto"/>
          </w:tcPr>
          <w:p w:rsidR="00DF53B1" w:rsidRPr="00D904DB" w:rsidRDefault="00DF53B1" w:rsidP="008674BE">
            <w:pPr>
              <w:jc w:val="center"/>
              <w:rPr>
                <w:sz w:val="16"/>
                <w:szCs w:val="16"/>
              </w:rPr>
            </w:pPr>
            <w:r w:rsidRPr="00D904DB">
              <w:rPr>
                <w:b/>
                <w:sz w:val="16"/>
                <w:szCs w:val="16"/>
              </w:rPr>
              <w:t>6)</w:t>
            </w:r>
          </w:p>
        </w:tc>
        <w:tc>
          <w:tcPr>
            <w:tcW w:w="3266" w:type="dxa"/>
            <w:tcBorders>
              <w:top w:val="single" w:sz="4" w:space="0" w:color="000000"/>
              <w:left w:val="single" w:sz="4" w:space="0" w:color="000000"/>
              <w:bottom w:val="double" w:sz="4" w:space="0" w:color="000000"/>
            </w:tcBorders>
            <w:shd w:val="clear" w:color="auto" w:fill="auto"/>
          </w:tcPr>
          <w:p w:rsidR="00DF53B1" w:rsidRPr="00D904DB" w:rsidRDefault="00DF53B1" w:rsidP="008674BE">
            <w:pPr>
              <w:jc w:val="left"/>
              <w:rPr>
                <w:sz w:val="16"/>
                <w:szCs w:val="16"/>
              </w:rPr>
            </w:pPr>
            <w:r w:rsidRPr="00D904DB">
              <w:rPr>
                <w:b/>
                <w:sz w:val="16"/>
                <w:szCs w:val="16"/>
              </w:rPr>
              <w:t>Any other information that member deems necessary</w:t>
            </w:r>
          </w:p>
        </w:tc>
        <w:tc>
          <w:tcPr>
            <w:tcW w:w="5501" w:type="dxa"/>
            <w:tcBorders>
              <w:top w:val="single" w:sz="4" w:space="0" w:color="000000"/>
              <w:left w:val="single" w:sz="4" w:space="0" w:color="000000"/>
              <w:bottom w:val="double" w:sz="4" w:space="0" w:color="000000"/>
              <w:right w:val="double" w:sz="4" w:space="0" w:color="000000"/>
            </w:tcBorders>
            <w:shd w:val="clear" w:color="auto" w:fill="auto"/>
          </w:tcPr>
          <w:p w:rsidR="00DF53B1" w:rsidRPr="00D904DB" w:rsidRDefault="00624057" w:rsidP="008674BE">
            <w:pPr>
              <w:jc w:val="left"/>
              <w:rPr>
                <w:sz w:val="16"/>
                <w:szCs w:val="16"/>
              </w:rPr>
            </w:pPr>
            <w:r w:rsidRPr="00D904DB">
              <w:rPr>
                <w:sz w:val="16"/>
                <w:szCs w:val="16"/>
              </w:rPr>
              <w:t>-</w:t>
            </w:r>
          </w:p>
        </w:tc>
      </w:tr>
    </w:tbl>
    <w:p w:rsidR="00DF53B1" w:rsidRPr="00D904DB" w:rsidRDefault="00DF53B1" w:rsidP="00422F63">
      <w:pPr>
        <w:shd w:val="clear" w:color="auto" w:fill="FFFFFF"/>
        <w:spacing w:after="0"/>
        <w:ind w:left="567"/>
        <w:rPr>
          <w:b/>
          <w:sz w:val="24"/>
          <w:szCs w:val="24"/>
        </w:rPr>
      </w:pPr>
    </w:p>
    <w:p w:rsidR="00DF53B1" w:rsidRPr="00D904DB" w:rsidRDefault="00DF53B1" w:rsidP="00A53E3C">
      <w:pPr>
        <w:pStyle w:val="Heading7"/>
        <w:keepLines w:val="0"/>
        <w:rPr>
          <w:szCs w:val="18"/>
        </w:rPr>
      </w:pPr>
      <w:r w:rsidRPr="00D904DB">
        <w:rPr>
          <w:color w:val="auto"/>
          <w:szCs w:val="18"/>
        </w:rPr>
        <w:t xml:space="preserve">III.  </w:t>
      </w:r>
      <w:r w:rsidRPr="00D904DB">
        <w:rPr>
          <w:color w:val="auto"/>
          <w:szCs w:val="18"/>
        </w:rPr>
        <w:tab/>
        <w:t>DOCUMENTARY REQUIREMENTS</w:t>
      </w:r>
    </w:p>
    <w:tbl>
      <w:tblPr>
        <w:tblW w:w="5000" w:type="pct"/>
        <w:tblLayout w:type="fixed"/>
        <w:tblLook w:val="0000" w:firstRow="0" w:lastRow="0" w:firstColumn="0" w:lastColumn="0" w:noHBand="0" w:noVBand="0"/>
      </w:tblPr>
      <w:tblGrid>
        <w:gridCol w:w="493"/>
        <w:gridCol w:w="3156"/>
        <w:gridCol w:w="5347"/>
      </w:tblGrid>
      <w:tr w:rsidR="00983940" w:rsidRPr="00D904DB" w:rsidTr="00983940">
        <w:tc>
          <w:tcPr>
            <w:tcW w:w="5000" w:type="pct"/>
            <w:gridSpan w:val="3"/>
            <w:tcBorders>
              <w:top w:val="double" w:sz="4" w:space="0" w:color="000000"/>
              <w:left w:val="double" w:sz="4" w:space="0" w:color="000000"/>
              <w:bottom w:val="single" w:sz="4" w:space="0" w:color="000000"/>
              <w:right w:val="double" w:sz="4" w:space="0" w:color="000000"/>
            </w:tcBorders>
            <w:shd w:val="clear" w:color="auto" w:fill="auto"/>
          </w:tcPr>
          <w:p w:rsidR="00983940" w:rsidRPr="00D904DB" w:rsidRDefault="00983940" w:rsidP="008674BE">
            <w:pPr>
              <w:snapToGrid w:val="0"/>
              <w:jc w:val="left"/>
              <w:rPr>
                <w:sz w:val="16"/>
                <w:szCs w:val="16"/>
              </w:rPr>
            </w:pPr>
            <w:r w:rsidRPr="00D904DB">
              <w:rPr>
                <w:b/>
                <w:sz w:val="16"/>
                <w:szCs w:val="16"/>
              </w:rPr>
              <w:t>1)  Certificate of origin and other proofs of origin</w:t>
            </w:r>
          </w:p>
        </w:tc>
      </w:tr>
      <w:tr w:rsidR="00DF53B1" w:rsidRPr="00D904DB" w:rsidTr="00983940">
        <w:tc>
          <w:tcPr>
            <w:tcW w:w="274" w:type="pct"/>
            <w:tcBorders>
              <w:top w:val="single" w:sz="4" w:space="0" w:color="000000"/>
              <w:left w:val="double" w:sz="4" w:space="0" w:color="000000"/>
              <w:bottom w:val="single" w:sz="4" w:space="0" w:color="000000"/>
            </w:tcBorders>
            <w:shd w:val="clear" w:color="auto" w:fill="auto"/>
          </w:tcPr>
          <w:p w:rsidR="00DF53B1" w:rsidRPr="00D904DB" w:rsidRDefault="00DF53B1" w:rsidP="008674BE">
            <w:pPr>
              <w:snapToGrid w:val="0"/>
              <w:rPr>
                <w:sz w:val="16"/>
                <w:szCs w:val="16"/>
              </w:rPr>
            </w:pPr>
          </w:p>
        </w:tc>
        <w:tc>
          <w:tcPr>
            <w:tcW w:w="1754" w:type="pct"/>
            <w:tcBorders>
              <w:top w:val="single" w:sz="4" w:space="0" w:color="000000"/>
              <w:left w:val="single" w:sz="4" w:space="0" w:color="000000"/>
              <w:bottom w:val="single" w:sz="4" w:space="0" w:color="000000"/>
            </w:tcBorders>
            <w:shd w:val="clear" w:color="auto" w:fill="auto"/>
          </w:tcPr>
          <w:p w:rsidR="00DF53B1" w:rsidRPr="00D904DB" w:rsidRDefault="00DF53B1" w:rsidP="008674BE">
            <w:pPr>
              <w:ind w:left="483" w:hanging="426"/>
              <w:jc w:val="left"/>
              <w:rPr>
                <w:sz w:val="16"/>
                <w:szCs w:val="16"/>
              </w:rPr>
            </w:pPr>
            <w:r w:rsidRPr="00D904DB">
              <w:rPr>
                <w:b/>
                <w:bCs/>
                <w:sz w:val="16"/>
                <w:szCs w:val="16"/>
              </w:rPr>
              <w:t xml:space="preserve">(a) </w:t>
            </w:r>
            <w:r w:rsidRPr="00D904DB">
              <w:rPr>
                <w:b/>
                <w:bCs/>
                <w:sz w:val="16"/>
                <w:szCs w:val="16"/>
              </w:rPr>
              <w:tab/>
              <w:t>Requirement for certificate of origin and/or any other proof of origin, if any</w:t>
            </w:r>
          </w:p>
        </w:tc>
        <w:tc>
          <w:tcPr>
            <w:tcW w:w="2972" w:type="pct"/>
            <w:tcBorders>
              <w:top w:val="single" w:sz="4" w:space="0" w:color="000000"/>
              <w:left w:val="single" w:sz="4" w:space="0" w:color="000000"/>
              <w:bottom w:val="single" w:sz="4" w:space="0" w:color="000000"/>
              <w:right w:val="double" w:sz="4" w:space="0" w:color="000000"/>
            </w:tcBorders>
            <w:shd w:val="clear" w:color="auto" w:fill="auto"/>
          </w:tcPr>
          <w:p w:rsidR="00DF53B1" w:rsidRPr="00D904DB" w:rsidRDefault="00A53E3C" w:rsidP="00422F63">
            <w:pPr>
              <w:pStyle w:val="Default"/>
              <w:spacing w:after="60"/>
              <w:rPr>
                <w:color w:val="auto"/>
                <w:sz w:val="16"/>
                <w:szCs w:val="16"/>
                <w:lang w:val="en-GB"/>
              </w:rPr>
            </w:pPr>
            <w:r w:rsidRPr="00D904DB">
              <w:rPr>
                <w:color w:val="auto"/>
                <w:sz w:val="16"/>
                <w:szCs w:val="16"/>
                <w:lang w:val="en-GB"/>
              </w:rPr>
              <w:t xml:space="preserve">Australia accepts </w:t>
            </w:r>
            <w:r w:rsidR="008A36FB" w:rsidRPr="00D904DB">
              <w:rPr>
                <w:color w:val="auto"/>
                <w:sz w:val="16"/>
                <w:szCs w:val="16"/>
                <w:lang w:val="en-GB"/>
              </w:rPr>
              <w:t>c</w:t>
            </w:r>
            <w:r w:rsidRPr="00D904DB">
              <w:rPr>
                <w:color w:val="auto"/>
                <w:sz w:val="16"/>
                <w:szCs w:val="16"/>
                <w:lang w:val="en-GB"/>
              </w:rPr>
              <w:t xml:space="preserve">ertificates of </w:t>
            </w:r>
            <w:r w:rsidR="008A36FB" w:rsidRPr="00D904DB">
              <w:rPr>
                <w:color w:val="auto"/>
                <w:sz w:val="16"/>
                <w:szCs w:val="16"/>
                <w:lang w:val="en-GB"/>
              </w:rPr>
              <w:t>o</w:t>
            </w:r>
            <w:r w:rsidRPr="00D904DB">
              <w:rPr>
                <w:color w:val="auto"/>
                <w:sz w:val="16"/>
                <w:szCs w:val="16"/>
                <w:lang w:val="en-GB"/>
              </w:rPr>
              <w:t xml:space="preserve">rigin or </w:t>
            </w:r>
            <w:r w:rsidR="008A36FB" w:rsidRPr="00D904DB">
              <w:rPr>
                <w:color w:val="auto"/>
                <w:sz w:val="16"/>
                <w:szCs w:val="16"/>
                <w:lang w:val="en-GB"/>
              </w:rPr>
              <w:t>d</w:t>
            </w:r>
            <w:r w:rsidRPr="00D904DB">
              <w:rPr>
                <w:color w:val="auto"/>
                <w:sz w:val="16"/>
                <w:szCs w:val="16"/>
                <w:lang w:val="en-GB"/>
              </w:rPr>
              <w:t xml:space="preserve">eclarations of </w:t>
            </w:r>
            <w:r w:rsidR="008A36FB" w:rsidRPr="00D904DB">
              <w:rPr>
                <w:color w:val="auto"/>
                <w:sz w:val="16"/>
                <w:szCs w:val="16"/>
                <w:lang w:val="en-GB"/>
              </w:rPr>
              <w:t>o</w:t>
            </w:r>
            <w:r w:rsidRPr="00D904DB">
              <w:rPr>
                <w:color w:val="auto"/>
                <w:sz w:val="16"/>
                <w:szCs w:val="16"/>
                <w:lang w:val="en-GB"/>
              </w:rPr>
              <w:t xml:space="preserve">rigin made by the overseas manufacturer of goods imported into Australia to support a preference claim, provided: </w:t>
            </w:r>
          </w:p>
          <w:p w:rsidR="00A53E3C" w:rsidRPr="00D904DB" w:rsidRDefault="00A53E3C" w:rsidP="00EE530A">
            <w:pPr>
              <w:pStyle w:val="Default"/>
              <w:tabs>
                <w:tab w:val="left" w:pos="409"/>
              </w:tabs>
              <w:ind w:left="408" w:hanging="408"/>
              <w:rPr>
                <w:color w:val="auto"/>
                <w:sz w:val="16"/>
                <w:szCs w:val="16"/>
                <w:lang w:val="en-GB"/>
              </w:rPr>
            </w:pPr>
            <w:r w:rsidRPr="00D904DB">
              <w:rPr>
                <w:color w:val="auto"/>
                <w:sz w:val="16"/>
                <w:szCs w:val="16"/>
                <w:lang w:val="en-GB"/>
              </w:rPr>
              <w:t>(a)</w:t>
            </w:r>
            <w:r w:rsidRPr="00D904DB">
              <w:rPr>
                <w:color w:val="auto"/>
                <w:sz w:val="16"/>
                <w:szCs w:val="16"/>
                <w:lang w:val="en-GB"/>
              </w:rPr>
              <w:tab/>
              <w:t>t</w:t>
            </w:r>
            <w:r w:rsidR="008A36FB" w:rsidRPr="00D904DB">
              <w:rPr>
                <w:color w:val="auto"/>
                <w:sz w:val="16"/>
                <w:szCs w:val="16"/>
                <w:lang w:val="en-GB"/>
              </w:rPr>
              <w:t>he certificate of origin or declaration of o</w:t>
            </w:r>
            <w:r w:rsidRPr="00D904DB">
              <w:rPr>
                <w:color w:val="auto"/>
                <w:sz w:val="16"/>
                <w:szCs w:val="16"/>
                <w:lang w:val="en-GB"/>
              </w:rPr>
              <w:t xml:space="preserve">rigin clearly identifies the goods to which it applies; </w:t>
            </w:r>
          </w:p>
          <w:p w:rsidR="00A53E3C" w:rsidRPr="00D904DB" w:rsidRDefault="00A53E3C" w:rsidP="00EE530A">
            <w:pPr>
              <w:pStyle w:val="Default"/>
              <w:tabs>
                <w:tab w:val="left" w:pos="409"/>
              </w:tabs>
              <w:ind w:left="408" w:hanging="408"/>
              <w:rPr>
                <w:color w:val="auto"/>
                <w:sz w:val="16"/>
                <w:szCs w:val="16"/>
                <w:lang w:val="en-GB"/>
              </w:rPr>
            </w:pPr>
            <w:r w:rsidRPr="00D904DB">
              <w:rPr>
                <w:color w:val="auto"/>
                <w:sz w:val="16"/>
                <w:szCs w:val="16"/>
                <w:lang w:val="en-GB"/>
              </w:rPr>
              <w:t xml:space="preserve">(b) </w:t>
            </w:r>
            <w:r w:rsidRPr="00D904DB">
              <w:rPr>
                <w:color w:val="auto"/>
                <w:sz w:val="16"/>
                <w:szCs w:val="16"/>
                <w:lang w:val="en-GB"/>
              </w:rPr>
              <w:tab/>
            </w:r>
            <w:r w:rsidR="008A36FB" w:rsidRPr="00D904DB">
              <w:rPr>
                <w:color w:val="auto"/>
                <w:sz w:val="16"/>
                <w:szCs w:val="16"/>
                <w:lang w:val="en-GB"/>
              </w:rPr>
              <w:t>the certificate of origin or d</w:t>
            </w:r>
            <w:r w:rsidRPr="00D904DB">
              <w:rPr>
                <w:color w:val="auto"/>
                <w:sz w:val="16"/>
                <w:szCs w:val="16"/>
                <w:lang w:val="en-GB"/>
              </w:rPr>
              <w:t>eclaration</w:t>
            </w:r>
            <w:r w:rsidR="008A36FB" w:rsidRPr="00D904DB">
              <w:rPr>
                <w:color w:val="auto"/>
                <w:sz w:val="16"/>
                <w:szCs w:val="16"/>
                <w:lang w:val="en-GB"/>
              </w:rPr>
              <w:t xml:space="preserve"> of o</w:t>
            </w:r>
            <w:r w:rsidRPr="00D904DB">
              <w:rPr>
                <w:color w:val="auto"/>
                <w:sz w:val="16"/>
                <w:szCs w:val="16"/>
                <w:lang w:val="en-GB"/>
              </w:rPr>
              <w:t>rigin specifies that the last process in the manufacture of the goods was performed in the LDC and that the manufacturer</w:t>
            </w:r>
            <w:r w:rsidR="00EE530A" w:rsidRPr="00D904DB">
              <w:rPr>
                <w:color w:val="auto"/>
                <w:sz w:val="16"/>
                <w:szCs w:val="16"/>
                <w:lang w:val="en-GB"/>
              </w:rPr>
              <w:t>'</w:t>
            </w:r>
            <w:r w:rsidRPr="00D904DB">
              <w:rPr>
                <w:color w:val="auto"/>
                <w:sz w:val="16"/>
                <w:szCs w:val="16"/>
                <w:lang w:val="en-GB"/>
              </w:rPr>
              <w:t xml:space="preserve">s allowable factory cost is at least 50% of their total factory cost; and </w:t>
            </w:r>
          </w:p>
          <w:p w:rsidR="00A53E3C" w:rsidRPr="00D904DB" w:rsidRDefault="00A53E3C" w:rsidP="00A53E3C">
            <w:pPr>
              <w:pStyle w:val="Default"/>
              <w:tabs>
                <w:tab w:val="left" w:pos="409"/>
              </w:tabs>
              <w:spacing w:after="60"/>
              <w:ind w:left="409" w:hanging="409"/>
              <w:rPr>
                <w:color w:val="auto"/>
                <w:sz w:val="16"/>
                <w:szCs w:val="16"/>
                <w:lang w:val="en-GB"/>
              </w:rPr>
            </w:pPr>
            <w:r w:rsidRPr="00D904DB">
              <w:rPr>
                <w:color w:val="auto"/>
                <w:sz w:val="16"/>
                <w:szCs w:val="16"/>
                <w:lang w:val="en-GB"/>
              </w:rPr>
              <w:t xml:space="preserve">(c) </w:t>
            </w:r>
            <w:r w:rsidRPr="00D904DB">
              <w:rPr>
                <w:color w:val="auto"/>
                <w:sz w:val="16"/>
                <w:szCs w:val="16"/>
                <w:lang w:val="en-GB"/>
              </w:rPr>
              <w:tab/>
              <w:t>there is no reason to doubt the veracity or reliab</w:t>
            </w:r>
            <w:r w:rsidR="008A36FB" w:rsidRPr="00D904DB">
              <w:rPr>
                <w:color w:val="auto"/>
                <w:sz w:val="16"/>
                <w:szCs w:val="16"/>
                <w:lang w:val="en-GB"/>
              </w:rPr>
              <w:t>ility of the certificate of origin or declaration of o</w:t>
            </w:r>
            <w:r w:rsidRPr="00D904DB">
              <w:rPr>
                <w:color w:val="auto"/>
                <w:sz w:val="16"/>
                <w:szCs w:val="16"/>
                <w:lang w:val="en-GB"/>
              </w:rPr>
              <w:t>rigin</w:t>
            </w:r>
          </w:p>
          <w:p w:rsidR="00A53E3C" w:rsidRPr="00D904DB" w:rsidRDefault="00A53E3C" w:rsidP="00422F63">
            <w:pPr>
              <w:pStyle w:val="Default"/>
              <w:spacing w:after="60"/>
              <w:rPr>
                <w:color w:val="auto"/>
                <w:sz w:val="16"/>
                <w:szCs w:val="16"/>
                <w:lang w:val="en-GB"/>
              </w:rPr>
            </w:pPr>
            <w:r w:rsidRPr="00D904DB">
              <w:rPr>
                <w:color w:val="auto"/>
                <w:sz w:val="16"/>
                <w:szCs w:val="16"/>
                <w:lang w:val="en-GB"/>
              </w:rPr>
              <w:t>T</w:t>
            </w:r>
            <w:r w:rsidR="008A36FB" w:rsidRPr="00D904DB">
              <w:rPr>
                <w:color w:val="auto"/>
                <w:sz w:val="16"/>
                <w:szCs w:val="16"/>
                <w:lang w:val="en-GB"/>
              </w:rPr>
              <w:t>here is no prescribed form for certificate of origin or declaration of o</w:t>
            </w:r>
            <w:r w:rsidRPr="00D904DB">
              <w:rPr>
                <w:color w:val="auto"/>
                <w:sz w:val="16"/>
                <w:szCs w:val="16"/>
                <w:lang w:val="en-GB"/>
              </w:rPr>
              <w:t>rigin by the manufacturer. It should, however, describe the goods and refer to the particular provision in Division 1A of Part</w:t>
            </w:r>
            <w:r w:rsidR="00D904DB" w:rsidRPr="00D904DB">
              <w:rPr>
                <w:color w:val="auto"/>
                <w:sz w:val="16"/>
                <w:szCs w:val="16"/>
                <w:lang w:val="en-GB"/>
              </w:rPr>
              <w:t> </w:t>
            </w:r>
            <w:r w:rsidRPr="00D904DB">
              <w:rPr>
                <w:color w:val="auto"/>
                <w:sz w:val="16"/>
                <w:szCs w:val="16"/>
                <w:lang w:val="en-GB"/>
              </w:rPr>
              <w:t xml:space="preserve">VIII of the Customs Act that the goods meet. Also, the name of the person signing the certificate or declaration, together with their position and the company or entity represented, should be clearly stated. The declaration may be on the commercial documents or form a separate document. </w:t>
            </w:r>
          </w:p>
        </w:tc>
      </w:tr>
      <w:tr w:rsidR="00DF53B1" w:rsidRPr="00D904DB" w:rsidTr="00983940">
        <w:tc>
          <w:tcPr>
            <w:tcW w:w="274" w:type="pct"/>
            <w:tcBorders>
              <w:top w:val="single" w:sz="4" w:space="0" w:color="000000"/>
              <w:left w:val="double" w:sz="4" w:space="0" w:color="000000"/>
              <w:bottom w:val="single" w:sz="4" w:space="0" w:color="000000"/>
            </w:tcBorders>
            <w:shd w:val="clear" w:color="auto" w:fill="auto"/>
          </w:tcPr>
          <w:p w:rsidR="00DF53B1" w:rsidRPr="00D904DB" w:rsidRDefault="00DF53B1" w:rsidP="008674BE">
            <w:pPr>
              <w:snapToGrid w:val="0"/>
              <w:rPr>
                <w:sz w:val="16"/>
                <w:szCs w:val="16"/>
              </w:rPr>
            </w:pPr>
          </w:p>
        </w:tc>
        <w:tc>
          <w:tcPr>
            <w:tcW w:w="1754" w:type="pct"/>
            <w:tcBorders>
              <w:top w:val="single" w:sz="4" w:space="0" w:color="000000"/>
              <w:left w:val="single" w:sz="4" w:space="0" w:color="000000"/>
              <w:bottom w:val="single" w:sz="4" w:space="0" w:color="000000"/>
            </w:tcBorders>
            <w:shd w:val="clear" w:color="auto" w:fill="auto"/>
          </w:tcPr>
          <w:p w:rsidR="00DF53B1" w:rsidRPr="00D904DB" w:rsidRDefault="00DF53B1" w:rsidP="008674BE">
            <w:pPr>
              <w:ind w:left="483" w:hanging="426"/>
              <w:jc w:val="left"/>
              <w:rPr>
                <w:sz w:val="16"/>
                <w:szCs w:val="16"/>
              </w:rPr>
            </w:pPr>
            <w:r w:rsidRPr="00D904DB">
              <w:rPr>
                <w:b/>
                <w:bCs/>
                <w:sz w:val="16"/>
                <w:szCs w:val="16"/>
              </w:rPr>
              <w:t xml:space="preserve">(b) </w:t>
            </w:r>
            <w:r w:rsidR="00026326" w:rsidRPr="00D904DB">
              <w:rPr>
                <w:b/>
                <w:bCs/>
                <w:sz w:val="16"/>
                <w:szCs w:val="16"/>
              </w:rPr>
              <w:tab/>
            </w:r>
            <w:r w:rsidRPr="00D904DB">
              <w:rPr>
                <w:b/>
                <w:bCs/>
                <w:sz w:val="16"/>
                <w:szCs w:val="16"/>
              </w:rPr>
              <w:t>Authority to be designated for issuance of certificate of origin</w:t>
            </w:r>
          </w:p>
        </w:tc>
        <w:tc>
          <w:tcPr>
            <w:tcW w:w="2972" w:type="pct"/>
            <w:tcBorders>
              <w:top w:val="single" w:sz="4" w:space="0" w:color="000000"/>
              <w:left w:val="single" w:sz="4" w:space="0" w:color="000000"/>
              <w:bottom w:val="single" w:sz="4" w:space="0" w:color="000000"/>
              <w:right w:val="double" w:sz="4" w:space="0" w:color="000000"/>
            </w:tcBorders>
            <w:shd w:val="clear" w:color="auto" w:fill="auto"/>
          </w:tcPr>
          <w:p w:rsidR="00DF53B1" w:rsidRPr="00D904DB" w:rsidRDefault="000B1E02" w:rsidP="008674BE">
            <w:pPr>
              <w:jc w:val="left"/>
              <w:rPr>
                <w:sz w:val="16"/>
                <w:szCs w:val="16"/>
              </w:rPr>
            </w:pPr>
            <w:r w:rsidRPr="00D904DB">
              <w:rPr>
                <w:sz w:val="16"/>
                <w:szCs w:val="16"/>
              </w:rPr>
              <w:t xml:space="preserve">No designated authorities for LDC certificates of origin. </w:t>
            </w:r>
          </w:p>
        </w:tc>
      </w:tr>
      <w:tr w:rsidR="00DF53B1" w:rsidRPr="00D904DB" w:rsidTr="00983940">
        <w:trPr>
          <w:cantSplit/>
        </w:trPr>
        <w:tc>
          <w:tcPr>
            <w:tcW w:w="274" w:type="pct"/>
            <w:tcBorders>
              <w:top w:val="single" w:sz="4" w:space="0" w:color="000000"/>
              <w:left w:val="double" w:sz="4" w:space="0" w:color="000000"/>
              <w:bottom w:val="single" w:sz="4" w:space="0" w:color="000000"/>
            </w:tcBorders>
            <w:shd w:val="clear" w:color="auto" w:fill="auto"/>
          </w:tcPr>
          <w:p w:rsidR="00DF53B1" w:rsidRPr="00D904DB" w:rsidRDefault="00DF53B1" w:rsidP="008674BE">
            <w:pPr>
              <w:snapToGrid w:val="0"/>
              <w:rPr>
                <w:sz w:val="16"/>
                <w:szCs w:val="16"/>
              </w:rPr>
            </w:pPr>
          </w:p>
        </w:tc>
        <w:tc>
          <w:tcPr>
            <w:tcW w:w="1754" w:type="pct"/>
            <w:tcBorders>
              <w:top w:val="single" w:sz="4" w:space="0" w:color="000000"/>
              <w:left w:val="single" w:sz="4" w:space="0" w:color="000000"/>
              <w:bottom w:val="single" w:sz="4" w:space="0" w:color="000000"/>
            </w:tcBorders>
            <w:shd w:val="clear" w:color="auto" w:fill="auto"/>
          </w:tcPr>
          <w:p w:rsidR="00DF53B1" w:rsidRPr="00D904DB" w:rsidRDefault="00DF53B1" w:rsidP="008674BE">
            <w:pPr>
              <w:ind w:left="483" w:hanging="426"/>
              <w:jc w:val="left"/>
              <w:rPr>
                <w:sz w:val="16"/>
                <w:szCs w:val="16"/>
              </w:rPr>
            </w:pPr>
            <w:r w:rsidRPr="00D904DB">
              <w:rPr>
                <w:b/>
                <w:bCs/>
                <w:sz w:val="16"/>
                <w:szCs w:val="16"/>
              </w:rPr>
              <w:t xml:space="preserve">(c) </w:t>
            </w:r>
            <w:r w:rsidRPr="00D904DB">
              <w:rPr>
                <w:b/>
                <w:bCs/>
                <w:sz w:val="16"/>
                <w:szCs w:val="16"/>
              </w:rPr>
              <w:tab/>
              <w:t>Prescribed form of Certificate of origin and/or any other proof of origin</w:t>
            </w:r>
          </w:p>
        </w:tc>
        <w:tc>
          <w:tcPr>
            <w:tcW w:w="2972" w:type="pct"/>
            <w:tcBorders>
              <w:top w:val="single" w:sz="4" w:space="0" w:color="000000"/>
              <w:left w:val="single" w:sz="4" w:space="0" w:color="000000"/>
              <w:bottom w:val="single" w:sz="4" w:space="0" w:color="000000"/>
              <w:right w:val="double" w:sz="4" w:space="0" w:color="000000"/>
            </w:tcBorders>
            <w:shd w:val="clear" w:color="auto" w:fill="auto"/>
          </w:tcPr>
          <w:p w:rsidR="00DF53B1" w:rsidRPr="00D904DB" w:rsidRDefault="00E95C6C" w:rsidP="008A36FB">
            <w:pPr>
              <w:pStyle w:val="Default"/>
              <w:spacing w:after="60"/>
              <w:rPr>
                <w:color w:val="auto"/>
                <w:sz w:val="16"/>
                <w:szCs w:val="16"/>
                <w:lang w:val="en-GB"/>
              </w:rPr>
            </w:pPr>
            <w:r w:rsidRPr="00D904DB">
              <w:rPr>
                <w:color w:val="auto"/>
                <w:sz w:val="16"/>
                <w:szCs w:val="16"/>
                <w:lang w:val="en-GB"/>
              </w:rPr>
              <w:t>T</w:t>
            </w:r>
            <w:r w:rsidR="008A36FB" w:rsidRPr="00D904DB">
              <w:rPr>
                <w:color w:val="auto"/>
                <w:sz w:val="16"/>
                <w:szCs w:val="16"/>
                <w:lang w:val="en-GB"/>
              </w:rPr>
              <w:t>here is no prescribed form of certificate of origin or declaration of o</w:t>
            </w:r>
            <w:r w:rsidRPr="00D904DB">
              <w:rPr>
                <w:color w:val="auto"/>
                <w:sz w:val="16"/>
                <w:szCs w:val="16"/>
                <w:lang w:val="en-GB"/>
              </w:rPr>
              <w:t xml:space="preserve">rigin. However, </w:t>
            </w:r>
            <w:r w:rsidR="000B1E02" w:rsidRPr="00D904DB">
              <w:rPr>
                <w:color w:val="auto"/>
                <w:sz w:val="16"/>
                <w:szCs w:val="16"/>
                <w:lang w:val="en-GB"/>
              </w:rPr>
              <w:t>Form A in the Australian GSP manual</w:t>
            </w:r>
            <w:r w:rsidR="008A36FB" w:rsidRPr="00D904DB">
              <w:rPr>
                <w:color w:val="auto"/>
                <w:sz w:val="16"/>
                <w:szCs w:val="16"/>
                <w:lang w:val="en-GB"/>
              </w:rPr>
              <w:t xml:space="preserve"> may be used to claim LDC preferences under the ASTP</w:t>
            </w:r>
            <w:r w:rsidR="000B1E02" w:rsidRPr="00D904DB">
              <w:rPr>
                <w:color w:val="auto"/>
                <w:sz w:val="16"/>
                <w:szCs w:val="16"/>
                <w:lang w:val="en-GB"/>
              </w:rPr>
              <w:t xml:space="preserve">. </w:t>
            </w:r>
            <w:r w:rsidR="009A42A6" w:rsidRPr="00D904DB">
              <w:rPr>
                <w:color w:val="auto"/>
                <w:sz w:val="16"/>
                <w:szCs w:val="16"/>
                <w:lang w:val="en-GB"/>
              </w:rPr>
              <w:t>Form A</w:t>
            </w:r>
            <w:r w:rsidR="000B1E02" w:rsidRPr="00D904DB">
              <w:rPr>
                <w:color w:val="auto"/>
                <w:sz w:val="16"/>
                <w:szCs w:val="16"/>
                <w:lang w:val="en-GB"/>
              </w:rPr>
              <w:t xml:space="preserve"> can be found at</w:t>
            </w:r>
            <w:r w:rsidR="009A42A6" w:rsidRPr="00D904DB">
              <w:rPr>
                <w:color w:val="auto"/>
                <w:sz w:val="16"/>
                <w:szCs w:val="16"/>
                <w:lang w:val="en-GB"/>
              </w:rPr>
              <w:t>:</w:t>
            </w:r>
            <w:r w:rsidR="000B1E02" w:rsidRPr="00D904DB">
              <w:rPr>
                <w:color w:val="auto"/>
                <w:sz w:val="16"/>
                <w:szCs w:val="16"/>
                <w:lang w:val="en-GB"/>
              </w:rPr>
              <w:t xml:space="preserve"> </w:t>
            </w:r>
            <w:hyperlink r:id="rId11" w:history="1">
              <w:r w:rsidR="00D904DB" w:rsidRPr="00AC7A1C">
                <w:rPr>
                  <w:rStyle w:val="Hyperlink"/>
                  <w:sz w:val="16"/>
                  <w:szCs w:val="16"/>
                  <w:lang w:val="en-GB"/>
                </w:rPr>
                <w:t>http://unctad.org/Sections/gsp/docs/gsp_form_a_new_en.pdf</w:t>
              </w:r>
            </w:hyperlink>
            <w:r w:rsidR="000B1E02" w:rsidRPr="00D904DB">
              <w:rPr>
                <w:color w:val="auto"/>
                <w:sz w:val="16"/>
                <w:szCs w:val="16"/>
                <w:lang w:val="en-GB"/>
              </w:rPr>
              <w:t xml:space="preserve"> </w:t>
            </w:r>
          </w:p>
        </w:tc>
      </w:tr>
      <w:tr w:rsidR="00DF53B1" w:rsidRPr="00D904DB" w:rsidTr="00983940">
        <w:tc>
          <w:tcPr>
            <w:tcW w:w="274" w:type="pct"/>
            <w:tcBorders>
              <w:top w:val="single" w:sz="4" w:space="0" w:color="000000"/>
              <w:left w:val="double" w:sz="4" w:space="0" w:color="000000"/>
              <w:bottom w:val="single" w:sz="4" w:space="0" w:color="000000"/>
            </w:tcBorders>
            <w:shd w:val="clear" w:color="auto" w:fill="auto"/>
          </w:tcPr>
          <w:p w:rsidR="00DF53B1" w:rsidRPr="00D904DB" w:rsidRDefault="00DF53B1" w:rsidP="008674BE">
            <w:pPr>
              <w:snapToGrid w:val="0"/>
              <w:rPr>
                <w:sz w:val="16"/>
                <w:szCs w:val="16"/>
              </w:rPr>
            </w:pPr>
          </w:p>
        </w:tc>
        <w:tc>
          <w:tcPr>
            <w:tcW w:w="1754" w:type="pct"/>
            <w:tcBorders>
              <w:top w:val="single" w:sz="4" w:space="0" w:color="000000"/>
              <w:left w:val="single" w:sz="4" w:space="0" w:color="000000"/>
              <w:bottom w:val="single" w:sz="4" w:space="0" w:color="000000"/>
            </w:tcBorders>
            <w:shd w:val="clear" w:color="auto" w:fill="auto"/>
          </w:tcPr>
          <w:p w:rsidR="00DF53B1" w:rsidRPr="00D904DB" w:rsidRDefault="00DF53B1" w:rsidP="008674BE">
            <w:pPr>
              <w:ind w:left="483" w:hanging="426"/>
              <w:jc w:val="left"/>
              <w:rPr>
                <w:sz w:val="16"/>
                <w:szCs w:val="16"/>
              </w:rPr>
            </w:pPr>
            <w:r w:rsidRPr="00D904DB">
              <w:rPr>
                <w:b/>
                <w:bCs/>
                <w:sz w:val="16"/>
                <w:szCs w:val="16"/>
              </w:rPr>
              <w:t xml:space="preserve">(d) </w:t>
            </w:r>
            <w:r w:rsidR="00026326" w:rsidRPr="00D904DB">
              <w:rPr>
                <w:b/>
                <w:bCs/>
                <w:sz w:val="16"/>
                <w:szCs w:val="16"/>
              </w:rPr>
              <w:tab/>
            </w:r>
            <w:r w:rsidRPr="00D904DB">
              <w:rPr>
                <w:b/>
                <w:bCs/>
                <w:sz w:val="16"/>
                <w:szCs w:val="16"/>
              </w:rPr>
              <w:t>Any other procedures applied for certificate of origin and/or any other proof of origin, if any</w:t>
            </w:r>
          </w:p>
        </w:tc>
        <w:tc>
          <w:tcPr>
            <w:tcW w:w="2972" w:type="pct"/>
            <w:tcBorders>
              <w:top w:val="single" w:sz="4" w:space="0" w:color="000000"/>
              <w:left w:val="single" w:sz="4" w:space="0" w:color="000000"/>
              <w:bottom w:val="single" w:sz="4" w:space="0" w:color="000000"/>
              <w:right w:val="double" w:sz="4" w:space="0" w:color="000000"/>
            </w:tcBorders>
            <w:shd w:val="clear" w:color="auto" w:fill="auto"/>
          </w:tcPr>
          <w:p w:rsidR="00DF53B1" w:rsidRPr="00D904DB" w:rsidRDefault="000B1E02" w:rsidP="000B1E02">
            <w:pPr>
              <w:autoSpaceDE w:val="0"/>
              <w:autoSpaceDN w:val="0"/>
              <w:adjustRightInd w:val="0"/>
              <w:jc w:val="left"/>
              <w:rPr>
                <w:rFonts w:cs="Verdana"/>
                <w:sz w:val="16"/>
                <w:szCs w:val="16"/>
                <w:lang w:eastAsia="en-AU"/>
              </w:rPr>
            </w:pPr>
            <w:r w:rsidRPr="00D904DB">
              <w:rPr>
                <w:rFonts w:cs="Verdana"/>
                <w:sz w:val="16"/>
                <w:szCs w:val="16"/>
                <w:lang w:eastAsia="en-AU"/>
              </w:rPr>
              <w:t xml:space="preserve">The Australian Border Force may seek further evidence of preference entitlement for any specific reason or a simple intuitive selection, irrespective of the existence of a certificate or declaration. </w:t>
            </w:r>
          </w:p>
        </w:tc>
      </w:tr>
      <w:tr w:rsidR="00DF53B1" w:rsidRPr="00D904DB" w:rsidTr="00983940">
        <w:tc>
          <w:tcPr>
            <w:tcW w:w="5000" w:type="pct"/>
            <w:gridSpan w:val="3"/>
            <w:tcBorders>
              <w:top w:val="single" w:sz="4" w:space="0" w:color="000000"/>
              <w:left w:val="double" w:sz="4" w:space="0" w:color="auto"/>
              <w:bottom w:val="single" w:sz="4" w:space="0" w:color="000000"/>
              <w:right w:val="double" w:sz="4" w:space="0" w:color="auto"/>
            </w:tcBorders>
            <w:shd w:val="clear" w:color="auto" w:fill="auto"/>
          </w:tcPr>
          <w:p w:rsidR="00DF53B1" w:rsidRPr="00D904DB" w:rsidRDefault="00DF53B1" w:rsidP="008674BE">
            <w:pPr>
              <w:keepNext/>
              <w:rPr>
                <w:sz w:val="16"/>
                <w:szCs w:val="16"/>
              </w:rPr>
            </w:pPr>
            <w:r w:rsidRPr="00D904DB">
              <w:rPr>
                <w:b/>
                <w:sz w:val="16"/>
                <w:szCs w:val="16"/>
              </w:rPr>
              <w:t>2)  Direct shipment</w:t>
            </w:r>
          </w:p>
        </w:tc>
      </w:tr>
      <w:tr w:rsidR="00DF53B1" w:rsidRPr="00D904DB" w:rsidTr="0052345F">
        <w:tc>
          <w:tcPr>
            <w:tcW w:w="274" w:type="pct"/>
            <w:tcBorders>
              <w:top w:val="single" w:sz="1" w:space="0" w:color="000000"/>
              <w:left w:val="double" w:sz="4" w:space="0" w:color="auto"/>
              <w:bottom w:val="single" w:sz="1" w:space="0" w:color="000000"/>
              <w:right w:val="single" w:sz="2" w:space="0" w:color="000000"/>
            </w:tcBorders>
            <w:shd w:val="clear" w:color="auto" w:fill="auto"/>
          </w:tcPr>
          <w:p w:rsidR="00DF53B1" w:rsidRPr="00D904DB" w:rsidRDefault="00DF53B1" w:rsidP="008674BE">
            <w:pPr>
              <w:keepNext/>
              <w:snapToGrid w:val="0"/>
              <w:rPr>
                <w:sz w:val="16"/>
                <w:szCs w:val="16"/>
              </w:rPr>
            </w:pPr>
          </w:p>
        </w:tc>
        <w:tc>
          <w:tcPr>
            <w:tcW w:w="1753" w:type="pct"/>
            <w:tcBorders>
              <w:top w:val="single" w:sz="1" w:space="0" w:color="000000"/>
              <w:left w:val="single" w:sz="2" w:space="0" w:color="000000"/>
              <w:bottom w:val="single" w:sz="4" w:space="0" w:color="auto"/>
              <w:right w:val="single" w:sz="2" w:space="0" w:color="000000"/>
            </w:tcBorders>
            <w:shd w:val="clear" w:color="auto" w:fill="auto"/>
          </w:tcPr>
          <w:p w:rsidR="00DF53B1" w:rsidRPr="00D904DB" w:rsidRDefault="00DF53B1" w:rsidP="008674BE">
            <w:pPr>
              <w:ind w:left="483" w:hanging="426"/>
              <w:jc w:val="left"/>
              <w:rPr>
                <w:sz w:val="16"/>
                <w:szCs w:val="16"/>
              </w:rPr>
            </w:pPr>
            <w:r w:rsidRPr="00D904DB">
              <w:rPr>
                <w:b/>
                <w:bCs/>
                <w:sz w:val="16"/>
                <w:szCs w:val="16"/>
              </w:rPr>
              <w:t xml:space="preserve">(a) </w:t>
            </w:r>
            <w:r w:rsidRPr="00D904DB">
              <w:rPr>
                <w:b/>
                <w:bCs/>
                <w:sz w:val="16"/>
                <w:szCs w:val="16"/>
              </w:rPr>
              <w:tab/>
              <w:t>Rules applicable for direct shipment, if any</w:t>
            </w:r>
          </w:p>
        </w:tc>
        <w:tc>
          <w:tcPr>
            <w:tcW w:w="2972" w:type="pct"/>
            <w:tcBorders>
              <w:top w:val="single" w:sz="1" w:space="0" w:color="000000"/>
              <w:left w:val="single" w:sz="2" w:space="0" w:color="000000"/>
              <w:bottom w:val="single" w:sz="1" w:space="0" w:color="000000"/>
              <w:right w:val="double" w:sz="4" w:space="0" w:color="auto"/>
            </w:tcBorders>
            <w:shd w:val="clear" w:color="auto" w:fill="auto"/>
          </w:tcPr>
          <w:p w:rsidR="00DF53B1" w:rsidRPr="00D904DB" w:rsidRDefault="000B1E02" w:rsidP="00422F63">
            <w:pPr>
              <w:pStyle w:val="Default"/>
              <w:spacing w:after="60"/>
              <w:rPr>
                <w:rFonts w:cs="Arial"/>
                <w:color w:val="auto"/>
                <w:sz w:val="16"/>
                <w:szCs w:val="16"/>
                <w:lang w:val="en-GB"/>
              </w:rPr>
            </w:pPr>
            <w:r w:rsidRPr="00D904DB">
              <w:rPr>
                <w:color w:val="auto"/>
                <w:sz w:val="16"/>
                <w:szCs w:val="16"/>
                <w:lang w:val="en-GB"/>
              </w:rPr>
              <w:t xml:space="preserve">There are no direct shipment requirements for LDC preferences. </w:t>
            </w:r>
          </w:p>
        </w:tc>
      </w:tr>
      <w:tr w:rsidR="00DF53B1" w:rsidRPr="00D904DB" w:rsidTr="0052345F">
        <w:tc>
          <w:tcPr>
            <w:tcW w:w="274" w:type="pct"/>
            <w:tcBorders>
              <w:left w:val="double" w:sz="4" w:space="0" w:color="auto"/>
              <w:bottom w:val="double" w:sz="4" w:space="0" w:color="auto"/>
              <w:right w:val="single" w:sz="2" w:space="0" w:color="000000"/>
            </w:tcBorders>
            <w:shd w:val="clear" w:color="auto" w:fill="auto"/>
          </w:tcPr>
          <w:p w:rsidR="00DF53B1" w:rsidRPr="00D904DB" w:rsidRDefault="00DF53B1" w:rsidP="0052345F">
            <w:pPr>
              <w:snapToGrid w:val="0"/>
              <w:jc w:val="left"/>
              <w:rPr>
                <w:sz w:val="16"/>
                <w:szCs w:val="16"/>
              </w:rPr>
            </w:pPr>
          </w:p>
        </w:tc>
        <w:tc>
          <w:tcPr>
            <w:tcW w:w="1753" w:type="pct"/>
            <w:tcBorders>
              <w:top w:val="single" w:sz="4" w:space="0" w:color="auto"/>
              <w:left w:val="single" w:sz="2" w:space="0" w:color="000000"/>
              <w:bottom w:val="double" w:sz="4" w:space="0" w:color="auto"/>
              <w:right w:val="single" w:sz="2" w:space="0" w:color="000000"/>
            </w:tcBorders>
            <w:shd w:val="clear" w:color="auto" w:fill="auto"/>
          </w:tcPr>
          <w:p w:rsidR="00DF53B1" w:rsidRPr="00D904DB" w:rsidRDefault="00DF53B1" w:rsidP="0052345F">
            <w:pPr>
              <w:ind w:left="483" w:hanging="426"/>
              <w:jc w:val="left"/>
              <w:rPr>
                <w:sz w:val="16"/>
                <w:szCs w:val="16"/>
              </w:rPr>
            </w:pPr>
            <w:r w:rsidRPr="00D904DB">
              <w:rPr>
                <w:b/>
                <w:bCs/>
                <w:sz w:val="16"/>
                <w:szCs w:val="16"/>
              </w:rPr>
              <w:t xml:space="preserve">(b) </w:t>
            </w:r>
            <w:r w:rsidR="00026326" w:rsidRPr="00D904DB">
              <w:rPr>
                <w:b/>
                <w:bCs/>
                <w:sz w:val="16"/>
                <w:szCs w:val="16"/>
              </w:rPr>
              <w:tab/>
            </w:r>
            <w:r w:rsidRPr="00D904DB">
              <w:rPr>
                <w:b/>
                <w:bCs/>
                <w:sz w:val="16"/>
                <w:szCs w:val="16"/>
              </w:rPr>
              <w:t>Documentary requirement for proof of direct shipment including when the transport of consignment involves transit through one or more intermediate countries, if any</w:t>
            </w:r>
          </w:p>
        </w:tc>
        <w:tc>
          <w:tcPr>
            <w:tcW w:w="2972" w:type="pct"/>
            <w:tcBorders>
              <w:top w:val="single" w:sz="1" w:space="0" w:color="000000"/>
              <w:left w:val="single" w:sz="2" w:space="0" w:color="000000"/>
              <w:bottom w:val="double" w:sz="4" w:space="0" w:color="auto"/>
              <w:right w:val="double" w:sz="4" w:space="0" w:color="auto"/>
            </w:tcBorders>
            <w:shd w:val="clear" w:color="auto" w:fill="auto"/>
          </w:tcPr>
          <w:p w:rsidR="00DF53B1" w:rsidRPr="00D904DB" w:rsidRDefault="000B1E02" w:rsidP="0052345F">
            <w:pPr>
              <w:jc w:val="left"/>
              <w:rPr>
                <w:sz w:val="16"/>
                <w:szCs w:val="16"/>
              </w:rPr>
            </w:pPr>
            <w:r w:rsidRPr="00D904DB">
              <w:rPr>
                <w:sz w:val="16"/>
                <w:szCs w:val="16"/>
              </w:rPr>
              <w:t xml:space="preserve">Not applicable. </w:t>
            </w:r>
          </w:p>
        </w:tc>
      </w:tr>
    </w:tbl>
    <w:p w:rsidR="00DF53B1" w:rsidRPr="00D904DB" w:rsidRDefault="00DF53B1" w:rsidP="00687E5F">
      <w:pPr>
        <w:spacing w:after="0"/>
        <w:rPr>
          <w:sz w:val="24"/>
          <w:szCs w:val="24"/>
        </w:rPr>
      </w:pPr>
    </w:p>
    <w:p w:rsidR="00DF53B1" w:rsidRPr="00D904DB" w:rsidRDefault="0052345F" w:rsidP="00DF53B1">
      <w:pPr>
        <w:spacing w:after="240"/>
        <w:rPr>
          <w:szCs w:val="18"/>
        </w:rPr>
      </w:pPr>
      <w:r>
        <w:rPr>
          <w:b/>
          <w:bCs/>
          <w:szCs w:val="18"/>
        </w:rPr>
        <w:br w:type="page"/>
      </w:r>
      <w:r w:rsidR="00DF53B1" w:rsidRPr="00D904DB">
        <w:rPr>
          <w:b/>
          <w:bCs/>
          <w:szCs w:val="18"/>
        </w:rPr>
        <w:lastRenderedPageBreak/>
        <w:t xml:space="preserve">IV. </w:t>
      </w:r>
      <w:r w:rsidR="00DF53B1" w:rsidRPr="00D904DB">
        <w:rPr>
          <w:b/>
          <w:bCs/>
          <w:szCs w:val="18"/>
        </w:rPr>
        <w:tab/>
        <w:t>VERIFICATION AND PENALTIES</w:t>
      </w:r>
    </w:p>
    <w:tbl>
      <w:tblPr>
        <w:tblW w:w="5000" w:type="pct"/>
        <w:tblLayout w:type="fixed"/>
        <w:tblLook w:val="0000" w:firstRow="0" w:lastRow="0" w:firstColumn="0" w:lastColumn="0" w:noHBand="0" w:noVBand="0"/>
      </w:tblPr>
      <w:tblGrid>
        <w:gridCol w:w="487"/>
        <w:gridCol w:w="3174"/>
        <w:gridCol w:w="5335"/>
      </w:tblGrid>
      <w:tr w:rsidR="00DF53B1" w:rsidRPr="00D904DB" w:rsidTr="00983940">
        <w:tc>
          <w:tcPr>
            <w:tcW w:w="271" w:type="pct"/>
            <w:tcBorders>
              <w:top w:val="double" w:sz="4" w:space="0" w:color="000000"/>
              <w:left w:val="double" w:sz="4" w:space="0" w:color="000000"/>
              <w:bottom w:val="single" w:sz="4" w:space="0" w:color="000000"/>
            </w:tcBorders>
            <w:shd w:val="clear" w:color="auto" w:fill="auto"/>
          </w:tcPr>
          <w:p w:rsidR="00DF53B1" w:rsidRPr="00D904DB" w:rsidRDefault="00DF53B1" w:rsidP="008674BE">
            <w:pPr>
              <w:jc w:val="center"/>
              <w:rPr>
                <w:sz w:val="16"/>
                <w:szCs w:val="16"/>
              </w:rPr>
            </w:pPr>
            <w:r w:rsidRPr="00D904DB">
              <w:rPr>
                <w:b/>
                <w:iCs/>
                <w:sz w:val="16"/>
                <w:szCs w:val="16"/>
              </w:rPr>
              <w:t>1)</w:t>
            </w:r>
          </w:p>
        </w:tc>
        <w:tc>
          <w:tcPr>
            <w:tcW w:w="1764" w:type="pct"/>
            <w:tcBorders>
              <w:top w:val="double" w:sz="4" w:space="0" w:color="000000"/>
              <w:left w:val="single" w:sz="4" w:space="0" w:color="000000"/>
              <w:bottom w:val="single" w:sz="4" w:space="0" w:color="000000"/>
            </w:tcBorders>
            <w:shd w:val="clear" w:color="auto" w:fill="auto"/>
          </w:tcPr>
          <w:p w:rsidR="00DF53B1" w:rsidRPr="00D904DB" w:rsidRDefault="00DF53B1" w:rsidP="008674BE">
            <w:pPr>
              <w:jc w:val="left"/>
              <w:rPr>
                <w:sz w:val="16"/>
                <w:szCs w:val="16"/>
              </w:rPr>
            </w:pPr>
            <w:r w:rsidRPr="00D904DB">
              <w:rPr>
                <w:b/>
                <w:iCs/>
                <w:sz w:val="16"/>
                <w:szCs w:val="16"/>
              </w:rPr>
              <w:t>Procedure for verification of proofs of origin</w:t>
            </w:r>
          </w:p>
        </w:tc>
        <w:tc>
          <w:tcPr>
            <w:tcW w:w="2965" w:type="pct"/>
            <w:tcBorders>
              <w:top w:val="double" w:sz="4" w:space="0" w:color="000000"/>
              <w:left w:val="single" w:sz="4" w:space="0" w:color="000000"/>
              <w:bottom w:val="single" w:sz="4" w:space="0" w:color="000000"/>
              <w:right w:val="double" w:sz="4" w:space="0" w:color="000000"/>
            </w:tcBorders>
            <w:shd w:val="clear" w:color="auto" w:fill="auto"/>
          </w:tcPr>
          <w:p w:rsidR="000B1E02" w:rsidRPr="00D904DB" w:rsidRDefault="000B1E02" w:rsidP="000B1E02">
            <w:pPr>
              <w:jc w:val="left"/>
              <w:rPr>
                <w:sz w:val="16"/>
                <w:szCs w:val="16"/>
              </w:rPr>
            </w:pPr>
            <w:r w:rsidRPr="00D904DB">
              <w:rPr>
                <w:sz w:val="16"/>
                <w:szCs w:val="16"/>
              </w:rPr>
              <w:t>Verification of origin is done under general powers provided by the Customs Act 1901.</w:t>
            </w:r>
          </w:p>
          <w:p w:rsidR="000B1E02" w:rsidRPr="00D904DB" w:rsidRDefault="000B1E02" w:rsidP="000B1E02">
            <w:pPr>
              <w:jc w:val="left"/>
              <w:rPr>
                <w:sz w:val="16"/>
                <w:szCs w:val="16"/>
              </w:rPr>
            </w:pPr>
            <w:r w:rsidRPr="00D904DB">
              <w:rPr>
                <w:sz w:val="16"/>
                <w:szCs w:val="16"/>
              </w:rPr>
              <w:t xml:space="preserve">Legislation available: </w:t>
            </w:r>
            <w:hyperlink r:id="rId12" w:history="1">
              <w:r w:rsidRPr="00D904DB">
                <w:rPr>
                  <w:rStyle w:val="Hyperlink"/>
                  <w:sz w:val="16"/>
                  <w:szCs w:val="16"/>
                </w:rPr>
                <w:t>https://www.legislation.gov.au/Details/C2017C00028</w:t>
              </w:r>
            </w:hyperlink>
            <w:r w:rsidRPr="00D904DB">
              <w:rPr>
                <w:sz w:val="16"/>
                <w:szCs w:val="16"/>
              </w:rPr>
              <w:t xml:space="preserve"> </w:t>
            </w:r>
          </w:p>
          <w:p w:rsidR="000B1E02" w:rsidRPr="00D904DB" w:rsidRDefault="000B1E02" w:rsidP="000B1E02">
            <w:pPr>
              <w:jc w:val="left"/>
              <w:rPr>
                <w:sz w:val="16"/>
                <w:szCs w:val="16"/>
              </w:rPr>
            </w:pPr>
            <w:r w:rsidRPr="00D904DB">
              <w:rPr>
                <w:sz w:val="16"/>
                <w:szCs w:val="16"/>
              </w:rPr>
              <w:t xml:space="preserve">Relevant sections include: </w:t>
            </w:r>
          </w:p>
          <w:p w:rsidR="000B1E02" w:rsidRPr="00D904DB" w:rsidRDefault="0052345F" w:rsidP="0052345F">
            <w:pPr>
              <w:tabs>
                <w:tab w:val="left" w:pos="298"/>
              </w:tabs>
              <w:spacing w:after="0"/>
              <w:ind w:left="567" w:hanging="567"/>
              <w:jc w:val="left"/>
              <w:rPr>
                <w:sz w:val="16"/>
                <w:szCs w:val="16"/>
              </w:rPr>
            </w:pPr>
            <w:r>
              <w:rPr>
                <w:sz w:val="16"/>
                <w:szCs w:val="16"/>
              </w:rPr>
              <w:t>-</w:t>
            </w:r>
            <w:r>
              <w:rPr>
                <w:sz w:val="16"/>
                <w:szCs w:val="16"/>
              </w:rPr>
              <w:tab/>
            </w:r>
            <w:r w:rsidR="000B1E02" w:rsidRPr="00D904DB">
              <w:rPr>
                <w:sz w:val="16"/>
                <w:szCs w:val="16"/>
              </w:rPr>
              <w:t>Section 30 Customs control</w:t>
            </w:r>
          </w:p>
          <w:p w:rsidR="000B1E02" w:rsidRPr="00D904DB" w:rsidRDefault="0052345F" w:rsidP="0052345F">
            <w:pPr>
              <w:tabs>
                <w:tab w:val="left" w:pos="298"/>
              </w:tabs>
              <w:spacing w:after="0"/>
              <w:ind w:left="567" w:hanging="567"/>
              <w:jc w:val="left"/>
              <w:rPr>
                <w:sz w:val="16"/>
                <w:szCs w:val="16"/>
              </w:rPr>
            </w:pPr>
            <w:r>
              <w:rPr>
                <w:sz w:val="16"/>
                <w:szCs w:val="16"/>
              </w:rPr>
              <w:t>-</w:t>
            </w:r>
            <w:r>
              <w:rPr>
                <w:sz w:val="16"/>
                <w:szCs w:val="16"/>
              </w:rPr>
              <w:tab/>
            </w:r>
            <w:r w:rsidR="000B1E02" w:rsidRPr="00D904DB">
              <w:rPr>
                <w:sz w:val="16"/>
                <w:szCs w:val="16"/>
              </w:rPr>
              <w:t>Section 68 Importation of goods</w:t>
            </w:r>
          </w:p>
          <w:p w:rsidR="000B1E02" w:rsidRPr="00D904DB" w:rsidRDefault="0052345F" w:rsidP="0052345F">
            <w:pPr>
              <w:tabs>
                <w:tab w:val="left" w:pos="298"/>
              </w:tabs>
              <w:spacing w:after="0"/>
              <w:ind w:left="298" w:hanging="298"/>
              <w:jc w:val="left"/>
              <w:rPr>
                <w:sz w:val="16"/>
                <w:szCs w:val="16"/>
              </w:rPr>
            </w:pPr>
            <w:r>
              <w:rPr>
                <w:sz w:val="16"/>
                <w:szCs w:val="16"/>
              </w:rPr>
              <w:t>-</w:t>
            </w:r>
            <w:r>
              <w:rPr>
                <w:sz w:val="16"/>
                <w:szCs w:val="16"/>
              </w:rPr>
              <w:tab/>
            </w:r>
            <w:r w:rsidR="000B1E02" w:rsidRPr="00D904DB">
              <w:rPr>
                <w:sz w:val="16"/>
                <w:szCs w:val="16"/>
              </w:rPr>
              <w:t>Section 186  General powers of examination of goods subject to customs control</w:t>
            </w:r>
          </w:p>
          <w:p w:rsidR="000B1E02" w:rsidRPr="00D904DB" w:rsidRDefault="0052345F" w:rsidP="0052345F">
            <w:pPr>
              <w:tabs>
                <w:tab w:val="left" w:pos="298"/>
              </w:tabs>
              <w:spacing w:after="0"/>
              <w:ind w:left="298" w:hanging="298"/>
              <w:jc w:val="left"/>
              <w:rPr>
                <w:sz w:val="16"/>
                <w:szCs w:val="16"/>
              </w:rPr>
            </w:pPr>
            <w:r>
              <w:rPr>
                <w:sz w:val="16"/>
                <w:szCs w:val="16"/>
              </w:rPr>
              <w:t>-</w:t>
            </w:r>
            <w:r>
              <w:rPr>
                <w:sz w:val="16"/>
                <w:szCs w:val="16"/>
              </w:rPr>
              <w:tab/>
            </w:r>
            <w:r w:rsidR="000B1E02" w:rsidRPr="00D904DB">
              <w:rPr>
                <w:sz w:val="16"/>
                <w:szCs w:val="16"/>
              </w:rPr>
              <w:t>Section 186AA  General powers of examination of goods loaded onto or unloaded from ships or aircraft</w:t>
            </w:r>
          </w:p>
          <w:p w:rsidR="000B1E02" w:rsidRPr="00D904DB" w:rsidRDefault="0052345F" w:rsidP="0052345F">
            <w:pPr>
              <w:tabs>
                <w:tab w:val="left" w:pos="298"/>
              </w:tabs>
              <w:spacing w:after="0"/>
              <w:ind w:left="567" w:hanging="567"/>
              <w:jc w:val="left"/>
              <w:rPr>
                <w:sz w:val="16"/>
                <w:szCs w:val="16"/>
              </w:rPr>
            </w:pPr>
            <w:r>
              <w:rPr>
                <w:sz w:val="16"/>
                <w:szCs w:val="16"/>
              </w:rPr>
              <w:t>-</w:t>
            </w:r>
            <w:r>
              <w:rPr>
                <w:sz w:val="16"/>
                <w:szCs w:val="16"/>
              </w:rPr>
              <w:tab/>
            </w:r>
            <w:r w:rsidR="000B1E02" w:rsidRPr="00D904DB">
              <w:rPr>
                <w:sz w:val="16"/>
                <w:szCs w:val="16"/>
              </w:rPr>
              <w:t>Part XII, Division 1</w:t>
            </w:r>
          </w:p>
          <w:p w:rsidR="000B1E02" w:rsidRPr="00D904DB" w:rsidRDefault="0052345F" w:rsidP="0052345F">
            <w:pPr>
              <w:tabs>
                <w:tab w:val="left" w:pos="298"/>
              </w:tabs>
              <w:spacing w:after="0"/>
              <w:ind w:left="298" w:hanging="298"/>
              <w:jc w:val="left"/>
              <w:rPr>
                <w:sz w:val="16"/>
                <w:szCs w:val="16"/>
              </w:rPr>
            </w:pPr>
            <w:r>
              <w:rPr>
                <w:sz w:val="16"/>
                <w:szCs w:val="16"/>
              </w:rPr>
              <w:t>-</w:t>
            </w:r>
            <w:r>
              <w:rPr>
                <w:sz w:val="16"/>
                <w:szCs w:val="16"/>
              </w:rPr>
              <w:tab/>
            </w:r>
            <w:r w:rsidR="000B1E02" w:rsidRPr="00D904DB">
              <w:rPr>
                <w:sz w:val="16"/>
                <w:szCs w:val="16"/>
              </w:rPr>
              <w:t>Subdivision J—General powers to monitor and audit</w:t>
            </w:r>
          </w:p>
          <w:p w:rsidR="00DF53B1" w:rsidRPr="00D904DB" w:rsidRDefault="0052345F" w:rsidP="0052345F">
            <w:pPr>
              <w:tabs>
                <w:tab w:val="left" w:pos="298"/>
              </w:tabs>
              <w:ind w:left="298" w:hanging="298"/>
              <w:jc w:val="left"/>
              <w:rPr>
                <w:rFonts w:cs="Arial"/>
                <w:sz w:val="16"/>
                <w:szCs w:val="16"/>
              </w:rPr>
            </w:pPr>
            <w:r>
              <w:rPr>
                <w:sz w:val="16"/>
                <w:szCs w:val="16"/>
              </w:rPr>
              <w:t>-</w:t>
            </w:r>
            <w:r>
              <w:rPr>
                <w:sz w:val="16"/>
                <w:szCs w:val="16"/>
              </w:rPr>
              <w:tab/>
            </w:r>
            <w:r w:rsidR="000B1E02" w:rsidRPr="00D904DB">
              <w:rPr>
                <w:sz w:val="16"/>
                <w:szCs w:val="16"/>
              </w:rPr>
              <w:t>Sections 240 (Commercial documents to be kept), 240AA (Authorised officer may require person to produce commercial documents), 240AB (Verifying communications to department, 240AC (Authorised officer may require person to produce record).</w:t>
            </w:r>
          </w:p>
        </w:tc>
      </w:tr>
      <w:tr w:rsidR="00DF53B1" w:rsidRPr="00D904DB" w:rsidTr="00687E5F">
        <w:trPr>
          <w:cantSplit/>
        </w:trPr>
        <w:tc>
          <w:tcPr>
            <w:tcW w:w="271" w:type="pct"/>
            <w:tcBorders>
              <w:top w:val="single" w:sz="4" w:space="0" w:color="000000"/>
              <w:left w:val="double" w:sz="4" w:space="0" w:color="000000"/>
              <w:bottom w:val="single" w:sz="4" w:space="0" w:color="000000"/>
            </w:tcBorders>
            <w:shd w:val="clear" w:color="auto" w:fill="auto"/>
          </w:tcPr>
          <w:p w:rsidR="00DF53B1" w:rsidRPr="00D904DB" w:rsidRDefault="00DF53B1" w:rsidP="008674BE">
            <w:pPr>
              <w:jc w:val="center"/>
              <w:rPr>
                <w:sz w:val="16"/>
                <w:szCs w:val="16"/>
              </w:rPr>
            </w:pPr>
            <w:r w:rsidRPr="00D904DB">
              <w:rPr>
                <w:b/>
                <w:iCs/>
                <w:sz w:val="16"/>
                <w:szCs w:val="16"/>
              </w:rPr>
              <w:t>2)</w:t>
            </w:r>
          </w:p>
        </w:tc>
        <w:tc>
          <w:tcPr>
            <w:tcW w:w="1764" w:type="pct"/>
            <w:tcBorders>
              <w:top w:val="single" w:sz="4" w:space="0" w:color="000000"/>
              <w:left w:val="single" w:sz="4" w:space="0" w:color="000000"/>
              <w:bottom w:val="single" w:sz="4" w:space="0" w:color="000000"/>
            </w:tcBorders>
            <w:shd w:val="clear" w:color="auto" w:fill="auto"/>
          </w:tcPr>
          <w:p w:rsidR="00DF53B1" w:rsidRPr="00D904DB" w:rsidRDefault="00DF53B1" w:rsidP="008674BE">
            <w:pPr>
              <w:jc w:val="left"/>
              <w:rPr>
                <w:sz w:val="16"/>
                <w:szCs w:val="16"/>
              </w:rPr>
            </w:pPr>
            <w:r w:rsidRPr="00D904DB">
              <w:rPr>
                <w:b/>
                <w:iCs/>
                <w:sz w:val="16"/>
                <w:szCs w:val="16"/>
              </w:rPr>
              <w:t>Penalties for fraud and false declarations</w:t>
            </w:r>
          </w:p>
        </w:tc>
        <w:tc>
          <w:tcPr>
            <w:tcW w:w="2965" w:type="pct"/>
            <w:tcBorders>
              <w:top w:val="single" w:sz="4" w:space="0" w:color="000000"/>
              <w:left w:val="single" w:sz="4" w:space="0" w:color="000000"/>
              <w:bottom w:val="single" w:sz="4" w:space="0" w:color="000000"/>
              <w:right w:val="double" w:sz="4" w:space="0" w:color="000000"/>
            </w:tcBorders>
            <w:shd w:val="clear" w:color="auto" w:fill="auto"/>
          </w:tcPr>
          <w:p w:rsidR="00DF53B1" w:rsidRPr="00D904DB" w:rsidRDefault="000B1E02" w:rsidP="000B1E02">
            <w:pPr>
              <w:pStyle w:val="Default"/>
              <w:tabs>
                <w:tab w:val="left" w:pos="494"/>
              </w:tabs>
              <w:spacing w:after="60"/>
              <w:rPr>
                <w:color w:val="auto"/>
                <w:sz w:val="16"/>
                <w:szCs w:val="16"/>
                <w:lang w:val="en-GB"/>
              </w:rPr>
            </w:pPr>
            <w:r w:rsidRPr="00D904DB">
              <w:rPr>
                <w:color w:val="auto"/>
                <w:sz w:val="16"/>
                <w:szCs w:val="16"/>
                <w:lang w:val="en-GB"/>
              </w:rPr>
              <w:t xml:space="preserve">Customs Act 1901, sections 243U and 243T and section 234 (Customs offences) </w:t>
            </w:r>
            <w:hyperlink r:id="rId13" w:history="1">
              <w:r w:rsidRPr="00D904DB">
                <w:rPr>
                  <w:rStyle w:val="Hyperlink"/>
                  <w:sz w:val="16"/>
                  <w:szCs w:val="16"/>
                  <w:lang w:val="en-GB"/>
                </w:rPr>
                <w:t>https://www.legislation.gov.au/Details/C2017C00028</w:t>
              </w:r>
            </w:hyperlink>
          </w:p>
        </w:tc>
      </w:tr>
      <w:tr w:rsidR="00DF53B1" w:rsidRPr="00D904DB" w:rsidTr="00983940">
        <w:tc>
          <w:tcPr>
            <w:tcW w:w="271" w:type="pct"/>
            <w:tcBorders>
              <w:top w:val="single" w:sz="4" w:space="0" w:color="000000"/>
              <w:left w:val="double" w:sz="4" w:space="0" w:color="000000"/>
              <w:bottom w:val="single" w:sz="4" w:space="0" w:color="000000"/>
            </w:tcBorders>
            <w:shd w:val="clear" w:color="auto" w:fill="auto"/>
          </w:tcPr>
          <w:p w:rsidR="00DF53B1" w:rsidRPr="00D904DB" w:rsidRDefault="00DF53B1" w:rsidP="008674BE">
            <w:pPr>
              <w:jc w:val="center"/>
              <w:rPr>
                <w:sz w:val="16"/>
                <w:szCs w:val="16"/>
              </w:rPr>
            </w:pPr>
            <w:r w:rsidRPr="00D904DB">
              <w:rPr>
                <w:b/>
                <w:bCs/>
                <w:sz w:val="16"/>
                <w:szCs w:val="16"/>
              </w:rPr>
              <w:t>3)</w:t>
            </w:r>
          </w:p>
        </w:tc>
        <w:tc>
          <w:tcPr>
            <w:tcW w:w="1764" w:type="pct"/>
            <w:tcBorders>
              <w:top w:val="single" w:sz="4" w:space="0" w:color="000000"/>
              <w:left w:val="single" w:sz="4" w:space="0" w:color="000000"/>
              <w:bottom w:val="single" w:sz="4" w:space="0" w:color="000000"/>
            </w:tcBorders>
            <w:shd w:val="clear" w:color="auto" w:fill="auto"/>
          </w:tcPr>
          <w:p w:rsidR="00DF53B1" w:rsidRPr="00D904DB" w:rsidRDefault="00DF53B1" w:rsidP="008674BE">
            <w:pPr>
              <w:jc w:val="left"/>
              <w:rPr>
                <w:sz w:val="16"/>
                <w:szCs w:val="16"/>
              </w:rPr>
            </w:pPr>
            <w:r w:rsidRPr="00D904DB">
              <w:rPr>
                <w:b/>
                <w:bCs/>
                <w:sz w:val="16"/>
                <w:szCs w:val="16"/>
              </w:rPr>
              <w:t>Authorities and procedures for appeal in the case of dispute on verification</w:t>
            </w:r>
          </w:p>
        </w:tc>
        <w:tc>
          <w:tcPr>
            <w:tcW w:w="2965" w:type="pct"/>
            <w:tcBorders>
              <w:top w:val="single" w:sz="4" w:space="0" w:color="000000"/>
              <w:left w:val="single" w:sz="4" w:space="0" w:color="000000"/>
              <w:bottom w:val="single" w:sz="4" w:space="0" w:color="000000"/>
              <w:right w:val="double" w:sz="4" w:space="0" w:color="000000"/>
            </w:tcBorders>
            <w:shd w:val="clear" w:color="auto" w:fill="auto"/>
          </w:tcPr>
          <w:p w:rsidR="00DF53B1" w:rsidRPr="00D904DB" w:rsidRDefault="000B1E02" w:rsidP="004F522F">
            <w:pPr>
              <w:pStyle w:val="Default"/>
              <w:spacing w:after="60"/>
              <w:rPr>
                <w:rFonts w:cs="Arial"/>
                <w:color w:val="auto"/>
                <w:sz w:val="16"/>
                <w:szCs w:val="16"/>
                <w:lang w:val="en-GB"/>
              </w:rPr>
            </w:pPr>
            <w:r w:rsidRPr="00D904DB">
              <w:rPr>
                <w:color w:val="auto"/>
                <w:sz w:val="16"/>
                <w:szCs w:val="16"/>
                <w:lang w:val="en-GB" w:eastAsia="en-AU"/>
              </w:rPr>
              <w:t xml:space="preserve">Traders have access to internal review by the </w:t>
            </w:r>
            <w:r w:rsidR="004F522F" w:rsidRPr="00D904DB">
              <w:rPr>
                <w:color w:val="auto"/>
                <w:sz w:val="16"/>
                <w:szCs w:val="16"/>
                <w:lang w:val="en-GB" w:eastAsia="en-AU"/>
              </w:rPr>
              <w:t>Australian Border Force</w:t>
            </w:r>
            <w:r w:rsidR="002235EC" w:rsidRPr="00D904DB">
              <w:rPr>
                <w:color w:val="auto"/>
                <w:sz w:val="16"/>
                <w:szCs w:val="16"/>
                <w:lang w:val="en-GB" w:eastAsia="en-AU"/>
              </w:rPr>
              <w:t xml:space="preserve"> </w:t>
            </w:r>
            <w:r w:rsidRPr="00D904DB">
              <w:rPr>
                <w:color w:val="auto"/>
                <w:sz w:val="16"/>
                <w:szCs w:val="16"/>
                <w:lang w:val="en-GB" w:eastAsia="en-AU"/>
              </w:rPr>
              <w:t>as well as merit review by an external tribunal: the Administrative Appeals Tribunal</w:t>
            </w:r>
            <w:r w:rsidRPr="00D904DB">
              <w:rPr>
                <w:rFonts w:cs="Arial"/>
                <w:color w:val="auto"/>
                <w:sz w:val="16"/>
                <w:szCs w:val="16"/>
                <w:lang w:val="en-GB"/>
              </w:rPr>
              <w:t xml:space="preserve"> (</w:t>
            </w:r>
            <w:hyperlink r:id="rId14" w:history="1">
              <w:r w:rsidRPr="00D904DB">
                <w:rPr>
                  <w:rStyle w:val="Hyperlink"/>
                  <w:rFonts w:cs="Arial"/>
                  <w:sz w:val="16"/>
                  <w:szCs w:val="16"/>
                  <w:lang w:val="en-GB"/>
                </w:rPr>
                <w:t>http://www.aat.gov.au/</w:t>
              </w:r>
            </w:hyperlink>
            <w:r w:rsidRPr="00D904DB">
              <w:rPr>
                <w:rFonts w:cs="Arial"/>
                <w:color w:val="auto"/>
                <w:sz w:val="16"/>
                <w:szCs w:val="16"/>
                <w:lang w:val="en-GB"/>
              </w:rPr>
              <w:t xml:space="preserve">) </w:t>
            </w:r>
            <w:r w:rsidRPr="00D904DB">
              <w:rPr>
                <w:color w:val="auto"/>
                <w:sz w:val="16"/>
                <w:szCs w:val="16"/>
                <w:lang w:val="en-GB" w:eastAsia="en-AU"/>
              </w:rPr>
              <w:t>and judicial review by the Federal Court of Australia</w:t>
            </w:r>
            <w:r w:rsidRPr="00D904DB">
              <w:rPr>
                <w:rFonts w:cs="Arial"/>
                <w:color w:val="auto"/>
                <w:sz w:val="16"/>
                <w:szCs w:val="16"/>
                <w:lang w:val="en-GB"/>
              </w:rPr>
              <w:t xml:space="preserve"> </w:t>
            </w:r>
            <w:r w:rsidRPr="003F14AC">
              <w:rPr>
                <w:rFonts w:cs="Arial"/>
                <w:color w:val="auto"/>
                <w:sz w:val="16"/>
                <w:szCs w:val="16"/>
                <w:lang w:val="en-GB"/>
              </w:rPr>
              <w:t>(</w:t>
            </w:r>
            <w:hyperlink r:id="rId15" w:history="1">
              <w:r w:rsidRPr="003F14AC">
                <w:rPr>
                  <w:rStyle w:val="Hyperlink"/>
                  <w:rFonts w:cs="Arial"/>
                  <w:sz w:val="16"/>
                  <w:szCs w:val="16"/>
                  <w:lang w:val="en-GB"/>
                </w:rPr>
                <w:t>http://www.federalcourt.gov.au/</w:t>
              </w:r>
            </w:hyperlink>
            <w:r w:rsidRPr="003F14AC">
              <w:rPr>
                <w:rFonts w:cs="Arial"/>
                <w:color w:val="auto"/>
                <w:sz w:val="16"/>
                <w:szCs w:val="16"/>
                <w:lang w:val="en-GB"/>
              </w:rPr>
              <w:t>)</w:t>
            </w:r>
            <w:r w:rsidRPr="00D904DB">
              <w:rPr>
                <w:rFonts w:cs="Arial"/>
                <w:color w:val="auto"/>
                <w:sz w:val="16"/>
                <w:szCs w:val="16"/>
                <w:lang w:val="en-GB"/>
              </w:rPr>
              <w:t>.</w:t>
            </w:r>
          </w:p>
        </w:tc>
      </w:tr>
      <w:tr w:rsidR="00DF53B1" w:rsidRPr="00D904DB" w:rsidTr="00983940">
        <w:tc>
          <w:tcPr>
            <w:tcW w:w="271" w:type="pct"/>
            <w:tcBorders>
              <w:top w:val="single" w:sz="4" w:space="0" w:color="000000"/>
              <w:left w:val="double" w:sz="4" w:space="0" w:color="000000"/>
              <w:bottom w:val="single" w:sz="4" w:space="0" w:color="000000"/>
            </w:tcBorders>
            <w:shd w:val="clear" w:color="auto" w:fill="auto"/>
          </w:tcPr>
          <w:p w:rsidR="00DF53B1" w:rsidRPr="00D904DB" w:rsidRDefault="00DF53B1" w:rsidP="008674BE">
            <w:pPr>
              <w:jc w:val="center"/>
              <w:rPr>
                <w:sz w:val="16"/>
                <w:szCs w:val="16"/>
              </w:rPr>
            </w:pPr>
            <w:r w:rsidRPr="00D904DB">
              <w:rPr>
                <w:b/>
                <w:bCs/>
                <w:sz w:val="16"/>
                <w:szCs w:val="16"/>
              </w:rPr>
              <w:t>4)</w:t>
            </w:r>
          </w:p>
        </w:tc>
        <w:tc>
          <w:tcPr>
            <w:tcW w:w="1764" w:type="pct"/>
            <w:tcBorders>
              <w:top w:val="single" w:sz="4" w:space="0" w:color="000000"/>
              <w:left w:val="single" w:sz="4" w:space="0" w:color="000000"/>
              <w:bottom w:val="single" w:sz="4" w:space="0" w:color="000000"/>
            </w:tcBorders>
            <w:shd w:val="clear" w:color="auto" w:fill="auto"/>
          </w:tcPr>
          <w:p w:rsidR="00DF53B1" w:rsidRPr="00D904DB" w:rsidRDefault="00DF53B1" w:rsidP="008674BE">
            <w:pPr>
              <w:jc w:val="left"/>
              <w:rPr>
                <w:sz w:val="16"/>
                <w:szCs w:val="16"/>
              </w:rPr>
            </w:pPr>
            <w:r w:rsidRPr="00D904DB">
              <w:rPr>
                <w:b/>
                <w:bCs/>
                <w:sz w:val="16"/>
                <w:szCs w:val="16"/>
              </w:rPr>
              <w:t>Requirement for preserving the documents related to issuance of certificate of origin</w:t>
            </w:r>
          </w:p>
        </w:tc>
        <w:tc>
          <w:tcPr>
            <w:tcW w:w="2965" w:type="pct"/>
            <w:tcBorders>
              <w:top w:val="single" w:sz="4" w:space="0" w:color="000000"/>
              <w:left w:val="single" w:sz="4" w:space="0" w:color="000000"/>
              <w:bottom w:val="single" w:sz="4" w:space="0" w:color="000000"/>
              <w:right w:val="double" w:sz="4" w:space="0" w:color="000000"/>
            </w:tcBorders>
            <w:shd w:val="clear" w:color="auto" w:fill="auto"/>
          </w:tcPr>
          <w:p w:rsidR="00DF53B1" w:rsidRPr="00D904DB" w:rsidRDefault="00216C25" w:rsidP="00687E5F">
            <w:pPr>
              <w:pStyle w:val="Default"/>
              <w:spacing w:after="60"/>
              <w:rPr>
                <w:rFonts w:cs="Arial"/>
                <w:color w:val="auto"/>
                <w:sz w:val="16"/>
                <w:szCs w:val="16"/>
                <w:lang w:val="en-GB"/>
              </w:rPr>
            </w:pPr>
            <w:r w:rsidRPr="00D904DB">
              <w:rPr>
                <w:rFonts w:cs="Arial"/>
                <w:color w:val="auto"/>
                <w:sz w:val="16"/>
                <w:szCs w:val="16"/>
                <w:lang w:val="en-GB"/>
              </w:rPr>
              <w:t xml:space="preserve">Requirement for preserving the documents related to issuance of certificate of origin in the </w:t>
            </w:r>
            <w:r w:rsidRPr="00D904DB">
              <w:rPr>
                <w:color w:val="auto"/>
                <w:sz w:val="16"/>
                <w:szCs w:val="16"/>
                <w:lang w:val="en-GB" w:eastAsia="en-AU"/>
              </w:rPr>
              <w:t>Customs Act 1901, section 240. Commercial documents must be kept for five years after the goods were imported into Australia.</w:t>
            </w:r>
          </w:p>
        </w:tc>
      </w:tr>
      <w:tr w:rsidR="00DF53B1" w:rsidRPr="00D904DB" w:rsidTr="00983940">
        <w:trPr>
          <w:trHeight w:val="446"/>
        </w:trPr>
        <w:tc>
          <w:tcPr>
            <w:tcW w:w="271" w:type="pct"/>
            <w:tcBorders>
              <w:top w:val="single" w:sz="4" w:space="0" w:color="000000"/>
              <w:left w:val="double" w:sz="4" w:space="0" w:color="000000"/>
              <w:bottom w:val="double" w:sz="4" w:space="0" w:color="000000"/>
            </w:tcBorders>
            <w:shd w:val="clear" w:color="auto" w:fill="auto"/>
          </w:tcPr>
          <w:p w:rsidR="00DF53B1" w:rsidRPr="00D904DB" w:rsidRDefault="00DF53B1" w:rsidP="008674BE">
            <w:pPr>
              <w:jc w:val="center"/>
              <w:rPr>
                <w:sz w:val="16"/>
                <w:szCs w:val="16"/>
              </w:rPr>
            </w:pPr>
            <w:r w:rsidRPr="00D904DB">
              <w:rPr>
                <w:b/>
                <w:bCs/>
                <w:sz w:val="16"/>
                <w:szCs w:val="16"/>
              </w:rPr>
              <w:t>5)</w:t>
            </w:r>
          </w:p>
        </w:tc>
        <w:tc>
          <w:tcPr>
            <w:tcW w:w="1764" w:type="pct"/>
            <w:tcBorders>
              <w:top w:val="single" w:sz="4" w:space="0" w:color="000000"/>
              <w:left w:val="single" w:sz="4" w:space="0" w:color="000000"/>
              <w:bottom w:val="double" w:sz="4" w:space="0" w:color="000000"/>
            </w:tcBorders>
            <w:shd w:val="clear" w:color="auto" w:fill="auto"/>
          </w:tcPr>
          <w:p w:rsidR="00DF53B1" w:rsidRPr="00D904DB" w:rsidRDefault="00DF53B1" w:rsidP="008674BE">
            <w:pPr>
              <w:jc w:val="left"/>
              <w:rPr>
                <w:sz w:val="16"/>
                <w:szCs w:val="16"/>
              </w:rPr>
            </w:pPr>
            <w:r w:rsidRPr="00D904DB">
              <w:rPr>
                <w:b/>
                <w:bCs/>
                <w:sz w:val="16"/>
                <w:szCs w:val="16"/>
              </w:rPr>
              <w:t>Any other relevant information</w:t>
            </w:r>
          </w:p>
        </w:tc>
        <w:tc>
          <w:tcPr>
            <w:tcW w:w="2965" w:type="pct"/>
            <w:tcBorders>
              <w:top w:val="single" w:sz="4" w:space="0" w:color="000000"/>
              <w:left w:val="single" w:sz="4" w:space="0" w:color="000000"/>
              <w:bottom w:val="double" w:sz="4" w:space="0" w:color="000000"/>
              <w:right w:val="double" w:sz="4" w:space="0" w:color="000000"/>
            </w:tcBorders>
            <w:shd w:val="clear" w:color="auto" w:fill="auto"/>
          </w:tcPr>
          <w:p w:rsidR="00DF53B1" w:rsidRPr="00D904DB" w:rsidRDefault="00FC1CCE" w:rsidP="00687E5F">
            <w:pPr>
              <w:pStyle w:val="Default"/>
              <w:spacing w:after="60"/>
              <w:rPr>
                <w:rFonts w:cs="Arial"/>
                <w:color w:val="auto"/>
                <w:sz w:val="16"/>
                <w:szCs w:val="16"/>
                <w:lang w:val="en-GB"/>
              </w:rPr>
            </w:pPr>
            <w:r w:rsidRPr="00D904DB">
              <w:rPr>
                <w:rFonts w:cs="Arial"/>
                <w:color w:val="auto"/>
                <w:sz w:val="16"/>
                <w:szCs w:val="16"/>
                <w:lang w:val="en-GB"/>
              </w:rPr>
              <w:t>-</w:t>
            </w:r>
          </w:p>
        </w:tc>
      </w:tr>
    </w:tbl>
    <w:p w:rsidR="001242E1" w:rsidRPr="00D904DB" w:rsidRDefault="001242E1" w:rsidP="001242E1">
      <w:pPr>
        <w:spacing w:after="0"/>
        <w:rPr>
          <w:b/>
          <w:bCs/>
          <w:szCs w:val="18"/>
        </w:rPr>
      </w:pPr>
    </w:p>
    <w:p w:rsidR="00DF53B1" w:rsidRPr="00D904DB" w:rsidRDefault="00DF53B1" w:rsidP="00DF53B1">
      <w:pPr>
        <w:spacing w:after="240"/>
        <w:rPr>
          <w:szCs w:val="18"/>
        </w:rPr>
      </w:pPr>
      <w:r w:rsidRPr="00D904DB">
        <w:rPr>
          <w:b/>
          <w:bCs/>
          <w:szCs w:val="18"/>
        </w:rPr>
        <w:t xml:space="preserve">V. </w:t>
      </w:r>
      <w:r w:rsidRPr="00D904DB">
        <w:rPr>
          <w:b/>
          <w:bCs/>
          <w:szCs w:val="18"/>
        </w:rPr>
        <w:tab/>
        <w:t>REFERENCE TEXTS</w:t>
      </w: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3161"/>
        <w:gridCol w:w="5333"/>
      </w:tblGrid>
      <w:tr w:rsidR="00B9364A" w:rsidRPr="00D904DB" w:rsidTr="00005B3F">
        <w:tc>
          <w:tcPr>
            <w:tcW w:w="279" w:type="pct"/>
            <w:tcBorders>
              <w:bottom w:val="single" w:sz="4" w:space="0" w:color="000000"/>
            </w:tcBorders>
            <w:shd w:val="clear" w:color="auto" w:fill="auto"/>
          </w:tcPr>
          <w:p w:rsidR="00B9364A" w:rsidRPr="00D904DB" w:rsidRDefault="00B9364A" w:rsidP="008674BE">
            <w:pPr>
              <w:jc w:val="center"/>
              <w:rPr>
                <w:sz w:val="16"/>
                <w:szCs w:val="16"/>
              </w:rPr>
            </w:pPr>
            <w:r w:rsidRPr="00D904DB">
              <w:rPr>
                <w:b/>
                <w:color w:val="000000"/>
                <w:sz w:val="16"/>
                <w:szCs w:val="16"/>
              </w:rPr>
              <w:t>(a)</w:t>
            </w:r>
          </w:p>
        </w:tc>
        <w:tc>
          <w:tcPr>
            <w:tcW w:w="1757" w:type="pct"/>
            <w:tcBorders>
              <w:bottom w:val="single" w:sz="4" w:space="0" w:color="000000"/>
            </w:tcBorders>
            <w:shd w:val="clear" w:color="auto" w:fill="auto"/>
          </w:tcPr>
          <w:p w:rsidR="00B9364A" w:rsidRPr="00D904DB" w:rsidRDefault="00B9364A" w:rsidP="008674BE">
            <w:pPr>
              <w:jc w:val="left"/>
              <w:rPr>
                <w:sz w:val="16"/>
                <w:szCs w:val="16"/>
              </w:rPr>
            </w:pPr>
            <w:r w:rsidRPr="00D904DB">
              <w:rPr>
                <w:b/>
                <w:color w:val="000000"/>
                <w:sz w:val="16"/>
                <w:szCs w:val="16"/>
              </w:rPr>
              <w:t>The legislative texts in one of the official WTO languages containing the preferential rules of origin applicable under a PTA granted under the Decision on Measures in Favour of Least-Developed Countries (Annex F of the Hong Kong Ministerial Declaration)</w:t>
            </w:r>
          </w:p>
        </w:tc>
        <w:tc>
          <w:tcPr>
            <w:tcW w:w="2964" w:type="pct"/>
            <w:vMerge w:val="restart"/>
            <w:tcBorders>
              <w:bottom w:val="single" w:sz="4" w:space="0" w:color="000000"/>
            </w:tcBorders>
            <w:shd w:val="clear" w:color="auto" w:fill="auto"/>
          </w:tcPr>
          <w:p w:rsidR="00B9364A" w:rsidRPr="00D904DB" w:rsidRDefault="00B9364A" w:rsidP="00891BBB">
            <w:pPr>
              <w:pStyle w:val="Default"/>
              <w:spacing w:after="60"/>
              <w:rPr>
                <w:sz w:val="16"/>
                <w:szCs w:val="16"/>
                <w:lang w:val="en-GB"/>
              </w:rPr>
            </w:pPr>
            <w:r w:rsidRPr="00D904DB">
              <w:rPr>
                <w:sz w:val="16"/>
                <w:szCs w:val="16"/>
                <w:lang w:val="en-GB"/>
              </w:rPr>
              <w:t xml:space="preserve">Customs Act 1901: </w:t>
            </w:r>
            <w:hyperlink r:id="rId16" w:history="1">
              <w:r w:rsidRPr="00D904DB">
                <w:rPr>
                  <w:rStyle w:val="Hyperlink"/>
                  <w:sz w:val="16"/>
                  <w:szCs w:val="16"/>
                  <w:lang w:val="en-GB"/>
                </w:rPr>
                <w:t>https://www.legislation.gov.au/Details/C2017C00219</w:t>
              </w:r>
            </w:hyperlink>
          </w:p>
          <w:p w:rsidR="00ED4125" w:rsidRPr="00D904DB" w:rsidRDefault="00ED4125" w:rsidP="00891BBB">
            <w:pPr>
              <w:pStyle w:val="Default"/>
              <w:spacing w:after="60"/>
              <w:rPr>
                <w:sz w:val="16"/>
                <w:szCs w:val="16"/>
                <w:lang w:val="en-GB"/>
              </w:rPr>
            </w:pPr>
            <w:r w:rsidRPr="00D904DB">
              <w:rPr>
                <w:sz w:val="16"/>
                <w:szCs w:val="16"/>
                <w:lang w:val="en-GB"/>
              </w:rPr>
              <w:t>Customs (International Obligations) Regulation 2015</w:t>
            </w:r>
          </w:p>
          <w:p w:rsidR="006F0218" w:rsidRPr="00D904DB" w:rsidRDefault="007C6496" w:rsidP="00891BBB">
            <w:pPr>
              <w:pStyle w:val="Default"/>
              <w:spacing w:after="60"/>
              <w:rPr>
                <w:sz w:val="16"/>
                <w:szCs w:val="16"/>
                <w:lang w:val="en-GB"/>
              </w:rPr>
            </w:pPr>
            <w:hyperlink r:id="rId17" w:history="1">
              <w:r w:rsidR="006F0218" w:rsidRPr="00D904DB">
                <w:rPr>
                  <w:rStyle w:val="Hyperlink"/>
                  <w:sz w:val="16"/>
                  <w:szCs w:val="16"/>
                  <w:lang w:val="en-GB"/>
                </w:rPr>
                <w:t>https://www.legislation.gov.au/Details/F2019C00083</w:t>
              </w:r>
            </w:hyperlink>
          </w:p>
          <w:p w:rsidR="00ED4125" w:rsidRPr="00D904DB" w:rsidRDefault="00ED4125" w:rsidP="00891BBB">
            <w:pPr>
              <w:pStyle w:val="Default"/>
              <w:spacing w:after="60"/>
              <w:rPr>
                <w:sz w:val="16"/>
                <w:szCs w:val="16"/>
                <w:lang w:val="en-GB"/>
              </w:rPr>
            </w:pPr>
            <w:r w:rsidRPr="00D904DB">
              <w:rPr>
                <w:sz w:val="16"/>
                <w:szCs w:val="16"/>
                <w:lang w:val="en-GB"/>
              </w:rPr>
              <w:t>Customs Regulation 2015</w:t>
            </w:r>
          </w:p>
          <w:p w:rsidR="006F0218" w:rsidRPr="00D904DB" w:rsidRDefault="007C6496" w:rsidP="00891BBB">
            <w:pPr>
              <w:pStyle w:val="Default"/>
              <w:spacing w:after="60"/>
              <w:rPr>
                <w:sz w:val="16"/>
                <w:szCs w:val="16"/>
                <w:lang w:val="en-GB"/>
              </w:rPr>
            </w:pPr>
            <w:hyperlink r:id="rId18" w:history="1">
              <w:r w:rsidR="00D8015E" w:rsidRPr="00D904DB">
                <w:rPr>
                  <w:rStyle w:val="Hyperlink"/>
                  <w:sz w:val="16"/>
                  <w:szCs w:val="16"/>
                  <w:lang w:val="en-GB"/>
                </w:rPr>
                <w:t>https://www.legislation.gov.au/Details/F2019C00566</w:t>
              </w:r>
            </w:hyperlink>
            <w:r w:rsidR="00D8015E" w:rsidRPr="00D904DB">
              <w:rPr>
                <w:sz w:val="16"/>
                <w:szCs w:val="16"/>
                <w:lang w:val="en-GB"/>
              </w:rPr>
              <w:t xml:space="preserve"> </w:t>
            </w:r>
          </w:p>
          <w:p w:rsidR="00625B0C" w:rsidRPr="00D904DB" w:rsidRDefault="00625B0C" w:rsidP="00891BBB">
            <w:pPr>
              <w:pStyle w:val="Default"/>
              <w:spacing w:after="60"/>
              <w:rPr>
                <w:rFonts w:cs="Arial"/>
                <w:i/>
                <w:sz w:val="16"/>
                <w:szCs w:val="16"/>
                <w:lang w:val="en-GB"/>
              </w:rPr>
            </w:pPr>
          </w:p>
        </w:tc>
      </w:tr>
      <w:tr w:rsidR="00B9364A" w:rsidRPr="00D904DB" w:rsidTr="00005B3F">
        <w:trPr>
          <w:cantSplit/>
        </w:trPr>
        <w:tc>
          <w:tcPr>
            <w:tcW w:w="279" w:type="pct"/>
            <w:tcBorders>
              <w:top w:val="single" w:sz="4" w:space="0" w:color="000000"/>
              <w:bottom w:val="single" w:sz="4" w:space="0" w:color="000000"/>
            </w:tcBorders>
            <w:shd w:val="clear" w:color="auto" w:fill="auto"/>
          </w:tcPr>
          <w:p w:rsidR="00B9364A" w:rsidRPr="00D904DB" w:rsidRDefault="00B9364A" w:rsidP="008674BE">
            <w:pPr>
              <w:jc w:val="center"/>
              <w:rPr>
                <w:sz w:val="16"/>
                <w:szCs w:val="16"/>
              </w:rPr>
            </w:pPr>
            <w:r w:rsidRPr="00D904DB">
              <w:rPr>
                <w:b/>
                <w:color w:val="000000"/>
                <w:sz w:val="16"/>
                <w:szCs w:val="16"/>
              </w:rPr>
              <w:t>(b)</w:t>
            </w:r>
          </w:p>
        </w:tc>
        <w:tc>
          <w:tcPr>
            <w:tcW w:w="1757" w:type="pct"/>
            <w:tcBorders>
              <w:top w:val="single" w:sz="4" w:space="0" w:color="000000"/>
              <w:bottom w:val="single" w:sz="4" w:space="0" w:color="000000"/>
            </w:tcBorders>
            <w:shd w:val="clear" w:color="auto" w:fill="auto"/>
          </w:tcPr>
          <w:p w:rsidR="00B9364A" w:rsidRPr="00D904DB" w:rsidRDefault="00B9364A" w:rsidP="008674BE">
            <w:pPr>
              <w:jc w:val="left"/>
              <w:rPr>
                <w:sz w:val="16"/>
                <w:szCs w:val="16"/>
              </w:rPr>
            </w:pPr>
            <w:r w:rsidRPr="00D904DB">
              <w:rPr>
                <w:b/>
                <w:color w:val="000000"/>
                <w:sz w:val="16"/>
                <w:szCs w:val="16"/>
              </w:rPr>
              <w:t>The full text of the administrative regulations concerning modalities for issuance, acceptance, retrospective issuance and replacement of certificates of origin or any equivalent declarations to be made, including any requirements  related to stamps to be used along with notification of stamps</w:t>
            </w:r>
          </w:p>
        </w:tc>
        <w:tc>
          <w:tcPr>
            <w:tcW w:w="2964" w:type="pct"/>
            <w:vMerge/>
            <w:tcBorders>
              <w:top w:val="single" w:sz="4" w:space="0" w:color="000000"/>
              <w:bottom w:val="single" w:sz="4" w:space="0" w:color="000000"/>
            </w:tcBorders>
            <w:shd w:val="clear" w:color="auto" w:fill="auto"/>
          </w:tcPr>
          <w:p w:rsidR="00B9364A" w:rsidRPr="00D904DB" w:rsidRDefault="00B9364A" w:rsidP="00891BBB">
            <w:pPr>
              <w:pStyle w:val="Default"/>
              <w:spacing w:after="60"/>
              <w:rPr>
                <w:rFonts w:cs="Arial"/>
                <w:color w:val="auto"/>
                <w:sz w:val="16"/>
                <w:szCs w:val="16"/>
                <w:lang w:val="en-GB"/>
              </w:rPr>
            </w:pPr>
          </w:p>
        </w:tc>
      </w:tr>
      <w:tr w:rsidR="00B9364A" w:rsidRPr="00D904DB" w:rsidTr="00005B3F">
        <w:trPr>
          <w:cantSplit/>
        </w:trPr>
        <w:tc>
          <w:tcPr>
            <w:tcW w:w="279" w:type="pct"/>
            <w:tcBorders>
              <w:top w:val="single" w:sz="4" w:space="0" w:color="000000"/>
              <w:bottom w:val="single" w:sz="4" w:space="0" w:color="000000"/>
            </w:tcBorders>
            <w:shd w:val="clear" w:color="auto" w:fill="auto"/>
          </w:tcPr>
          <w:p w:rsidR="00B9364A" w:rsidRPr="00D904DB" w:rsidRDefault="00B9364A" w:rsidP="008674BE">
            <w:pPr>
              <w:jc w:val="center"/>
              <w:rPr>
                <w:sz w:val="16"/>
                <w:szCs w:val="16"/>
              </w:rPr>
            </w:pPr>
            <w:r w:rsidRPr="00D904DB">
              <w:rPr>
                <w:b/>
                <w:color w:val="000000"/>
                <w:sz w:val="16"/>
                <w:szCs w:val="16"/>
              </w:rPr>
              <w:lastRenderedPageBreak/>
              <w:t>(c)</w:t>
            </w:r>
          </w:p>
        </w:tc>
        <w:tc>
          <w:tcPr>
            <w:tcW w:w="1757" w:type="pct"/>
            <w:tcBorders>
              <w:top w:val="single" w:sz="4" w:space="0" w:color="000000"/>
              <w:bottom w:val="single" w:sz="4" w:space="0" w:color="000000"/>
            </w:tcBorders>
            <w:shd w:val="clear" w:color="auto" w:fill="auto"/>
          </w:tcPr>
          <w:p w:rsidR="00B9364A" w:rsidRPr="00D904DB" w:rsidRDefault="00B9364A" w:rsidP="008674BE">
            <w:pPr>
              <w:jc w:val="left"/>
              <w:rPr>
                <w:sz w:val="16"/>
                <w:szCs w:val="16"/>
              </w:rPr>
            </w:pPr>
            <w:r w:rsidRPr="00D904DB">
              <w:rPr>
                <w:b/>
                <w:color w:val="000000"/>
                <w:sz w:val="16"/>
                <w:szCs w:val="16"/>
              </w:rPr>
              <w:t>The full text and related administrative regulations of the modalities for the proof of movement of the consignment of the goods from the beneficiary countries to preference-giving countries including transit through third countries</w:t>
            </w:r>
          </w:p>
        </w:tc>
        <w:tc>
          <w:tcPr>
            <w:tcW w:w="2964" w:type="pct"/>
            <w:vMerge/>
            <w:tcBorders>
              <w:top w:val="single" w:sz="4" w:space="0" w:color="000000"/>
            </w:tcBorders>
            <w:shd w:val="clear" w:color="auto" w:fill="auto"/>
          </w:tcPr>
          <w:p w:rsidR="00B9364A" w:rsidRPr="00D904DB" w:rsidRDefault="00B9364A" w:rsidP="007018D0">
            <w:pPr>
              <w:pStyle w:val="Default"/>
              <w:spacing w:after="60"/>
              <w:rPr>
                <w:rFonts w:cs="Arial"/>
                <w:color w:val="auto"/>
                <w:sz w:val="16"/>
                <w:szCs w:val="16"/>
                <w:lang w:val="en-GB"/>
              </w:rPr>
            </w:pPr>
          </w:p>
        </w:tc>
      </w:tr>
      <w:tr w:rsidR="00B9364A" w:rsidRPr="00D904DB" w:rsidTr="0040684C">
        <w:tc>
          <w:tcPr>
            <w:tcW w:w="279" w:type="pct"/>
            <w:tcBorders>
              <w:top w:val="single" w:sz="4" w:space="0" w:color="000000"/>
              <w:bottom w:val="double" w:sz="4" w:space="0" w:color="000000"/>
            </w:tcBorders>
            <w:shd w:val="clear" w:color="auto" w:fill="auto"/>
          </w:tcPr>
          <w:p w:rsidR="00B9364A" w:rsidRPr="00D904DB" w:rsidRDefault="00B9364A" w:rsidP="008674BE">
            <w:pPr>
              <w:jc w:val="center"/>
              <w:rPr>
                <w:sz w:val="16"/>
                <w:szCs w:val="16"/>
              </w:rPr>
            </w:pPr>
            <w:r w:rsidRPr="00D904DB">
              <w:rPr>
                <w:b/>
                <w:color w:val="000000"/>
                <w:sz w:val="16"/>
                <w:szCs w:val="16"/>
              </w:rPr>
              <w:t>(d)</w:t>
            </w:r>
          </w:p>
        </w:tc>
        <w:tc>
          <w:tcPr>
            <w:tcW w:w="1757" w:type="pct"/>
            <w:tcBorders>
              <w:top w:val="single" w:sz="4" w:space="0" w:color="000000"/>
              <w:bottom w:val="double" w:sz="4" w:space="0" w:color="000000"/>
            </w:tcBorders>
            <w:shd w:val="clear" w:color="auto" w:fill="auto"/>
          </w:tcPr>
          <w:p w:rsidR="00B9364A" w:rsidRPr="00D904DB" w:rsidRDefault="00B9364A" w:rsidP="008674BE">
            <w:pPr>
              <w:jc w:val="left"/>
              <w:rPr>
                <w:sz w:val="16"/>
                <w:szCs w:val="16"/>
              </w:rPr>
            </w:pPr>
            <w:r w:rsidRPr="00D904DB">
              <w:rPr>
                <w:b/>
                <w:color w:val="000000"/>
                <w:sz w:val="16"/>
                <w:szCs w:val="16"/>
              </w:rPr>
              <w:t>The full texts of the modalities of the verification procedures and related penalties</w:t>
            </w:r>
          </w:p>
        </w:tc>
        <w:tc>
          <w:tcPr>
            <w:tcW w:w="2964" w:type="pct"/>
            <w:vMerge/>
            <w:tcBorders>
              <w:bottom w:val="double" w:sz="4" w:space="0" w:color="000000"/>
            </w:tcBorders>
            <w:shd w:val="clear" w:color="auto" w:fill="auto"/>
          </w:tcPr>
          <w:p w:rsidR="00B9364A" w:rsidRPr="00D904DB" w:rsidRDefault="00B9364A" w:rsidP="007018D0">
            <w:pPr>
              <w:pStyle w:val="Default"/>
              <w:spacing w:after="60"/>
              <w:rPr>
                <w:rFonts w:cs="Arial"/>
                <w:color w:val="auto"/>
                <w:sz w:val="16"/>
                <w:szCs w:val="16"/>
                <w:lang w:val="en-GB"/>
              </w:rPr>
            </w:pPr>
          </w:p>
        </w:tc>
      </w:tr>
    </w:tbl>
    <w:p w:rsidR="00414619" w:rsidRPr="00D904DB" w:rsidRDefault="00414619" w:rsidP="00F44454">
      <w:pPr>
        <w:rPr>
          <w:sz w:val="16"/>
          <w:szCs w:val="16"/>
        </w:rPr>
      </w:pPr>
    </w:p>
    <w:p w:rsidR="00216C25" w:rsidRPr="00D904DB" w:rsidRDefault="00216C25" w:rsidP="00216C25">
      <w:pPr>
        <w:spacing w:after="0"/>
        <w:jc w:val="center"/>
      </w:pPr>
      <w:r w:rsidRPr="00D904DB">
        <w:rPr>
          <w:b/>
        </w:rPr>
        <w:t>__________</w:t>
      </w:r>
    </w:p>
    <w:sectPr w:rsidR="00216C25" w:rsidRPr="00D904DB" w:rsidSect="00D904DB">
      <w:headerReference w:type="even" r:id="rId19"/>
      <w:headerReference w:type="default" r:id="rId20"/>
      <w:footerReference w:type="even" r:id="rId21"/>
      <w:footerReference w:type="default" r:id="rId22"/>
      <w:head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DD5" w:rsidRDefault="00932DD5" w:rsidP="00ED54E0">
      <w:r>
        <w:separator/>
      </w:r>
    </w:p>
  </w:endnote>
  <w:endnote w:type="continuationSeparator" w:id="0">
    <w:p w:rsidR="00932DD5" w:rsidRDefault="00932DD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904DB" w:rsidRDefault="00D904DB" w:rsidP="00D904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904DB" w:rsidRDefault="00D904DB" w:rsidP="00D904D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DD5" w:rsidRDefault="00932DD5" w:rsidP="00ED54E0">
      <w:r>
        <w:separator/>
      </w:r>
    </w:p>
  </w:footnote>
  <w:footnote w:type="continuationSeparator" w:id="0">
    <w:p w:rsidR="00932DD5" w:rsidRDefault="00932DD5" w:rsidP="00ED54E0">
      <w:r>
        <w:continuationSeparator/>
      </w:r>
    </w:p>
  </w:footnote>
  <w:footnote w:id="1">
    <w:p w:rsidR="00DF53B1" w:rsidRDefault="00DF53B1" w:rsidP="0004150C">
      <w:pPr>
        <w:pStyle w:val="FootnoteText"/>
        <w:spacing w:after="0"/>
      </w:pPr>
      <w:r>
        <w:rPr>
          <w:rStyle w:val="FootnoteReference"/>
        </w:rPr>
        <w:footnoteRef/>
      </w:r>
      <w:r>
        <w:t xml:space="preserve"> The relevant notification requirements are contained in Paragraph 2(d) of Annex 1 of the Transparency Mechanism for Preferential Trade Arrangements (WT/L/806) and in Paragraph 4 of Annex II of the Agreement on Rules of Origin.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4DB" w:rsidRPr="00D904DB" w:rsidRDefault="00D904DB" w:rsidP="00D904DB">
    <w:pPr>
      <w:pStyle w:val="Header"/>
      <w:pBdr>
        <w:bottom w:val="single" w:sz="4" w:space="1" w:color="auto"/>
      </w:pBdr>
      <w:tabs>
        <w:tab w:val="clear" w:pos="4513"/>
        <w:tab w:val="clear" w:pos="9027"/>
      </w:tabs>
      <w:jc w:val="center"/>
    </w:pPr>
    <w:r w:rsidRPr="00D904DB">
      <w:t>G/RO/LDC/N/AUS/1/Rev.1</w:t>
    </w:r>
  </w:p>
  <w:p w:rsidR="00D904DB" w:rsidRPr="00D904DB" w:rsidRDefault="00D904DB" w:rsidP="00D904DB">
    <w:pPr>
      <w:pStyle w:val="Header"/>
      <w:pBdr>
        <w:bottom w:val="single" w:sz="4" w:space="1" w:color="auto"/>
      </w:pBdr>
      <w:tabs>
        <w:tab w:val="clear" w:pos="4513"/>
        <w:tab w:val="clear" w:pos="9027"/>
      </w:tabs>
      <w:jc w:val="center"/>
    </w:pPr>
  </w:p>
  <w:p w:rsidR="00D904DB" w:rsidRPr="00D904DB" w:rsidRDefault="00D904DB" w:rsidP="00D904DB">
    <w:pPr>
      <w:pStyle w:val="Header"/>
      <w:pBdr>
        <w:bottom w:val="single" w:sz="4" w:space="1" w:color="auto"/>
      </w:pBdr>
      <w:tabs>
        <w:tab w:val="clear" w:pos="4513"/>
        <w:tab w:val="clear" w:pos="9027"/>
      </w:tabs>
      <w:jc w:val="center"/>
    </w:pPr>
    <w:r w:rsidRPr="00D904DB">
      <w:t xml:space="preserve">- </w:t>
    </w:r>
    <w:r w:rsidRPr="00D904DB">
      <w:fldChar w:fldCharType="begin"/>
    </w:r>
    <w:r w:rsidRPr="00D904DB">
      <w:instrText xml:space="preserve"> PAGE </w:instrText>
    </w:r>
    <w:r w:rsidRPr="00D904DB">
      <w:fldChar w:fldCharType="separate"/>
    </w:r>
    <w:r w:rsidRPr="00D904DB">
      <w:rPr>
        <w:noProof/>
      </w:rPr>
      <w:t>2</w:t>
    </w:r>
    <w:r w:rsidRPr="00D904DB">
      <w:fldChar w:fldCharType="end"/>
    </w:r>
    <w:r w:rsidRPr="00D904DB">
      <w:t xml:space="preserve"> -</w:t>
    </w:r>
  </w:p>
  <w:p w:rsidR="00544326" w:rsidRPr="00D904DB" w:rsidRDefault="00544326" w:rsidP="00D904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4DB" w:rsidRPr="00D904DB" w:rsidRDefault="00D904DB" w:rsidP="00D904DB">
    <w:pPr>
      <w:pStyle w:val="Header"/>
      <w:pBdr>
        <w:bottom w:val="single" w:sz="4" w:space="1" w:color="auto"/>
      </w:pBdr>
      <w:tabs>
        <w:tab w:val="clear" w:pos="4513"/>
        <w:tab w:val="clear" w:pos="9027"/>
      </w:tabs>
      <w:jc w:val="center"/>
    </w:pPr>
    <w:r w:rsidRPr="00D904DB">
      <w:t>G/RO/LDC/N/AUS/1/Rev.1</w:t>
    </w:r>
  </w:p>
  <w:p w:rsidR="00D904DB" w:rsidRPr="00D904DB" w:rsidRDefault="00D904DB" w:rsidP="00D904DB">
    <w:pPr>
      <w:pStyle w:val="Header"/>
      <w:pBdr>
        <w:bottom w:val="single" w:sz="4" w:space="1" w:color="auto"/>
      </w:pBdr>
      <w:tabs>
        <w:tab w:val="clear" w:pos="4513"/>
        <w:tab w:val="clear" w:pos="9027"/>
      </w:tabs>
      <w:jc w:val="center"/>
    </w:pPr>
  </w:p>
  <w:p w:rsidR="00D904DB" w:rsidRPr="00D904DB" w:rsidRDefault="00D904DB" w:rsidP="00D904DB">
    <w:pPr>
      <w:pStyle w:val="Header"/>
      <w:pBdr>
        <w:bottom w:val="single" w:sz="4" w:space="1" w:color="auto"/>
      </w:pBdr>
      <w:tabs>
        <w:tab w:val="clear" w:pos="4513"/>
        <w:tab w:val="clear" w:pos="9027"/>
      </w:tabs>
      <w:jc w:val="center"/>
    </w:pPr>
    <w:r w:rsidRPr="00D904DB">
      <w:t xml:space="preserve">- </w:t>
    </w:r>
    <w:r w:rsidRPr="00D904DB">
      <w:fldChar w:fldCharType="begin"/>
    </w:r>
    <w:r w:rsidRPr="00D904DB">
      <w:instrText xml:space="preserve"> PAGE </w:instrText>
    </w:r>
    <w:r w:rsidRPr="00D904DB">
      <w:fldChar w:fldCharType="separate"/>
    </w:r>
    <w:r w:rsidRPr="00D904DB">
      <w:rPr>
        <w:noProof/>
      </w:rPr>
      <w:t>3</w:t>
    </w:r>
    <w:r w:rsidRPr="00D904DB">
      <w:fldChar w:fldCharType="end"/>
    </w:r>
    <w:r w:rsidRPr="00D904DB">
      <w:t xml:space="preserve"> -</w:t>
    </w:r>
  </w:p>
  <w:p w:rsidR="00544326" w:rsidRPr="00D904DB" w:rsidRDefault="00544326" w:rsidP="00D904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983940" w:rsidTr="00544326">
      <w:trPr>
        <w:trHeight w:val="240"/>
        <w:jc w:val="center"/>
      </w:trPr>
      <w:tc>
        <w:tcPr>
          <w:tcW w:w="3794" w:type="dxa"/>
          <w:shd w:val="clear" w:color="auto" w:fill="FFFFFF"/>
          <w:tcMar>
            <w:left w:w="108" w:type="dxa"/>
            <w:right w:w="108" w:type="dxa"/>
          </w:tcMar>
          <w:vAlign w:val="center"/>
        </w:tcPr>
        <w:p w:rsidR="00ED54E0" w:rsidRPr="00983940" w:rsidRDefault="00ED54E0" w:rsidP="008674BE">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983940" w:rsidRDefault="00D904DB" w:rsidP="008674BE">
          <w:pPr>
            <w:jc w:val="right"/>
            <w:rPr>
              <w:b/>
              <w:color w:val="FF0000"/>
              <w:szCs w:val="16"/>
            </w:rPr>
          </w:pPr>
          <w:r>
            <w:rPr>
              <w:b/>
              <w:color w:val="FF0000"/>
              <w:szCs w:val="16"/>
            </w:rPr>
            <w:t xml:space="preserve"> </w:t>
          </w:r>
        </w:p>
      </w:tc>
    </w:tr>
    <w:bookmarkEnd w:id="1"/>
    <w:tr w:rsidR="00ED54E0" w:rsidRPr="00983940" w:rsidTr="00544326">
      <w:trPr>
        <w:trHeight w:val="213"/>
        <w:jc w:val="center"/>
      </w:trPr>
      <w:tc>
        <w:tcPr>
          <w:tcW w:w="3794" w:type="dxa"/>
          <w:vMerge w:val="restart"/>
          <w:shd w:val="clear" w:color="auto" w:fill="FFFFFF"/>
          <w:tcMar>
            <w:left w:w="0" w:type="dxa"/>
            <w:right w:w="0" w:type="dxa"/>
          </w:tcMar>
        </w:tcPr>
        <w:p w:rsidR="00ED54E0" w:rsidRPr="00983940" w:rsidRDefault="0052345F" w:rsidP="008674BE">
          <w:pPr>
            <w:jc w:val="left"/>
          </w:pPr>
          <w:r w:rsidRPr="00155CC7">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3940" w:rsidRDefault="00ED54E0" w:rsidP="008674BE">
          <w:pPr>
            <w:jc w:val="right"/>
            <w:rPr>
              <w:b/>
              <w:szCs w:val="16"/>
            </w:rPr>
          </w:pPr>
        </w:p>
      </w:tc>
    </w:tr>
    <w:tr w:rsidR="00ED54E0" w:rsidRPr="00983940" w:rsidTr="00544326">
      <w:trPr>
        <w:trHeight w:val="868"/>
        <w:jc w:val="center"/>
      </w:trPr>
      <w:tc>
        <w:tcPr>
          <w:tcW w:w="3794" w:type="dxa"/>
          <w:vMerge/>
          <w:shd w:val="clear" w:color="auto" w:fill="FFFFFF"/>
          <w:tcMar>
            <w:left w:w="108" w:type="dxa"/>
            <w:right w:w="108" w:type="dxa"/>
          </w:tcMar>
        </w:tcPr>
        <w:p w:rsidR="00ED54E0" w:rsidRPr="00983940" w:rsidRDefault="00ED54E0" w:rsidP="008674BE">
          <w:pPr>
            <w:jc w:val="left"/>
            <w:rPr>
              <w:noProof/>
              <w:lang w:eastAsia="en-GB"/>
            </w:rPr>
          </w:pPr>
        </w:p>
      </w:tc>
      <w:tc>
        <w:tcPr>
          <w:tcW w:w="5448" w:type="dxa"/>
          <w:gridSpan w:val="2"/>
          <w:shd w:val="clear" w:color="auto" w:fill="FFFFFF"/>
          <w:tcMar>
            <w:left w:w="108" w:type="dxa"/>
            <w:right w:w="108" w:type="dxa"/>
          </w:tcMar>
        </w:tcPr>
        <w:p w:rsidR="00D904DB" w:rsidRDefault="00D904DB" w:rsidP="008674BE">
          <w:pPr>
            <w:jc w:val="right"/>
            <w:rPr>
              <w:b/>
              <w:szCs w:val="16"/>
            </w:rPr>
          </w:pPr>
          <w:bookmarkStart w:id="2" w:name="bmkSymbols"/>
          <w:r>
            <w:rPr>
              <w:b/>
              <w:szCs w:val="16"/>
            </w:rPr>
            <w:t>G/RO/LDC/N/AUS/1/Rev.1</w:t>
          </w:r>
        </w:p>
        <w:bookmarkEnd w:id="2"/>
        <w:p w:rsidR="00ED54E0" w:rsidRPr="00983940" w:rsidRDefault="00ED54E0" w:rsidP="008674BE">
          <w:pPr>
            <w:jc w:val="right"/>
            <w:rPr>
              <w:b/>
              <w:szCs w:val="16"/>
            </w:rPr>
          </w:pPr>
        </w:p>
      </w:tc>
    </w:tr>
    <w:tr w:rsidR="00ED54E0" w:rsidRPr="00983940" w:rsidTr="00544326">
      <w:trPr>
        <w:trHeight w:val="240"/>
        <w:jc w:val="center"/>
      </w:trPr>
      <w:tc>
        <w:tcPr>
          <w:tcW w:w="3794" w:type="dxa"/>
          <w:vMerge/>
          <w:shd w:val="clear" w:color="auto" w:fill="FFFFFF"/>
          <w:tcMar>
            <w:left w:w="108" w:type="dxa"/>
            <w:right w:w="108" w:type="dxa"/>
          </w:tcMar>
          <w:vAlign w:val="center"/>
        </w:tcPr>
        <w:p w:rsidR="00ED54E0" w:rsidRPr="00983940" w:rsidRDefault="00ED54E0" w:rsidP="008674BE"/>
      </w:tc>
      <w:tc>
        <w:tcPr>
          <w:tcW w:w="5448" w:type="dxa"/>
          <w:gridSpan w:val="2"/>
          <w:shd w:val="clear" w:color="auto" w:fill="FFFFFF"/>
          <w:tcMar>
            <w:left w:w="108" w:type="dxa"/>
            <w:right w:w="108" w:type="dxa"/>
          </w:tcMar>
          <w:vAlign w:val="center"/>
        </w:tcPr>
        <w:p w:rsidR="00ED54E0" w:rsidRPr="00983940" w:rsidRDefault="00D904DB" w:rsidP="00F4461C">
          <w:pPr>
            <w:jc w:val="right"/>
            <w:rPr>
              <w:szCs w:val="16"/>
            </w:rPr>
          </w:pPr>
          <w:r>
            <w:rPr>
              <w:szCs w:val="16"/>
            </w:rPr>
            <w:t>16</w:t>
          </w:r>
          <w:r w:rsidR="00DF53B1" w:rsidRPr="00983940">
            <w:rPr>
              <w:szCs w:val="16"/>
            </w:rPr>
            <w:t xml:space="preserve"> </w:t>
          </w:r>
          <w:r w:rsidR="00FF526C">
            <w:rPr>
              <w:szCs w:val="16"/>
            </w:rPr>
            <w:t>September</w:t>
          </w:r>
          <w:r w:rsidR="00DF53B1" w:rsidRPr="00983940">
            <w:rPr>
              <w:szCs w:val="16"/>
            </w:rPr>
            <w:t xml:space="preserve"> 201</w:t>
          </w:r>
          <w:r w:rsidR="00F4461C">
            <w:rPr>
              <w:szCs w:val="16"/>
            </w:rPr>
            <w:t>9</w:t>
          </w:r>
        </w:p>
      </w:tc>
    </w:tr>
    <w:tr w:rsidR="00ED54E0" w:rsidRPr="0098394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3940" w:rsidRDefault="001D5D85" w:rsidP="008674BE">
          <w:pPr>
            <w:jc w:val="left"/>
            <w:rPr>
              <w:b/>
            </w:rPr>
          </w:pPr>
          <w:bookmarkStart w:id="3" w:name="bmkSerial" w:colFirst="0" w:colLast="0"/>
          <w:r>
            <w:rPr>
              <w:color w:val="FF0000"/>
              <w:szCs w:val="16"/>
            </w:rPr>
            <w:t>(</w:t>
          </w:r>
          <w:r w:rsidR="007C6496">
            <w:rPr>
              <w:color w:val="FF0000"/>
              <w:szCs w:val="16"/>
            </w:rPr>
            <w:t>19-5928</w:t>
          </w:r>
          <w:r w:rsidR="00ED54E0" w:rsidRPr="0098394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983940" w:rsidRDefault="00ED54E0" w:rsidP="008674BE">
          <w:pPr>
            <w:jc w:val="right"/>
            <w:rPr>
              <w:szCs w:val="16"/>
            </w:rPr>
          </w:pPr>
          <w:bookmarkStart w:id="4" w:name="bmkTotPages"/>
          <w:r w:rsidRPr="00983940">
            <w:rPr>
              <w:bCs/>
              <w:szCs w:val="16"/>
            </w:rPr>
            <w:t xml:space="preserve">Page: </w:t>
          </w:r>
          <w:r w:rsidRPr="00983940">
            <w:rPr>
              <w:bCs/>
              <w:szCs w:val="16"/>
            </w:rPr>
            <w:fldChar w:fldCharType="begin"/>
          </w:r>
          <w:r w:rsidRPr="00983940">
            <w:rPr>
              <w:bCs/>
              <w:szCs w:val="16"/>
            </w:rPr>
            <w:instrText xml:space="preserve"> PAGE  \* Arabic  \* MERGEFORMAT </w:instrText>
          </w:r>
          <w:r w:rsidRPr="00983940">
            <w:rPr>
              <w:bCs/>
              <w:szCs w:val="16"/>
            </w:rPr>
            <w:fldChar w:fldCharType="separate"/>
          </w:r>
          <w:r w:rsidR="001942B3">
            <w:rPr>
              <w:bCs/>
              <w:noProof/>
              <w:szCs w:val="16"/>
            </w:rPr>
            <w:t>1</w:t>
          </w:r>
          <w:r w:rsidRPr="00983940">
            <w:rPr>
              <w:bCs/>
              <w:szCs w:val="16"/>
            </w:rPr>
            <w:fldChar w:fldCharType="end"/>
          </w:r>
          <w:r w:rsidRPr="00983940">
            <w:rPr>
              <w:bCs/>
              <w:szCs w:val="16"/>
            </w:rPr>
            <w:t>/</w:t>
          </w:r>
          <w:r w:rsidRPr="00983940">
            <w:rPr>
              <w:bCs/>
              <w:szCs w:val="16"/>
            </w:rPr>
            <w:fldChar w:fldCharType="begin"/>
          </w:r>
          <w:r w:rsidRPr="00983940">
            <w:rPr>
              <w:bCs/>
              <w:szCs w:val="16"/>
            </w:rPr>
            <w:instrText xml:space="preserve"> NUMPAGES  \* Arabic  \* MERGEFORMAT </w:instrText>
          </w:r>
          <w:r w:rsidRPr="00983940">
            <w:rPr>
              <w:bCs/>
              <w:szCs w:val="16"/>
            </w:rPr>
            <w:fldChar w:fldCharType="separate"/>
          </w:r>
          <w:r w:rsidR="001942B3">
            <w:rPr>
              <w:bCs/>
              <w:noProof/>
              <w:szCs w:val="16"/>
            </w:rPr>
            <w:t>4</w:t>
          </w:r>
          <w:r w:rsidRPr="00983940">
            <w:rPr>
              <w:bCs/>
              <w:szCs w:val="16"/>
            </w:rPr>
            <w:fldChar w:fldCharType="end"/>
          </w:r>
          <w:bookmarkEnd w:id="4"/>
        </w:p>
      </w:tc>
    </w:tr>
    <w:tr w:rsidR="00ED54E0" w:rsidRPr="0098394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3940" w:rsidRDefault="00D904DB" w:rsidP="008674BE">
          <w:pPr>
            <w:jc w:val="left"/>
            <w:rPr>
              <w:sz w:val="14"/>
              <w:szCs w:val="16"/>
            </w:rPr>
          </w:pPr>
          <w:bookmarkStart w:id="5" w:name="bmkCommittee"/>
          <w:bookmarkStart w:id="6" w:name="bmkLanguage" w:colFirst="1" w:colLast="1"/>
          <w:bookmarkEnd w:id="3"/>
          <w:r>
            <w:rPr>
              <w:b/>
            </w:rPr>
            <w:t>Committee on Rules of Origin</w:t>
          </w:r>
          <w:bookmarkEnd w:id="5"/>
        </w:p>
      </w:tc>
      <w:tc>
        <w:tcPr>
          <w:tcW w:w="3325" w:type="dxa"/>
          <w:tcBorders>
            <w:top w:val="single" w:sz="4" w:space="0" w:color="auto"/>
          </w:tcBorders>
          <w:tcMar>
            <w:top w:w="113" w:type="dxa"/>
            <w:left w:w="108" w:type="dxa"/>
            <w:bottom w:w="57" w:type="dxa"/>
            <w:right w:w="108" w:type="dxa"/>
          </w:tcMar>
          <w:vAlign w:val="center"/>
        </w:tcPr>
        <w:p w:rsidR="00ED54E0" w:rsidRPr="00983940" w:rsidRDefault="00D904DB" w:rsidP="008674BE">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5" w15:restartNumberingAfterBreak="0">
    <w:nsid w:val="0000000A"/>
    <w:multiLevelType w:val="singleLevel"/>
    <w:tmpl w:val="F578A6F6"/>
    <w:name w:val="WW8Num10"/>
    <w:lvl w:ilvl="0">
      <w:start w:val="1"/>
      <w:numFmt w:val="decimal"/>
      <w:lvlText w:val="%1)"/>
      <w:lvlJc w:val="left"/>
      <w:pPr>
        <w:tabs>
          <w:tab w:val="num" w:pos="0"/>
        </w:tabs>
        <w:ind w:left="720" w:hanging="360"/>
      </w:pPr>
      <w:rPr>
        <w:color w:val="auto"/>
      </w:rPr>
    </w:lvl>
  </w:abstractNum>
  <w:abstractNum w:abstractNumId="6" w15:restartNumberingAfterBreak="0">
    <w:nsid w:val="005D301D"/>
    <w:multiLevelType w:val="hybridMultilevel"/>
    <w:tmpl w:val="EC06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6727B3"/>
    <w:multiLevelType w:val="hybridMultilevel"/>
    <w:tmpl w:val="28247A34"/>
    <w:lvl w:ilvl="0" w:tplc="F1C01462">
      <w:start w:val="1"/>
      <w:numFmt w:val="decimal"/>
      <w:lvlText w:val="(%1)"/>
      <w:lvlJc w:val="left"/>
      <w:pPr>
        <w:ind w:left="360" w:hanging="360"/>
      </w:pPr>
      <w:rPr>
        <w:rFonts w:hint="default"/>
      </w:rPr>
    </w:lvl>
    <w:lvl w:ilvl="1" w:tplc="81181C2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DC57F7"/>
    <w:multiLevelType w:val="hybridMultilevel"/>
    <w:tmpl w:val="DF2E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3331E"/>
    <w:multiLevelType w:val="hybridMultilevel"/>
    <w:tmpl w:val="ABE4EABE"/>
    <w:lvl w:ilvl="0" w:tplc="1E9821F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675A71"/>
    <w:multiLevelType w:val="hybridMultilevel"/>
    <w:tmpl w:val="CB5C0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E5FA1"/>
    <w:multiLevelType w:val="hybridMultilevel"/>
    <w:tmpl w:val="EA1CF74C"/>
    <w:lvl w:ilvl="0" w:tplc="1E9821F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CB2A2C"/>
    <w:multiLevelType w:val="hybridMultilevel"/>
    <w:tmpl w:val="C5DAC6A8"/>
    <w:lvl w:ilvl="0" w:tplc="FD52DC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5D4F8A"/>
    <w:multiLevelType w:val="hybridMultilevel"/>
    <w:tmpl w:val="74348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617052D"/>
    <w:multiLevelType w:val="hybridMultilevel"/>
    <w:tmpl w:val="7BAAB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7" w15:restartNumberingAfterBreak="0">
    <w:nsid w:val="5FCF485E"/>
    <w:multiLevelType w:val="hybridMultilevel"/>
    <w:tmpl w:val="1068A2D4"/>
    <w:lvl w:ilvl="0" w:tplc="FD52DCC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B240668"/>
    <w:multiLevelType w:val="hybridMultilevel"/>
    <w:tmpl w:val="95A66512"/>
    <w:lvl w:ilvl="0" w:tplc="1E9821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C931E95"/>
    <w:multiLevelType w:val="hybridMultilevel"/>
    <w:tmpl w:val="E4C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25BB5"/>
    <w:multiLevelType w:val="hybridMultilevel"/>
    <w:tmpl w:val="0BB8D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EB0A8D"/>
    <w:multiLevelType w:val="hybridMultilevel"/>
    <w:tmpl w:val="F018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046DC"/>
    <w:multiLevelType w:val="hybridMultilevel"/>
    <w:tmpl w:val="4D4CEABC"/>
    <w:lvl w:ilvl="0" w:tplc="D756B65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404663"/>
    <w:multiLevelType w:val="hybridMultilevel"/>
    <w:tmpl w:val="D96EE80E"/>
    <w:lvl w:ilvl="0" w:tplc="D756B6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F8E429D"/>
    <w:multiLevelType w:val="hybridMultilevel"/>
    <w:tmpl w:val="A15C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3"/>
  </w:num>
  <w:num w:numId="5">
    <w:abstractNumId w:val="2"/>
  </w:num>
  <w:num w:numId="6">
    <w:abstractNumId w:val="1"/>
  </w:num>
  <w:num w:numId="7">
    <w:abstractNumId w:val="0"/>
  </w:num>
  <w:num w:numId="8">
    <w:abstractNumId w:val="14"/>
  </w:num>
  <w:num w:numId="9">
    <w:abstractNumId w:val="18"/>
  </w:num>
  <w:num w:numId="10">
    <w:abstractNumId w:val="25"/>
  </w:num>
  <w:num w:numId="11">
    <w:abstractNumId w:val="20"/>
  </w:num>
  <w:num w:numId="12">
    <w:abstractNumId w:val="15"/>
  </w:num>
  <w:num w:numId="13">
    <w:abstractNumId w:val="10"/>
  </w:num>
  <w:num w:numId="14">
    <w:abstractNumId w:val="21"/>
  </w:num>
  <w:num w:numId="15">
    <w:abstractNumId w:val="12"/>
  </w:num>
  <w:num w:numId="16">
    <w:abstractNumId w:val="17"/>
  </w:num>
  <w:num w:numId="17">
    <w:abstractNumId w:val="19"/>
  </w:num>
  <w:num w:numId="18">
    <w:abstractNumId w:val="9"/>
  </w:num>
  <w:num w:numId="19">
    <w:abstractNumId w:val="11"/>
  </w:num>
  <w:num w:numId="20">
    <w:abstractNumId w:val="24"/>
  </w:num>
  <w:num w:numId="21">
    <w:abstractNumId w:val="23"/>
  </w:num>
  <w:num w:numId="22">
    <w:abstractNumId w:val="7"/>
  </w:num>
  <w:num w:numId="23">
    <w:abstractNumId w:val="8"/>
  </w:num>
  <w:num w:numId="24">
    <w:abstractNumId w:val="22"/>
  </w:num>
  <w:num w:numId="25">
    <w:abstractNumId w:val="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B1"/>
    <w:rsid w:val="00005B3F"/>
    <w:rsid w:val="00026326"/>
    <w:rsid w:val="000272F6"/>
    <w:rsid w:val="00037AC4"/>
    <w:rsid w:val="0004150C"/>
    <w:rsid w:val="000423BF"/>
    <w:rsid w:val="00045270"/>
    <w:rsid w:val="000A4945"/>
    <w:rsid w:val="000B1A62"/>
    <w:rsid w:val="000B1E02"/>
    <w:rsid w:val="000B31E1"/>
    <w:rsid w:val="000E416D"/>
    <w:rsid w:val="000F5877"/>
    <w:rsid w:val="0011356B"/>
    <w:rsid w:val="001242E1"/>
    <w:rsid w:val="00132B49"/>
    <w:rsid w:val="0013337F"/>
    <w:rsid w:val="00153D7F"/>
    <w:rsid w:val="00161D93"/>
    <w:rsid w:val="00182B84"/>
    <w:rsid w:val="00183F52"/>
    <w:rsid w:val="0018451C"/>
    <w:rsid w:val="001942B3"/>
    <w:rsid w:val="001D5D85"/>
    <w:rsid w:val="001E291F"/>
    <w:rsid w:val="002021F3"/>
    <w:rsid w:val="00202989"/>
    <w:rsid w:val="00216C25"/>
    <w:rsid w:val="002235EC"/>
    <w:rsid w:val="00233408"/>
    <w:rsid w:val="00245386"/>
    <w:rsid w:val="002579A2"/>
    <w:rsid w:val="00264BA3"/>
    <w:rsid w:val="0027067B"/>
    <w:rsid w:val="00282C2E"/>
    <w:rsid w:val="002B4075"/>
    <w:rsid w:val="002D4531"/>
    <w:rsid w:val="003156C6"/>
    <w:rsid w:val="003572B4"/>
    <w:rsid w:val="00366F33"/>
    <w:rsid w:val="0037382C"/>
    <w:rsid w:val="0039573C"/>
    <w:rsid w:val="003C278B"/>
    <w:rsid w:val="003F14AC"/>
    <w:rsid w:val="0040684C"/>
    <w:rsid w:val="00414619"/>
    <w:rsid w:val="00422F63"/>
    <w:rsid w:val="00435EA8"/>
    <w:rsid w:val="00467032"/>
    <w:rsid w:val="0046754A"/>
    <w:rsid w:val="004A2E5E"/>
    <w:rsid w:val="004B27BF"/>
    <w:rsid w:val="004F203A"/>
    <w:rsid w:val="004F522F"/>
    <w:rsid w:val="0052345F"/>
    <w:rsid w:val="005336B8"/>
    <w:rsid w:val="00544326"/>
    <w:rsid w:val="00547B5F"/>
    <w:rsid w:val="0058374D"/>
    <w:rsid w:val="00596C49"/>
    <w:rsid w:val="005A1A22"/>
    <w:rsid w:val="005B04B9"/>
    <w:rsid w:val="005B68C7"/>
    <w:rsid w:val="005B7054"/>
    <w:rsid w:val="005D3514"/>
    <w:rsid w:val="005D5981"/>
    <w:rsid w:val="005F30CB"/>
    <w:rsid w:val="00606894"/>
    <w:rsid w:val="00612644"/>
    <w:rsid w:val="0061443B"/>
    <w:rsid w:val="00617C90"/>
    <w:rsid w:val="00624057"/>
    <w:rsid w:val="00625B0C"/>
    <w:rsid w:val="00633CDB"/>
    <w:rsid w:val="00674CCD"/>
    <w:rsid w:val="00687E5F"/>
    <w:rsid w:val="006A5DE0"/>
    <w:rsid w:val="006F0218"/>
    <w:rsid w:val="006F5826"/>
    <w:rsid w:val="00700181"/>
    <w:rsid w:val="007018D0"/>
    <w:rsid w:val="007141CF"/>
    <w:rsid w:val="00745146"/>
    <w:rsid w:val="007577E3"/>
    <w:rsid w:val="007600FA"/>
    <w:rsid w:val="00760DB3"/>
    <w:rsid w:val="007949AA"/>
    <w:rsid w:val="007C2285"/>
    <w:rsid w:val="007C3334"/>
    <w:rsid w:val="007C6496"/>
    <w:rsid w:val="007E6507"/>
    <w:rsid w:val="007F0DF0"/>
    <w:rsid w:val="007F2B8E"/>
    <w:rsid w:val="007F32D1"/>
    <w:rsid w:val="008012F2"/>
    <w:rsid w:val="00807247"/>
    <w:rsid w:val="00810757"/>
    <w:rsid w:val="00824F4C"/>
    <w:rsid w:val="00830062"/>
    <w:rsid w:val="00840C2B"/>
    <w:rsid w:val="008512E9"/>
    <w:rsid w:val="008674BE"/>
    <w:rsid w:val="008739FD"/>
    <w:rsid w:val="008919D5"/>
    <w:rsid w:val="00891BBB"/>
    <w:rsid w:val="00893E85"/>
    <w:rsid w:val="008A36FB"/>
    <w:rsid w:val="008B24DD"/>
    <w:rsid w:val="008C4E5C"/>
    <w:rsid w:val="008E098C"/>
    <w:rsid w:val="008E372C"/>
    <w:rsid w:val="00932DD5"/>
    <w:rsid w:val="0093376C"/>
    <w:rsid w:val="00933BB0"/>
    <w:rsid w:val="009501CA"/>
    <w:rsid w:val="00983940"/>
    <w:rsid w:val="009A42A6"/>
    <w:rsid w:val="009A6F54"/>
    <w:rsid w:val="009C2A86"/>
    <w:rsid w:val="009E3DFC"/>
    <w:rsid w:val="009E4B1C"/>
    <w:rsid w:val="009F1D44"/>
    <w:rsid w:val="00A52B40"/>
    <w:rsid w:val="00A53E3C"/>
    <w:rsid w:val="00A6057A"/>
    <w:rsid w:val="00A74017"/>
    <w:rsid w:val="00AA332C"/>
    <w:rsid w:val="00AA5A13"/>
    <w:rsid w:val="00AB47C0"/>
    <w:rsid w:val="00AC27F8"/>
    <w:rsid w:val="00AD4C72"/>
    <w:rsid w:val="00AE2AEE"/>
    <w:rsid w:val="00B00276"/>
    <w:rsid w:val="00B230EC"/>
    <w:rsid w:val="00B4380C"/>
    <w:rsid w:val="00B52738"/>
    <w:rsid w:val="00B56EDC"/>
    <w:rsid w:val="00B9364A"/>
    <w:rsid w:val="00BB1F84"/>
    <w:rsid w:val="00BD7F80"/>
    <w:rsid w:val="00BE5468"/>
    <w:rsid w:val="00C062B0"/>
    <w:rsid w:val="00C11EAC"/>
    <w:rsid w:val="00C141BB"/>
    <w:rsid w:val="00C15F6D"/>
    <w:rsid w:val="00C2170C"/>
    <w:rsid w:val="00C305D7"/>
    <w:rsid w:val="00C30F2A"/>
    <w:rsid w:val="00C43456"/>
    <w:rsid w:val="00C47542"/>
    <w:rsid w:val="00C538EF"/>
    <w:rsid w:val="00C65C0C"/>
    <w:rsid w:val="00C808FC"/>
    <w:rsid w:val="00C846FE"/>
    <w:rsid w:val="00C91CFF"/>
    <w:rsid w:val="00C95EBB"/>
    <w:rsid w:val="00C97098"/>
    <w:rsid w:val="00CD7D97"/>
    <w:rsid w:val="00CE3EE6"/>
    <w:rsid w:val="00CE4BA1"/>
    <w:rsid w:val="00CF3F9E"/>
    <w:rsid w:val="00CF63DA"/>
    <w:rsid w:val="00CF67CE"/>
    <w:rsid w:val="00D000C7"/>
    <w:rsid w:val="00D221B8"/>
    <w:rsid w:val="00D30ED4"/>
    <w:rsid w:val="00D373FC"/>
    <w:rsid w:val="00D52A9D"/>
    <w:rsid w:val="00D55570"/>
    <w:rsid w:val="00D55AAD"/>
    <w:rsid w:val="00D73ADF"/>
    <w:rsid w:val="00D747AE"/>
    <w:rsid w:val="00D8015E"/>
    <w:rsid w:val="00D81DDC"/>
    <w:rsid w:val="00D904DB"/>
    <w:rsid w:val="00D9226C"/>
    <w:rsid w:val="00DA20BD"/>
    <w:rsid w:val="00DB58BF"/>
    <w:rsid w:val="00DE50DB"/>
    <w:rsid w:val="00DF2BE6"/>
    <w:rsid w:val="00DF53B1"/>
    <w:rsid w:val="00DF5438"/>
    <w:rsid w:val="00DF6AE1"/>
    <w:rsid w:val="00DF6B48"/>
    <w:rsid w:val="00E174A0"/>
    <w:rsid w:val="00E33D88"/>
    <w:rsid w:val="00E464EF"/>
    <w:rsid w:val="00E46FD5"/>
    <w:rsid w:val="00E544BB"/>
    <w:rsid w:val="00E55D33"/>
    <w:rsid w:val="00E56545"/>
    <w:rsid w:val="00E70C2C"/>
    <w:rsid w:val="00E811F3"/>
    <w:rsid w:val="00E90781"/>
    <w:rsid w:val="00E95C6C"/>
    <w:rsid w:val="00EA5D4F"/>
    <w:rsid w:val="00EB6C56"/>
    <w:rsid w:val="00EC392D"/>
    <w:rsid w:val="00ED1D47"/>
    <w:rsid w:val="00ED4125"/>
    <w:rsid w:val="00ED54E0"/>
    <w:rsid w:val="00EE530A"/>
    <w:rsid w:val="00F32397"/>
    <w:rsid w:val="00F40595"/>
    <w:rsid w:val="00F44454"/>
    <w:rsid w:val="00F4461C"/>
    <w:rsid w:val="00FA5EBC"/>
    <w:rsid w:val="00FC1CCE"/>
    <w:rsid w:val="00FD224A"/>
    <w:rsid w:val="00FE1BE8"/>
    <w:rsid w:val="00FF28AF"/>
    <w:rsid w:val="00FF4616"/>
    <w:rsid w:val="00FF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F5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9"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2E9"/>
    <w:pPr>
      <w:spacing w:after="60"/>
      <w:jc w:val="both"/>
    </w:pPr>
    <w:rPr>
      <w:rFonts w:ascii="Verdana" w:hAnsi="Verdana"/>
      <w:sz w:val="18"/>
      <w:szCs w:val="22"/>
      <w:lang w:eastAsia="en-US"/>
    </w:rPr>
  </w:style>
  <w:style w:type="paragraph" w:styleId="Heading1">
    <w:name w:val="heading 1"/>
    <w:basedOn w:val="Normal"/>
    <w:next w:val="Heading2"/>
    <w:link w:val="Heading1Char"/>
    <w:uiPriority w:val="2"/>
    <w:qFormat/>
    <w:rsid w:val="008512E9"/>
    <w:pPr>
      <w:keepNext/>
      <w:keepLines/>
      <w:numPr>
        <w:numId w:val="2"/>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512E9"/>
    <w:pPr>
      <w:keepNext/>
      <w:keepLines/>
      <w:numPr>
        <w:ilvl w:val="1"/>
        <w:numId w:val="2"/>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512E9"/>
    <w:pPr>
      <w:keepNext/>
      <w:keepLines/>
      <w:numPr>
        <w:ilvl w:val="2"/>
        <w:numId w:val="2"/>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512E9"/>
    <w:pPr>
      <w:keepNext/>
      <w:keepLines/>
      <w:numPr>
        <w:ilvl w:val="3"/>
        <w:numId w:val="2"/>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512E9"/>
    <w:pPr>
      <w:keepNext/>
      <w:keepLines/>
      <w:numPr>
        <w:ilvl w:val="4"/>
        <w:numId w:val="2"/>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8512E9"/>
    <w:pPr>
      <w:keepNext/>
      <w:keepLines/>
      <w:numPr>
        <w:ilvl w:val="5"/>
        <w:numId w:val="2"/>
      </w:numPr>
      <w:spacing w:after="240"/>
      <w:outlineLvl w:val="5"/>
    </w:pPr>
    <w:rPr>
      <w:rFonts w:eastAsia="Times New Roman"/>
      <w:b/>
      <w:iCs/>
      <w:color w:val="006283"/>
    </w:rPr>
  </w:style>
  <w:style w:type="paragraph" w:styleId="Heading7">
    <w:name w:val="heading 7"/>
    <w:basedOn w:val="Normal"/>
    <w:next w:val="Normal"/>
    <w:link w:val="Heading7Char"/>
    <w:uiPriority w:val="2"/>
    <w:rsid w:val="008512E9"/>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512E9"/>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512E9"/>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Char">
    <w:name w:val="Answer Char"/>
    <w:link w:val="Answer"/>
    <w:uiPriority w:val="6"/>
    <w:rsid w:val="008512E9"/>
    <w:rPr>
      <w:rFonts w:ascii="Verdana" w:hAnsi="Verdana"/>
      <w:sz w:val="18"/>
      <w:szCs w:val="22"/>
      <w:lang w:eastAsia="en-US"/>
    </w:rPr>
  </w:style>
  <w:style w:type="character" w:customStyle="1" w:styleId="BalloonTextChar">
    <w:name w:val="Balloon Text Char"/>
    <w:link w:val="BalloonText"/>
    <w:uiPriority w:val="99"/>
    <w:semiHidden/>
    <w:rsid w:val="008512E9"/>
    <w:rPr>
      <w:rFonts w:ascii="Tahoma" w:eastAsia="Calibri" w:hAnsi="Tahoma" w:cs="Tahoma"/>
      <w:sz w:val="16"/>
      <w:szCs w:val="16"/>
      <w:lang w:eastAsia="en-US"/>
    </w:rPr>
  </w:style>
  <w:style w:type="character" w:customStyle="1" w:styleId="BodyTextChar">
    <w:name w:val="Body Text Char"/>
    <w:link w:val="BodyText"/>
    <w:uiPriority w:val="1"/>
    <w:rsid w:val="008512E9"/>
    <w:rPr>
      <w:rFonts w:ascii="Verdana" w:hAnsi="Verdana"/>
      <w:sz w:val="18"/>
      <w:szCs w:val="22"/>
      <w:lang w:eastAsia="en-US"/>
    </w:rPr>
  </w:style>
  <w:style w:type="character" w:customStyle="1" w:styleId="BodyText2Char">
    <w:name w:val="Body Text 2 Char"/>
    <w:link w:val="BodyText2"/>
    <w:uiPriority w:val="1"/>
    <w:rsid w:val="008512E9"/>
    <w:rPr>
      <w:rFonts w:ascii="Verdana" w:hAnsi="Verdana"/>
      <w:sz w:val="18"/>
      <w:szCs w:val="22"/>
      <w:lang w:eastAsia="en-US"/>
    </w:rPr>
  </w:style>
  <w:style w:type="character" w:customStyle="1" w:styleId="BodyText3Char">
    <w:name w:val="Body Text 3 Char"/>
    <w:link w:val="BodyText3"/>
    <w:uiPriority w:val="1"/>
    <w:rsid w:val="008512E9"/>
    <w:rPr>
      <w:rFonts w:ascii="Verdana" w:hAnsi="Verdana"/>
      <w:sz w:val="18"/>
      <w:szCs w:val="16"/>
      <w:lang w:eastAsia="en-US"/>
    </w:rPr>
  </w:style>
  <w:style w:type="character" w:customStyle="1" w:styleId="BodyTextFirstIndentChar">
    <w:name w:val="Body Text First Indent Char"/>
    <w:link w:val="BodyTextFirstIndent"/>
    <w:uiPriority w:val="99"/>
    <w:semiHidden/>
    <w:rsid w:val="008512E9"/>
    <w:rPr>
      <w:rFonts w:ascii="Verdana" w:eastAsia="Calibri" w:hAnsi="Verdana" w:cs="Times New Roman"/>
      <w:sz w:val="18"/>
      <w:szCs w:val="22"/>
      <w:lang w:eastAsia="en-US"/>
    </w:rPr>
  </w:style>
  <w:style w:type="character" w:customStyle="1" w:styleId="BodyTextFirstIndent2Char">
    <w:name w:val="Body Text First Indent 2 Char"/>
    <w:link w:val="BodyTextFirstIndent2"/>
    <w:uiPriority w:val="99"/>
    <w:semiHidden/>
    <w:rsid w:val="008512E9"/>
    <w:rPr>
      <w:rFonts w:ascii="Verdana" w:eastAsia="Calibri" w:hAnsi="Verdana" w:cs="Times New Roman"/>
      <w:sz w:val="18"/>
      <w:szCs w:val="22"/>
      <w:lang w:eastAsia="en-US"/>
    </w:rPr>
  </w:style>
  <w:style w:type="character" w:customStyle="1" w:styleId="BodyTextIndentChar">
    <w:name w:val="Body Text Indent Char"/>
    <w:link w:val="BodyTextIndent"/>
    <w:uiPriority w:val="99"/>
    <w:semiHidden/>
    <w:rsid w:val="008512E9"/>
    <w:rPr>
      <w:rFonts w:ascii="Verdana" w:eastAsia="Calibri" w:hAnsi="Verdana" w:cs="Times New Roman"/>
      <w:sz w:val="18"/>
      <w:szCs w:val="22"/>
      <w:lang w:eastAsia="en-US"/>
    </w:rPr>
  </w:style>
  <w:style w:type="character" w:customStyle="1" w:styleId="BodyTextIndent2Char">
    <w:name w:val="Body Text Indent 2 Char"/>
    <w:link w:val="BodyTextIndent2"/>
    <w:uiPriority w:val="99"/>
    <w:semiHidden/>
    <w:rsid w:val="008512E9"/>
    <w:rPr>
      <w:rFonts w:ascii="Verdana" w:eastAsia="Calibri" w:hAnsi="Verdana" w:cs="Times New Roman"/>
      <w:sz w:val="18"/>
      <w:szCs w:val="22"/>
      <w:lang w:eastAsia="en-US"/>
    </w:rPr>
  </w:style>
  <w:style w:type="paragraph" w:styleId="Title">
    <w:name w:val="Title"/>
    <w:basedOn w:val="Normal"/>
    <w:next w:val="Normal"/>
    <w:link w:val="TitleChar"/>
    <w:uiPriority w:val="5"/>
    <w:qFormat/>
    <w:rsid w:val="008512E9"/>
    <w:pPr>
      <w:spacing w:before="480" w:after="240"/>
      <w:contextualSpacing/>
      <w:jc w:val="center"/>
    </w:pPr>
    <w:rPr>
      <w:rFonts w:eastAsia="Times New Roman"/>
      <w:b/>
      <w:caps/>
      <w:color w:val="006283"/>
      <w:kern w:val="28"/>
      <w:szCs w:val="52"/>
    </w:rPr>
  </w:style>
  <w:style w:type="character" w:customStyle="1" w:styleId="BodyTextIndent3Char">
    <w:name w:val="Body Text Indent 3 Char"/>
    <w:link w:val="BodyTextIndent3"/>
    <w:uiPriority w:val="99"/>
    <w:semiHidden/>
    <w:rsid w:val="008512E9"/>
    <w:rPr>
      <w:rFonts w:ascii="Verdana" w:eastAsia="Calibri" w:hAnsi="Verdana" w:cs="Times New Roman"/>
      <w:sz w:val="16"/>
      <w:szCs w:val="16"/>
      <w:lang w:eastAsia="en-US"/>
    </w:rPr>
  </w:style>
  <w:style w:type="paragraph" w:styleId="BodyText">
    <w:name w:val="Body Text"/>
    <w:basedOn w:val="Normal"/>
    <w:link w:val="BodyTextChar"/>
    <w:uiPriority w:val="1"/>
    <w:qFormat/>
    <w:rsid w:val="008512E9"/>
    <w:pPr>
      <w:numPr>
        <w:ilvl w:val="6"/>
        <w:numId w:val="2"/>
      </w:numPr>
      <w:spacing w:after="240"/>
    </w:pPr>
  </w:style>
  <w:style w:type="character" w:customStyle="1" w:styleId="ClosingChar">
    <w:name w:val="Closing Char"/>
    <w:link w:val="Closing"/>
    <w:uiPriority w:val="99"/>
    <w:semiHidden/>
    <w:rsid w:val="008512E9"/>
    <w:rPr>
      <w:rFonts w:ascii="Verdana" w:eastAsia="Calibri" w:hAnsi="Verdana" w:cs="Times New Roman"/>
      <w:sz w:val="18"/>
      <w:szCs w:val="22"/>
      <w:lang w:eastAsia="en-US"/>
    </w:rPr>
  </w:style>
  <w:style w:type="paragraph" w:styleId="BodyText2">
    <w:name w:val="Body Text 2"/>
    <w:basedOn w:val="Normal"/>
    <w:link w:val="BodyText2Char"/>
    <w:uiPriority w:val="1"/>
    <w:qFormat/>
    <w:rsid w:val="008512E9"/>
    <w:pPr>
      <w:numPr>
        <w:ilvl w:val="7"/>
        <w:numId w:val="2"/>
      </w:numPr>
      <w:spacing w:after="240"/>
    </w:pPr>
  </w:style>
  <w:style w:type="character" w:customStyle="1" w:styleId="CommentSubjectChar">
    <w:name w:val="Comment Subject Char"/>
    <w:link w:val="CommentSubject"/>
    <w:uiPriority w:val="99"/>
    <w:rsid w:val="008512E9"/>
    <w:rPr>
      <w:rFonts w:ascii="Verdana" w:eastAsia="Calibri" w:hAnsi="Verdana" w:cs="Times New Roman"/>
      <w:b/>
      <w:bCs/>
      <w:lang w:eastAsia="en-US"/>
    </w:rPr>
  </w:style>
  <w:style w:type="paragraph" w:styleId="BodyText3">
    <w:name w:val="Body Text 3"/>
    <w:basedOn w:val="Normal"/>
    <w:link w:val="BodyText3Char"/>
    <w:uiPriority w:val="1"/>
    <w:qFormat/>
    <w:rsid w:val="008512E9"/>
    <w:pPr>
      <w:numPr>
        <w:ilvl w:val="8"/>
        <w:numId w:val="2"/>
      </w:numPr>
      <w:spacing w:after="240"/>
    </w:pPr>
    <w:rPr>
      <w:szCs w:val="16"/>
    </w:rPr>
  </w:style>
  <w:style w:type="character" w:customStyle="1" w:styleId="CommentTextChar">
    <w:name w:val="Comment Text Char"/>
    <w:link w:val="CommentText"/>
    <w:uiPriority w:val="99"/>
    <w:rsid w:val="008512E9"/>
    <w:rPr>
      <w:rFonts w:ascii="Verdana" w:eastAsia="Calibri" w:hAnsi="Verdana" w:cs="Times New Roman"/>
      <w:lang w:eastAsia="en-US"/>
    </w:rPr>
  </w:style>
  <w:style w:type="numbering" w:customStyle="1" w:styleId="LegalHeadings">
    <w:name w:val="LegalHeadings"/>
    <w:uiPriority w:val="99"/>
    <w:rsid w:val="008512E9"/>
    <w:pPr>
      <w:numPr>
        <w:numId w:val="2"/>
      </w:numPr>
    </w:pPr>
  </w:style>
  <w:style w:type="paragraph" w:styleId="ListBullet">
    <w:name w:val="List Bullet"/>
    <w:basedOn w:val="Normal"/>
    <w:uiPriority w:val="1"/>
    <w:rsid w:val="008512E9"/>
    <w:pPr>
      <w:numPr>
        <w:numId w:val="8"/>
      </w:numPr>
      <w:spacing w:after="240"/>
    </w:pPr>
  </w:style>
  <w:style w:type="paragraph" w:styleId="ListBullet2">
    <w:name w:val="List Bullet 2"/>
    <w:basedOn w:val="Normal"/>
    <w:uiPriority w:val="1"/>
    <w:rsid w:val="008512E9"/>
    <w:pPr>
      <w:numPr>
        <w:ilvl w:val="1"/>
        <w:numId w:val="8"/>
      </w:numPr>
      <w:spacing w:after="240"/>
    </w:pPr>
  </w:style>
  <w:style w:type="paragraph" w:styleId="ListBullet3">
    <w:name w:val="List Bullet 3"/>
    <w:basedOn w:val="Normal"/>
    <w:uiPriority w:val="1"/>
    <w:rsid w:val="008512E9"/>
    <w:pPr>
      <w:numPr>
        <w:ilvl w:val="2"/>
        <w:numId w:val="8"/>
      </w:numPr>
      <w:spacing w:after="240"/>
    </w:pPr>
  </w:style>
  <w:style w:type="paragraph" w:styleId="ListBullet4">
    <w:name w:val="List Bullet 4"/>
    <w:basedOn w:val="Normal"/>
    <w:uiPriority w:val="1"/>
    <w:rsid w:val="008512E9"/>
    <w:pPr>
      <w:numPr>
        <w:ilvl w:val="3"/>
        <w:numId w:val="8"/>
      </w:numPr>
      <w:spacing w:after="240"/>
    </w:pPr>
  </w:style>
  <w:style w:type="paragraph" w:styleId="ListBullet5">
    <w:name w:val="List Bullet 5"/>
    <w:basedOn w:val="Normal"/>
    <w:uiPriority w:val="1"/>
    <w:rsid w:val="008512E9"/>
    <w:pPr>
      <w:numPr>
        <w:ilvl w:val="4"/>
        <w:numId w:val="8"/>
      </w:numPr>
      <w:spacing w:after="240"/>
    </w:pPr>
  </w:style>
  <w:style w:type="numbering" w:customStyle="1" w:styleId="ListBullets">
    <w:name w:val="ListBullets"/>
    <w:uiPriority w:val="99"/>
    <w:rsid w:val="008512E9"/>
    <w:pPr>
      <w:numPr>
        <w:numId w:val="8"/>
      </w:numPr>
    </w:pPr>
  </w:style>
  <w:style w:type="paragraph" w:customStyle="1" w:styleId="Answer">
    <w:name w:val="Answer"/>
    <w:basedOn w:val="Normal"/>
    <w:link w:val="AnswerChar"/>
    <w:uiPriority w:val="6"/>
    <w:qFormat/>
    <w:rsid w:val="008512E9"/>
    <w:pPr>
      <w:spacing w:after="240"/>
      <w:ind w:left="1077"/>
    </w:pPr>
  </w:style>
  <w:style w:type="character" w:customStyle="1" w:styleId="DateChar">
    <w:name w:val="Date Char"/>
    <w:link w:val="Date"/>
    <w:uiPriority w:val="99"/>
    <w:semiHidden/>
    <w:rsid w:val="008512E9"/>
    <w:rPr>
      <w:rFonts w:ascii="Verdana" w:eastAsia="Calibri" w:hAnsi="Verdana" w:cs="Times New Roman"/>
      <w:sz w:val="18"/>
      <w:szCs w:val="22"/>
      <w:lang w:eastAsia="en-US"/>
    </w:rPr>
  </w:style>
  <w:style w:type="paragraph" w:styleId="Caption">
    <w:name w:val="caption"/>
    <w:basedOn w:val="Normal"/>
    <w:next w:val="Normal"/>
    <w:uiPriority w:val="6"/>
    <w:qFormat/>
    <w:rsid w:val="008512E9"/>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512E9"/>
    <w:rPr>
      <w:vertAlign w:val="superscript"/>
    </w:rPr>
  </w:style>
  <w:style w:type="paragraph" w:styleId="FootnoteText">
    <w:name w:val="footnote text"/>
    <w:basedOn w:val="Normal"/>
    <w:link w:val="FootnoteTextChar"/>
    <w:uiPriority w:val="5"/>
    <w:rsid w:val="008512E9"/>
    <w:pPr>
      <w:ind w:firstLine="567"/>
      <w:jc w:val="left"/>
    </w:pPr>
    <w:rPr>
      <w:sz w:val="16"/>
      <w:szCs w:val="18"/>
      <w:lang w:eastAsia="en-GB"/>
    </w:rPr>
  </w:style>
  <w:style w:type="character" w:customStyle="1" w:styleId="DocumentMapChar">
    <w:name w:val="Document Map Char"/>
    <w:link w:val="DocumentMap"/>
    <w:uiPriority w:val="99"/>
    <w:semiHidden/>
    <w:rsid w:val="008512E9"/>
    <w:rPr>
      <w:rFonts w:ascii="Tahoma" w:eastAsia="Calibri" w:hAnsi="Tahoma" w:cs="Tahoma"/>
      <w:sz w:val="16"/>
      <w:szCs w:val="16"/>
      <w:lang w:eastAsia="en-US"/>
    </w:rPr>
  </w:style>
  <w:style w:type="paragraph" w:styleId="EndnoteText">
    <w:name w:val="endnote text"/>
    <w:basedOn w:val="FootnoteText"/>
    <w:link w:val="EndnoteTextChar"/>
    <w:uiPriority w:val="49"/>
    <w:rsid w:val="008512E9"/>
    <w:rPr>
      <w:szCs w:val="20"/>
    </w:rPr>
  </w:style>
  <w:style w:type="character" w:customStyle="1" w:styleId="E-mailSignatureChar">
    <w:name w:val="E-mail Signature Char"/>
    <w:link w:val="E-mailSignature"/>
    <w:uiPriority w:val="99"/>
    <w:semiHidden/>
    <w:rsid w:val="008512E9"/>
    <w:rPr>
      <w:rFonts w:ascii="Verdana" w:eastAsia="Calibri" w:hAnsi="Verdana" w:cs="Times New Roman"/>
      <w:sz w:val="18"/>
      <w:szCs w:val="22"/>
      <w:lang w:eastAsia="en-US"/>
    </w:rPr>
  </w:style>
  <w:style w:type="paragraph" w:customStyle="1" w:styleId="FollowUp">
    <w:name w:val="FollowUp"/>
    <w:basedOn w:val="Normal"/>
    <w:link w:val="FollowUpChar"/>
    <w:uiPriority w:val="6"/>
    <w:qFormat/>
    <w:rsid w:val="008512E9"/>
    <w:pPr>
      <w:spacing w:after="240"/>
      <w:ind w:left="720"/>
    </w:pPr>
    <w:rPr>
      <w:i/>
    </w:rPr>
  </w:style>
  <w:style w:type="character" w:customStyle="1" w:styleId="EndnoteTextChar">
    <w:name w:val="Endnote Text Char"/>
    <w:link w:val="EndnoteText"/>
    <w:uiPriority w:val="49"/>
    <w:rsid w:val="008512E9"/>
    <w:rPr>
      <w:rFonts w:ascii="Verdana" w:hAnsi="Verdana"/>
      <w:sz w:val="16"/>
    </w:rPr>
  </w:style>
  <w:style w:type="paragraph" w:styleId="Footer">
    <w:name w:val="footer"/>
    <w:basedOn w:val="Normal"/>
    <w:link w:val="FooterChar"/>
    <w:uiPriority w:val="3"/>
    <w:rsid w:val="008512E9"/>
    <w:pPr>
      <w:tabs>
        <w:tab w:val="center" w:pos="4513"/>
        <w:tab w:val="right" w:pos="9027"/>
      </w:tabs>
    </w:pPr>
    <w:rPr>
      <w:szCs w:val="18"/>
      <w:lang w:eastAsia="en-GB"/>
    </w:rPr>
  </w:style>
  <w:style w:type="character" w:customStyle="1" w:styleId="FollowUpChar">
    <w:name w:val="FollowUp Char"/>
    <w:link w:val="FollowUp"/>
    <w:uiPriority w:val="6"/>
    <w:rsid w:val="008512E9"/>
    <w:rPr>
      <w:rFonts w:ascii="Verdana" w:hAnsi="Verdana"/>
      <w:i/>
      <w:sz w:val="18"/>
      <w:szCs w:val="22"/>
      <w:lang w:eastAsia="en-US"/>
    </w:rPr>
  </w:style>
  <w:style w:type="paragraph" w:customStyle="1" w:styleId="FootnoteQuotation">
    <w:name w:val="Footnote Quotation"/>
    <w:basedOn w:val="FootnoteText"/>
    <w:uiPriority w:val="5"/>
    <w:rsid w:val="008512E9"/>
    <w:pPr>
      <w:ind w:left="567" w:right="567" w:firstLine="0"/>
    </w:pPr>
  </w:style>
  <w:style w:type="character" w:styleId="FootnoteReference">
    <w:name w:val="footnote reference"/>
    <w:uiPriority w:val="5"/>
    <w:rsid w:val="008512E9"/>
    <w:rPr>
      <w:vertAlign w:val="superscript"/>
    </w:rPr>
  </w:style>
  <w:style w:type="paragraph" w:styleId="Header">
    <w:name w:val="header"/>
    <w:basedOn w:val="Normal"/>
    <w:link w:val="HeaderChar"/>
    <w:uiPriority w:val="3"/>
    <w:rsid w:val="008512E9"/>
    <w:pPr>
      <w:tabs>
        <w:tab w:val="center" w:pos="4513"/>
        <w:tab w:val="right" w:pos="9027"/>
      </w:tabs>
      <w:jc w:val="left"/>
    </w:pPr>
    <w:rPr>
      <w:szCs w:val="18"/>
      <w:lang w:eastAsia="en-GB"/>
    </w:rPr>
  </w:style>
  <w:style w:type="character" w:customStyle="1" w:styleId="FooterChar">
    <w:name w:val="Footer Char"/>
    <w:link w:val="Footer"/>
    <w:uiPriority w:val="3"/>
    <w:rsid w:val="008512E9"/>
    <w:rPr>
      <w:rFonts w:ascii="Verdana" w:hAnsi="Verdana"/>
      <w:sz w:val="18"/>
      <w:szCs w:val="18"/>
    </w:rPr>
  </w:style>
  <w:style w:type="paragraph" w:customStyle="1" w:styleId="Quotation">
    <w:name w:val="Quotation"/>
    <w:basedOn w:val="Normal"/>
    <w:uiPriority w:val="5"/>
    <w:qFormat/>
    <w:rsid w:val="008512E9"/>
    <w:pPr>
      <w:spacing w:after="240"/>
      <w:ind w:left="567" w:right="567"/>
    </w:pPr>
    <w:rPr>
      <w:szCs w:val="18"/>
      <w:lang w:eastAsia="en-GB"/>
    </w:rPr>
  </w:style>
  <w:style w:type="paragraph" w:customStyle="1" w:styleId="QuotationDouble">
    <w:name w:val="Quotation Double"/>
    <w:basedOn w:val="Normal"/>
    <w:uiPriority w:val="5"/>
    <w:qFormat/>
    <w:rsid w:val="008512E9"/>
    <w:pPr>
      <w:spacing w:after="240"/>
      <w:ind w:left="1134" w:right="1134"/>
    </w:pPr>
    <w:rPr>
      <w:szCs w:val="18"/>
      <w:lang w:eastAsia="en-GB"/>
    </w:rPr>
  </w:style>
  <w:style w:type="paragraph" w:styleId="TableofAuthorities">
    <w:name w:val="table of authorities"/>
    <w:basedOn w:val="Normal"/>
    <w:next w:val="Normal"/>
    <w:uiPriority w:val="39"/>
    <w:rsid w:val="008512E9"/>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8512E9"/>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8512E9"/>
    <w:pPr>
      <w:spacing w:after="360"/>
      <w:jc w:val="center"/>
    </w:pPr>
    <w:rPr>
      <w:caps/>
      <w:color w:val="006283"/>
      <w:szCs w:val="18"/>
      <w:lang w:eastAsia="en-GB"/>
    </w:rPr>
  </w:style>
  <w:style w:type="paragraph" w:customStyle="1" w:styleId="Title3">
    <w:name w:val="Title 3"/>
    <w:basedOn w:val="Normal"/>
    <w:next w:val="Normal"/>
    <w:uiPriority w:val="5"/>
    <w:qFormat/>
    <w:rsid w:val="008512E9"/>
    <w:pPr>
      <w:spacing w:after="360"/>
      <w:jc w:val="center"/>
    </w:pPr>
    <w:rPr>
      <w:i/>
      <w:color w:val="006283"/>
      <w:szCs w:val="18"/>
      <w:lang w:eastAsia="en-GB"/>
    </w:rPr>
  </w:style>
  <w:style w:type="paragraph" w:customStyle="1" w:styleId="TitleCountry">
    <w:name w:val="Title Country"/>
    <w:basedOn w:val="Normal"/>
    <w:next w:val="Normal"/>
    <w:uiPriority w:val="5"/>
    <w:qFormat/>
    <w:rsid w:val="008512E9"/>
    <w:pPr>
      <w:spacing w:after="360"/>
      <w:jc w:val="center"/>
    </w:pPr>
    <w:rPr>
      <w:smallCaps/>
      <w:color w:val="006283"/>
      <w:szCs w:val="18"/>
      <w:lang w:eastAsia="en-GB"/>
    </w:rPr>
  </w:style>
  <w:style w:type="paragraph" w:styleId="TOC1">
    <w:name w:val="toc 1"/>
    <w:basedOn w:val="Normal"/>
    <w:next w:val="Normal"/>
    <w:autoRedefine/>
    <w:uiPriority w:val="39"/>
    <w:rsid w:val="008512E9"/>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8512E9"/>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8512E9"/>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8512E9"/>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8512E9"/>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8512E9"/>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8512E9"/>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8512E9"/>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8512E9"/>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8512E9"/>
    <w:pPr>
      <w:spacing w:before="240"/>
      <w:jc w:val="center"/>
    </w:pPr>
    <w:rPr>
      <w:rFonts w:eastAsia="Times New Roman"/>
      <w:b/>
      <w:bCs/>
      <w:szCs w:val="28"/>
      <w:lang w:eastAsia="en-GB"/>
    </w:rPr>
  </w:style>
  <w:style w:type="table" w:customStyle="1" w:styleId="WTOTable2">
    <w:name w:val="WTOTable2"/>
    <w:basedOn w:val="TableNormal"/>
    <w:uiPriority w:val="99"/>
    <w:rsid w:val="008512E9"/>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8512E9"/>
    <w:rPr>
      <w:rFonts w:ascii="Tahoma" w:hAnsi="Tahoma" w:cs="Tahoma"/>
      <w:sz w:val="16"/>
      <w:szCs w:val="16"/>
    </w:rPr>
  </w:style>
  <w:style w:type="character" w:customStyle="1" w:styleId="FootnoteTextChar">
    <w:name w:val="Footnote Text Char"/>
    <w:link w:val="FootnoteText"/>
    <w:uiPriority w:val="5"/>
    <w:rsid w:val="008512E9"/>
    <w:rPr>
      <w:rFonts w:ascii="Verdana" w:hAnsi="Verdana"/>
      <w:sz w:val="16"/>
      <w:szCs w:val="18"/>
    </w:rPr>
  </w:style>
  <w:style w:type="paragraph" w:styleId="Subtitle">
    <w:name w:val="Subtitle"/>
    <w:basedOn w:val="Normal"/>
    <w:next w:val="Normal"/>
    <w:link w:val="SubtitleChar"/>
    <w:uiPriority w:val="6"/>
    <w:qFormat/>
    <w:rsid w:val="008512E9"/>
    <w:pPr>
      <w:numPr>
        <w:ilvl w:val="1"/>
      </w:numPr>
    </w:pPr>
    <w:rPr>
      <w:rFonts w:eastAsia="Times New Roman"/>
      <w:b/>
      <w:iCs/>
      <w:szCs w:val="24"/>
    </w:rPr>
  </w:style>
  <w:style w:type="character" w:customStyle="1" w:styleId="HeaderChar">
    <w:name w:val="Header Char"/>
    <w:link w:val="Header"/>
    <w:uiPriority w:val="3"/>
    <w:rsid w:val="008512E9"/>
    <w:rPr>
      <w:rFonts w:ascii="Verdana" w:hAnsi="Verdana"/>
      <w:sz w:val="18"/>
      <w:szCs w:val="18"/>
    </w:rPr>
  </w:style>
  <w:style w:type="paragraph" w:customStyle="1" w:styleId="SummaryHeader">
    <w:name w:val="SummaryHeader"/>
    <w:basedOn w:val="Normal"/>
    <w:uiPriority w:val="4"/>
    <w:qFormat/>
    <w:rsid w:val="008512E9"/>
    <w:pPr>
      <w:spacing w:after="240"/>
      <w:outlineLvl w:val="0"/>
    </w:pPr>
    <w:rPr>
      <w:b/>
      <w:caps/>
      <w:color w:val="006283"/>
    </w:rPr>
  </w:style>
  <w:style w:type="paragraph" w:customStyle="1" w:styleId="SummarySubheader">
    <w:name w:val="SummarySubheader"/>
    <w:basedOn w:val="Normal"/>
    <w:uiPriority w:val="4"/>
    <w:qFormat/>
    <w:rsid w:val="008512E9"/>
    <w:pPr>
      <w:spacing w:after="240"/>
      <w:outlineLvl w:val="1"/>
    </w:pPr>
    <w:rPr>
      <w:b/>
      <w:color w:val="006283"/>
    </w:rPr>
  </w:style>
  <w:style w:type="paragraph" w:customStyle="1" w:styleId="SummaryText">
    <w:name w:val="SummaryText"/>
    <w:basedOn w:val="Normal"/>
    <w:uiPriority w:val="4"/>
    <w:qFormat/>
    <w:rsid w:val="008512E9"/>
    <w:pPr>
      <w:numPr>
        <w:numId w:val="9"/>
      </w:numPr>
      <w:spacing w:after="240"/>
    </w:pPr>
  </w:style>
  <w:style w:type="paragraph" w:styleId="ListParagraph">
    <w:name w:val="List Paragraph"/>
    <w:basedOn w:val="Normal"/>
    <w:uiPriority w:val="59"/>
    <w:semiHidden/>
    <w:qFormat/>
    <w:rsid w:val="008512E9"/>
    <w:pPr>
      <w:ind w:left="720"/>
      <w:contextualSpacing/>
    </w:pPr>
  </w:style>
  <w:style w:type="table" w:customStyle="1" w:styleId="WTOBox1">
    <w:name w:val="WTOBox1"/>
    <w:basedOn w:val="TableNormal"/>
    <w:uiPriority w:val="99"/>
    <w:rsid w:val="008512E9"/>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512E9"/>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512E9"/>
    <w:pPr>
      <w:keepNext/>
      <w:keepLines/>
      <w:spacing w:after="240"/>
      <w:jc w:val="left"/>
    </w:pPr>
    <w:rPr>
      <w:rFonts w:eastAsia="Times New Roman"/>
      <w:b/>
      <w:caps/>
      <w:color w:val="006283"/>
      <w:sz w:val="28"/>
      <w:lang w:val="x-none"/>
    </w:rPr>
  </w:style>
  <w:style w:type="table" w:styleId="TableGrid">
    <w:name w:val="Table Grid"/>
    <w:basedOn w:val="TableNormal"/>
    <w:uiPriority w:val="39"/>
    <w:rsid w:val="008512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512E9"/>
    <w:pPr>
      <w:tabs>
        <w:tab w:val="left" w:pos="851"/>
      </w:tabs>
      <w:ind w:left="851" w:hanging="851"/>
      <w:jc w:val="left"/>
    </w:pPr>
    <w:rPr>
      <w:sz w:val="16"/>
    </w:rPr>
  </w:style>
  <w:style w:type="character" w:styleId="Hyperlink">
    <w:name w:val="Hyperlink"/>
    <w:uiPriority w:val="9"/>
    <w:unhideWhenUsed/>
    <w:rsid w:val="008512E9"/>
    <w:rPr>
      <w:color w:val="0000FF"/>
      <w:u w:val="single"/>
    </w:rPr>
  </w:style>
  <w:style w:type="paragraph" w:styleId="Bibliography">
    <w:name w:val="Bibliography"/>
    <w:basedOn w:val="Normal"/>
    <w:next w:val="Normal"/>
    <w:uiPriority w:val="49"/>
    <w:semiHidden/>
    <w:unhideWhenUsed/>
    <w:rsid w:val="008512E9"/>
  </w:style>
  <w:style w:type="paragraph" w:styleId="BlockText">
    <w:name w:val="Block Text"/>
    <w:basedOn w:val="Normal"/>
    <w:uiPriority w:val="99"/>
    <w:semiHidden/>
    <w:unhideWhenUsed/>
    <w:rsid w:val="008512E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512E9"/>
    <w:pPr>
      <w:numPr>
        <w:ilvl w:val="0"/>
        <w:numId w:val="0"/>
      </w:numPr>
      <w:spacing w:after="0"/>
      <w:ind w:firstLine="360"/>
    </w:pPr>
  </w:style>
  <w:style w:type="character" w:customStyle="1" w:styleId="Heading1Char">
    <w:name w:val="Heading 1 Char"/>
    <w:link w:val="Heading1"/>
    <w:uiPriority w:val="2"/>
    <w:rsid w:val="008512E9"/>
    <w:rPr>
      <w:rFonts w:ascii="Verdana" w:eastAsia="Times New Roman" w:hAnsi="Verdana"/>
      <w:b/>
      <w:bCs/>
      <w:caps/>
      <w:color w:val="006283"/>
      <w:sz w:val="18"/>
      <w:szCs w:val="28"/>
      <w:lang w:eastAsia="en-US"/>
    </w:rPr>
  </w:style>
  <w:style w:type="paragraph" w:styleId="BodyTextIndent">
    <w:name w:val="Body Text Indent"/>
    <w:basedOn w:val="Normal"/>
    <w:link w:val="BodyTextIndentChar"/>
    <w:uiPriority w:val="99"/>
    <w:semiHidden/>
    <w:unhideWhenUsed/>
    <w:rsid w:val="008512E9"/>
    <w:pPr>
      <w:spacing w:after="120"/>
      <w:ind w:left="283"/>
    </w:pPr>
  </w:style>
  <w:style w:type="character" w:customStyle="1" w:styleId="Heading2Char">
    <w:name w:val="Heading 2 Char"/>
    <w:link w:val="Heading2"/>
    <w:uiPriority w:val="2"/>
    <w:rsid w:val="008512E9"/>
    <w:rPr>
      <w:rFonts w:ascii="Verdana" w:eastAsia="Times New Roman" w:hAnsi="Verdana"/>
      <w:b/>
      <w:bCs/>
      <w:color w:val="006283"/>
      <w:sz w:val="18"/>
      <w:szCs w:val="26"/>
      <w:lang w:eastAsia="en-US"/>
    </w:rPr>
  </w:style>
  <w:style w:type="paragraph" w:styleId="BodyTextFirstIndent2">
    <w:name w:val="Body Text First Indent 2"/>
    <w:basedOn w:val="BodyTextIndent"/>
    <w:link w:val="BodyTextFirstIndent2Char"/>
    <w:uiPriority w:val="99"/>
    <w:semiHidden/>
    <w:unhideWhenUsed/>
    <w:rsid w:val="008512E9"/>
    <w:pPr>
      <w:spacing w:after="0"/>
      <w:ind w:left="360" w:firstLine="360"/>
    </w:pPr>
  </w:style>
  <w:style w:type="character" w:customStyle="1" w:styleId="Heading3Char">
    <w:name w:val="Heading 3 Char"/>
    <w:link w:val="Heading3"/>
    <w:uiPriority w:val="2"/>
    <w:rsid w:val="008512E9"/>
    <w:rPr>
      <w:rFonts w:ascii="Verdana" w:eastAsia="Times New Roman" w:hAnsi="Verdana"/>
      <w:b/>
      <w:bCs/>
      <w:color w:val="006283"/>
      <w:sz w:val="18"/>
      <w:szCs w:val="22"/>
      <w:lang w:eastAsia="en-US"/>
    </w:rPr>
  </w:style>
  <w:style w:type="paragraph" w:styleId="BodyTextIndent2">
    <w:name w:val="Body Text Indent 2"/>
    <w:basedOn w:val="Normal"/>
    <w:link w:val="BodyTextIndent2Char"/>
    <w:uiPriority w:val="99"/>
    <w:semiHidden/>
    <w:unhideWhenUsed/>
    <w:rsid w:val="008512E9"/>
    <w:pPr>
      <w:spacing w:after="120" w:line="480" w:lineRule="auto"/>
      <w:ind w:left="283"/>
    </w:pPr>
  </w:style>
  <w:style w:type="character" w:customStyle="1" w:styleId="Heading4Char">
    <w:name w:val="Heading 4 Char"/>
    <w:link w:val="Heading4"/>
    <w:uiPriority w:val="2"/>
    <w:rsid w:val="008512E9"/>
    <w:rPr>
      <w:rFonts w:ascii="Verdana" w:eastAsia="Times New Roman" w:hAnsi="Verdana"/>
      <w:b/>
      <w:bCs/>
      <w:iCs/>
      <w:color w:val="006283"/>
      <w:sz w:val="18"/>
      <w:szCs w:val="22"/>
      <w:lang w:eastAsia="en-US"/>
    </w:rPr>
  </w:style>
  <w:style w:type="paragraph" w:styleId="BodyTextIndent3">
    <w:name w:val="Body Text Indent 3"/>
    <w:basedOn w:val="Normal"/>
    <w:link w:val="BodyTextIndent3Char"/>
    <w:uiPriority w:val="99"/>
    <w:semiHidden/>
    <w:unhideWhenUsed/>
    <w:rsid w:val="008512E9"/>
    <w:pPr>
      <w:spacing w:after="120"/>
      <w:ind w:left="283"/>
    </w:pPr>
    <w:rPr>
      <w:sz w:val="16"/>
      <w:szCs w:val="16"/>
    </w:rPr>
  </w:style>
  <w:style w:type="character" w:customStyle="1" w:styleId="Heading5Char">
    <w:name w:val="Heading 5 Char"/>
    <w:link w:val="Heading5"/>
    <w:uiPriority w:val="2"/>
    <w:rsid w:val="008512E9"/>
    <w:rPr>
      <w:rFonts w:ascii="Verdana" w:eastAsia="Times New Roman" w:hAnsi="Verdana"/>
      <w:b/>
      <w:color w:val="006283"/>
      <w:sz w:val="18"/>
      <w:szCs w:val="22"/>
      <w:lang w:eastAsia="en-US"/>
    </w:rPr>
  </w:style>
  <w:style w:type="character" w:styleId="BookTitle">
    <w:name w:val="Book Title"/>
    <w:uiPriority w:val="99"/>
    <w:semiHidden/>
    <w:qFormat/>
    <w:rsid w:val="008512E9"/>
    <w:rPr>
      <w:b/>
      <w:bCs/>
      <w:smallCaps/>
      <w:spacing w:val="5"/>
    </w:rPr>
  </w:style>
  <w:style w:type="paragraph" w:styleId="Closing">
    <w:name w:val="Closing"/>
    <w:basedOn w:val="Normal"/>
    <w:link w:val="ClosingChar"/>
    <w:uiPriority w:val="99"/>
    <w:semiHidden/>
    <w:unhideWhenUsed/>
    <w:rsid w:val="008512E9"/>
    <w:pPr>
      <w:ind w:left="4252"/>
    </w:pPr>
  </w:style>
  <w:style w:type="character" w:customStyle="1" w:styleId="Heading6Char">
    <w:name w:val="Heading 6 Char"/>
    <w:link w:val="Heading6"/>
    <w:uiPriority w:val="2"/>
    <w:rsid w:val="008512E9"/>
    <w:rPr>
      <w:rFonts w:ascii="Verdana" w:eastAsia="Times New Roman" w:hAnsi="Verdana"/>
      <w:b/>
      <w:iCs/>
      <w:color w:val="006283"/>
      <w:sz w:val="18"/>
      <w:szCs w:val="22"/>
      <w:lang w:eastAsia="en-US"/>
    </w:rPr>
  </w:style>
  <w:style w:type="character" w:styleId="CommentReference">
    <w:name w:val="annotation reference"/>
    <w:uiPriority w:val="99"/>
    <w:semiHidden/>
    <w:unhideWhenUsed/>
    <w:rsid w:val="008512E9"/>
    <w:rPr>
      <w:sz w:val="16"/>
      <w:szCs w:val="16"/>
    </w:rPr>
  </w:style>
  <w:style w:type="paragraph" w:styleId="CommentText">
    <w:name w:val="annotation text"/>
    <w:basedOn w:val="Normal"/>
    <w:link w:val="CommentTextChar"/>
    <w:uiPriority w:val="99"/>
    <w:unhideWhenUsed/>
    <w:rsid w:val="008512E9"/>
    <w:rPr>
      <w:sz w:val="20"/>
      <w:szCs w:val="20"/>
    </w:rPr>
  </w:style>
  <w:style w:type="character" w:customStyle="1" w:styleId="Heading7Char">
    <w:name w:val="Heading 7 Char"/>
    <w:link w:val="Heading7"/>
    <w:uiPriority w:val="2"/>
    <w:rsid w:val="008512E9"/>
    <w:rPr>
      <w:rFonts w:ascii="Verdana" w:eastAsia="Times New Roman" w:hAnsi="Verdana"/>
      <w:b/>
      <w:iCs/>
      <w:color w:val="006283"/>
      <w:sz w:val="18"/>
      <w:szCs w:val="22"/>
      <w:lang w:eastAsia="en-US"/>
    </w:rPr>
  </w:style>
  <w:style w:type="paragraph" w:styleId="CommentSubject">
    <w:name w:val="annotation subject"/>
    <w:basedOn w:val="CommentText"/>
    <w:next w:val="CommentText"/>
    <w:link w:val="CommentSubjectChar"/>
    <w:uiPriority w:val="99"/>
    <w:unhideWhenUsed/>
    <w:rsid w:val="008512E9"/>
    <w:rPr>
      <w:b/>
      <w:bCs/>
    </w:rPr>
  </w:style>
  <w:style w:type="character" w:customStyle="1" w:styleId="Heading8Char">
    <w:name w:val="Heading 8 Char"/>
    <w:link w:val="Heading8"/>
    <w:uiPriority w:val="2"/>
    <w:rsid w:val="008512E9"/>
    <w:rPr>
      <w:rFonts w:ascii="Verdana" w:eastAsia="Times New Roman" w:hAnsi="Verdana"/>
      <w:b/>
      <w:i/>
      <w:color w:val="006283"/>
      <w:sz w:val="18"/>
      <w:lang w:eastAsia="en-US"/>
    </w:rPr>
  </w:style>
  <w:style w:type="paragraph" w:styleId="Date">
    <w:name w:val="Date"/>
    <w:basedOn w:val="Normal"/>
    <w:next w:val="Normal"/>
    <w:link w:val="DateChar"/>
    <w:uiPriority w:val="99"/>
    <w:semiHidden/>
    <w:unhideWhenUsed/>
    <w:rsid w:val="008512E9"/>
  </w:style>
  <w:style w:type="character" w:customStyle="1" w:styleId="Heading9Char">
    <w:name w:val="Heading 9 Char"/>
    <w:link w:val="Heading9"/>
    <w:uiPriority w:val="2"/>
    <w:rsid w:val="008512E9"/>
    <w:rPr>
      <w:rFonts w:ascii="Verdana" w:eastAsia="Times New Roman" w:hAnsi="Verdana"/>
      <w:b/>
      <w:iCs/>
      <w:color w:val="006283"/>
      <w:sz w:val="18"/>
      <w:u w:val="single"/>
      <w:lang w:eastAsia="en-US"/>
    </w:rPr>
  </w:style>
  <w:style w:type="paragraph" w:styleId="DocumentMap">
    <w:name w:val="Document Map"/>
    <w:basedOn w:val="Normal"/>
    <w:link w:val="DocumentMapChar"/>
    <w:uiPriority w:val="99"/>
    <w:semiHidden/>
    <w:unhideWhenUsed/>
    <w:rsid w:val="008512E9"/>
    <w:rPr>
      <w:rFonts w:ascii="Tahoma" w:hAnsi="Tahoma" w:cs="Tahoma"/>
      <w:sz w:val="16"/>
      <w:szCs w:val="16"/>
    </w:rPr>
  </w:style>
  <w:style w:type="character" w:customStyle="1" w:styleId="HTMLAddressChar">
    <w:name w:val="HTML Address Char"/>
    <w:link w:val="HTMLAddress"/>
    <w:uiPriority w:val="99"/>
    <w:semiHidden/>
    <w:rsid w:val="008512E9"/>
    <w:rPr>
      <w:rFonts w:ascii="Verdana" w:eastAsia="Calibri" w:hAnsi="Verdana" w:cs="Times New Roman"/>
      <w:i/>
      <w:iCs/>
      <w:sz w:val="18"/>
      <w:szCs w:val="22"/>
      <w:lang w:eastAsia="en-US"/>
    </w:rPr>
  </w:style>
  <w:style w:type="paragraph" w:styleId="E-mailSignature">
    <w:name w:val="E-mail Signature"/>
    <w:basedOn w:val="Normal"/>
    <w:link w:val="E-mailSignatureChar"/>
    <w:uiPriority w:val="99"/>
    <w:semiHidden/>
    <w:unhideWhenUsed/>
    <w:rsid w:val="008512E9"/>
  </w:style>
  <w:style w:type="character" w:customStyle="1" w:styleId="HTMLPreformattedChar">
    <w:name w:val="HTML Preformatted Char"/>
    <w:link w:val="HTMLPreformatted"/>
    <w:uiPriority w:val="99"/>
    <w:semiHidden/>
    <w:rsid w:val="008512E9"/>
    <w:rPr>
      <w:rFonts w:ascii="Consolas" w:eastAsia="Calibri" w:hAnsi="Consolas" w:cs="Consolas"/>
      <w:lang w:eastAsia="en-US"/>
    </w:rPr>
  </w:style>
  <w:style w:type="character" w:styleId="Emphasis">
    <w:name w:val="Emphasis"/>
    <w:uiPriority w:val="99"/>
    <w:semiHidden/>
    <w:qFormat/>
    <w:rsid w:val="008512E9"/>
    <w:rPr>
      <w:i/>
      <w:iCs/>
    </w:rPr>
  </w:style>
  <w:style w:type="paragraph" w:styleId="EnvelopeAddress">
    <w:name w:val="envelope address"/>
    <w:basedOn w:val="Normal"/>
    <w:uiPriority w:val="99"/>
    <w:semiHidden/>
    <w:unhideWhenUsed/>
    <w:rsid w:val="008512E9"/>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512E9"/>
    <w:rPr>
      <w:rFonts w:ascii="Cambria" w:eastAsia="Times New Roman" w:hAnsi="Cambria"/>
      <w:sz w:val="20"/>
      <w:szCs w:val="20"/>
    </w:rPr>
  </w:style>
  <w:style w:type="character" w:styleId="FollowedHyperlink">
    <w:name w:val="FollowedHyperlink"/>
    <w:uiPriority w:val="9"/>
    <w:unhideWhenUsed/>
    <w:rsid w:val="008512E9"/>
    <w:rPr>
      <w:color w:val="800080"/>
      <w:u w:val="single"/>
    </w:rPr>
  </w:style>
  <w:style w:type="character" w:styleId="HTMLAcronym">
    <w:name w:val="HTML Acronym"/>
    <w:uiPriority w:val="99"/>
    <w:semiHidden/>
    <w:unhideWhenUsed/>
    <w:rsid w:val="008512E9"/>
  </w:style>
  <w:style w:type="paragraph" w:styleId="HTMLAddress">
    <w:name w:val="HTML Address"/>
    <w:basedOn w:val="Normal"/>
    <w:link w:val="HTMLAddressChar"/>
    <w:uiPriority w:val="99"/>
    <w:semiHidden/>
    <w:unhideWhenUsed/>
    <w:rsid w:val="008512E9"/>
    <w:rPr>
      <w:i/>
      <w:iCs/>
    </w:rPr>
  </w:style>
  <w:style w:type="character" w:customStyle="1" w:styleId="IntenseQuoteChar">
    <w:name w:val="Intense Quote Char"/>
    <w:link w:val="IntenseQuote"/>
    <w:uiPriority w:val="59"/>
    <w:semiHidden/>
    <w:rsid w:val="008512E9"/>
    <w:rPr>
      <w:rFonts w:ascii="Verdana" w:eastAsia="Calibri" w:hAnsi="Verdana" w:cs="Times New Roman"/>
      <w:b/>
      <w:bCs/>
      <w:i/>
      <w:iCs/>
      <w:color w:val="4F81BD"/>
      <w:sz w:val="18"/>
      <w:szCs w:val="22"/>
      <w:lang w:eastAsia="en-US"/>
    </w:rPr>
  </w:style>
  <w:style w:type="character" w:styleId="HTMLCite">
    <w:name w:val="HTML Cite"/>
    <w:uiPriority w:val="99"/>
    <w:semiHidden/>
    <w:unhideWhenUsed/>
    <w:rsid w:val="008512E9"/>
    <w:rPr>
      <w:i/>
      <w:iCs/>
    </w:rPr>
  </w:style>
  <w:style w:type="character" w:styleId="HTMLCode">
    <w:name w:val="HTML Code"/>
    <w:uiPriority w:val="99"/>
    <w:semiHidden/>
    <w:unhideWhenUsed/>
    <w:rsid w:val="008512E9"/>
    <w:rPr>
      <w:rFonts w:ascii="Consolas" w:hAnsi="Consolas" w:cs="Consolas"/>
      <w:sz w:val="20"/>
      <w:szCs w:val="20"/>
    </w:rPr>
  </w:style>
  <w:style w:type="character" w:styleId="HTMLDefinition">
    <w:name w:val="HTML Definition"/>
    <w:uiPriority w:val="99"/>
    <w:semiHidden/>
    <w:unhideWhenUsed/>
    <w:rsid w:val="008512E9"/>
    <w:rPr>
      <w:i/>
      <w:iCs/>
    </w:rPr>
  </w:style>
  <w:style w:type="character" w:styleId="HTMLKeyboard">
    <w:name w:val="HTML Keyboard"/>
    <w:uiPriority w:val="99"/>
    <w:semiHidden/>
    <w:unhideWhenUsed/>
    <w:rsid w:val="008512E9"/>
    <w:rPr>
      <w:rFonts w:ascii="Consolas" w:hAnsi="Consolas" w:cs="Consolas"/>
      <w:sz w:val="20"/>
      <w:szCs w:val="20"/>
    </w:rPr>
  </w:style>
  <w:style w:type="paragraph" w:styleId="HTMLPreformatted">
    <w:name w:val="HTML Preformatted"/>
    <w:basedOn w:val="Normal"/>
    <w:link w:val="HTMLPreformattedChar"/>
    <w:uiPriority w:val="99"/>
    <w:semiHidden/>
    <w:unhideWhenUsed/>
    <w:rsid w:val="008512E9"/>
    <w:rPr>
      <w:rFonts w:ascii="Consolas" w:hAnsi="Consolas" w:cs="Consolas"/>
      <w:sz w:val="20"/>
      <w:szCs w:val="20"/>
    </w:rPr>
  </w:style>
  <w:style w:type="character" w:customStyle="1" w:styleId="MacroTextChar">
    <w:name w:val="Macro Text Char"/>
    <w:link w:val="MacroText"/>
    <w:uiPriority w:val="99"/>
    <w:semiHidden/>
    <w:rsid w:val="008512E9"/>
    <w:rPr>
      <w:rFonts w:ascii="Consolas" w:hAnsi="Consolas" w:cs="Consolas"/>
      <w:lang w:eastAsia="en-US"/>
    </w:rPr>
  </w:style>
  <w:style w:type="character" w:styleId="HTMLSample">
    <w:name w:val="HTML Sample"/>
    <w:uiPriority w:val="99"/>
    <w:semiHidden/>
    <w:unhideWhenUsed/>
    <w:rsid w:val="008512E9"/>
    <w:rPr>
      <w:rFonts w:ascii="Consolas" w:hAnsi="Consolas" w:cs="Consolas"/>
      <w:sz w:val="24"/>
      <w:szCs w:val="24"/>
    </w:rPr>
  </w:style>
  <w:style w:type="character" w:styleId="HTMLTypewriter">
    <w:name w:val="HTML Typewriter"/>
    <w:uiPriority w:val="99"/>
    <w:semiHidden/>
    <w:unhideWhenUsed/>
    <w:rsid w:val="008512E9"/>
    <w:rPr>
      <w:rFonts w:ascii="Consolas" w:hAnsi="Consolas" w:cs="Consolas"/>
      <w:sz w:val="20"/>
      <w:szCs w:val="20"/>
    </w:rPr>
  </w:style>
  <w:style w:type="character" w:styleId="HTMLVariable">
    <w:name w:val="HTML Variable"/>
    <w:uiPriority w:val="99"/>
    <w:semiHidden/>
    <w:unhideWhenUsed/>
    <w:rsid w:val="008512E9"/>
    <w:rPr>
      <w:i/>
      <w:iCs/>
    </w:rPr>
  </w:style>
  <w:style w:type="paragraph" w:styleId="Index1">
    <w:name w:val="index 1"/>
    <w:basedOn w:val="Normal"/>
    <w:next w:val="Normal"/>
    <w:autoRedefine/>
    <w:uiPriority w:val="99"/>
    <w:semiHidden/>
    <w:unhideWhenUsed/>
    <w:rsid w:val="008512E9"/>
    <w:pPr>
      <w:ind w:left="180" w:hanging="180"/>
    </w:pPr>
  </w:style>
  <w:style w:type="paragraph" w:styleId="Index2">
    <w:name w:val="index 2"/>
    <w:basedOn w:val="Normal"/>
    <w:next w:val="Normal"/>
    <w:autoRedefine/>
    <w:uiPriority w:val="99"/>
    <w:semiHidden/>
    <w:unhideWhenUsed/>
    <w:rsid w:val="008512E9"/>
    <w:pPr>
      <w:ind w:left="360" w:hanging="180"/>
    </w:pPr>
  </w:style>
  <w:style w:type="paragraph" w:styleId="Index3">
    <w:name w:val="index 3"/>
    <w:basedOn w:val="Normal"/>
    <w:next w:val="Normal"/>
    <w:autoRedefine/>
    <w:uiPriority w:val="99"/>
    <w:semiHidden/>
    <w:unhideWhenUsed/>
    <w:rsid w:val="008512E9"/>
    <w:pPr>
      <w:ind w:left="540" w:hanging="180"/>
    </w:pPr>
  </w:style>
  <w:style w:type="paragraph" w:styleId="Index4">
    <w:name w:val="index 4"/>
    <w:basedOn w:val="Normal"/>
    <w:next w:val="Normal"/>
    <w:autoRedefine/>
    <w:uiPriority w:val="99"/>
    <w:semiHidden/>
    <w:unhideWhenUsed/>
    <w:rsid w:val="008512E9"/>
    <w:pPr>
      <w:ind w:left="720" w:hanging="180"/>
    </w:pPr>
  </w:style>
  <w:style w:type="paragraph" w:styleId="Index5">
    <w:name w:val="index 5"/>
    <w:basedOn w:val="Normal"/>
    <w:next w:val="Normal"/>
    <w:autoRedefine/>
    <w:uiPriority w:val="99"/>
    <w:semiHidden/>
    <w:unhideWhenUsed/>
    <w:rsid w:val="008512E9"/>
    <w:pPr>
      <w:ind w:left="900" w:hanging="180"/>
    </w:pPr>
  </w:style>
  <w:style w:type="paragraph" w:styleId="Index6">
    <w:name w:val="index 6"/>
    <w:basedOn w:val="Normal"/>
    <w:next w:val="Normal"/>
    <w:autoRedefine/>
    <w:uiPriority w:val="99"/>
    <w:semiHidden/>
    <w:unhideWhenUsed/>
    <w:rsid w:val="008512E9"/>
    <w:pPr>
      <w:ind w:left="1080" w:hanging="180"/>
    </w:pPr>
  </w:style>
  <w:style w:type="paragraph" w:styleId="Index7">
    <w:name w:val="index 7"/>
    <w:basedOn w:val="Normal"/>
    <w:next w:val="Normal"/>
    <w:autoRedefine/>
    <w:uiPriority w:val="99"/>
    <w:semiHidden/>
    <w:unhideWhenUsed/>
    <w:rsid w:val="008512E9"/>
    <w:pPr>
      <w:ind w:left="1260" w:hanging="180"/>
    </w:pPr>
  </w:style>
  <w:style w:type="paragraph" w:styleId="Index8">
    <w:name w:val="index 8"/>
    <w:basedOn w:val="Normal"/>
    <w:next w:val="Normal"/>
    <w:autoRedefine/>
    <w:uiPriority w:val="99"/>
    <w:semiHidden/>
    <w:unhideWhenUsed/>
    <w:rsid w:val="008512E9"/>
    <w:pPr>
      <w:ind w:left="1440" w:hanging="180"/>
    </w:pPr>
  </w:style>
  <w:style w:type="paragraph" w:styleId="Index9">
    <w:name w:val="index 9"/>
    <w:basedOn w:val="Normal"/>
    <w:next w:val="Normal"/>
    <w:autoRedefine/>
    <w:uiPriority w:val="99"/>
    <w:semiHidden/>
    <w:unhideWhenUsed/>
    <w:rsid w:val="008512E9"/>
    <w:pPr>
      <w:ind w:left="1620" w:hanging="180"/>
    </w:pPr>
  </w:style>
  <w:style w:type="paragraph" w:styleId="IndexHeading">
    <w:name w:val="index heading"/>
    <w:basedOn w:val="Normal"/>
    <w:next w:val="Index1"/>
    <w:uiPriority w:val="99"/>
    <w:semiHidden/>
    <w:unhideWhenUsed/>
    <w:rsid w:val="008512E9"/>
    <w:rPr>
      <w:rFonts w:ascii="Cambria" w:eastAsia="Times New Roman" w:hAnsi="Cambria"/>
      <w:b/>
      <w:bCs/>
    </w:rPr>
  </w:style>
  <w:style w:type="character" w:styleId="IntenseEmphasis">
    <w:name w:val="Intense Emphasis"/>
    <w:uiPriority w:val="99"/>
    <w:semiHidden/>
    <w:qFormat/>
    <w:rsid w:val="008512E9"/>
    <w:rPr>
      <w:b/>
      <w:bCs/>
      <w:i/>
      <w:iCs/>
      <w:color w:val="4F81BD"/>
    </w:rPr>
  </w:style>
  <w:style w:type="paragraph" w:styleId="IntenseQuote">
    <w:name w:val="Intense Quote"/>
    <w:basedOn w:val="Normal"/>
    <w:next w:val="Normal"/>
    <w:link w:val="IntenseQuoteChar"/>
    <w:uiPriority w:val="59"/>
    <w:semiHidden/>
    <w:qFormat/>
    <w:rsid w:val="008512E9"/>
    <w:pPr>
      <w:pBdr>
        <w:bottom w:val="single" w:sz="4" w:space="4" w:color="4F81BD"/>
      </w:pBdr>
      <w:spacing w:before="200" w:after="280"/>
      <w:ind w:left="936" w:right="936"/>
    </w:pPr>
    <w:rPr>
      <w:b/>
      <w:bCs/>
      <w:i/>
      <w:iCs/>
      <w:color w:val="4F81BD"/>
    </w:rPr>
  </w:style>
  <w:style w:type="character" w:customStyle="1" w:styleId="MessageHeaderChar">
    <w:name w:val="Message Header Char"/>
    <w:link w:val="MessageHeader"/>
    <w:uiPriority w:val="99"/>
    <w:semiHidden/>
    <w:rsid w:val="008512E9"/>
    <w:rPr>
      <w:rFonts w:ascii="Cambria" w:eastAsia="Times New Roman" w:hAnsi="Cambria"/>
      <w:sz w:val="24"/>
      <w:szCs w:val="24"/>
      <w:shd w:val="pct20" w:color="auto" w:fill="auto"/>
      <w:lang w:eastAsia="en-US"/>
    </w:rPr>
  </w:style>
  <w:style w:type="character" w:styleId="IntenseReference">
    <w:name w:val="Intense Reference"/>
    <w:uiPriority w:val="99"/>
    <w:semiHidden/>
    <w:qFormat/>
    <w:rsid w:val="008512E9"/>
    <w:rPr>
      <w:b/>
      <w:bCs/>
      <w:smallCaps/>
      <w:color w:val="C0504D"/>
      <w:spacing w:val="5"/>
      <w:u w:val="single"/>
    </w:rPr>
  </w:style>
  <w:style w:type="character" w:styleId="LineNumber">
    <w:name w:val="line number"/>
    <w:uiPriority w:val="99"/>
    <w:semiHidden/>
    <w:unhideWhenUsed/>
    <w:rsid w:val="008512E9"/>
  </w:style>
  <w:style w:type="paragraph" w:styleId="List">
    <w:name w:val="List"/>
    <w:basedOn w:val="Normal"/>
    <w:uiPriority w:val="99"/>
    <w:semiHidden/>
    <w:unhideWhenUsed/>
    <w:rsid w:val="008512E9"/>
    <w:pPr>
      <w:ind w:left="283" w:hanging="283"/>
      <w:contextualSpacing/>
    </w:pPr>
  </w:style>
  <w:style w:type="paragraph" w:styleId="List2">
    <w:name w:val="List 2"/>
    <w:basedOn w:val="Normal"/>
    <w:uiPriority w:val="99"/>
    <w:semiHidden/>
    <w:unhideWhenUsed/>
    <w:rsid w:val="008512E9"/>
    <w:pPr>
      <w:ind w:left="566" w:hanging="283"/>
      <w:contextualSpacing/>
    </w:pPr>
  </w:style>
  <w:style w:type="paragraph" w:styleId="List3">
    <w:name w:val="List 3"/>
    <w:basedOn w:val="Normal"/>
    <w:uiPriority w:val="99"/>
    <w:semiHidden/>
    <w:unhideWhenUsed/>
    <w:rsid w:val="008512E9"/>
    <w:pPr>
      <w:ind w:left="849" w:hanging="283"/>
      <w:contextualSpacing/>
    </w:pPr>
  </w:style>
  <w:style w:type="paragraph" w:styleId="List4">
    <w:name w:val="List 4"/>
    <w:basedOn w:val="Normal"/>
    <w:uiPriority w:val="99"/>
    <w:semiHidden/>
    <w:unhideWhenUsed/>
    <w:rsid w:val="008512E9"/>
    <w:pPr>
      <w:ind w:left="1132" w:hanging="283"/>
      <w:contextualSpacing/>
    </w:pPr>
  </w:style>
  <w:style w:type="paragraph" w:styleId="List5">
    <w:name w:val="List 5"/>
    <w:basedOn w:val="Normal"/>
    <w:uiPriority w:val="99"/>
    <w:semiHidden/>
    <w:unhideWhenUsed/>
    <w:rsid w:val="008512E9"/>
    <w:pPr>
      <w:ind w:left="1415" w:hanging="283"/>
      <w:contextualSpacing/>
    </w:pPr>
  </w:style>
  <w:style w:type="paragraph" w:styleId="ListContinue">
    <w:name w:val="List Continue"/>
    <w:basedOn w:val="Normal"/>
    <w:uiPriority w:val="99"/>
    <w:semiHidden/>
    <w:unhideWhenUsed/>
    <w:rsid w:val="008512E9"/>
    <w:pPr>
      <w:spacing w:after="120"/>
      <w:ind w:left="283"/>
      <w:contextualSpacing/>
    </w:pPr>
  </w:style>
  <w:style w:type="paragraph" w:styleId="ListContinue2">
    <w:name w:val="List Continue 2"/>
    <w:basedOn w:val="Normal"/>
    <w:uiPriority w:val="99"/>
    <w:semiHidden/>
    <w:unhideWhenUsed/>
    <w:rsid w:val="008512E9"/>
    <w:pPr>
      <w:spacing w:after="120"/>
      <w:ind w:left="566"/>
      <w:contextualSpacing/>
    </w:pPr>
  </w:style>
  <w:style w:type="paragraph" w:styleId="ListContinue3">
    <w:name w:val="List Continue 3"/>
    <w:basedOn w:val="Normal"/>
    <w:uiPriority w:val="99"/>
    <w:semiHidden/>
    <w:unhideWhenUsed/>
    <w:rsid w:val="008512E9"/>
    <w:pPr>
      <w:spacing w:after="120"/>
      <w:ind w:left="849"/>
      <w:contextualSpacing/>
    </w:pPr>
  </w:style>
  <w:style w:type="paragraph" w:styleId="ListContinue4">
    <w:name w:val="List Continue 4"/>
    <w:basedOn w:val="Normal"/>
    <w:uiPriority w:val="99"/>
    <w:semiHidden/>
    <w:unhideWhenUsed/>
    <w:rsid w:val="008512E9"/>
    <w:pPr>
      <w:spacing w:after="120"/>
      <w:ind w:left="1132"/>
      <w:contextualSpacing/>
    </w:pPr>
  </w:style>
  <w:style w:type="paragraph" w:styleId="ListContinue5">
    <w:name w:val="List Continue 5"/>
    <w:basedOn w:val="Normal"/>
    <w:uiPriority w:val="99"/>
    <w:semiHidden/>
    <w:unhideWhenUsed/>
    <w:rsid w:val="008512E9"/>
    <w:pPr>
      <w:spacing w:after="120"/>
      <w:ind w:left="1415"/>
      <w:contextualSpacing/>
    </w:pPr>
  </w:style>
  <w:style w:type="paragraph" w:styleId="ListNumber">
    <w:name w:val="List Number"/>
    <w:basedOn w:val="Normal"/>
    <w:uiPriority w:val="49"/>
    <w:semiHidden/>
    <w:unhideWhenUsed/>
    <w:rsid w:val="008512E9"/>
    <w:pPr>
      <w:numPr>
        <w:numId w:val="3"/>
      </w:numPr>
      <w:contextualSpacing/>
    </w:pPr>
  </w:style>
  <w:style w:type="paragraph" w:styleId="ListNumber2">
    <w:name w:val="List Number 2"/>
    <w:basedOn w:val="Normal"/>
    <w:uiPriority w:val="49"/>
    <w:semiHidden/>
    <w:unhideWhenUsed/>
    <w:rsid w:val="008512E9"/>
    <w:pPr>
      <w:numPr>
        <w:numId w:val="4"/>
      </w:numPr>
      <w:contextualSpacing/>
    </w:pPr>
  </w:style>
  <w:style w:type="paragraph" w:styleId="ListNumber3">
    <w:name w:val="List Number 3"/>
    <w:basedOn w:val="Normal"/>
    <w:uiPriority w:val="49"/>
    <w:semiHidden/>
    <w:unhideWhenUsed/>
    <w:rsid w:val="008512E9"/>
    <w:pPr>
      <w:numPr>
        <w:numId w:val="5"/>
      </w:numPr>
      <w:contextualSpacing/>
    </w:pPr>
  </w:style>
  <w:style w:type="paragraph" w:styleId="ListNumber4">
    <w:name w:val="List Number 4"/>
    <w:basedOn w:val="Normal"/>
    <w:uiPriority w:val="49"/>
    <w:semiHidden/>
    <w:unhideWhenUsed/>
    <w:rsid w:val="008512E9"/>
    <w:pPr>
      <w:numPr>
        <w:numId w:val="6"/>
      </w:numPr>
      <w:contextualSpacing/>
    </w:pPr>
  </w:style>
  <w:style w:type="paragraph" w:styleId="ListNumber5">
    <w:name w:val="List Number 5"/>
    <w:basedOn w:val="Normal"/>
    <w:uiPriority w:val="49"/>
    <w:semiHidden/>
    <w:unhideWhenUsed/>
    <w:rsid w:val="008512E9"/>
    <w:pPr>
      <w:numPr>
        <w:numId w:val="7"/>
      </w:numPr>
      <w:contextualSpacing/>
    </w:pPr>
  </w:style>
  <w:style w:type="paragraph" w:styleId="MacroText">
    <w:name w:val="macro"/>
    <w:link w:val="MacroTextChar"/>
    <w:uiPriority w:val="99"/>
    <w:semiHidden/>
    <w:unhideWhenUsed/>
    <w:rsid w:val="008512E9"/>
    <w:pPr>
      <w:tabs>
        <w:tab w:val="left" w:pos="480"/>
        <w:tab w:val="left" w:pos="960"/>
        <w:tab w:val="left" w:pos="1440"/>
        <w:tab w:val="left" w:pos="1920"/>
        <w:tab w:val="left" w:pos="2400"/>
        <w:tab w:val="left" w:pos="2880"/>
        <w:tab w:val="left" w:pos="3360"/>
        <w:tab w:val="left" w:pos="3840"/>
        <w:tab w:val="left" w:pos="4320"/>
      </w:tabs>
      <w:spacing w:after="60"/>
      <w:jc w:val="both"/>
    </w:pPr>
    <w:rPr>
      <w:rFonts w:ascii="Consolas" w:hAnsi="Consolas" w:cs="Consolas"/>
      <w:lang w:eastAsia="en-US"/>
    </w:rPr>
  </w:style>
  <w:style w:type="character" w:customStyle="1" w:styleId="NoteHeadingChar">
    <w:name w:val="Note Heading Char"/>
    <w:link w:val="NoteHeading"/>
    <w:uiPriority w:val="99"/>
    <w:semiHidden/>
    <w:rsid w:val="008512E9"/>
    <w:rPr>
      <w:rFonts w:ascii="Verdana" w:eastAsia="Calibri" w:hAnsi="Verdana" w:cs="Times New Roman"/>
      <w:sz w:val="18"/>
      <w:szCs w:val="22"/>
      <w:lang w:eastAsia="en-US"/>
    </w:rPr>
  </w:style>
  <w:style w:type="paragraph" w:styleId="MessageHeader">
    <w:name w:val="Message Header"/>
    <w:basedOn w:val="Normal"/>
    <w:link w:val="MessageHeaderChar"/>
    <w:uiPriority w:val="99"/>
    <w:semiHidden/>
    <w:unhideWhenUsed/>
    <w:rsid w:val="008512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PlainTextChar">
    <w:name w:val="Plain Text Char"/>
    <w:link w:val="PlainText"/>
    <w:uiPriority w:val="99"/>
    <w:rsid w:val="008512E9"/>
    <w:rPr>
      <w:rFonts w:ascii="Consolas" w:eastAsia="Calibri" w:hAnsi="Consolas" w:cs="Consolas"/>
      <w:sz w:val="21"/>
      <w:szCs w:val="21"/>
      <w:lang w:eastAsia="en-US"/>
    </w:rPr>
  </w:style>
  <w:style w:type="paragraph" w:styleId="NoSpacing">
    <w:name w:val="No Spacing"/>
    <w:uiPriority w:val="1"/>
    <w:semiHidden/>
    <w:qFormat/>
    <w:rsid w:val="008512E9"/>
    <w:pPr>
      <w:spacing w:after="60"/>
      <w:jc w:val="both"/>
    </w:pPr>
    <w:rPr>
      <w:rFonts w:ascii="Verdana" w:hAnsi="Verdana"/>
      <w:sz w:val="18"/>
      <w:szCs w:val="22"/>
      <w:lang w:eastAsia="en-US"/>
    </w:rPr>
  </w:style>
  <w:style w:type="paragraph" w:styleId="NormalWeb">
    <w:name w:val="Normal (Web)"/>
    <w:basedOn w:val="Normal"/>
    <w:uiPriority w:val="99"/>
    <w:semiHidden/>
    <w:unhideWhenUsed/>
    <w:rsid w:val="008512E9"/>
    <w:rPr>
      <w:rFonts w:ascii="Times New Roman" w:hAnsi="Times New Roman"/>
      <w:sz w:val="24"/>
      <w:szCs w:val="24"/>
    </w:rPr>
  </w:style>
  <w:style w:type="paragraph" w:styleId="NormalIndent">
    <w:name w:val="Normal Indent"/>
    <w:basedOn w:val="Normal"/>
    <w:uiPriority w:val="99"/>
    <w:semiHidden/>
    <w:unhideWhenUsed/>
    <w:rsid w:val="008512E9"/>
    <w:pPr>
      <w:ind w:left="567"/>
    </w:pPr>
  </w:style>
  <w:style w:type="paragraph" w:styleId="NoteHeading">
    <w:name w:val="Note Heading"/>
    <w:basedOn w:val="Normal"/>
    <w:next w:val="Normal"/>
    <w:link w:val="NoteHeadingChar"/>
    <w:uiPriority w:val="99"/>
    <w:semiHidden/>
    <w:unhideWhenUsed/>
    <w:rsid w:val="008512E9"/>
  </w:style>
  <w:style w:type="character" w:customStyle="1" w:styleId="QuoteChar">
    <w:name w:val="Quote Char"/>
    <w:link w:val="Quote"/>
    <w:uiPriority w:val="59"/>
    <w:semiHidden/>
    <w:rsid w:val="008512E9"/>
    <w:rPr>
      <w:rFonts w:ascii="Verdana" w:eastAsia="Calibri" w:hAnsi="Verdana" w:cs="Times New Roman"/>
      <w:i/>
      <w:iCs/>
      <w:color w:val="000000"/>
      <w:sz w:val="18"/>
      <w:szCs w:val="22"/>
      <w:lang w:eastAsia="en-US"/>
    </w:rPr>
  </w:style>
  <w:style w:type="character" w:styleId="PageNumber">
    <w:name w:val="page number"/>
    <w:uiPriority w:val="99"/>
    <w:semiHidden/>
    <w:unhideWhenUsed/>
    <w:rsid w:val="008512E9"/>
  </w:style>
  <w:style w:type="character" w:styleId="PlaceholderText">
    <w:name w:val="Placeholder Text"/>
    <w:uiPriority w:val="99"/>
    <w:semiHidden/>
    <w:rsid w:val="008512E9"/>
    <w:rPr>
      <w:color w:val="808080"/>
    </w:rPr>
  </w:style>
  <w:style w:type="paragraph" w:styleId="PlainText">
    <w:name w:val="Plain Text"/>
    <w:basedOn w:val="Normal"/>
    <w:link w:val="PlainTextChar"/>
    <w:uiPriority w:val="99"/>
    <w:unhideWhenUsed/>
    <w:rsid w:val="008512E9"/>
    <w:rPr>
      <w:rFonts w:ascii="Consolas" w:hAnsi="Consolas" w:cs="Consolas"/>
      <w:sz w:val="21"/>
      <w:szCs w:val="21"/>
    </w:rPr>
  </w:style>
  <w:style w:type="character" w:customStyle="1" w:styleId="SalutationChar">
    <w:name w:val="Salutation Char"/>
    <w:link w:val="Salutation"/>
    <w:uiPriority w:val="99"/>
    <w:semiHidden/>
    <w:rsid w:val="008512E9"/>
    <w:rPr>
      <w:rFonts w:ascii="Verdana" w:eastAsia="Calibri" w:hAnsi="Verdana" w:cs="Times New Roman"/>
      <w:sz w:val="18"/>
      <w:szCs w:val="22"/>
      <w:lang w:eastAsia="en-US"/>
    </w:rPr>
  </w:style>
  <w:style w:type="paragraph" w:styleId="Quote">
    <w:name w:val="Quote"/>
    <w:basedOn w:val="Normal"/>
    <w:next w:val="Normal"/>
    <w:link w:val="QuoteChar"/>
    <w:uiPriority w:val="59"/>
    <w:semiHidden/>
    <w:qFormat/>
    <w:rsid w:val="008512E9"/>
    <w:rPr>
      <w:i/>
      <w:iCs/>
      <w:color w:val="000000"/>
    </w:rPr>
  </w:style>
  <w:style w:type="character" w:customStyle="1" w:styleId="SignatureChar">
    <w:name w:val="Signature Char"/>
    <w:link w:val="Signature"/>
    <w:uiPriority w:val="99"/>
    <w:semiHidden/>
    <w:rsid w:val="008512E9"/>
    <w:rPr>
      <w:rFonts w:ascii="Verdana" w:eastAsia="Calibri" w:hAnsi="Verdana" w:cs="Times New Roman"/>
      <w:sz w:val="18"/>
      <w:szCs w:val="22"/>
      <w:lang w:eastAsia="en-US"/>
    </w:rPr>
  </w:style>
  <w:style w:type="paragraph" w:styleId="Salutation">
    <w:name w:val="Salutation"/>
    <w:basedOn w:val="Normal"/>
    <w:next w:val="Normal"/>
    <w:link w:val="SalutationChar"/>
    <w:uiPriority w:val="99"/>
    <w:semiHidden/>
    <w:unhideWhenUsed/>
    <w:rsid w:val="008512E9"/>
  </w:style>
  <w:style w:type="character" w:customStyle="1" w:styleId="SubtitleChar">
    <w:name w:val="Subtitle Char"/>
    <w:link w:val="Subtitle"/>
    <w:uiPriority w:val="6"/>
    <w:rsid w:val="008512E9"/>
    <w:rPr>
      <w:rFonts w:ascii="Verdana" w:eastAsia="Times New Roman" w:hAnsi="Verdana"/>
      <w:b/>
      <w:iCs/>
      <w:sz w:val="18"/>
      <w:szCs w:val="24"/>
      <w:lang w:eastAsia="en-US"/>
    </w:rPr>
  </w:style>
  <w:style w:type="paragraph" w:styleId="Signature">
    <w:name w:val="Signature"/>
    <w:basedOn w:val="Normal"/>
    <w:link w:val="SignatureChar"/>
    <w:uiPriority w:val="99"/>
    <w:semiHidden/>
    <w:unhideWhenUsed/>
    <w:rsid w:val="008512E9"/>
    <w:pPr>
      <w:ind w:left="4252"/>
    </w:pPr>
  </w:style>
  <w:style w:type="character" w:customStyle="1" w:styleId="TitleChar">
    <w:name w:val="Title Char"/>
    <w:link w:val="Title"/>
    <w:uiPriority w:val="5"/>
    <w:rsid w:val="008512E9"/>
    <w:rPr>
      <w:rFonts w:ascii="Verdana" w:eastAsia="Times New Roman" w:hAnsi="Verdana"/>
      <w:b/>
      <w:caps/>
      <w:color w:val="006283"/>
      <w:kern w:val="28"/>
      <w:sz w:val="18"/>
      <w:szCs w:val="52"/>
      <w:lang w:eastAsia="en-US"/>
    </w:rPr>
  </w:style>
  <w:style w:type="character" w:styleId="Strong">
    <w:name w:val="Strong"/>
    <w:uiPriority w:val="99"/>
    <w:semiHidden/>
    <w:qFormat/>
    <w:rsid w:val="008512E9"/>
    <w:rPr>
      <w:b/>
      <w:bCs/>
    </w:rPr>
  </w:style>
  <w:style w:type="character" w:styleId="SubtleEmphasis">
    <w:name w:val="Subtle Emphasis"/>
    <w:uiPriority w:val="99"/>
    <w:semiHidden/>
    <w:qFormat/>
    <w:rsid w:val="008512E9"/>
    <w:rPr>
      <w:i/>
      <w:iCs/>
      <w:color w:val="808080"/>
    </w:rPr>
  </w:style>
  <w:style w:type="character" w:styleId="SubtleReference">
    <w:name w:val="Subtle Reference"/>
    <w:uiPriority w:val="99"/>
    <w:semiHidden/>
    <w:qFormat/>
    <w:rsid w:val="008512E9"/>
    <w:rPr>
      <w:smallCaps/>
      <w:color w:val="C0504D"/>
      <w:u w:val="single"/>
    </w:rPr>
  </w:style>
  <w:style w:type="paragraph" w:styleId="TOAHeading">
    <w:name w:val="toa heading"/>
    <w:basedOn w:val="Normal"/>
    <w:next w:val="Normal"/>
    <w:uiPriority w:val="39"/>
    <w:unhideWhenUsed/>
    <w:rsid w:val="008512E9"/>
    <w:pPr>
      <w:spacing w:before="120"/>
    </w:pPr>
    <w:rPr>
      <w:rFonts w:ascii="Cambria" w:eastAsia="Times New Roman" w:hAnsi="Cambria"/>
      <w:b/>
      <w:bCs/>
      <w:sz w:val="24"/>
      <w:szCs w:val="24"/>
    </w:rPr>
  </w:style>
  <w:style w:type="paragraph" w:customStyle="1" w:styleId="TitleDate">
    <w:name w:val="Title Date"/>
    <w:basedOn w:val="Normal"/>
    <w:next w:val="Normal"/>
    <w:uiPriority w:val="5"/>
    <w:qFormat/>
    <w:rsid w:val="008512E9"/>
    <w:pPr>
      <w:spacing w:after="240"/>
      <w:jc w:val="center"/>
    </w:pPr>
    <w:rPr>
      <w:color w:val="006283"/>
    </w:rPr>
  </w:style>
  <w:style w:type="paragraph" w:customStyle="1" w:styleId="Default">
    <w:name w:val="Default"/>
    <w:rsid w:val="00282C2E"/>
    <w:pPr>
      <w:autoSpaceDE w:val="0"/>
      <w:autoSpaceDN w:val="0"/>
      <w:adjustRightInd w:val="0"/>
    </w:pPr>
    <w:rPr>
      <w:rFonts w:ascii="Verdana" w:hAnsi="Verdana" w:cs="Verdana"/>
      <w:color w:val="000000"/>
      <w:sz w:val="24"/>
      <w:szCs w:val="24"/>
      <w:lang w:val="en-NZ" w:eastAsia="en-US"/>
    </w:rPr>
  </w:style>
  <w:style w:type="paragraph" w:customStyle="1" w:styleId="Quotation2">
    <w:name w:val="Quotation 2"/>
    <w:basedOn w:val="Normal"/>
    <w:rsid w:val="00DF2BE6"/>
    <w:pPr>
      <w:tabs>
        <w:tab w:val="num" w:pos="850"/>
      </w:tabs>
      <w:spacing w:after="140" w:line="260" w:lineRule="atLeast"/>
      <w:ind w:left="850"/>
      <w:jc w:val="left"/>
    </w:pPr>
    <w:rPr>
      <w:rFonts w:ascii="Arial" w:eastAsia="Times New Roman" w:hAnsi="Arial" w:cs="Arial"/>
      <w:sz w:val="20"/>
      <w:lang w:val="en-AU" w:eastAsia="en-AU"/>
    </w:rPr>
  </w:style>
  <w:style w:type="character" w:styleId="UnresolvedMention">
    <w:name w:val="Unresolved Mention"/>
    <w:basedOn w:val="DefaultParagraphFont"/>
    <w:uiPriority w:val="99"/>
    <w:semiHidden/>
    <w:unhideWhenUsed/>
    <w:rsid w:val="00D90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620">
      <w:bodyDiv w:val="1"/>
      <w:marLeft w:val="0"/>
      <w:marRight w:val="0"/>
      <w:marTop w:val="0"/>
      <w:marBottom w:val="0"/>
      <w:divBdr>
        <w:top w:val="none" w:sz="0" w:space="0" w:color="auto"/>
        <w:left w:val="none" w:sz="0" w:space="0" w:color="auto"/>
        <w:bottom w:val="none" w:sz="0" w:space="0" w:color="auto"/>
        <w:right w:val="none" w:sz="0" w:space="0" w:color="auto"/>
      </w:divBdr>
    </w:div>
    <w:div w:id="61418162">
      <w:bodyDiv w:val="1"/>
      <w:marLeft w:val="0"/>
      <w:marRight w:val="0"/>
      <w:marTop w:val="0"/>
      <w:marBottom w:val="0"/>
      <w:divBdr>
        <w:top w:val="none" w:sz="0" w:space="0" w:color="auto"/>
        <w:left w:val="none" w:sz="0" w:space="0" w:color="auto"/>
        <w:bottom w:val="none" w:sz="0" w:space="0" w:color="auto"/>
        <w:right w:val="none" w:sz="0" w:space="0" w:color="auto"/>
      </w:divBdr>
    </w:div>
    <w:div w:id="104466593">
      <w:bodyDiv w:val="1"/>
      <w:marLeft w:val="0"/>
      <w:marRight w:val="0"/>
      <w:marTop w:val="0"/>
      <w:marBottom w:val="0"/>
      <w:divBdr>
        <w:top w:val="none" w:sz="0" w:space="0" w:color="auto"/>
        <w:left w:val="none" w:sz="0" w:space="0" w:color="auto"/>
        <w:bottom w:val="none" w:sz="0" w:space="0" w:color="auto"/>
        <w:right w:val="none" w:sz="0" w:space="0" w:color="auto"/>
      </w:divBdr>
    </w:div>
    <w:div w:id="1539202972">
      <w:bodyDiv w:val="1"/>
      <w:marLeft w:val="0"/>
      <w:marRight w:val="0"/>
      <w:marTop w:val="0"/>
      <w:marBottom w:val="0"/>
      <w:divBdr>
        <w:top w:val="none" w:sz="0" w:space="0" w:color="auto"/>
        <w:left w:val="none" w:sz="0" w:space="0" w:color="auto"/>
        <w:bottom w:val="none" w:sz="0" w:space="0" w:color="auto"/>
        <w:right w:val="none" w:sz="0" w:space="0" w:color="auto"/>
      </w:divBdr>
    </w:div>
    <w:div w:id="1544751917">
      <w:bodyDiv w:val="1"/>
      <w:marLeft w:val="0"/>
      <w:marRight w:val="0"/>
      <w:marTop w:val="0"/>
      <w:marBottom w:val="0"/>
      <w:divBdr>
        <w:top w:val="none" w:sz="0" w:space="0" w:color="auto"/>
        <w:left w:val="none" w:sz="0" w:space="0" w:color="auto"/>
        <w:bottom w:val="none" w:sz="0" w:space="0" w:color="auto"/>
        <w:right w:val="none" w:sz="0" w:space="0" w:color="auto"/>
      </w:divBdr>
    </w:div>
    <w:div w:id="2030714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bf.gov.au/" TargetMode="External"/><Relationship Id="rId13" Type="http://schemas.openxmlformats.org/officeDocument/2006/relationships/hyperlink" Target="https://www.legislation.gov.au/Details/C2017C00028" TargetMode="External"/><Relationship Id="rId18" Type="http://schemas.openxmlformats.org/officeDocument/2006/relationships/hyperlink" Target="https://www.legislation.gov.au/Details/F2019C0056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slation.gov.au/Details/C2017C00028" TargetMode="External"/><Relationship Id="rId17" Type="http://schemas.openxmlformats.org/officeDocument/2006/relationships/hyperlink" Target="https://www.legislation.gov.au/Details/F2019C0008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ion.gov.au/Details/C2017C00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ctad.org/Sections/gsp/docs/gsp_form_a_new_e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ederalcourt.gov.au/" TargetMode="External"/><Relationship Id="rId23" Type="http://schemas.openxmlformats.org/officeDocument/2006/relationships/header" Target="header3.xml"/><Relationship Id="rId10" Type="http://schemas.openxmlformats.org/officeDocument/2006/relationships/hyperlink" Target="https://www.abf.gov.au/importing-exporting-and-manufacturing/tariff-classification/current-tariff/schedule-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bf.gov.au/importing-exporting-and-manufacturing/free-trade-agreements/developing-countries-or-least-developed-countries" TargetMode="External"/><Relationship Id="rId14" Type="http://schemas.openxmlformats.org/officeDocument/2006/relationships/hyperlink" Target="http://www.aat.gov.au/"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C5AC6-AC99-49C6-973C-F1E9C2F4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5</Pages>
  <Words>1434</Words>
  <Characters>8368</Characters>
  <Application>Microsoft Office Word</Application>
  <DocSecurity>0</DocSecurity>
  <Lines>311</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9728</CharactersWithSpaces>
  <SharedDoc>false</SharedDoc>
  <HLinks>
    <vt:vector size="66" baseType="variant">
      <vt:variant>
        <vt:i4>8323104</vt:i4>
      </vt:variant>
      <vt:variant>
        <vt:i4>30</vt:i4>
      </vt:variant>
      <vt:variant>
        <vt:i4>0</vt:i4>
      </vt:variant>
      <vt:variant>
        <vt:i4>5</vt:i4>
      </vt:variant>
      <vt:variant>
        <vt:lpwstr>https://www.legislation.gov.au/Details/F2019C00566</vt:lpwstr>
      </vt:variant>
      <vt:variant>
        <vt:lpwstr/>
      </vt:variant>
      <vt:variant>
        <vt:i4>8323118</vt:i4>
      </vt:variant>
      <vt:variant>
        <vt:i4>27</vt:i4>
      </vt:variant>
      <vt:variant>
        <vt:i4>0</vt:i4>
      </vt:variant>
      <vt:variant>
        <vt:i4>5</vt:i4>
      </vt:variant>
      <vt:variant>
        <vt:lpwstr>https://www.legislation.gov.au/Details/F2019C00083</vt:lpwstr>
      </vt:variant>
      <vt:variant>
        <vt:lpwstr/>
      </vt:variant>
      <vt:variant>
        <vt:i4>8126503</vt:i4>
      </vt:variant>
      <vt:variant>
        <vt:i4>24</vt:i4>
      </vt:variant>
      <vt:variant>
        <vt:i4>0</vt:i4>
      </vt:variant>
      <vt:variant>
        <vt:i4>5</vt:i4>
      </vt:variant>
      <vt:variant>
        <vt:lpwstr>https://www.legislation.gov.au/Details/C2017C00219</vt:lpwstr>
      </vt:variant>
      <vt:variant>
        <vt:lpwstr/>
      </vt:variant>
      <vt:variant>
        <vt:i4>3145763</vt:i4>
      </vt:variant>
      <vt:variant>
        <vt:i4>21</vt:i4>
      </vt:variant>
      <vt:variant>
        <vt:i4>0</vt:i4>
      </vt:variant>
      <vt:variant>
        <vt:i4>5</vt:i4>
      </vt:variant>
      <vt:variant>
        <vt:lpwstr>http://www.federalcourt.gov.au/</vt:lpwstr>
      </vt:variant>
      <vt:variant>
        <vt:lpwstr/>
      </vt:variant>
      <vt:variant>
        <vt:i4>6357035</vt:i4>
      </vt:variant>
      <vt:variant>
        <vt:i4>18</vt:i4>
      </vt:variant>
      <vt:variant>
        <vt:i4>0</vt:i4>
      </vt:variant>
      <vt:variant>
        <vt:i4>5</vt:i4>
      </vt:variant>
      <vt:variant>
        <vt:lpwstr>http://www.aat.gov.au/</vt:lpwstr>
      </vt:variant>
      <vt:variant>
        <vt:lpwstr/>
      </vt:variant>
      <vt:variant>
        <vt:i4>8323108</vt:i4>
      </vt:variant>
      <vt:variant>
        <vt:i4>15</vt:i4>
      </vt:variant>
      <vt:variant>
        <vt:i4>0</vt:i4>
      </vt:variant>
      <vt:variant>
        <vt:i4>5</vt:i4>
      </vt:variant>
      <vt:variant>
        <vt:lpwstr>https://www.legislation.gov.au/Details/C2017C00028</vt:lpwstr>
      </vt:variant>
      <vt:variant>
        <vt:lpwstr/>
      </vt:variant>
      <vt:variant>
        <vt:i4>8323108</vt:i4>
      </vt:variant>
      <vt:variant>
        <vt:i4>12</vt:i4>
      </vt:variant>
      <vt:variant>
        <vt:i4>0</vt:i4>
      </vt:variant>
      <vt:variant>
        <vt:i4>5</vt:i4>
      </vt:variant>
      <vt:variant>
        <vt:lpwstr>https://www.legislation.gov.au/Details/C2017C00028</vt:lpwstr>
      </vt:variant>
      <vt:variant>
        <vt:lpwstr/>
      </vt:variant>
      <vt:variant>
        <vt:i4>6553632</vt:i4>
      </vt:variant>
      <vt:variant>
        <vt:i4>9</vt:i4>
      </vt:variant>
      <vt:variant>
        <vt:i4>0</vt:i4>
      </vt:variant>
      <vt:variant>
        <vt:i4>5</vt:i4>
      </vt:variant>
      <vt:variant>
        <vt:lpwstr>http://unctad.org/Sections/gsp/docs/gsp_form_a_new_en.pdf</vt:lpwstr>
      </vt:variant>
      <vt:variant>
        <vt:lpwstr/>
      </vt:variant>
      <vt:variant>
        <vt:i4>1572934</vt:i4>
      </vt:variant>
      <vt:variant>
        <vt:i4>6</vt:i4>
      </vt:variant>
      <vt:variant>
        <vt:i4>0</vt:i4>
      </vt:variant>
      <vt:variant>
        <vt:i4>5</vt:i4>
      </vt:variant>
      <vt:variant>
        <vt:lpwstr>https://www.abf.gov.au/importing-exporting-and-manufacturing/tariff-classification/current-tariff/schedule-1</vt:lpwstr>
      </vt:variant>
      <vt:variant>
        <vt:lpwstr/>
      </vt:variant>
      <vt:variant>
        <vt:i4>4980738</vt:i4>
      </vt:variant>
      <vt:variant>
        <vt:i4>3</vt:i4>
      </vt:variant>
      <vt:variant>
        <vt:i4>0</vt:i4>
      </vt:variant>
      <vt:variant>
        <vt:i4>5</vt:i4>
      </vt:variant>
      <vt:variant>
        <vt:lpwstr>https://www.abf.gov.au/importing-exporting-and-manufacturing/free-trade-agreements/developing-countries-or-least-developed-countries</vt:lpwstr>
      </vt:variant>
      <vt:variant>
        <vt:lpwstr/>
      </vt:variant>
      <vt:variant>
        <vt:i4>3145783</vt:i4>
      </vt:variant>
      <vt:variant>
        <vt:i4>0</vt:i4>
      </vt:variant>
      <vt:variant>
        <vt:i4>0</vt:i4>
      </vt:variant>
      <vt:variant>
        <vt:i4>5</vt:i4>
      </vt:variant>
      <vt:variant>
        <vt:lpwstr>https://www.abf.gov.au/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2017-09-12T13:12:00Z</cp:lastPrinted>
  <dcterms:created xsi:type="dcterms:W3CDTF">2019-09-16T08:00:00Z</dcterms:created>
  <dcterms:modified xsi:type="dcterms:W3CDTF">2019-09-17T08:47:00Z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G/RO/LDC/N/AUS/1/Rev.1</vt:lpwstr>
  </property>
</Properties>
</file>