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9975" w14:textId="0CF98CAB" w:rsidR="004F0C58" w:rsidRPr="005171D2" w:rsidRDefault="004F0C58" w:rsidP="004F0C58">
      <w:pPr>
        <w:pStyle w:val="Title"/>
      </w:pPr>
      <w:r w:rsidRPr="005171D2">
        <w:t xml:space="preserve">minutes of the meeting of </w:t>
      </w:r>
      <w:r w:rsidR="00E10A80" w:rsidRPr="005171D2">
        <w:t xml:space="preserve">13 </w:t>
      </w:r>
      <w:r w:rsidR="003D592D" w:rsidRPr="005171D2">
        <w:t>NOVEMBER</w:t>
      </w:r>
      <w:r w:rsidRPr="005171D2">
        <w:t xml:space="preserve"> 2020</w:t>
      </w:r>
    </w:p>
    <w:p w14:paraId="63010162" w14:textId="5FF8B6E2" w:rsidR="004F0C58" w:rsidRPr="005171D2" w:rsidRDefault="004F0C58" w:rsidP="004F0C58">
      <w:pPr>
        <w:pStyle w:val="Title2"/>
      </w:pPr>
      <w:r w:rsidRPr="005171D2">
        <w:t xml:space="preserve">chairperson: </w:t>
      </w:r>
      <w:r w:rsidR="00EF6A97" w:rsidRPr="005171D2">
        <w:t>Mr</w:t>
      </w:r>
      <w:r w:rsidR="00173E2A" w:rsidRPr="005171D2">
        <w:t> </w:t>
      </w:r>
      <w:r w:rsidR="00EF6A97" w:rsidRPr="005171D2">
        <w:t>Han-Ming HUANG (Chinese Taipei)</w:t>
      </w:r>
    </w:p>
    <w:p w14:paraId="389EEB50" w14:textId="77777777" w:rsidR="004F0C58" w:rsidRPr="005171D2" w:rsidRDefault="004F0C58" w:rsidP="004F0C58">
      <w:pPr>
        <w:jc w:val="left"/>
      </w:pPr>
      <w:r w:rsidRPr="005171D2">
        <w:rPr>
          <w:u w:val="single"/>
        </w:rPr>
        <w:t>Subjects Discussed</w:t>
      </w:r>
      <w:r w:rsidRPr="005171D2">
        <w:rPr>
          <w:rStyle w:val="FootnoteReference"/>
        </w:rPr>
        <w:footnoteReference w:id="1"/>
      </w:r>
    </w:p>
    <w:p w14:paraId="43B62651" w14:textId="77777777" w:rsidR="00B94D54" w:rsidRPr="005171D2" w:rsidRDefault="00B94D54" w:rsidP="00B94D54"/>
    <w:p w14:paraId="31C38611" w14:textId="226B2588" w:rsidR="001A0E24" w:rsidRDefault="00E17DEE">
      <w:pPr>
        <w:pStyle w:val="TOC1"/>
        <w:rPr>
          <w:rFonts w:asciiTheme="minorHAnsi" w:eastAsiaTheme="minorEastAsia" w:hAnsiTheme="minorHAnsi" w:cstheme="minorBidi"/>
          <w:b w:val="0"/>
          <w:caps w:val="0"/>
          <w:noProof/>
          <w:sz w:val="22"/>
          <w:szCs w:val="22"/>
          <w:lang w:val="es-ES" w:eastAsia="es-ES"/>
        </w:rPr>
      </w:pPr>
      <w:r w:rsidRPr="005171D2">
        <w:fldChar w:fldCharType="begin"/>
      </w:r>
      <w:r w:rsidRPr="005171D2">
        <w:instrText xml:space="preserve"> TOC \o "1-3" \h \z \u \t "Title" </w:instrText>
      </w:r>
      <w:r w:rsidRPr="005171D2">
        <w:fldChar w:fldCharType="separate"/>
      </w:r>
      <w:hyperlink w:anchor="_Toc63067716" w:history="1">
        <w:r w:rsidR="001A0E24" w:rsidRPr="00E97005">
          <w:rPr>
            <w:rStyle w:val="Hyperlink"/>
            <w:noProof/>
          </w:rPr>
          <w:t>1   Update of recent developments regarding the "Origin FAcilitator", a joint initiative by the WTO, ITC and WCO – statement by the wto and the itc Secretariats (RD/RO/92)</w:t>
        </w:r>
        <w:r w:rsidR="001A0E24">
          <w:rPr>
            <w:noProof/>
            <w:webHidden/>
          </w:rPr>
          <w:tab/>
        </w:r>
        <w:r w:rsidR="001A0E24">
          <w:rPr>
            <w:noProof/>
            <w:webHidden/>
          </w:rPr>
          <w:fldChar w:fldCharType="begin"/>
        </w:r>
        <w:r w:rsidR="001A0E24">
          <w:rPr>
            <w:noProof/>
            <w:webHidden/>
          </w:rPr>
          <w:instrText xml:space="preserve"> PAGEREF _Toc63067716 \h </w:instrText>
        </w:r>
        <w:r w:rsidR="001A0E24">
          <w:rPr>
            <w:noProof/>
            <w:webHidden/>
          </w:rPr>
        </w:r>
        <w:r w:rsidR="001A0E24">
          <w:rPr>
            <w:noProof/>
            <w:webHidden/>
          </w:rPr>
          <w:fldChar w:fldCharType="separate"/>
        </w:r>
        <w:r w:rsidR="001A0E24">
          <w:rPr>
            <w:noProof/>
            <w:webHidden/>
          </w:rPr>
          <w:t>2</w:t>
        </w:r>
        <w:r w:rsidR="001A0E24">
          <w:rPr>
            <w:noProof/>
            <w:webHidden/>
          </w:rPr>
          <w:fldChar w:fldCharType="end"/>
        </w:r>
      </w:hyperlink>
    </w:p>
    <w:p w14:paraId="34FB00D6" w14:textId="294FA3F9"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17" w:history="1">
        <w:r w:rsidR="001A0E24" w:rsidRPr="00E97005">
          <w:rPr>
            <w:rStyle w:val="Hyperlink"/>
            <w:noProof/>
          </w:rPr>
          <w:t>2   IMPLEMENTATION OF THE BALI AND THE NAIROBI MINISTERIAL DECISIONS ON PREFERENTIAL RULES OF ORIGIN FOR LEAST DEVELOPED COUNTRIES (WT/L/917 AND WT/L/917/ADD.1)</w:t>
        </w:r>
        <w:r w:rsidR="001A0E24">
          <w:rPr>
            <w:noProof/>
            <w:webHidden/>
          </w:rPr>
          <w:tab/>
        </w:r>
        <w:r w:rsidR="001A0E24">
          <w:rPr>
            <w:noProof/>
            <w:webHidden/>
          </w:rPr>
          <w:fldChar w:fldCharType="begin"/>
        </w:r>
        <w:r w:rsidR="001A0E24">
          <w:rPr>
            <w:noProof/>
            <w:webHidden/>
          </w:rPr>
          <w:instrText xml:space="preserve"> PAGEREF _Toc63067717 \h </w:instrText>
        </w:r>
        <w:r w:rsidR="001A0E24">
          <w:rPr>
            <w:noProof/>
            <w:webHidden/>
          </w:rPr>
        </w:r>
        <w:r w:rsidR="001A0E24">
          <w:rPr>
            <w:noProof/>
            <w:webHidden/>
          </w:rPr>
          <w:fldChar w:fldCharType="separate"/>
        </w:r>
        <w:r w:rsidR="001A0E24">
          <w:rPr>
            <w:noProof/>
            <w:webHidden/>
          </w:rPr>
          <w:t>3</w:t>
        </w:r>
        <w:r w:rsidR="001A0E24">
          <w:rPr>
            <w:noProof/>
            <w:webHidden/>
          </w:rPr>
          <w:fldChar w:fldCharType="end"/>
        </w:r>
      </w:hyperlink>
    </w:p>
    <w:p w14:paraId="1C5BD03C" w14:textId="4146ED83" w:rsidR="001A0E24" w:rsidRDefault="00D40D4A">
      <w:pPr>
        <w:pStyle w:val="TOC2"/>
        <w:rPr>
          <w:rFonts w:asciiTheme="minorHAnsi" w:eastAsiaTheme="minorEastAsia" w:hAnsiTheme="minorHAnsi" w:cstheme="minorBidi"/>
          <w:noProof/>
          <w:sz w:val="22"/>
          <w:szCs w:val="22"/>
          <w:lang w:val="es-ES" w:eastAsia="es-ES"/>
        </w:rPr>
      </w:pPr>
      <w:hyperlink w:anchor="_Toc63067718" w:history="1">
        <w:r w:rsidR="001A0E24" w:rsidRPr="00E97005">
          <w:rPr>
            <w:rStyle w:val="Hyperlink"/>
            <w:noProof/>
            <w14:scene3d>
              <w14:camera w14:prst="orthographicFront"/>
              <w14:lightRig w14:rig="threePt" w14:dir="t">
                <w14:rot w14:lat="0" w14:lon="0" w14:rev="0"/>
              </w14:lightRig>
            </w14:scene3d>
          </w:rPr>
          <w:t>2.1  </w:t>
        </w:r>
        <w:r w:rsidR="001A0E24" w:rsidRPr="00E97005">
          <w:rPr>
            <w:rStyle w:val="Hyperlink"/>
            <w:noProof/>
          </w:rPr>
          <w:t xml:space="preserve"> Status of Notifications of Preferential Rules of Origin for LDCs and Preferential Imports and Tariffs (G/RO/W/163/Rev.8) – Report by the Secretariat</w:t>
        </w:r>
        <w:r w:rsidR="001A0E24">
          <w:rPr>
            <w:noProof/>
            <w:webHidden/>
          </w:rPr>
          <w:tab/>
        </w:r>
        <w:r w:rsidR="001A0E24">
          <w:rPr>
            <w:noProof/>
            <w:webHidden/>
          </w:rPr>
          <w:fldChar w:fldCharType="begin"/>
        </w:r>
        <w:r w:rsidR="001A0E24">
          <w:rPr>
            <w:noProof/>
            <w:webHidden/>
          </w:rPr>
          <w:instrText xml:space="preserve"> PAGEREF _Toc63067718 \h </w:instrText>
        </w:r>
        <w:r w:rsidR="001A0E24">
          <w:rPr>
            <w:noProof/>
            <w:webHidden/>
          </w:rPr>
        </w:r>
        <w:r w:rsidR="001A0E24">
          <w:rPr>
            <w:noProof/>
            <w:webHidden/>
          </w:rPr>
          <w:fldChar w:fldCharType="separate"/>
        </w:r>
        <w:r w:rsidR="001A0E24">
          <w:rPr>
            <w:noProof/>
            <w:webHidden/>
          </w:rPr>
          <w:t>3</w:t>
        </w:r>
        <w:r w:rsidR="001A0E24">
          <w:rPr>
            <w:noProof/>
            <w:webHidden/>
          </w:rPr>
          <w:fldChar w:fldCharType="end"/>
        </w:r>
      </w:hyperlink>
    </w:p>
    <w:p w14:paraId="09505402" w14:textId="39E90538" w:rsidR="001A0E24" w:rsidRDefault="00D40D4A">
      <w:pPr>
        <w:pStyle w:val="TOC2"/>
        <w:rPr>
          <w:rFonts w:asciiTheme="minorHAnsi" w:eastAsiaTheme="minorEastAsia" w:hAnsiTheme="minorHAnsi" w:cstheme="minorBidi"/>
          <w:noProof/>
          <w:sz w:val="22"/>
          <w:szCs w:val="22"/>
          <w:lang w:val="es-ES" w:eastAsia="es-ES"/>
        </w:rPr>
      </w:pPr>
      <w:hyperlink w:anchor="_Toc63067719" w:history="1">
        <w:r w:rsidR="001A0E24" w:rsidRPr="00E97005">
          <w:rPr>
            <w:rStyle w:val="Hyperlink"/>
            <w:noProof/>
            <w14:scene3d>
              <w14:camera w14:prst="orthographicFront"/>
              <w14:lightRig w14:rig="threePt" w14:dir="t">
                <w14:rot w14:lat="0" w14:lon="0" w14:rev="0"/>
              </w14:lightRig>
            </w14:scene3d>
          </w:rPr>
          <w:t>2.2  </w:t>
        </w:r>
        <w:r w:rsidR="001A0E24" w:rsidRPr="00E97005">
          <w:rPr>
            <w:rStyle w:val="Hyperlink"/>
            <w:noProof/>
          </w:rPr>
          <w:t xml:space="preserve"> Review of Recent Developments Regarding Preferential Rules of Origin for LDCs – Report by Preference</w:t>
        </w:r>
        <w:r w:rsidR="001A0E24" w:rsidRPr="00E97005">
          <w:rPr>
            <w:rStyle w:val="Hyperlink"/>
            <w:noProof/>
          </w:rPr>
          <w:noBreakHyphen/>
          <w:t>Granting Members</w:t>
        </w:r>
        <w:r w:rsidR="001A0E24">
          <w:rPr>
            <w:noProof/>
            <w:webHidden/>
          </w:rPr>
          <w:tab/>
        </w:r>
        <w:r w:rsidR="001A0E24">
          <w:rPr>
            <w:noProof/>
            <w:webHidden/>
          </w:rPr>
          <w:fldChar w:fldCharType="begin"/>
        </w:r>
        <w:r w:rsidR="001A0E24">
          <w:rPr>
            <w:noProof/>
            <w:webHidden/>
          </w:rPr>
          <w:instrText xml:space="preserve"> PAGEREF _Toc63067719 \h </w:instrText>
        </w:r>
        <w:r w:rsidR="001A0E24">
          <w:rPr>
            <w:noProof/>
            <w:webHidden/>
          </w:rPr>
        </w:r>
        <w:r w:rsidR="001A0E24">
          <w:rPr>
            <w:noProof/>
            <w:webHidden/>
          </w:rPr>
          <w:fldChar w:fldCharType="separate"/>
        </w:r>
        <w:r w:rsidR="001A0E24">
          <w:rPr>
            <w:noProof/>
            <w:webHidden/>
          </w:rPr>
          <w:t>4</w:t>
        </w:r>
        <w:r w:rsidR="001A0E24">
          <w:rPr>
            <w:noProof/>
            <w:webHidden/>
          </w:rPr>
          <w:fldChar w:fldCharType="end"/>
        </w:r>
      </w:hyperlink>
    </w:p>
    <w:p w14:paraId="69B38BC5" w14:textId="52C82537" w:rsidR="001A0E24" w:rsidRDefault="00D40D4A">
      <w:pPr>
        <w:pStyle w:val="TOC3"/>
        <w:rPr>
          <w:rFonts w:asciiTheme="minorHAnsi" w:eastAsiaTheme="minorEastAsia" w:hAnsiTheme="minorHAnsi" w:cstheme="minorBidi"/>
          <w:noProof/>
          <w:sz w:val="22"/>
          <w:szCs w:val="22"/>
          <w:lang w:val="es-ES" w:eastAsia="es-ES"/>
        </w:rPr>
      </w:pPr>
      <w:hyperlink w:anchor="_Toc63067720" w:history="1">
        <w:r w:rsidR="001A0E24" w:rsidRPr="00E97005">
          <w:rPr>
            <w:rStyle w:val="Hyperlink"/>
            <w:noProof/>
          </w:rPr>
          <w:t>2.2.1   Implementation of the REX System – Update by the European Union (RD/RO/93)</w:t>
        </w:r>
        <w:r w:rsidR="001A0E24">
          <w:rPr>
            <w:noProof/>
            <w:webHidden/>
          </w:rPr>
          <w:tab/>
        </w:r>
        <w:r w:rsidR="001A0E24">
          <w:rPr>
            <w:noProof/>
            <w:webHidden/>
          </w:rPr>
          <w:fldChar w:fldCharType="begin"/>
        </w:r>
        <w:r w:rsidR="001A0E24">
          <w:rPr>
            <w:noProof/>
            <w:webHidden/>
          </w:rPr>
          <w:instrText xml:space="preserve"> PAGEREF _Toc63067720 \h </w:instrText>
        </w:r>
        <w:r w:rsidR="001A0E24">
          <w:rPr>
            <w:noProof/>
            <w:webHidden/>
          </w:rPr>
        </w:r>
        <w:r w:rsidR="001A0E24">
          <w:rPr>
            <w:noProof/>
            <w:webHidden/>
          </w:rPr>
          <w:fldChar w:fldCharType="separate"/>
        </w:r>
        <w:r w:rsidR="001A0E24">
          <w:rPr>
            <w:noProof/>
            <w:webHidden/>
          </w:rPr>
          <w:t>4</w:t>
        </w:r>
        <w:r w:rsidR="001A0E24">
          <w:rPr>
            <w:noProof/>
            <w:webHidden/>
          </w:rPr>
          <w:fldChar w:fldCharType="end"/>
        </w:r>
      </w:hyperlink>
    </w:p>
    <w:p w14:paraId="2805E381" w14:textId="6FAD3DDB" w:rsidR="001A0E24" w:rsidRDefault="00D40D4A">
      <w:pPr>
        <w:pStyle w:val="TOC3"/>
        <w:rPr>
          <w:rFonts w:asciiTheme="minorHAnsi" w:eastAsiaTheme="minorEastAsia" w:hAnsiTheme="minorHAnsi" w:cstheme="minorBidi"/>
          <w:noProof/>
          <w:sz w:val="22"/>
          <w:szCs w:val="22"/>
          <w:lang w:val="es-ES" w:eastAsia="es-ES"/>
        </w:rPr>
      </w:pPr>
      <w:hyperlink w:anchor="_Toc63067721" w:history="1">
        <w:r w:rsidR="001A0E24" w:rsidRPr="00E97005">
          <w:rPr>
            <w:rStyle w:val="Hyperlink"/>
            <w:noProof/>
          </w:rPr>
          <w:t>2.2.2   Report of Recent Developments Related to Preferential Rules of Origin for LDCs by Other Preference-Granting Members</w:t>
        </w:r>
        <w:r w:rsidR="001A0E24">
          <w:rPr>
            <w:noProof/>
            <w:webHidden/>
          </w:rPr>
          <w:tab/>
        </w:r>
        <w:r w:rsidR="001A0E24">
          <w:rPr>
            <w:noProof/>
            <w:webHidden/>
          </w:rPr>
          <w:fldChar w:fldCharType="begin"/>
        </w:r>
        <w:r w:rsidR="001A0E24">
          <w:rPr>
            <w:noProof/>
            <w:webHidden/>
          </w:rPr>
          <w:instrText xml:space="preserve"> PAGEREF _Toc63067721 \h </w:instrText>
        </w:r>
        <w:r w:rsidR="001A0E24">
          <w:rPr>
            <w:noProof/>
            <w:webHidden/>
          </w:rPr>
        </w:r>
        <w:r w:rsidR="001A0E24">
          <w:rPr>
            <w:noProof/>
            <w:webHidden/>
          </w:rPr>
          <w:fldChar w:fldCharType="separate"/>
        </w:r>
        <w:r w:rsidR="001A0E24">
          <w:rPr>
            <w:noProof/>
            <w:webHidden/>
          </w:rPr>
          <w:t>4</w:t>
        </w:r>
        <w:r w:rsidR="001A0E24">
          <w:rPr>
            <w:noProof/>
            <w:webHidden/>
          </w:rPr>
          <w:fldChar w:fldCharType="end"/>
        </w:r>
      </w:hyperlink>
    </w:p>
    <w:p w14:paraId="04F584AA" w14:textId="5F25251F" w:rsidR="001A0E24" w:rsidRDefault="00D40D4A">
      <w:pPr>
        <w:pStyle w:val="TOC2"/>
        <w:rPr>
          <w:rFonts w:asciiTheme="minorHAnsi" w:eastAsiaTheme="minorEastAsia" w:hAnsiTheme="minorHAnsi" w:cstheme="minorBidi"/>
          <w:noProof/>
          <w:sz w:val="22"/>
          <w:szCs w:val="22"/>
          <w:lang w:val="es-ES" w:eastAsia="es-ES"/>
        </w:rPr>
      </w:pPr>
      <w:hyperlink w:anchor="_Toc63067722" w:history="1">
        <w:r w:rsidR="001A0E24" w:rsidRPr="00E97005">
          <w:rPr>
            <w:rStyle w:val="Hyperlink"/>
            <w:noProof/>
            <w14:scene3d>
              <w14:camera w14:prst="orthographicFront"/>
              <w14:lightRig w14:rig="threePt" w14:dir="t">
                <w14:rot w14:lat="0" w14:lon="0" w14:rev="0"/>
              </w14:lightRig>
            </w14:scene3d>
          </w:rPr>
          <w:t>2.3  </w:t>
        </w:r>
        <w:r w:rsidR="001A0E24" w:rsidRPr="00E97005">
          <w:rPr>
            <w:rStyle w:val="Hyperlink"/>
            <w:noProof/>
          </w:rPr>
          <w:t xml:space="preserve"> Developments Regarding Methods Using the </w:t>
        </w:r>
        <w:r w:rsidR="001A0E24" w:rsidRPr="00E97005">
          <w:rPr>
            <w:rStyle w:val="Hyperlink"/>
            <w:i/>
            <w:iCs/>
            <w:noProof/>
          </w:rPr>
          <w:t>Ad Valorem</w:t>
        </w:r>
        <w:r w:rsidR="001A0E24" w:rsidRPr="00E97005">
          <w:rPr>
            <w:rStyle w:val="Hyperlink"/>
            <w:noProof/>
          </w:rPr>
          <w:t xml:space="preserve"> Percentage Criterion to Determine Substantial Transformation (Paragraph 1.1 of the Nairobi Decision) (G/RO/W/202; RD/RO/91) – Submission by the LDC Group</w:t>
        </w:r>
        <w:r w:rsidR="001A0E24">
          <w:rPr>
            <w:noProof/>
            <w:webHidden/>
          </w:rPr>
          <w:tab/>
        </w:r>
        <w:r w:rsidR="001A0E24">
          <w:rPr>
            <w:noProof/>
            <w:webHidden/>
          </w:rPr>
          <w:fldChar w:fldCharType="begin"/>
        </w:r>
        <w:r w:rsidR="001A0E24">
          <w:rPr>
            <w:noProof/>
            <w:webHidden/>
          </w:rPr>
          <w:instrText xml:space="preserve"> PAGEREF _Toc63067722 \h </w:instrText>
        </w:r>
        <w:r w:rsidR="001A0E24">
          <w:rPr>
            <w:noProof/>
            <w:webHidden/>
          </w:rPr>
        </w:r>
        <w:r w:rsidR="001A0E24">
          <w:rPr>
            <w:noProof/>
            <w:webHidden/>
          </w:rPr>
          <w:fldChar w:fldCharType="separate"/>
        </w:r>
        <w:r w:rsidR="001A0E24">
          <w:rPr>
            <w:noProof/>
            <w:webHidden/>
          </w:rPr>
          <w:t>5</w:t>
        </w:r>
        <w:r w:rsidR="001A0E24">
          <w:rPr>
            <w:noProof/>
            <w:webHidden/>
          </w:rPr>
          <w:fldChar w:fldCharType="end"/>
        </w:r>
      </w:hyperlink>
    </w:p>
    <w:p w14:paraId="59EF1518" w14:textId="463F35EB" w:rsidR="001A0E24" w:rsidRDefault="00D40D4A">
      <w:pPr>
        <w:pStyle w:val="TOC2"/>
        <w:rPr>
          <w:rFonts w:asciiTheme="minorHAnsi" w:eastAsiaTheme="minorEastAsia" w:hAnsiTheme="minorHAnsi" w:cstheme="minorBidi"/>
          <w:noProof/>
          <w:sz w:val="22"/>
          <w:szCs w:val="22"/>
          <w:lang w:val="es-ES" w:eastAsia="es-ES"/>
        </w:rPr>
      </w:pPr>
      <w:hyperlink w:anchor="_Toc63067723" w:history="1">
        <w:r w:rsidR="001A0E24" w:rsidRPr="00E97005">
          <w:rPr>
            <w:rStyle w:val="Hyperlink"/>
            <w:noProof/>
            <w14:scene3d>
              <w14:camera w14:prst="orthographicFront"/>
              <w14:lightRig w14:rig="threePt" w14:dir="t">
                <w14:rot w14:lat="0" w14:lon="0" w14:rev="0"/>
              </w14:lightRig>
            </w14:scene3d>
          </w:rPr>
          <w:t>2.4  </w:t>
        </w:r>
        <w:r w:rsidR="001A0E24" w:rsidRPr="00E97005">
          <w:rPr>
            <w:rStyle w:val="Hyperlink"/>
            <w:noProof/>
          </w:rPr>
          <w:t xml:space="preserve"> Utilization of Preferential Trade Arrangements by Least Developed Countries: Analysis of Mineral and Metal Products (G/RO/W/203; RD/RO/89) – Note by the Secretariat</w:t>
        </w:r>
        <w:r w:rsidR="001A0E24">
          <w:rPr>
            <w:noProof/>
            <w:webHidden/>
          </w:rPr>
          <w:tab/>
        </w:r>
        <w:r w:rsidR="001A0E24">
          <w:rPr>
            <w:noProof/>
            <w:webHidden/>
          </w:rPr>
          <w:fldChar w:fldCharType="begin"/>
        </w:r>
        <w:r w:rsidR="001A0E24">
          <w:rPr>
            <w:noProof/>
            <w:webHidden/>
          </w:rPr>
          <w:instrText xml:space="preserve"> PAGEREF _Toc63067723 \h </w:instrText>
        </w:r>
        <w:r w:rsidR="001A0E24">
          <w:rPr>
            <w:noProof/>
            <w:webHidden/>
          </w:rPr>
        </w:r>
        <w:r w:rsidR="001A0E24">
          <w:rPr>
            <w:noProof/>
            <w:webHidden/>
          </w:rPr>
          <w:fldChar w:fldCharType="separate"/>
        </w:r>
        <w:r w:rsidR="001A0E24">
          <w:rPr>
            <w:noProof/>
            <w:webHidden/>
          </w:rPr>
          <w:t>8</w:t>
        </w:r>
        <w:r w:rsidR="001A0E24">
          <w:rPr>
            <w:noProof/>
            <w:webHidden/>
          </w:rPr>
          <w:fldChar w:fldCharType="end"/>
        </w:r>
      </w:hyperlink>
    </w:p>
    <w:p w14:paraId="4409216B" w14:textId="791AE713" w:rsidR="001A0E24" w:rsidRDefault="00D40D4A">
      <w:pPr>
        <w:pStyle w:val="TOC2"/>
        <w:rPr>
          <w:rFonts w:asciiTheme="minorHAnsi" w:eastAsiaTheme="minorEastAsia" w:hAnsiTheme="minorHAnsi" w:cstheme="minorBidi"/>
          <w:noProof/>
          <w:sz w:val="22"/>
          <w:szCs w:val="22"/>
          <w:lang w:val="es-ES" w:eastAsia="es-ES"/>
        </w:rPr>
      </w:pPr>
      <w:hyperlink w:anchor="_Toc63067724" w:history="1">
        <w:r w:rsidR="001A0E24" w:rsidRPr="00E97005">
          <w:rPr>
            <w:rStyle w:val="Hyperlink"/>
            <w:noProof/>
            <w14:scene3d>
              <w14:camera w14:prst="orthographicFront"/>
              <w14:lightRig w14:rig="threePt" w14:dir="t">
                <w14:rot w14:lat="0" w14:lon="0" w14:rev="0"/>
              </w14:lightRig>
            </w14:scene3d>
          </w:rPr>
          <w:t>2.5  </w:t>
        </w:r>
        <w:r w:rsidR="001A0E24" w:rsidRPr="00E97005">
          <w:rPr>
            <w:rStyle w:val="Hyperlink"/>
            <w:noProof/>
          </w:rPr>
          <w:t xml:space="preserve"> Implementation of the WTO Ministerial Decisions on Preferential Rules of Origin for LDCs: Achievements and Gaps (G/RO/W/198) – Submission by the LDC Group</w:t>
        </w:r>
        <w:r w:rsidR="001A0E24">
          <w:rPr>
            <w:noProof/>
            <w:webHidden/>
          </w:rPr>
          <w:tab/>
        </w:r>
        <w:r w:rsidR="001A0E24">
          <w:rPr>
            <w:noProof/>
            <w:webHidden/>
          </w:rPr>
          <w:fldChar w:fldCharType="begin"/>
        </w:r>
        <w:r w:rsidR="001A0E24">
          <w:rPr>
            <w:noProof/>
            <w:webHidden/>
          </w:rPr>
          <w:instrText xml:space="preserve"> PAGEREF _Toc63067724 \h </w:instrText>
        </w:r>
        <w:r w:rsidR="001A0E24">
          <w:rPr>
            <w:noProof/>
            <w:webHidden/>
          </w:rPr>
        </w:r>
        <w:r w:rsidR="001A0E24">
          <w:rPr>
            <w:noProof/>
            <w:webHidden/>
          </w:rPr>
          <w:fldChar w:fldCharType="separate"/>
        </w:r>
        <w:r w:rsidR="001A0E24">
          <w:rPr>
            <w:noProof/>
            <w:webHidden/>
          </w:rPr>
          <w:t>10</w:t>
        </w:r>
        <w:r w:rsidR="001A0E24">
          <w:rPr>
            <w:noProof/>
            <w:webHidden/>
          </w:rPr>
          <w:fldChar w:fldCharType="end"/>
        </w:r>
      </w:hyperlink>
    </w:p>
    <w:p w14:paraId="2D53EEB2" w14:textId="1E4CEB55" w:rsidR="001A0E24" w:rsidRDefault="00D40D4A">
      <w:pPr>
        <w:pStyle w:val="TOC2"/>
        <w:rPr>
          <w:rFonts w:asciiTheme="minorHAnsi" w:eastAsiaTheme="minorEastAsia" w:hAnsiTheme="minorHAnsi" w:cstheme="minorBidi"/>
          <w:noProof/>
          <w:sz w:val="22"/>
          <w:szCs w:val="22"/>
          <w:lang w:val="es-ES" w:eastAsia="es-ES"/>
        </w:rPr>
      </w:pPr>
      <w:hyperlink w:anchor="_Toc63067725" w:history="1">
        <w:r w:rsidR="001A0E24" w:rsidRPr="00E97005">
          <w:rPr>
            <w:rStyle w:val="Hyperlink"/>
            <w:noProof/>
            <w14:scene3d>
              <w14:camera w14:prst="orthographicFront"/>
              <w14:lightRig w14:rig="threePt" w14:dir="t">
                <w14:rot w14:lat="0" w14:lon="0" w14:rev="0"/>
              </w14:lightRig>
            </w14:scene3d>
          </w:rPr>
          <w:t>2.6  </w:t>
        </w:r>
        <w:r w:rsidR="001A0E24" w:rsidRPr="00E97005">
          <w:rPr>
            <w:rStyle w:val="Hyperlink"/>
            <w:noProof/>
          </w:rPr>
          <w:t xml:space="preserve"> Draft Report (2020) of the CRO to the General Council on Preferential Rules of Origin </w:t>
        </w:r>
        <w:r>
          <w:rPr>
            <w:rStyle w:val="Hyperlink"/>
            <w:noProof/>
          </w:rPr>
          <w:br/>
        </w:r>
        <w:r w:rsidR="001A0E24" w:rsidRPr="00E97005">
          <w:rPr>
            <w:rStyle w:val="Hyperlink"/>
            <w:noProof/>
          </w:rPr>
          <w:t>for LDCs (G/RO/W/201)</w:t>
        </w:r>
        <w:r w:rsidR="001A0E24">
          <w:rPr>
            <w:noProof/>
            <w:webHidden/>
          </w:rPr>
          <w:tab/>
        </w:r>
        <w:r w:rsidR="001A0E24">
          <w:rPr>
            <w:noProof/>
            <w:webHidden/>
          </w:rPr>
          <w:fldChar w:fldCharType="begin"/>
        </w:r>
        <w:r w:rsidR="001A0E24">
          <w:rPr>
            <w:noProof/>
            <w:webHidden/>
          </w:rPr>
          <w:instrText xml:space="preserve"> PAGEREF _Toc63067725 \h </w:instrText>
        </w:r>
        <w:r w:rsidR="001A0E24">
          <w:rPr>
            <w:noProof/>
            <w:webHidden/>
          </w:rPr>
        </w:r>
        <w:r w:rsidR="001A0E24">
          <w:rPr>
            <w:noProof/>
            <w:webHidden/>
          </w:rPr>
          <w:fldChar w:fldCharType="separate"/>
        </w:r>
        <w:r w:rsidR="001A0E24">
          <w:rPr>
            <w:noProof/>
            <w:webHidden/>
          </w:rPr>
          <w:t>12</w:t>
        </w:r>
        <w:r w:rsidR="001A0E24">
          <w:rPr>
            <w:noProof/>
            <w:webHidden/>
          </w:rPr>
          <w:fldChar w:fldCharType="end"/>
        </w:r>
      </w:hyperlink>
    </w:p>
    <w:p w14:paraId="07F900ED" w14:textId="660922A2"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26" w:history="1">
        <w:r w:rsidR="001A0E24" w:rsidRPr="00E97005">
          <w:rPr>
            <w:rStyle w:val="Hyperlink"/>
            <w:noProof/>
          </w:rPr>
          <w:t>3   Notifications under Article 5 and under Paragraph 4 of Annex II of the Agreement on Rules of Origin (G/RO/N/195 TO G/RO/N/206)</w:t>
        </w:r>
        <w:r w:rsidR="001A0E24">
          <w:rPr>
            <w:noProof/>
            <w:webHidden/>
          </w:rPr>
          <w:tab/>
        </w:r>
        <w:r w:rsidR="001A0E24">
          <w:rPr>
            <w:noProof/>
            <w:webHidden/>
          </w:rPr>
          <w:fldChar w:fldCharType="begin"/>
        </w:r>
        <w:r w:rsidR="001A0E24">
          <w:rPr>
            <w:noProof/>
            <w:webHidden/>
          </w:rPr>
          <w:instrText xml:space="preserve"> PAGEREF _Toc63067726 \h </w:instrText>
        </w:r>
        <w:r w:rsidR="001A0E24">
          <w:rPr>
            <w:noProof/>
            <w:webHidden/>
          </w:rPr>
        </w:r>
        <w:r w:rsidR="001A0E24">
          <w:rPr>
            <w:noProof/>
            <w:webHidden/>
          </w:rPr>
          <w:fldChar w:fldCharType="separate"/>
        </w:r>
        <w:r w:rsidR="001A0E24">
          <w:rPr>
            <w:noProof/>
            <w:webHidden/>
          </w:rPr>
          <w:t>12</w:t>
        </w:r>
        <w:r w:rsidR="001A0E24">
          <w:rPr>
            <w:noProof/>
            <w:webHidden/>
          </w:rPr>
          <w:fldChar w:fldCharType="end"/>
        </w:r>
      </w:hyperlink>
    </w:p>
    <w:p w14:paraId="76A54AE7" w14:textId="26D819D2"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27" w:history="1">
        <w:r w:rsidR="001A0E24" w:rsidRPr="00E97005">
          <w:rPr>
            <w:rStyle w:val="Hyperlink"/>
            <w:noProof/>
          </w:rPr>
          <w:t>4   DRAFT TEMPLATE FOR THE NOTIFICATION OF NON</w:t>
        </w:r>
        <w:r w:rsidR="001A0E24" w:rsidRPr="00E97005">
          <w:rPr>
            <w:rStyle w:val="Hyperlink"/>
            <w:noProof/>
          </w:rPr>
          <w:noBreakHyphen/>
          <w:t xml:space="preserve">PREFERENTIAL </w:t>
        </w:r>
        <w:r>
          <w:rPr>
            <w:rStyle w:val="Hyperlink"/>
            <w:noProof/>
          </w:rPr>
          <w:br/>
        </w:r>
        <w:r w:rsidR="001A0E24" w:rsidRPr="00E97005">
          <w:rPr>
            <w:rStyle w:val="Hyperlink"/>
            <w:noProof/>
          </w:rPr>
          <w:t xml:space="preserve">RULES OF ORIGIN AND ORIGIN REQUIREMENTS (G/RO/W/182/REV.3) – </w:t>
        </w:r>
        <w:r>
          <w:rPr>
            <w:rStyle w:val="Hyperlink"/>
            <w:noProof/>
          </w:rPr>
          <w:br/>
        </w:r>
        <w:r w:rsidR="001A0E24" w:rsidRPr="00E97005">
          <w:rPr>
            <w:rStyle w:val="Hyperlink"/>
            <w:noProof/>
          </w:rPr>
          <w:t>STATEMENT BY SWITZERLAND</w:t>
        </w:r>
        <w:r w:rsidR="001A0E24">
          <w:rPr>
            <w:noProof/>
            <w:webHidden/>
          </w:rPr>
          <w:tab/>
        </w:r>
        <w:r w:rsidR="001A0E24">
          <w:rPr>
            <w:noProof/>
            <w:webHidden/>
          </w:rPr>
          <w:fldChar w:fldCharType="begin"/>
        </w:r>
        <w:r w:rsidR="001A0E24">
          <w:rPr>
            <w:noProof/>
            <w:webHidden/>
          </w:rPr>
          <w:instrText xml:space="preserve"> PAGEREF _Toc63067727 \h </w:instrText>
        </w:r>
        <w:r w:rsidR="001A0E24">
          <w:rPr>
            <w:noProof/>
            <w:webHidden/>
          </w:rPr>
        </w:r>
        <w:r w:rsidR="001A0E24">
          <w:rPr>
            <w:noProof/>
            <w:webHidden/>
          </w:rPr>
          <w:fldChar w:fldCharType="separate"/>
        </w:r>
        <w:r w:rsidR="001A0E24">
          <w:rPr>
            <w:noProof/>
            <w:webHidden/>
          </w:rPr>
          <w:t>13</w:t>
        </w:r>
        <w:r w:rsidR="001A0E24">
          <w:rPr>
            <w:noProof/>
            <w:webHidden/>
          </w:rPr>
          <w:fldChar w:fldCharType="end"/>
        </w:r>
      </w:hyperlink>
    </w:p>
    <w:p w14:paraId="3E3772B5" w14:textId="56E7804F"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28" w:history="1">
        <w:r w:rsidR="001A0E24" w:rsidRPr="00E97005">
          <w:rPr>
            <w:rStyle w:val="Hyperlink"/>
            <w:noProof/>
          </w:rPr>
          <w:t>5   INFORMAL SESSION ON THE 25th ANNIVERSARY OF THE AGREEMENT ON RULES OF ORIGIN – update BY THE CHAIRperson</w:t>
        </w:r>
        <w:r w:rsidR="001A0E24">
          <w:rPr>
            <w:noProof/>
            <w:webHidden/>
          </w:rPr>
          <w:tab/>
        </w:r>
        <w:r w:rsidR="001A0E24">
          <w:rPr>
            <w:noProof/>
            <w:webHidden/>
          </w:rPr>
          <w:fldChar w:fldCharType="begin"/>
        </w:r>
        <w:r w:rsidR="001A0E24">
          <w:rPr>
            <w:noProof/>
            <w:webHidden/>
          </w:rPr>
          <w:instrText xml:space="preserve"> PAGEREF _Toc63067728 \h </w:instrText>
        </w:r>
        <w:r w:rsidR="001A0E24">
          <w:rPr>
            <w:noProof/>
            <w:webHidden/>
          </w:rPr>
        </w:r>
        <w:r w:rsidR="001A0E24">
          <w:rPr>
            <w:noProof/>
            <w:webHidden/>
          </w:rPr>
          <w:fldChar w:fldCharType="separate"/>
        </w:r>
        <w:r w:rsidR="001A0E24">
          <w:rPr>
            <w:noProof/>
            <w:webHidden/>
          </w:rPr>
          <w:t>15</w:t>
        </w:r>
        <w:r w:rsidR="001A0E24">
          <w:rPr>
            <w:noProof/>
            <w:webHidden/>
          </w:rPr>
          <w:fldChar w:fldCharType="end"/>
        </w:r>
      </w:hyperlink>
    </w:p>
    <w:p w14:paraId="70386E15" w14:textId="46D83DA0"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29" w:history="1">
        <w:r w:rsidR="001A0E24" w:rsidRPr="00E97005">
          <w:rPr>
            <w:rStyle w:val="Hyperlink"/>
            <w:noProof/>
          </w:rPr>
          <w:t>6   ORIGIN-RELATED MEASURES TAKEN IN CONNECTION WITH THE COVID-19 PANDEMIC – INFORMATION BY THE SECRETARIAT</w:t>
        </w:r>
        <w:r w:rsidR="001A0E24">
          <w:rPr>
            <w:noProof/>
            <w:webHidden/>
          </w:rPr>
          <w:tab/>
        </w:r>
        <w:r w:rsidR="001A0E24">
          <w:rPr>
            <w:noProof/>
            <w:webHidden/>
          </w:rPr>
          <w:fldChar w:fldCharType="begin"/>
        </w:r>
        <w:r w:rsidR="001A0E24">
          <w:rPr>
            <w:noProof/>
            <w:webHidden/>
          </w:rPr>
          <w:instrText xml:space="preserve"> PAGEREF _Toc63067729 \h </w:instrText>
        </w:r>
        <w:r w:rsidR="001A0E24">
          <w:rPr>
            <w:noProof/>
            <w:webHidden/>
          </w:rPr>
        </w:r>
        <w:r w:rsidR="001A0E24">
          <w:rPr>
            <w:noProof/>
            <w:webHidden/>
          </w:rPr>
          <w:fldChar w:fldCharType="separate"/>
        </w:r>
        <w:r w:rsidR="001A0E24">
          <w:rPr>
            <w:noProof/>
            <w:webHidden/>
          </w:rPr>
          <w:t>16</w:t>
        </w:r>
        <w:r w:rsidR="001A0E24">
          <w:rPr>
            <w:noProof/>
            <w:webHidden/>
          </w:rPr>
          <w:fldChar w:fldCharType="end"/>
        </w:r>
      </w:hyperlink>
    </w:p>
    <w:p w14:paraId="3FE3FDC9" w14:textId="387B8CF8"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30" w:history="1">
        <w:r w:rsidR="001A0E24" w:rsidRPr="00E97005">
          <w:rPr>
            <w:rStyle w:val="Hyperlink"/>
            <w:noProof/>
          </w:rPr>
          <w:t>7   "UNITED STATES: REVISED ORIGIN MARKING REQUIREMENT FOR GOODS PRODUCED IN HONG KONG" – STATEMENT BY HONG KONG, CHINA</w:t>
        </w:r>
        <w:r w:rsidR="001A0E24">
          <w:rPr>
            <w:noProof/>
            <w:webHidden/>
          </w:rPr>
          <w:tab/>
        </w:r>
        <w:r w:rsidR="001A0E24">
          <w:rPr>
            <w:noProof/>
            <w:webHidden/>
          </w:rPr>
          <w:fldChar w:fldCharType="begin"/>
        </w:r>
        <w:r w:rsidR="001A0E24">
          <w:rPr>
            <w:noProof/>
            <w:webHidden/>
          </w:rPr>
          <w:instrText xml:space="preserve"> PAGEREF _Toc63067730 \h </w:instrText>
        </w:r>
        <w:r w:rsidR="001A0E24">
          <w:rPr>
            <w:noProof/>
            <w:webHidden/>
          </w:rPr>
        </w:r>
        <w:r w:rsidR="001A0E24">
          <w:rPr>
            <w:noProof/>
            <w:webHidden/>
          </w:rPr>
          <w:fldChar w:fldCharType="separate"/>
        </w:r>
        <w:r w:rsidR="001A0E24">
          <w:rPr>
            <w:noProof/>
            <w:webHidden/>
          </w:rPr>
          <w:t>17</w:t>
        </w:r>
        <w:r w:rsidR="001A0E24">
          <w:rPr>
            <w:noProof/>
            <w:webHidden/>
          </w:rPr>
          <w:fldChar w:fldCharType="end"/>
        </w:r>
      </w:hyperlink>
    </w:p>
    <w:p w14:paraId="288BE010" w14:textId="4B636182"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31" w:history="1">
        <w:r w:rsidR="001A0E24" w:rsidRPr="00E97005">
          <w:rPr>
            <w:rStyle w:val="Hyperlink"/>
            <w:noProof/>
          </w:rPr>
          <w:t xml:space="preserve">8   TWENTY-SIXTH ANNUAL REVIEW OF THE IMPLEMENTATION AND OPERATION OF </w:t>
        </w:r>
        <w:r>
          <w:rPr>
            <w:rStyle w:val="Hyperlink"/>
            <w:noProof/>
          </w:rPr>
          <w:br/>
        </w:r>
        <w:r w:rsidR="001A0E24" w:rsidRPr="00E97005">
          <w:rPr>
            <w:rStyle w:val="Hyperlink"/>
            <w:noProof/>
          </w:rPr>
          <w:t>THE AGREEMENT ON RULES OF ORIGIN (G/RO/W/199)</w:t>
        </w:r>
        <w:r w:rsidR="001A0E24">
          <w:rPr>
            <w:noProof/>
            <w:webHidden/>
          </w:rPr>
          <w:tab/>
        </w:r>
        <w:r w:rsidR="001A0E24">
          <w:rPr>
            <w:noProof/>
            <w:webHidden/>
          </w:rPr>
          <w:fldChar w:fldCharType="begin"/>
        </w:r>
        <w:r w:rsidR="001A0E24">
          <w:rPr>
            <w:noProof/>
            <w:webHidden/>
          </w:rPr>
          <w:instrText xml:space="preserve"> PAGEREF _Toc63067731 \h </w:instrText>
        </w:r>
        <w:r w:rsidR="001A0E24">
          <w:rPr>
            <w:noProof/>
            <w:webHidden/>
          </w:rPr>
        </w:r>
        <w:r w:rsidR="001A0E24">
          <w:rPr>
            <w:noProof/>
            <w:webHidden/>
          </w:rPr>
          <w:fldChar w:fldCharType="separate"/>
        </w:r>
        <w:r w:rsidR="001A0E24">
          <w:rPr>
            <w:noProof/>
            <w:webHidden/>
          </w:rPr>
          <w:t>17</w:t>
        </w:r>
        <w:r w:rsidR="001A0E24">
          <w:rPr>
            <w:noProof/>
            <w:webHidden/>
          </w:rPr>
          <w:fldChar w:fldCharType="end"/>
        </w:r>
      </w:hyperlink>
    </w:p>
    <w:p w14:paraId="191F89B3" w14:textId="4FD094B5"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32" w:history="1">
        <w:r w:rsidR="001A0E24" w:rsidRPr="00E97005">
          <w:rPr>
            <w:rStyle w:val="Hyperlink"/>
            <w:noProof/>
          </w:rPr>
          <w:t>9   DRAFT REPORT (2020) OF THE CRO TO THE COUNCIL FOR TRADE IN GOODS (G/RO/W/200)</w:t>
        </w:r>
        <w:r w:rsidR="001A0E24">
          <w:rPr>
            <w:noProof/>
            <w:webHidden/>
          </w:rPr>
          <w:tab/>
        </w:r>
        <w:r w:rsidR="001A0E24">
          <w:rPr>
            <w:noProof/>
            <w:webHidden/>
          </w:rPr>
          <w:fldChar w:fldCharType="begin"/>
        </w:r>
        <w:r w:rsidR="001A0E24">
          <w:rPr>
            <w:noProof/>
            <w:webHidden/>
          </w:rPr>
          <w:instrText xml:space="preserve"> PAGEREF _Toc63067732 \h </w:instrText>
        </w:r>
        <w:r w:rsidR="001A0E24">
          <w:rPr>
            <w:noProof/>
            <w:webHidden/>
          </w:rPr>
        </w:r>
        <w:r w:rsidR="001A0E24">
          <w:rPr>
            <w:noProof/>
            <w:webHidden/>
          </w:rPr>
          <w:fldChar w:fldCharType="separate"/>
        </w:r>
        <w:r w:rsidR="001A0E24">
          <w:rPr>
            <w:noProof/>
            <w:webHidden/>
          </w:rPr>
          <w:t>18</w:t>
        </w:r>
        <w:r w:rsidR="001A0E24">
          <w:rPr>
            <w:noProof/>
            <w:webHidden/>
          </w:rPr>
          <w:fldChar w:fldCharType="end"/>
        </w:r>
      </w:hyperlink>
    </w:p>
    <w:p w14:paraId="69F2613B" w14:textId="7AE0EAD0" w:rsidR="001A0E24" w:rsidRDefault="00D40D4A">
      <w:pPr>
        <w:pStyle w:val="TOC1"/>
        <w:rPr>
          <w:rFonts w:asciiTheme="minorHAnsi" w:eastAsiaTheme="minorEastAsia" w:hAnsiTheme="minorHAnsi" w:cstheme="minorBidi"/>
          <w:b w:val="0"/>
          <w:caps w:val="0"/>
          <w:noProof/>
          <w:sz w:val="22"/>
          <w:szCs w:val="22"/>
          <w:lang w:val="es-ES" w:eastAsia="es-ES"/>
        </w:rPr>
      </w:pPr>
      <w:hyperlink w:anchor="_Toc63067733" w:history="1">
        <w:r w:rsidR="001A0E24" w:rsidRPr="00E97005">
          <w:rPr>
            <w:rStyle w:val="Hyperlink"/>
            <w:noProof/>
          </w:rPr>
          <w:t>10   OTHER BUSINESS</w:t>
        </w:r>
        <w:r w:rsidR="001A0E24">
          <w:rPr>
            <w:noProof/>
            <w:webHidden/>
          </w:rPr>
          <w:tab/>
        </w:r>
        <w:r w:rsidR="001A0E24">
          <w:rPr>
            <w:noProof/>
            <w:webHidden/>
          </w:rPr>
          <w:fldChar w:fldCharType="begin"/>
        </w:r>
        <w:r w:rsidR="001A0E24">
          <w:rPr>
            <w:noProof/>
            <w:webHidden/>
          </w:rPr>
          <w:instrText xml:space="preserve"> PAGEREF _Toc63067733 \h </w:instrText>
        </w:r>
        <w:r w:rsidR="001A0E24">
          <w:rPr>
            <w:noProof/>
            <w:webHidden/>
          </w:rPr>
        </w:r>
        <w:r w:rsidR="001A0E24">
          <w:rPr>
            <w:noProof/>
            <w:webHidden/>
          </w:rPr>
          <w:fldChar w:fldCharType="separate"/>
        </w:r>
        <w:r w:rsidR="001A0E24">
          <w:rPr>
            <w:noProof/>
            <w:webHidden/>
          </w:rPr>
          <w:t>18</w:t>
        </w:r>
        <w:r w:rsidR="001A0E24">
          <w:rPr>
            <w:noProof/>
            <w:webHidden/>
          </w:rPr>
          <w:fldChar w:fldCharType="end"/>
        </w:r>
      </w:hyperlink>
    </w:p>
    <w:p w14:paraId="12890009" w14:textId="3EA0985C" w:rsidR="001A0E24" w:rsidRDefault="00D40D4A">
      <w:pPr>
        <w:pStyle w:val="TOC2"/>
        <w:rPr>
          <w:rFonts w:asciiTheme="minorHAnsi" w:eastAsiaTheme="minorEastAsia" w:hAnsiTheme="minorHAnsi" w:cstheme="minorBidi"/>
          <w:noProof/>
          <w:sz w:val="22"/>
          <w:szCs w:val="22"/>
          <w:lang w:val="es-ES" w:eastAsia="es-ES"/>
        </w:rPr>
      </w:pPr>
      <w:hyperlink w:anchor="_Toc63067734" w:history="1">
        <w:r w:rsidR="001A0E24" w:rsidRPr="00E97005">
          <w:rPr>
            <w:rStyle w:val="Hyperlink"/>
            <w:noProof/>
            <w14:scene3d>
              <w14:camera w14:prst="orthographicFront"/>
              <w14:lightRig w14:rig="threePt" w14:dir="t">
                <w14:rot w14:lat="0" w14:lon="0" w14:rev="0"/>
              </w14:lightRig>
            </w14:scene3d>
          </w:rPr>
          <w:t>10.1  </w:t>
        </w:r>
        <w:r w:rsidR="001A0E24" w:rsidRPr="00E97005">
          <w:rPr>
            <w:rStyle w:val="Hyperlink"/>
            <w:noProof/>
          </w:rPr>
          <w:t xml:space="preserve"> China – Update on a New System for Issuing and Printing Certificates of </w:t>
        </w:r>
        <w:r>
          <w:rPr>
            <w:rStyle w:val="Hyperlink"/>
            <w:noProof/>
          </w:rPr>
          <w:br/>
        </w:r>
        <w:r w:rsidR="001A0E24" w:rsidRPr="00E97005">
          <w:rPr>
            <w:rStyle w:val="Hyperlink"/>
            <w:noProof/>
          </w:rPr>
          <w:t>Preferential Origin</w:t>
        </w:r>
        <w:r w:rsidR="001A0E24">
          <w:rPr>
            <w:noProof/>
            <w:webHidden/>
          </w:rPr>
          <w:tab/>
        </w:r>
        <w:r w:rsidR="001A0E24">
          <w:rPr>
            <w:noProof/>
            <w:webHidden/>
          </w:rPr>
          <w:fldChar w:fldCharType="begin"/>
        </w:r>
        <w:r w:rsidR="001A0E24">
          <w:rPr>
            <w:noProof/>
            <w:webHidden/>
          </w:rPr>
          <w:instrText xml:space="preserve"> PAGEREF _Toc63067734 \h </w:instrText>
        </w:r>
        <w:r w:rsidR="001A0E24">
          <w:rPr>
            <w:noProof/>
            <w:webHidden/>
          </w:rPr>
        </w:r>
        <w:r w:rsidR="001A0E24">
          <w:rPr>
            <w:noProof/>
            <w:webHidden/>
          </w:rPr>
          <w:fldChar w:fldCharType="separate"/>
        </w:r>
        <w:r w:rsidR="001A0E24">
          <w:rPr>
            <w:noProof/>
            <w:webHidden/>
          </w:rPr>
          <w:t>18</w:t>
        </w:r>
        <w:r w:rsidR="001A0E24">
          <w:rPr>
            <w:noProof/>
            <w:webHidden/>
          </w:rPr>
          <w:fldChar w:fldCharType="end"/>
        </w:r>
      </w:hyperlink>
    </w:p>
    <w:p w14:paraId="2CD30674" w14:textId="3E08122E" w:rsidR="001A0E24" w:rsidRDefault="00D40D4A">
      <w:pPr>
        <w:pStyle w:val="TOC2"/>
        <w:rPr>
          <w:rFonts w:asciiTheme="minorHAnsi" w:eastAsiaTheme="minorEastAsia" w:hAnsiTheme="minorHAnsi" w:cstheme="minorBidi"/>
          <w:noProof/>
          <w:sz w:val="22"/>
          <w:szCs w:val="22"/>
          <w:lang w:val="es-ES" w:eastAsia="es-ES"/>
        </w:rPr>
      </w:pPr>
      <w:hyperlink w:anchor="_Toc63067735" w:history="1">
        <w:r w:rsidR="001A0E24" w:rsidRPr="00E97005">
          <w:rPr>
            <w:rStyle w:val="Hyperlink"/>
            <w:noProof/>
            <w14:scene3d>
              <w14:camera w14:prst="orthographicFront"/>
              <w14:lightRig w14:rig="threePt" w14:dir="t">
                <w14:rot w14:lat="0" w14:lon="0" w14:rev="0"/>
              </w14:lightRig>
            </w14:scene3d>
          </w:rPr>
          <w:t>10.2  </w:t>
        </w:r>
        <w:r w:rsidR="001A0E24" w:rsidRPr="00E97005">
          <w:rPr>
            <w:rStyle w:val="Hyperlink"/>
            <w:noProof/>
          </w:rPr>
          <w:t xml:space="preserve"> EU's Access2Markets Portal and Rules of Origin Self-Assessment (ROSA)</w:t>
        </w:r>
        <w:r w:rsidR="001A0E24">
          <w:rPr>
            <w:noProof/>
            <w:webHidden/>
          </w:rPr>
          <w:tab/>
        </w:r>
        <w:r w:rsidR="001A0E24">
          <w:rPr>
            <w:noProof/>
            <w:webHidden/>
          </w:rPr>
          <w:fldChar w:fldCharType="begin"/>
        </w:r>
        <w:r w:rsidR="001A0E24">
          <w:rPr>
            <w:noProof/>
            <w:webHidden/>
          </w:rPr>
          <w:instrText xml:space="preserve"> PAGEREF _Toc63067735 \h </w:instrText>
        </w:r>
        <w:r w:rsidR="001A0E24">
          <w:rPr>
            <w:noProof/>
            <w:webHidden/>
          </w:rPr>
        </w:r>
        <w:r w:rsidR="001A0E24">
          <w:rPr>
            <w:noProof/>
            <w:webHidden/>
          </w:rPr>
          <w:fldChar w:fldCharType="separate"/>
        </w:r>
        <w:r w:rsidR="001A0E24">
          <w:rPr>
            <w:noProof/>
            <w:webHidden/>
          </w:rPr>
          <w:t>19</w:t>
        </w:r>
        <w:r w:rsidR="001A0E24">
          <w:rPr>
            <w:noProof/>
            <w:webHidden/>
          </w:rPr>
          <w:fldChar w:fldCharType="end"/>
        </w:r>
      </w:hyperlink>
    </w:p>
    <w:p w14:paraId="3EC2F420" w14:textId="6B658C48" w:rsidR="004F0C58" w:rsidRPr="005171D2" w:rsidRDefault="00E17DEE" w:rsidP="0004503C">
      <w:pPr>
        <w:spacing w:before="240" w:after="240"/>
        <w:jc w:val="center"/>
        <w:rPr>
          <w:b/>
          <w:szCs w:val="18"/>
        </w:rPr>
      </w:pPr>
      <w:r w:rsidRPr="005171D2">
        <w:fldChar w:fldCharType="end"/>
      </w:r>
      <w:r w:rsidR="004F0C58" w:rsidRPr="005171D2">
        <w:rPr>
          <w:b/>
          <w:szCs w:val="18"/>
        </w:rPr>
        <w:t>_______________</w:t>
      </w:r>
    </w:p>
    <w:p w14:paraId="581C3EAC" w14:textId="77777777" w:rsidR="004F0C58" w:rsidRPr="005171D2" w:rsidRDefault="004F0C58" w:rsidP="004F0C58">
      <w:pPr>
        <w:rPr>
          <w:szCs w:val="18"/>
        </w:rPr>
      </w:pPr>
    </w:p>
    <w:p w14:paraId="4E9D3E86" w14:textId="2A74F582" w:rsidR="004F0C58" w:rsidRPr="005171D2" w:rsidRDefault="004F0C58" w:rsidP="004F0C58">
      <w:pPr>
        <w:rPr>
          <w:szCs w:val="18"/>
        </w:rPr>
      </w:pPr>
      <w:r w:rsidRPr="005171D2">
        <w:rPr>
          <w:szCs w:val="18"/>
        </w:rPr>
        <w:t xml:space="preserve">The Committee on Rules of Origin (the Committee, or CRO) </w:t>
      </w:r>
      <w:r w:rsidRPr="005171D2">
        <w:rPr>
          <w:szCs w:val="18"/>
          <w:u w:val="single"/>
        </w:rPr>
        <w:t>adopted</w:t>
      </w:r>
      <w:r w:rsidRPr="005171D2">
        <w:rPr>
          <w:szCs w:val="18"/>
        </w:rPr>
        <w:t xml:space="preserve"> the agenda of the meeting as circulated in document WTO/AIR/RO/1</w:t>
      </w:r>
      <w:r w:rsidR="00E10A80" w:rsidRPr="005171D2">
        <w:rPr>
          <w:szCs w:val="18"/>
        </w:rPr>
        <w:t>2</w:t>
      </w:r>
      <w:r w:rsidR="00D756A6" w:rsidRPr="005171D2">
        <w:rPr>
          <w:szCs w:val="18"/>
        </w:rPr>
        <w:t xml:space="preserve"> with </w:t>
      </w:r>
      <w:r w:rsidR="00F11B84" w:rsidRPr="005171D2">
        <w:rPr>
          <w:szCs w:val="18"/>
        </w:rPr>
        <w:t>one</w:t>
      </w:r>
      <w:r w:rsidR="003A5B67" w:rsidRPr="005171D2">
        <w:rPr>
          <w:szCs w:val="18"/>
        </w:rPr>
        <w:t> </w:t>
      </w:r>
      <w:r w:rsidR="00E10A80" w:rsidRPr="005171D2">
        <w:rPr>
          <w:szCs w:val="18"/>
        </w:rPr>
        <w:t>addition: the item</w:t>
      </w:r>
      <w:r w:rsidR="00D756A6" w:rsidRPr="005171D2">
        <w:rPr>
          <w:szCs w:val="18"/>
        </w:rPr>
        <w:t xml:space="preserve"> </w:t>
      </w:r>
      <w:r w:rsidR="00E10A80" w:rsidRPr="005171D2">
        <w:rPr>
          <w:szCs w:val="18"/>
        </w:rPr>
        <w:t xml:space="preserve">"Electronic </w:t>
      </w:r>
      <w:r w:rsidR="00890608" w:rsidRPr="005171D2">
        <w:rPr>
          <w:szCs w:val="18"/>
        </w:rPr>
        <w:t xml:space="preserve">Issuance of </w:t>
      </w:r>
      <w:r w:rsidR="00345861" w:rsidRPr="005171D2">
        <w:rPr>
          <w:szCs w:val="18"/>
        </w:rPr>
        <w:t xml:space="preserve">Preferential Certificates </w:t>
      </w:r>
      <w:r w:rsidR="00890608" w:rsidRPr="005171D2">
        <w:rPr>
          <w:szCs w:val="18"/>
        </w:rPr>
        <w:t xml:space="preserve">of </w:t>
      </w:r>
      <w:r w:rsidR="00345861" w:rsidRPr="005171D2">
        <w:rPr>
          <w:szCs w:val="18"/>
        </w:rPr>
        <w:t>Origin</w:t>
      </w:r>
      <w:r w:rsidR="00E10A80" w:rsidRPr="005171D2">
        <w:rPr>
          <w:szCs w:val="18"/>
        </w:rPr>
        <w:t xml:space="preserve">" was added at the request of the delegation of </w:t>
      </w:r>
      <w:r w:rsidR="00F11B84" w:rsidRPr="005171D2">
        <w:rPr>
          <w:szCs w:val="18"/>
        </w:rPr>
        <w:t>China. Subsequently, the</w:t>
      </w:r>
      <w:r w:rsidR="00E10A80" w:rsidRPr="005171D2">
        <w:rPr>
          <w:szCs w:val="18"/>
        </w:rPr>
        <w:t xml:space="preserve"> </w:t>
      </w:r>
      <w:r w:rsidR="00F11B84" w:rsidRPr="005171D2">
        <w:rPr>
          <w:szCs w:val="18"/>
        </w:rPr>
        <w:t xml:space="preserve">EU also asked to </w:t>
      </w:r>
      <w:r w:rsidR="00842C67" w:rsidRPr="005171D2">
        <w:rPr>
          <w:szCs w:val="18"/>
        </w:rPr>
        <w:t>raise</w:t>
      </w:r>
      <w:r w:rsidR="00F11B84" w:rsidRPr="005171D2">
        <w:rPr>
          <w:szCs w:val="18"/>
        </w:rPr>
        <w:t xml:space="preserve"> </w:t>
      </w:r>
      <w:r w:rsidR="00E10A80" w:rsidRPr="005171D2">
        <w:rPr>
          <w:szCs w:val="18"/>
        </w:rPr>
        <w:t>the item "</w:t>
      </w:r>
      <w:r w:rsidR="00890608" w:rsidRPr="005171D2">
        <w:rPr>
          <w:szCs w:val="18"/>
        </w:rPr>
        <w:t>Access2Markets"</w:t>
      </w:r>
      <w:r w:rsidR="00E10A80" w:rsidRPr="005171D2">
        <w:rPr>
          <w:szCs w:val="18"/>
        </w:rPr>
        <w:t xml:space="preserve"> </w:t>
      </w:r>
      <w:r w:rsidR="00F11B84" w:rsidRPr="005171D2">
        <w:rPr>
          <w:szCs w:val="18"/>
        </w:rPr>
        <w:t xml:space="preserve">under "Other </w:t>
      </w:r>
      <w:r w:rsidR="00345861" w:rsidRPr="005171D2">
        <w:rPr>
          <w:szCs w:val="18"/>
        </w:rPr>
        <w:t>Business</w:t>
      </w:r>
      <w:r w:rsidR="00F11B84" w:rsidRPr="005171D2">
        <w:rPr>
          <w:szCs w:val="18"/>
        </w:rPr>
        <w:t>"</w:t>
      </w:r>
      <w:r w:rsidR="00E10A80" w:rsidRPr="005171D2">
        <w:rPr>
          <w:szCs w:val="18"/>
        </w:rPr>
        <w:t>.</w:t>
      </w:r>
      <w:r w:rsidR="00F11B84" w:rsidRPr="005171D2">
        <w:rPr>
          <w:szCs w:val="18"/>
        </w:rPr>
        <w:t xml:space="preserve"> Delegations attended the meeting virtually </w:t>
      </w:r>
      <w:r w:rsidR="00345861" w:rsidRPr="005171D2">
        <w:rPr>
          <w:szCs w:val="18"/>
        </w:rPr>
        <w:t xml:space="preserve">via </w:t>
      </w:r>
      <w:r w:rsidR="00F11B84" w:rsidRPr="005171D2">
        <w:rPr>
          <w:szCs w:val="18"/>
        </w:rPr>
        <w:t>the "Interprefy" platform.</w:t>
      </w:r>
    </w:p>
    <w:p w14:paraId="0174860E" w14:textId="77777777" w:rsidR="00D756A6" w:rsidRPr="005171D2" w:rsidRDefault="00D756A6" w:rsidP="004F0C58">
      <w:pPr>
        <w:rPr>
          <w:szCs w:val="18"/>
          <w:highlight w:val="yellow"/>
        </w:rPr>
      </w:pPr>
      <w:bookmarkStart w:id="0" w:name="_Hlk57824808"/>
    </w:p>
    <w:p w14:paraId="6E4785B9" w14:textId="63FB38FE" w:rsidR="004F0C58" w:rsidRPr="005171D2" w:rsidRDefault="00E10A80" w:rsidP="00D561F7">
      <w:pPr>
        <w:pStyle w:val="Heading1"/>
      </w:pPr>
      <w:bookmarkStart w:id="1" w:name="_Toc63067716"/>
      <w:bookmarkStart w:id="2" w:name="_Toc510098674"/>
      <w:bookmarkStart w:id="3" w:name="_Toc149974595"/>
      <w:bookmarkStart w:id="4" w:name="_Toc116359185"/>
      <w:r w:rsidRPr="005171D2">
        <w:t>Update of recent developments regarding the "Origin FAcilitator", a joint initiative by the WTO, ITC and WCO – statement by the wto and the itc</w:t>
      </w:r>
      <w:r w:rsidR="003A5B67" w:rsidRPr="005171D2">
        <w:t> </w:t>
      </w:r>
      <w:r w:rsidRPr="005171D2">
        <w:t>Secretariats</w:t>
      </w:r>
      <w:r w:rsidR="00D15DF4" w:rsidRPr="005171D2">
        <w:t xml:space="preserve"> (RD/RO/</w:t>
      </w:r>
      <w:r w:rsidR="001E2902" w:rsidRPr="005171D2">
        <w:t>92</w:t>
      </w:r>
      <w:r w:rsidR="00D15DF4" w:rsidRPr="005171D2">
        <w:t>)</w:t>
      </w:r>
      <w:bookmarkEnd w:id="1"/>
    </w:p>
    <w:p w14:paraId="48E204B7" w14:textId="61ACA342" w:rsidR="00E10A80" w:rsidRPr="005171D2" w:rsidRDefault="00F11B84" w:rsidP="00D6189E">
      <w:pPr>
        <w:pStyle w:val="BodyText"/>
      </w:pPr>
      <w:r w:rsidRPr="005171D2">
        <w:t xml:space="preserve">The </w:t>
      </w:r>
      <w:r w:rsidRPr="005171D2">
        <w:rPr>
          <w:u w:val="single"/>
        </w:rPr>
        <w:t>Chair</w:t>
      </w:r>
      <w:r w:rsidR="008E3034" w:rsidRPr="005171D2">
        <w:rPr>
          <w:u w:val="single"/>
        </w:rPr>
        <w:t>person</w:t>
      </w:r>
      <w:r w:rsidRPr="005171D2">
        <w:t xml:space="preserve"> reminded delegations that the Secretariats of the WTO, the World Customs Organization (WCO)</w:t>
      </w:r>
      <w:r w:rsidR="00C647F9" w:rsidRPr="005171D2">
        <w:t>,</w:t>
      </w:r>
      <w:r w:rsidRPr="005171D2">
        <w:t xml:space="preserve"> and the International Trade Centre (ITC)</w:t>
      </w:r>
      <w:r w:rsidR="00C647F9" w:rsidRPr="005171D2">
        <w:t>,</w:t>
      </w:r>
      <w:r w:rsidRPr="005171D2">
        <w:t xml:space="preserve"> had been collaborating on an online tool to facilitate access to information </w:t>
      </w:r>
      <w:r w:rsidR="00C647F9" w:rsidRPr="005171D2">
        <w:t xml:space="preserve">on </w:t>
      </w:r>
      <w:r w:rsidRPr="005171D2">
        <w:t xml:space="preserve">rules of origin and product-specific origin requirements. He invited the Secretariats to update the Committee </w:t>
      </w:r>
      <w:r w:rsidR="00C647F9" w:rsidRPr="005171D2">
        <w:t xml:space="preserve">on </w:t>
      </w:r>
      <w:r w:rsidRPr="005171D2">
        <w:t>recent efforts to expand and further develop this tool.</w:t>
      </w:r>
    </w:p>
    <w:p w14:paraId="11804523" w14:textId="0460E056" w:rsidR="008E3034" w:rsidRPr="005171D2" w:rsidRDefault="00F11B84" w:rsidP="008E3034">
      <w:pPr>
        <w:pStyle w:val="BodyText"/>
      </w:pPr>
      <w:r w:rsidRPr="005171D2">
        <w:t xml:space="preserve">The </w:t>
      </w:r>
      <w:r w:rsidRPr="005171D2">
        <w:rPr>
          <w:u w:val="single"/>
        </w:rPr>
        <w:t>WTO Secretariat</w:t>
      </w:r>
      <w:r w:rsidRPr="005171D2">
        <w:t xml:space="preserve"> (</w:t>
      </w:r>
      <w:r w:rsidR="00F546C4" w:rsidRPr="005171D2">
        <w:t>Mr </w:t>
      </w:r>
      <w:r w:rsidRPr="005171D2">
        <w:t xml:space="preserve">Darlan F. Martí) informed Members </w:t>
      </w:r>
      <w:r w:rsidR="00372204" w:rsidRPr="005171D2">
        <w:t>(</w:t>
      </w:r>
      <w:r w:rsidR="00C647F9" w:rsidRPr="005171D2">
        <w:t>based on his report circulated in document </w:t>
      </w:r>
      <w:r w:rsidR="00372204" w:rsidRPr="005171D2">
        <w:t>G/RO/</w:t>
      </w:r>
      <w:r w:rsidR="00C647F9" w:rsidRPr="005171D2">
        <w:t>92</w:t>
      </w:r>
      <w:r w:rsidR="00372204" w:rsidRPr="005171D2">
        <w:t>)</w:t>
      </w:r>
      <w:r w:rsidR="008E3034" w:rsidRPr="005171D2">
        <w:t xml:space="preserve"> that the Origin Facilitator was a publicly available</w:t>
      </w:r>
      <w:r w:rsidR="00A5612D" w:rsidRPr="005171D2">
        <w:t xml:space="preserve">, </w:t>
      </w:r>
      <w:r w:rsidR="008E3034" w:rsidRPr="005171D2">
        <w:t>online platform</w:t>
      </w:r>
      <w:r w:rsidR="00C647F9" w:rsidRPr="005171D2">
        <w:t>,</w:t>
      </w:r>
      <w:r w:rsidR="008E3034" w:rsidRPr="005171D2">
        <w:t xml:space="preserve"> through which users could access information </w:t>
      </w:r>
      <w:r w:rsidR="00C647F9" w:rsidRPr="005171D2">
        <w:t xml:space="preserve">on </w:t>
      </w:r>
      <w:r w:rsidR="008E3034" w:rsidRPr="005171D2">
        <w:t>origin requirements at the tariff line level (</w:t>
      </w:r>
      <w:hyperlink r:id="rId8" w:history="1">
        <w:r w:rsidR="008E3034" w:rsidRPr="005171D2">
          <w:rPr>
            <w:rStyle w:val="Hyperlink"/>
          </w:rPr>
          <w:t>https://findrulesoforigin.org</w:t>
        </w:r>
      </w:hyperlink>
      <w:r w:rsidR="008E3034" w:rsidRPr="005171D2">
        <w:t xml:space="preserve">). The tool was free of charge and </w:t>
      </w:r>
      <w:r w:rsidR="00C647F9" w:rsidRPr="005171D2">
        <w:t xml:space="preserve">did not </w:t>
      </w:r>
      <w:r w:rsidR="008E3034" w:rsidRPr="005171D2">
        <w:t xml:space="preserve">require prior </w:t>
      </w:r>
      <w:r w:rsidR="00A5612D" w:rsidRPr="005171D2">
        <w:t xml:space="preserve">user </w:t>
      </w:r>
      <w:r w:rsidR="008E3034" w:rsidRPr="005171D2">
        <w:t xml:space="preserve">registration. </w:t>
      </w:r>
      <w:r w:rsidR="00C647F9" w:rsidRPr="005171D2">
        <w:t xml:space="preserve">New features had been added since </w:t>
      </w:r>
      <w:r w:rsidR="008E3034" w:rsidRPr="005171D2">
        <w:t>its launch and presentation to the CRO in October 2019</w:t>
      </w:r>
      <w:r w:rsidR="00C647F9" w:rsidRPr="005171D2">
        <w:t>.</w:t>
      </w:r>
      <w:r w:rsidR="008E3034" w:rsidRPr="005171D2">
        <w:rPr>
          <w:rStyle w:val="FootnoteReference"/>
        </w:rPr>
        <w:footnoteReference w:id="2"/>
      </w:r>
      <w:r w:rsidR="008E3034" w:rsidRPr="005171D2">
        <w:t xml:space="preserve"> First,</w:t>
      </w:r>
      <w:r w:rsidR="009B13BC">
        <w:t> </w:t>
      </w:r>
      <w:r w:rsidR="008E3034" w:rsidRPr="005171D2">
        <w:t>its coverage</w:t>
      </w:r>
      <w:r w:rsidR="00A5612D" w:rsidRPr="005171D2">
        <w:t xml:space="preserve"> had </w:t>
      </w:r>
      <w:r w:rsidR="00C647F9" w:rsidRPr="005171D2">
        <w:t xml:space="preserve">been </w:t>
      </w:r>
      <w:r w:rsidR="00A5612D" w:rsidRPr="005171D2">
        <w:t>expanded</w:t>
      </w:r>
      <w:r w:rsidR="008E3034" w:rsidRPr="005171D2">
        <w:t xml:space="preserve">: 371 preferential trade agreements were now covered, </w:t>
      </w:r>
      <w:r w:rsidR="00C647F9" w:rsidRPr="005171D2">
        <w:t xml:space="preserve">including </w:t>
      </w:r>
      <w:r w:rsidR="008E3034" w:rsidRPr="005171D2">
        <w:t>both reciprocal</w:t>
      </w:r>
      <w:r w:rsidR="00C647F9" w:rsidRPr="005171D2">
        <w:t xml:space="preserve"> trade agreements</w:t>
      </w:r>
      <w:r w:rsidR="008E3034" w:rsidRPr="005171D2">
        <w:t xml:space="preserve"> (regional trade agreements</w:t>
      </w:r>
      <w:r w:rsidR="00A5612D" w:rsidRPr="005171D2">
        <w:t xml:space="preserve"> </w:t>
      </w:r>
      <w:r w:rsidR="00C647F9" w:rsidRPr="005171D2">
        <w:t>(</w:t>
      </w:r>
      <w:r w:rsidR="00A5612D" w:rsidRPr="005171D2">
        <w:t>RTAs</w:t>
      </w:r>
      <w:r w:rsidR="00C647F9" w:rsidRPr="005171D2">
        <w:t>)</w:t>
      </w:r>
      <w:r w:rsidR="008E3034" w:rsidRPr="005171D2">
        <w:t>)</w:t>
      </w:r>
      <w:r w:rsidR="00C647F9" w:rsidRPr="005171D2">
        <w:t>,</w:t>
      </w:r>
      <w:r w:rsidR="008E3034" w:rsidRPr="005171D2">
        <w:t xml:space="preserve"> and non-reciprocal </w:t>
      </w:r>
      <w:r w:rsidR="00C647F9" w:rsidRPr="005171D2">
        <w:t xml:space="preserve">trade agreements </w:t>
      </w:r>
      <w:r w:rsidR="008E3034" w:rsidRPr="005171D2">
        <w:t>(preferences for least developed countries (LDCs)). Other agreements would be incorporated as they became available (such as those of the United Kingdom (UK)</w:t>
      </w:r>
      <w:r w:rsidR="00C647F9" w:rsidRPr="005171D2">
        <w:t>,</w:t>
      </w:r>
      <w:r w:rsidR="008E3034" w:rsidRPr="005171D2">
        <w:t xml:space="preserve"> or the African Continental Free Trade Area). Non-preferential rules of origin were not </w:t>
      </w:r>
      <w:r w:rsidR="00F932D9" w:rsidRPr="005171D2">
        <w:t xml:space="preserve">currently </w:t>
      </w:r>
      <w:r w:rsidR="008E3034" w:rsidRPr="005171D2">
        <w:t xml:space="preserve">covered because there was </w:t>
      </w:r>
      <w:proofErr w:type="gramStart"/>
      <w:r w:rsidR="00F932D9" w:rsidRPr="005171D2">
        <w:t>as yet</w:t>
      </w:r>
      <w:proofErr w:type="gramEnd"/>
      <w:r w:rsidR="00F932D9" w:rsidRPr="005171D2">
        <w:t xml:space="preserve"> </w:t>
      </w:r>
      <w:r w:rsidR="008E3034" w:rsidRPr="005171D2">
        <w:t xml:space="preserve">no </w:t>
      </w:r>
      <w:r w:rsidR="00F932D9" w:rsidRPr="005171D2">
        <w:t xml:space="preserve">standardized </w:t>
      </w:r>
      <w:r w:rsidR="008E3034" w:rsidRPr="005171D2">
        <w:t>and up-to-date information about the</w:t>
      </w:r>
      <w:r w:rsidR="00A5612D" w:rsidRPr="005171D2">
        <w:t>m</w:t>
      </w:r>
      <w:r w:rsidR="008E3034" w:rsidRPr="005171D2">
        <w:t xml:space="preserve">. They would be added </w:t>
      </w:r>
      <w:proofErr w:type="gramStart"/>
      <w:r w:rsidR="00F932D9" w:rsidRPr="005171D2">
        <w:t xml:space="preserve">if and </w:t>
      </w:r>
      <w:r w:rsidR="008E3034" w:rsidRPr="005171D2">
        <w:t>when</w:t>
      </w:r>
      <w:proofErr w:type="gramEnd"/>
      <w:r w:rsidR="008E3034" w:rsidRPr="005171D2">
        <w:t xml:space="preserve"> the Committee agreed to update </w:t>
      </w:r>
      <w:r w:rsidR="00F932D9" w:rsidRPr="005171D2">
        <w:t xml:space="preserve">the relevant </w:t>
      </w:r>
      <w:r w:rsidR="008E3034" w:rsidRPr="005171D2">
        <w:t>notification</w:t>
      </w:r>
      <w:r w:rsidR="008E79B3" w:rsidRPr="005171D2">
        <w:t>s</w:t>
      </w:r>
      <w:r w:rsidR="008E3034" w:rsidRPr="005171D2">
        <w:t xml:space="preserve">. Second, the platform had been translated into French and Spanish </w:t>
      </w:r>
      <w:r w:rsidR="00F932D9" w:rsidRPr="005171D2">
        <w:t xml:space="preserve">at </w:t>
      </w:r>
      <w:r w:rsidR="008E3034" w:rsidRPr="005171D2">
        <w:t xml:space="preserve">the </w:t>
      </w:r>
      <w:r w:rsidR="00F932D9" w:rsidRPr="005171D2">
        <w:t xml:space="preserve">level of </w:t>
      </w:r>
      <w:r w:rsidR="008E3034" w:rsidRPr="005171D2">
        <w:t>glossary and search fields</w:t>
      </w:r>
      <w:r w:rsidR="00F932D9" w:rsidRPr="005171D2">
        <w:t xml:space="preserve">, although </w:t>
      </w:r>
      <w:r w:rsidR="008E3034" w:rsidRPr="005171D2">
        <w:t>actual origin criteria</w:t>
      </w:r>
      <w:r w:rsidR="00F932D9" w:rsidRPr="005171D2">
        <w:t xml:space="preserve"> remained in </w:t>
      </w:r>
      <w:r w:rsidR="008E79B3" w:rsidRPr="005171D2">
        <w:t>English</w:t>
      </w:r>
      <w:r w:rsidR="008E3034" w:rsidRPr="005171D2">
        <w:t xml:space="preserve">. Third, </w:t>
      </w:r>
      <w:r w:rsidR="00F932D9" w:rsidRPr="005171D2">
        <w:t xml:space="preserve">upon the </w:t>
      </w:r>
      <w:r w:rsidR="008E3034" w:rsidRPr="005171D2">
        <w:t xml:space="preserve">request </w:t>
      </w:r>
      <w:r w:rsidR="00F932D9" w:rsidRPr="005171D2">
        <w:t xml:space="preserve">of </w:t>
      </w:r>
      <w:r w:rsidR="008E3034" w:rsidRPr="005171D2">
        <w:t>some delegations, a new "flag" had been added to tariff lines subject to trade remedies. These flags alert</w:t>
      </w:r>
      <w:r w:rsidR="002C3976" w:rsidRPr="005171D2">
        <w:t>ed</w:t>
      </w:r>
      <w:r w:rsidR="008E3034" w:rsidRPr="005171D2">
        <w:t xml:space="preserve"> users that </w:t>
      </w:r>
      <w:r w:rsidR="00342929">
        <w:t xml:space="preserve">non-preferential </w:t>
      </w:r>
      <w:r w:rsidR="008E3034" w:rsidRPr="005171D2">
        <w:t xml:space="preserve">rules of origin </w:t>
      </w:r>
      <w:r w:rsidR="00342929">
        <w:t xml:space="preserve">may </w:t>
      </w:r>
      <w:r w:rsidR="008E3034" w:rsidRPr="005171D2">
        <w:t xml:space="preserve">apply in </w:t>
      </w:r>
      <w:r w:rsidR="00342929">
        <w:t xml:space="preserve">such </w:t>
      </w:r>
      <w:r w:rsidR="008E3034" w:rsidRPr="005171D2">
        <w:t>cases</w:t>
      </w:r>
      <w:r w:rsidR="00342929">
        <w:t xml:space="preserve">. A link was provided for </w:t>
      </w:r>
      <w:r w:rsidR="008E3034" w:rsidRPr="005171D2">
        <w:t>additional investigation to identify the applicable rule of origin</w:t>
      </w:r>
      <w:r w:rsidR="00A5612D" w:rsidRPr="005171D2">
        <w:t>. The</w:t>
      </w:r>
      <w:r w:rsidR="00F932D9" w:rsidRPr="005171D2">
        <w:t>se</w:t>
      </w:r>
      <w:r w:rsidR="00A5612D" w:rsidRPr="005171D2">
        <w:t xml:space="preserve"> flags </w:t>
      </w:r>
      <w:r w:rsidR="00342929">
        <w:t xml:space="preserve">were </w:t>
      </w:r>
      <w:r w:rsidR="00A5612D" w:rsidRPr="005171D2">
        <w:t xml:space="preserve">based on </w:t>
      </w:r>
      <w:r w:rsidR="00F932D9" w:rsidRPr="005171D2">
        <w:t xml:space="preserve">the </w:t>
      </w:r>
      <w:r w:rsidR="00A5612D" w:rsidRPr="005171D2">
        <w:t xml:space="preserve">information available </w:t>
      </w:r>
      <w:r w:rsidR="00F932D9" w:rsidRPr="005171D2">
        <w:t xml:space="preserve">in the </w:t>
      </w:r>
      <w:r w:rsidR="00A5612D" w:rsidRPr="005171D2">
        <w:t xml:space="preserve">ITC's </w:t>
      </w:r>
      <w:proofErr w:type="spellStart"/>
      <w:r w:rsidR="00A5612D" w:rsidRPr="005171D2">
        <w:t>MacMap</w:t>
      </w:r>
      <w:proofErr w:type="spellEnd"/>
      <w:r w:rsidR="00A5612D" w:rsidRPr="005171D2">
        <w:t xml:space="preserve"> database. </w:t>
      </w:r>
      <w:r w:rsidR="008E3034" w:rsidRPr="005171D2">
        <w:t xml:space="preserve">Fourth, the Secretariats had </w:t>
      </w:r>
      <w:r w:rsidR="006222C2" w:rsidRPr="005171D2">
        <w:t xml:space="preserve">begun to use </w:t>
      </w:r>
      <w:r w:rsidR="008E3034" w:rsidRPr="005171D2">
        <w:t xml:space="preserve">the Facilitator </w:t>
      </w:r>
      <w:r w:rsidR="002C3976" w:rsidRPr="005171D2">
        <w:t xml:space="preserve">in </w:t>
      </w:r>
      <w:r w:rsidR="008E3034" w:rsidRPr="005171D2">
        <w:t xml:space="preserve">technical assistance and capacity building activities </w:t>
      </w:r>
      <w:r w:rsidR="006222C2" w:rsidRPr="005171D2">
        <w:t xml:space="preserve">as a tool for </w:t>
      </w:r>
      <w:r w:rsidR="008E3034" w:rsidRPr="005171D2">
        <w:t>train</w:t>
      </w:r>
      <w:r w:rsidR="006222C2" w:rsidRPr="005171D2">
        <w:t>ing</w:t>
      </w:r>
      <w:r w:rsidR="008E3034" w:rsidRPr="005171D2">
        <w:t xml:space="preserve"> </w:t>
      </w:r>
      <w:r w:rsidR="002C3976" w:rsidRPr="005171D2">
        <w:t xml:space="preserve">business </w:t>
      </w:r>
      <w:r w:rsidR="008E3034" w:rsidRPr="005171D2">
        <w:t xml:space="preserve">operators and government officials on origin requirements. In this </w:t>
      </w:r>
      <w:r w:rsidR="006222C2" w:rsidRPr="005171D2">
        <w:t>addition</w:t>
      </w:r>
      <w:r w:rsidR="008E3034" w:rsidRPr="005171D2">
        <w:t xml:space="preserve">, a new </w:t>
      </w:r>
      <w:r w:rsidR="009A7661" w:rsidRPr="005171D2">
        <w:t xml:space="preserve">online </w:t>
      </w:r>
      <w:r w:rsidR="008E3034" w:rsidRPr="005171D2">
        <w:t>course on "rules of origin and preference utilization" had been launched</w:t>
      </w:r>
      <w:r w:rsidR="009A7661" w:rsidRPr="005171D2">
        <w:t>.</w:t>
      </w:r>
      <w:r w:rsidR="00A5612D" w:rsidRPr="005171D2">
        <w:rPr>
          <w:rStyle w:val="FootnoteReference"/>
        </w:rPr>
        <w:footnoteReference w:id="3"/>
      </w:r>
      <w:r w:rsidR="008E3034" w:rsidRPr="005171D2">
        <w:t xml:space="preserve"> Going forward, the Secretariat </w:t>
      </w:r>
      <w:r w:rsidR="00A5612D" w:rsidRPr="005171D2">
        <w:t>indicated that the intention was</w:t>
      </w:r>
      <w:r w:rsidR="009A65EA" w:rsidRPr="005171D2">
        <w:t xml:space="preserve"> to</w:t>
      </w:r>
      <w:r w:rsidR="00A5612D" w:rsidRPr="005171D2">
        <w:t xml:space="preserve"> continue </w:t>
      </w:r>
      <w:r w:rsidR="000161D2" w:rsidRPr="005171D2">
        <w:t xml:space="preserve">to </w:t>
      </w:r>
      <w:r w:rsidR="00A5612D" w:rsidRPr="005171D2">
        <w:t xml:space="preserve">expand the Facilitator until </w:t>
      </w:r>
      <w:r w:rsidR="008E3034" w:rsidRPr="005171D2">
        <w:t>all preferential trade agreements</w:t>
      </w:r>
      <w:r w:rsidR="00A5612D" w:rsidRPr="005171D2">
        <w:t xml:space="preserve"> were covered</w:t>
      </w:r>
      <w:r w:rsidR="000161D2" w:rsidRPr="005171D2">
        <w:t xml:space="preserve"> by it</w:t>
      </w:r>
      <w:r w:rsidR="008E3034" w:rsidRPr="005171D2">
        <w:t xml:space="preserve">. Finally, he invited delegations to review the information </w:t>
      </w:r>
      <w:r w:rsidR="002C3976" w:rsidRPr="005171D2">
        <w:t xml:space="preserve">in the </w:t>
      </w:r>
      <w:r w:rsidR="00431E2B" w:rsidRPr="005171D2">
        <w:t>Facilitator</w:t>
      </w:r>
      <w:r w:rsidR="002C3976" w:rsidRPr="005171D2">
        <w:t xml:space="preserve"> </w:t>
      </w:r>
      <w:r w:rsidR="008E3034" w:rsidRPr="005171D2">
        <w:t xml:space="preserve">and </w:t>
      </w:r>
      <w:r w:rsidR="000161D2" w:rsidRPr="005171D2">
        <w:t xml:space="preserve">to </w:t>
      </w:r>
      <w:r w:rsidR="008E3034" w:rsidRPr="005171D2">
        <w:t xml:space="preserve">contact the Secretariat </w:t>
      </w:r>
      <w:r w:rsidR="00A5612D" w:rsidRPr="005171D2">
        <w:t>if</w:t>
      </w:r>
      <w:r w:rsidR="002C3976" w:rsidRPr="005171D2">
        <w:t xml:space="preserve"> </w:t>
      </w:r>
      <w:r w:rsidR="00A5612D" w:rsidRPr="005171D2">
        <w:t xml:space="preserve">any </w:t>
      </w:r>
      <w:r w:rsidR="008E3034" w:rsidRPr="005171D2">
        <w:t>correct</w:t>
      </w:r>
      <w:r w:rsidR="002C3976" w:rsidRPr="005171D2">
        <w:t xml:space="preserve">ion </w:t>
      </w:r>
      <w:r w:rsidR="000161D2" w:rsidRPr="005171D2">
        <w:t xml:space="preserve">were </w:t>
      </w:r>
      <w:r w:rsidR="002C3976" w:rsidRPr="005171D2">
        <w:t>need</w:t>
      </w:r>
      <w:r w:rsidR="008E3034" w:rsidRPr="005171D2">
        <w:t>ed.</w:t>
      </w:r>
    </w:p>
    <w:p w14:paraId="00E91B9F" w14:textId="305A8248" w:rsidR="008E3034" w:rsidRPr="005171D2" w:rsidRDefault="008E3034" w:rsidP="008E3034">
      <w:pPr>
        <w:pStyle w:val="BodyText"/>
      </w:pPr>
      <w:r w:rsidRPr="005171D2">
        <w:t xml:space="preserve">The representative of </w:t>
      </w:r>
      <w:r w:rsidRPr="005171D2">
        <w:rPr>
          <w:u w:val="single"/>
        </w:rPr>
        <w:t>Sri Lanka</w:t>
      </w:r>
      <w:r w:rsidRPr="005171D2">
        <w:t xml:space="preserve"> thanked the Secretariat for its work on this important tool. In</w:t>
      </w:r>
      <w:r w:rsidR="008D1D1D">
        <w:t> </w:t>
      </w:r>
      <w:r w:rsidRPr="005171D2">
        <w:t>respect of trade remedies, she asked the Secretariat to clarify whether anti</w:t>
      </w:r>
      <w:r w:rsidR="000161D2" w:rsidRPr="005171D2">
        <w:noBreakHyphen/>
      </w:r>
      <w:r w:rsidRPr="005171D2">
        <w:t xml:space="preserve">circumvention </w:t>
      </w:r>
      <w:r w:rsidRPr="005171D2">
        <w:lastRenderedPageBreak/>
        <w:t xml:space="preserve">legislation was also available. She also asked </w:t>
      </w:r>
      <w:r w:rsidR="002C564F" w:rsidRPr="005171D2">
        <w:t xml:space="preserve">if </w:t>
      </w:r>
      <w:r w:rsidRPr="005171D2">
        <w:t xml:space="preserve">the applicable non-preferential rules pertaining </w:t>
      </w:r>
      <w:r w:rsidR="002C564F" w:rsidRPr="005171D2">
        <w:t xml:space="preserve">to </w:t>
      </w:r>
      <w:r w:rsidRPr="005171D2">
        <w:t xml:space="preserve">those </w:t>
      </w:r>
      <w:proofErr w:type="gramStart"/>
      <w:r w:rsidRPr="005171D2">
        <w:t>particular cases</w:t>
      </w:r>
      <w:proofErr w:type="gramEnd"/>
      <w:r w:rsidRPr="005171D2">
        <w:t xml:space="preserve"> </w:t>
      </w:r>
      <w:r w:rsidR="000161D2" w:rsidRPr="005171D2">
        <w:t xml:space="preserve">were </w:t>
      </w:r>
      <w:r w:rsidR="002C564F" w:rsidRPr="005171D2">
        <w:t>likewise</w:t>
      </w:r>
      <w:r w:rsidRPr="005171D2">
        <w:t xml:space="preserve"> available.</w:t>
      </w:r>
    </w:p>
    <w:p w14:paraId="09D55651" w14:textId="77777777" w:rsidR="008E3034" w:rsidRPr="005171D2" w:rsidRDefault="008E3034" w:rsidP="008E3034">
      <w:pPr>
        <w:pStyle w:val="BodyText"/>
      </w:pPr>
      <w:r w:rsidRPr="005171D2">
        <w:t xml:space="preserve">The representative of the </w:t>
      </w:r>
      <w:r w:rsidRPr="005171D2">
        <w:rPr>
          <w:u w:val="single"/>
        </w:rPr>
        <w:t>United States</w:t>
      </w:r>
      <w:r w:rsidRPr="005171D2">
        <w:t xml:space="preserve"> (US) said that her delegation would review the changes introduced to the Facilitator and </w:t>
      </w:r>
      <w:proofErr w:type="gramStart"/>
      <w:r w:rsidRPr="005171D2">
        <w:t>revert back</w:t>
      </w:r>
      <w:proofErr w:type="gramEnd"/>
      <w:r w:rsidRPr="005171D2">
        <w:t xml:space="preserve"> with any questions if necessary.</w:t>
      </w:r>
    </w:p>
    <w:p w14:paraId="585D13B4" w14:textId="774F61D4" w:rsidR="008E3034" w:rsidRPr="005171D2" w:rsidRDefault="00462D82" w:rsidP="008E3034">
      <w:pPr>
        <w:pStyle w:val="BodyText"/>
      </w:pPr>
      <w:r w:rsidRPr="005171D2">
        <w:t>The</w:t>
      </w:r>
      <w:r w:rsidR="008E3034" w:rsidRPr="005171D2">
        <w:t xml:space="preserve"> </w:t>
      </w:r>
      <w:r w:rsidR="008E3034" w:rsidRPr="005171D2">
        <w:rPr>
          <w:u w:val="single"/>
        </w:rPr>
        <w:t>Secretariat</w:t>
      </w:r>
      <w:r w:rsidRPr="005171D2">
        <w:rPr>
          <w:u w:val="single"/>
        </w:rPr>
        <w:t>, in response to Sri Lanka's question,</w:t>
      </w:r>
      <w:r w:rsidR="008E3034" w:rsidRPr="005171D2">
        <w:t xml:space="preserve"> clarified that the Facilitator </w:t>
      </w:r>
      <w:r w:rsidR="00A5612D" w:rsidRPr="005171D2">
        <w:t xml:space="preserve">indicated </w:t>
      </w:r>
      <w:r w:rsidRPr="005171D2">
        <w:t xml:space="preserve">only </w:t>
      </w:r>
      <w:r w:rsidR="008E3034" w:rsidRPr="005171D2">
        <w:t>that anti-dumping duties were in place</w:t>
      </w:r>
      <w:r w:rsidR="00A5612D" w:rsidRPr="005171D2">
        <w:t xml:space="preserve">. It then offered users the possibility to check the </w:t>
      </w:r>
      <w:proofErr w:type="spellStart"/>
      <w:r w:rsidR="008E3034" w:rsidRPr="005171D2">
        <w:t>MacMap</w:t>
      </w:r>
      <w:proofErr w:type="spellEnd"/>
      <w:r w:rsidR="008E3034" w:rsidRPr="005171D2">
        <w:t xml:space="preserve"> </w:t>
      </w:r>
      <w:r w:rsidR="00A5612D" w:rsidRPr="005171D2">
        <w:t xml:space="preserve">database </w:t>
      </w:r>
      <w:r w:rsidR="008E3034" w:rsidRPr="005171D2">
        <w:t xml:space="preserve">for further information. The Facilitator did not display </w:t>
      </w:r>
      <w:r w:rsidR="00A5612D" w:rsidRPr="005171D2">
        <w:t xml:space="preserve">any </w:t>
      </w:r>
      <w:r w:rsidR="008E3034" w:rsidRPr="005171D2">
        <w:t>non-preferential rules of origin.</w:t>
      </w:r>
    </w:p>
    <w:p w14:paraId="05C9C12A" w14:textId="3B68EA3E" w:rsidR="008E3034" w:rsidRPr="005171D2" w:rsidRDefault="00462D82" w:rsidP="008E3034">
      <w:pPr>
        <w:pStyle w:val="BodyText"/>
      </w:pPr>
      <w:r w:rsidRPr="005171D2">
        <w:t>The</w:t>
      </w:r>
      <w:r w:rsidR="008E3034" w:rsidRPr="005171D2">
        <w:t xml:space="preserve"> </w:t>
      </w:r>
      <w:r w:rsidR="008E3034" w:rsidRPr="005171D2">
        <w:rPr>
          <w:u w:val="single"/>
        </w:rPr>
        <w:t>Chairperson</w:t>
      </w:r>
      <w:r w:rsidR="008E3034" w:rsidRPr="005171D2">
        <w:t xml:space="preserve"> thanked the WTO</w:t>
      </w:r>
      <w:r w:rsidR="003A5B67" w:rsidRPr="005171D2">
        <w:t> </w:t>
      </w:r>
      <w:r w:rsidR="008E3034" w:rsidRPr="005171D2">
        <w:t>Secretariat for its report and the three</w:t>
      </w:r>
      <w:r w:rsidR="003A5B67" w:rsidRPr="005171D2">
        <w:t> </w:t>
      </w:r>
      <w:r w:rsidR="008E3034" w:rsidRPr="005171D2">
        <w:t>Secretariats for their recent work on the Facilitator. He invited all Members to check the information contained in the Facilitator and to update or correct it as necessary.</w:t>
      </w:r>
    </w:p>
    <w:p w14:paraId="684D5D8B" w14:textId="1C2818E2" w:rsidR="00D40277" w:rsidRPr="005171D2" w:rsidRDefault="00D40277" w:rsidP="008E3034">
      <w:pPr>
        <w:pStyle w:val="BodyText"/>
      </w:pPr>
      <w:r w:rsidRPr="005171D2">
        <w:t xml:space="preserve">The representative of the </w:t>
      </w:r>
      <w:r w:rsidRPr="005171D2">
        <w:rPr>
          <w:u w:val="single"/>
        </w:rPr>
        <w:t>United States</w:t>
      </w:r>
      <w:r w:rsidRPr="005171D2">
        <w:t xml:space="preserve"> clarified that her delegation could not commit </w:t>
      </w:r>
      <w:r w:rsidR="00342929">
        <w:t xml:space="preserve">at that time </w:t>
      </w:r>
      <w:r w:rsidRPr="005171D2">
        <w:t>to self</w:t>
      </w:r>
      <w:r w:rsidR="009B13BC">
        <w:noBreakHyphen/>
      </w:r>
      <w:r w:rsidRPr="005171D2">
        <w:t xml:space="preserve">validating </w:t>
      </w:r>
      <w:proofErr w:type="gramStart"/>
      <w:r w:rsidRPr="005171D2">
        <w:t xml:space="preserve">all </w:t>
      </w:r>
      <w:r w:rsidR="00342929">
        <w:t>of</w:t>
      </w:r>
      <w:proofErr w:type="gramEnd"/>
      <w:r w:rsidR="00342929">
        <w:t xml:space="preserve"> </w:t>
      </w:r>
      <w:r w:rsidRPr="005171D2">
        <w:t xml:space="preserve">the data </w:t>
      </w:r>
      <w:r w:rsidR="00342929">
        <w:t>in the Origin Facilitator related to the United States</w:t>
      </w:r>
      <w:r w:rsidRPr="005171D2">
        <w:t>.</w:t>
      </w:r>
    </w:p>
    <w:p w14:paraId="21DBC543" w14:textId="50D59CA0" w:rsidR="007C0BDF" w:rsidRPr="005171D2" w:rsidRDefault="007C0BDF" w:rsidP="00D6189E">
      <w:pPr>
        <w:pStyle w:val="BodyText"/>
      </w:pPr>
      <w:r w:rsidRPr="005171D2">
        <w:t xml:space="preserve">The Committee </w:t>
      </w:r>
      <w:r w:rsidRPr="005171D2">
        <w:rPr>
          <w:u w:val="single"/>
        </w:rPr>
        <w:t>took note</w:t>
      </w:r>
      <w:r w:rsidRPr="005171D2">
        <w:t xml:space="preserve"> of th</w:t>
      </w:r>
      <w:r w:rsidR="00D40277" w:rsidRPr="005171D2">
        <w:t>e</w:t>
      </w:r>
      <w:r w:rsidRPr="005171D2">
        <w:t xml:space="preserve"> report</w:t>
      </w:r>
      <w:r w:rsidR="002C3976" w:rsidRPr="005171D2">
        <w:t xml:space="preserve"> </w:t>
      </w:r>
      <w:r w:rsidR="00D40277" w:rsidRPr="005171D2">
        <w:t>and statements made</w:t>
      </w:r>
      <w:r w:rsidR="00821A49" w:rsidRPr="005171D2">
        <w:t>.</w:t>
      </w:r>
    </w:p>
    <w:p w14:paraId="072B5A95" w14:textId="77777777" w:rsidR="00E10A80" w:rsidRPr="005171D2" w:rsidRDefault="004F0C58" w:rsidP="00E10A80">
      <w:pPr>
        <w:pStyle w:val="Heading1"/>
      </w:pPr>
      <w:bookmarkStart w:id="5" w:name="_Toc39610303"/>
      <w:bookmarkStart w:id="6" w:name="_Toc63067717"/>
      <w:bookmarkEnd w:id="0"/>
      <w:r w:rsidRPr="005171D2">
        <w:t>IMPLEMENTATION OF THE BALI AND THE NAIROBI MINISTERIAL DECISIONS ON PREFERENTIAL RULES OF ORIGIN FOR LEAST DEVELOPED COUNTRIES (WT/L/917 AND WT/L/917/ADD.1)</w:t>
      </w:r>
      <w:bookmarkStart w:id="7" w:name="_Toc39610305"/>
      <w:bookmarkEnd w:id="5"/>
      <w:bookmarkEnd w:id="6"/>
    </w:p>
    <w:p w14:paraId="253EC54C" w14:textId="495CD743" w:rsidR="00E10A80" w:rsidRPr="005171D2" w:rsidRDefault="00E10A80" w:rsidP="00E10A80">
      <w:pPr>
        <w:pStyle w:val="Heading2"/>
      </w:pPr>
      <w:bookmarkStart w:id="8" w:name="_Toc63067718"/>
      <w:bookmarkStart w:id="9" w:name="_Hlk57824388"/>
      <w:r w:rsidRPr="005171D2">
        <w:t>S</w:t>
      </w:r>
      <w:r w:rsidR="008549EC" w:rsidRPr="005171D2">
        <w:t xml:space="preserve">tatus of </w:t>
      </w:r>
      <w:r w:rsidR="00F546C4" w:rsidRPr="005171D2">
        <w:t xml:space="preserve">Notifications </w:t>
      </w:r>
      <w:r w:rsidR="008549EC" w:rsidRPr="005171D2">
        <w:t xml:space="preserve">of </w:t>
      </w:r>
      <w:r w:rsidR="00F546C4" w:rsidRPr="005171D2">
        <w:t xml:space="preserve">Preferential Rules </w:t>
      </w:r>
      <w:r w:rsidR="008549EC" w:rsidRPr="005171D2">
        <w:t xml:space="preserve">of </w:t>
      </w:r>
      <w:r w:rsidR="00F546C4" w:rsidRPr="005171D2">
        <w:t xml:space="preserve">Origin </w:t>
      </w:r>
      <w:r w:rsidR="008549EC" w:rsidRPr="005171D2">
        <w:t xml:space="preserve">for LDCs and </w:t>
      </w:r>
      <w:r w:rsidR="00F546C4" w:rsidRPr="005171D2">
        <w:t xml:space="preserve">Preferential Imports </w:t>
      </w:r>
      <w:r w:rsidR="008549EC" w:rsidRPr="005171D2">
        <w:t xml:space="preserve">and </w:t>
      </w:r>
      <w:r w:rsidR="00F546C4" w:rsidRPr="005171D2">
        <w:t xml:space="preserve">Tariffs </w:t>
      </w:r>
      <w:r w:rsidRPr="005171D2">
        <w:t>(G/RO/W/163/</w:t>
      </w:r>
      <w:r w:rsidR="00DA7539" w:rsidRPr="005171D2">
        <w:t>Rev</w:t>
      </w:r>
      <w:r w:rsidRPr="005171D2">
        <w:t xml:space="preserve">.8) – </w:t>
      </w:r>
      <w:r w:rsidR="008549EC" w:rsidRPr="005171D2">
        <w:t>Report by the Secretariat</w:t>
      </w:r>
      <w:bookmarkEnd w:id="8"/>
    </w:p>
    <w:p w14:paraId="2329E77C" w14:textId="5A47FAF9" w:rsidR="002C3976" w:rsidRPr="005171D2" w:rsidRDefault="00381DE7" w:rsidP="00326C9B">
      <w:pPr>
        <w:pStyle w:val="BodyText"/>
      </w:pPr>
      <w:r w:rsidRPr="005171D2">
        <w:t>The</w:t>
      </w:r>
      <w:r w:rsidR="00326C9B" w:rsidRPr="005171D2">
        <w:t xml:space="preserve"> </w:t>
      </w:r>
      <w:r w:rsidR="00326C9B" w:rsidRPr="005171D2">
        <w:rPr>
          <w:u w:val="single"/>
        </w:rPr>
        <w:t>Chairperson</w:t>
      </w:r>
      <w:r w:rsidR="00326C9B" w:rsidRPr="005171D2">
        <w:t xml:space="preserve"> recalled that the Secretariat had been asked to reach out to delegations to help them </w:t>
      </w:r>
      <w:r w:rsidRPr="005171D2">
        <w:t xml:space="preserve">to </w:t>
      </w:r>
      <w:r w:rsidR="00326C9B" w:rsidRPr="005171D2">
        <w:t>bridge notification gaps</w:t>
      </w:r>
      <w:r w:rsidRPr="005171D2">
        <w:t xml:space="preserve"> where these remained</w:t>
      </w:r>
      <w:r w:rsidR="00326C9B" w:rsidRPr="005171D2">
        <w:t xml:space="preserve">. </w:t>
      </w:r>
      <w:r w:rsidRPr="005171D2">
        <w:t>In this regard, he requested</w:t>
      </w:r>
      <w:r w:rsidR="00326C9B" w:rsidRPr="005171D2">
        <w:t xml:space="preserve"> the Secretariat to present </w:t>
      </w:r>
      <w:r w:rsidR="00730A9D" w:rsidRPr="005171D2">
        <w:t>document</w:t>
      </w:r>
      <w:r w:rsidR="003A5B67" w:rsidRPr="005171D2">
        <w:t> </w:t>
      </w:r>
      <w:r w:rsidR="00730A9D" w:rsidRPr="005171D2">
        <w:t>G/RO/W/163/</w:t>
      </w:r>
      <w:r w:rsidRPr="005171D2">
        <w:t>Rev</w:t>
      </w:r>
      <w:r w:rsidR="00730A9D" w:rsidRPr="005171D2">
        <w:t>.8</w:t>
      </w:r>
      <w:r w:rsidRPr="005171D2">
        <w:t>,</w:t>
      </w:r>
      <w:r w:rsidR="00730A9D" w:rsidRPr="005171D2">
        <w:t xml:space="preserve"> </w:t>
      </w:r>
      <w:r w:rsidRPr="005171D2">
        <w:t xml:space="preserve">concerning </w:t>
      </w:r>
      <w:r w:rsidR="00326C9B" w:rsidRPr="005171D2">
        <w:t>the latest status of notifications.</w:t>
      </w:r>
    </w:p>
    <w:p w14:paraId="2D3D9D03" w14:textId="44AC71B4" w:rsidR="00326C9B" w:rsidRPr="005171D2" w:rsidRDefault="00326C9B" w:rsidP="00326C9B">
      <w:pPr>
        <w:pStyle w:val="BodyText"/>
      </w:pPr>
      <w:r w:rsidRPr="005171D2">
        <w:t xml:space="preserve">The </w:t>
      </w:r>
      <w:r w:rsidRPr="005171D2">
        <w:rPr>
          <w:u w:val="single"/>
        </w:rPr>
        <w:t>Secretariat</w:t>
      </w:r>
      <w:r w:rsidRPr="005171D2">
        <w:t xml:space="preserve"> (</w:t>
      </w:r>
      <w:r w:rsidR="00F546C4" w:rsidRPr="005171D2">
        <w:t>Mr </w:t>
      </w:r>
      <w:r w:rsidRPr="005171D2">
        <w:t xml:space="preserve">Darlan F. Martí) reported that </w:t>
      </w:r>
      <w:r w:rsidR="00342929">
        <w:t>most</w:t>
      </w:r>
      <w:r w:rsidR="00730A9D" w:rsidRPr="005171D2">
        <w:t xml:space="preserve"> Members had already notified the preferential rules of origin used in preference programmes for LDCs</w:t>
      </w:r>
      <w:r w:rsidR="009817D1" w:rsidRPr="005171D2">
        <w:t>, and that some Members had updated their notifications in 2020</w:t>
      </w:r>
      <w:r w:rsidRPr="005171D2">
        <w:t>. Only Armenia and Iceland had not yet notified the rules of origin applicable to LDCs under their preferential duty schemes. In a previous meeting of the CRO, the representative of Iceland had explained that the government was revising the applicable rules and that a notification would be made as soon as the new legislation be</w:t>
      </w:r>
      <w:r w:rsidR="00F546C4" w:rsidRPr="005171D2">
        <w:t>came</w:t>
      </w:r>
      <w:r w:rsidRPr="005171D2">
        <w:t xml:space="preserve"> available.</w:t>
      </w:r>
      <w:r w:rsidR="00730A9D" w:rsidRPr="005171D2">
        <w:t xml:space="preserve"> </w:t>
      </w:r>
      <w:r w:rsidRPr="005171D2">
        <w:t>In relation to preferential tariffs</w:t>
      </w:r>
      <w:r w:rsidR="00730A9D" w:rsidRPr="005171D2">
        <w:t>, he noted that, d</w:t>
      </w:r>
      <w:r w:rsidRPr="005171D2">
        <w:t xml:space="preserve">espite new notifications by </w:t>
      </w:r>
      <w:r w:rsidR="00730A9D" w:rsidRPr="005171D2">
        <w:t>some Members</w:t>
      </w:r>
      <w:r w:rsidR="00A4453A" w:rsidRPr="005171D2">
        <w:t>,</w:t>
      </w:r>
      <w:r w:rsidRPr="005171D2">
        <w:t xml:space="preserve"> several gaps </w:t>
      </w:r>
      <w:r w:rsidR="00A4453A" w:rsidRPr="005171D2">
        <w:t>remained</w:t>
      </w:r>
      <w:r w:rsidRPr="005171D2">
        <w:t xml:space="preserve">, including for </w:t>
      </w:r>
      <w:proofErr w:type="gramStart"/>
      <w:r w:rsidR="009817D1" w:rsidRPr="005171D2">
        <w:t>a number of</w:t>
      </w:r>
      <w:proofErr w:type="gramEnd"/>
      <w:r w:rsidR="009817D1" w:rsidRPr="005171D2">
        <w:t xml:space="preserve"> </w:t>
      </w:r>
      <w:r w:rsidR="00A4453A" w:rsidRPr="005171D2">
        <w:t xml:space="preserve">very </w:t>
      </w:r>
      <w:r w:rsidRPr="005171D2">
        <w:t xml:space="preserve">significant </w:t>
      </w:r>
      <w:r w:rsidR="00A4453A" w:rsidRPr="005171D2">
        <w:t xml:space="preserve">markets </w:t>
      </w:r>
      <w:r w:rsidRPr="005171D2">
        <w:t>for LDC</w:t>
      </w:r>
      <w:r w:rsidR="003A5B67" w:rsidRPr="005171D2">
        <w:t> </w:t>
      </w:r>
      <w:r w:rsidRPr="005171D2">
        <w:t>exports.</w:t>
      </w:r>
    </w:p>
    <w:p w14:paraId="02A130F1" w14:textId="002548A2" w:rsidR="00D40277" w:rsidRPr="005171D2" w:rsidRDefault="00D40277" w:rsidP="00D40277">
      <w:pPr>
        <w:pStyle w:val="BodyText"/>
      </w:pPr>
      <w:r w:rsidRPr="005171D2">
        <w:t xml:space="preserve">The representative of the </w:t>
      </w:r>
      <w:r w:rsidRPr="005171D2">
        <w:rPr>
          <w:u w:val="single"/>
        </w:rPr>
        <w:t>Russian Federation</w:t>
      </w:r>
      <w:r w:rsidRPr="005171D2">
        <w:t xml:space="preserve"> explained that her delegation would prefer the document prepared by the Secretariat </w:t>
      </w:r>
      <w:r w:rsidR="004272FD" w:rsidRPr="005171D2">
        <w:t xml:space="preserve">to </w:t>
      </w:r>
      <w:r w:rsidRPr="005171D2">
        <w:t xml:space="preserve">report </w:t>
      </w:r>
      <w:r w:rsidR="004272FD" w:rsidRPr="005171D2">
        <w:t xml:space="preserve">only on </w:t>
      </w:r>
      <w:r w:rsidR="0097501C" w:rsidRPr="005171D2">
        <w:t xml:space="preserve">notifications </w:t>
      </w:r>
      <w:r w:rsidRPr="005171D2">
        <w:t xml:space="preserve">from 2015 onwards </w:t>
      </w:r>
      <w:r w:rsidR="006A5F73" w:rsidRPr="005171D2">
        <w:t>to reflect</w:t>
      </w:r>
      <w:r w:rsidRPr="005171D2">
        <w:t xml:space="preserve"> the date</w:t>
      </w:r>
      <w:r w:rsidR="00730A9D" w:rsidRPr="005171D2">
        <w:t xml:space="preserve"> of adoption of</w:t>
      </w:r>
      <w:r w:rsidRPr="005171D2">
        <w:t xml:space="preserve"> the Nairobi Ministerial Decision. </w:t>
      </w:r>
      <w:r w:rsidR="0097501C" w:rsidRPr="005171D2">
        <w:t>In addition</w:t>
      </w:r>
      <w:r w:rsidRPr="005171D2">
        <w:t xml:space="preserve">, </w:t>
      </w:r>
      <w:r w:rsidR="00730A9D" w:rsidRPr="005171D2">
        <w:t xml:space="preserve">she asked that </w:t>
      </w:r>
      <w:r w:rsidRPr="005171D2">
        <w:t xml:space="preserve">calculations of utilization rates </w:t>
      </w:r>
      <w:r w:rsidR="006A5F73" w:rsidRPr="005171D2">
        <w:t xml:space="preserve">likewise </w:t>
      </w:r>
      <w:r w:rsidRPr="005171D2">
        <w:t xml:space="preserve">be based on data notified after </w:t>
      </w:r>
      <w:r w:rsidR="00730A9D" w:rsidRPr="005171D2">
        <w:t>2015</w:t>
      </w:r>
      <w:r w:rsidR="006A5F73" w:rsidRPr="005171D2">
        <w:t>,</w:t>
      </w:r>
      <w:r w:rsidR="00730A9D" w:rsidRPr="005171D2">
        <w:t xml:space="preserve"> and </w:t>
      </w:r>
      <w:r w:rsidRPr="005171D2">
        <w:t xml:space="preserve">that </w:t>
      </w:r>
      <w:r w:rsidR="006A5F73" w:rsidRPr="005171D2">
        <w:t xml:space="preserve">the calculation </w:t>
      </w:r>
      <w:proofErr w:type="gramStart"/>
      <w:r w:rsidR="0097501C" w:rsidRPr="005171D2">
        <w:t>take into account</w:t>
      </w:r>
      <w:proofErr w:type="gramEnd"/>
      <w:r w:rsidR="0097501C" w:rsidRPr="005171D2">
        <w:t xml:space="preserve"> the fact that the implementation </w:t>
      </w:r>
      <w:r w:rsidR="006A5F73" w:rsidRPr="005171D2">
        <w:t xml:space="preserve">date </w:t>
      </w:r>
      <w:r w:rsidR="0097501C" w:rsidRPr="005171D2">
        <w:t xml:space="preserve">of </w:t>
      </w:r>
      <w:r w:rsidR="006A5F73" w:rsidRPr="005171D2">
        <w:t xml:space="preserve">the </w:t>
      </w:r>
      <w:r w:rsidR="0097501C" w:rsidRPr="005171D2">
        <w:t>Ministerial Decision may differ between Members.</w:t>
      </w:r>
    </w:p>
    <w:p w14:paraId="7CDF3A5B" w14:textId="31601B49" w:rsidR="00D40277" w:rsidRPr="005171D2" w:rsidRDefault="00D40277" w:rsidP="00D40277">
      <w:pPr>
        <w:pStyle w:val="BodyText"/>
      </w:pPr>
      <w:r w:rsidRPr="005171D2">
        <w:t xml:space="preserve">The representative of </w:t>
      </w:r>
      <w:r w:rsidRPr="005171D2">
        <w:rPr>
          <w:u w:val="single"/>
        </w:rPr>
        <w:t>Tanzania</w:t>
      </w:r>
      <w:r w:rsidRPr="005171D2">
        <w:t xml:space="preserve"> thanked those Members </w:t>
      </w:r>
      <w:r w:rsidR="00EC2ABC" w:rsidRPr="005171D2">
        <w:t xml:space="preserve">that </w:t>
      </w:r>
      <w:r w:rsidRPr="005171D2">
        <w:t xml:space="preserve">had updated or submitted new notifications. </w:t>
      </w:r>
      <w:r w:rsidR="00730A9D" w:rsidRPr="005171D2">
        <w:t xml:space="preserve">In relation </w:t>
      </w:r>
      <w:r w:rsidRPr="005171D2">
        <w:t>to import data, he highlighted that</w:t>
      </w:r>
      <w:r w:rsidR="00EC2ABC" w:rsidRPr="005171D2">
        <w:t>,</w:t>
      </w:r>
      <w:r w:rsidRPr="005171D2">
        <w:t xml:space="preserve"> having comprehensive information for all markets was important because it allowed the CRO to consider how preferences were being utilized. He therefore encouraged all delegations to submit the necessary notifications as soon as possible.</w:t>
      </w:r>
    </w:p>
    <w:p w14:paraId="1ACEA6BB" w14:textId="26C47AA6" w:rsidR="00D40277" w:rsidRPr="005171D2" w:rsidRDefault="00EC2ABC" w:rsidP="00D40277">
      <w:pPr>
        <w:pStyle w:val="BodyText"/>
      </w:pPr>
      <w:r w:rsidRPr="005171D2">
        <w:t>The</w:t>
      </w:r>
      <w:r w:rsidR="00D40277" w:rsidRPr="005171D2">
        <w:t xml:space="preserve"> </w:t>
      </w:r>
      <w:r w:rsidR="00D40277" w:rsidRPr="005171D2">
        <w:rPr>
          <w:u w:val="single"/>
        </w:rPr>
        <w:t>Secretariat</w:t>
      </w:r>
      <w:r w:rsidRPr="005171D2">
        <w:rPr>
          <w:u w:val="single"/>
        </w:rPr>
        <w:t>, in response to the Russian Federation,</w:t>
      </w:r>
      <w:r w:rsidR="00D40277" w:rsidRPr="005171D2">
        <w:t xml:space="preserve"> confirmed that the format of the report could </w:t>
      </w:r>
      <w:r w:rsidRPr="005171D2">
        <w:t xml:space="preserve">indeed </w:t>
      </w:r>
      <w:r w:rsidR="00D40277" w:rsidRPr="005171D2">
        <w:t xml:space="preserve">be adjusted </w:t>
      </w:r>
      <w:r w:rsidRPr="005171D2">
        <w:t>and clarified</w:t>
      </w:r>
      <w:r w:rsidR="00D40277" w:rsidRPr="005171D2">
        <w:t xml:space="preserve">. He </w:t>
      </w:r>
      <w:r w:rsidRPr="005171D2">
        <w:t xml:space="preserve">stood ready to </w:t>
      </w:r>
      <w:r w:rsidR="00D40277" w:rsidRPr="005171D2">
        <w:t xml:space="preserve">work with the </w:t>
      </w:r>
      <w:r w:rsidRPr="005171D2">
        <w:t xml:space="preserve">Russian Federation's </w:t>
      </w:r>
      <w:r w:rsidR="00D40277" w:rsidRPr="005171D2">
        <w:t>delegation to that end.</w:t>
      </w:r>
    </w:p>
    <w:p w14:paraId="04DF0D1C" w14:textId="5FC1851A" w:rsidR="00D40277" w:rsidRPr="005171D2" w:rsidRDefault="00EC2ABC" w:rsidP="00D40277">
      <w:pPr>
        <w:pStyle w:val="BodyText"/>
      </w:pPr>
      <w:r w:rsidRPr="005171D2">
        <w:t>The</w:t>
      </w:r>
      <w:r w:rsidR="00D40277" w:rsidRPr="005171D2">
        <w:t xml:space="preserve"> </w:t>
      </w:r>
      <w:r w:rsidR="00D40277" w:rsidRPr="005171D2">
        <w:rPr>
          <w:u w:val="single"/>
        </w:rPr>
        <w:t>Chairperson</w:t>
      </w:r>
      <w:r w:rsidR="00D40277" w:rsidRPr="005171D2">
        <w:t xml:space="preserve"> thanked all </w:t>
      </w:r>
      <w:r w:rsidRPr="005171D2">
        <w:t xml:space="preserve">those </w:t>
      </w:r>
      <w:r w:rsidR="00D40277" w:rsidRPr="005171D2">
        <w:t xml:space="preserve">delegations </w:t>
      </w:r>
      <w:r w:rsidRPr="005171D2">
        <w:t xml:space="preserve">that </w:t>
      </w:r>
      <w:r w:rsidR="00D40277" w:rsidRPr="005171D2">
        <w:t xml:space="preserve">had updated their notifications. </w:t>
      </w:r>
      <w:r w:rsidR="00B33EBE" w:rsidRPr="005171D2">
        <w:t xml:space="preserve">At the same time, he requested those </w:t>
      </w:r>
      <w:r w:rsidR="00D40277" w:rsidRPr="005171D2">
        <w:t xml:space="preserve">delegations </w:t>
      </w:r>
      <w:r w:rsidR="00B33EBE" w:rsidRPr="005171D2">
        <w:t xml:space="preserve">that </w:t>
      </w:r>
      <w:r w:rsidR="00D40277" w:rsidRPr="005171D2">
        <w:t xml:space="preserve">had not yet submitted all the necessary information to prepare their notifications as soon as possible and, if necessary, to seek the assistance of the Secretariat </w:t>
      </w:r>
      <w:proofErr w:type="gramStart"/>
      <w:r w:rsidR="00B33EBE" w:rsidRPr="005171D2">
        <w:t xml:space="preserve">in order </w:t>
      </w:r>
      <w:r w:rsidR="00D40277" w:rsidRPr="005171D2">
        <w:t>to</w:t>
      </w:r>
      <w:proofErr w:type="gramEnd"/>
      <w:r w:rsidR="00D40277" w:rsidRPr="005171D2">
        <w:t xml:space="preserve"> do so. Finally, he asked the Secretariat to report back to the Committee</w:t>
      </w:r>
      <w:r w:rsidR="00B33EBE" w:rsidRPr="005171D2">
        <w:t>,</w:t>
      </w:r>
      <w:r w:rsidR="00D40277" w:rsidRPr="005171D2">
        <w:t xml:space="preserve"> </w:t>
      </w:r>
      <w:r w:rsidR="00B33EBE" w:rsidRPr="005171D2">
        <w:t xml:space="preserve">at its next meeting, on any </w:t>
      </w:r>
      <w:r w:rsidR="00730A9D" w:rsidRPr="005171D2">
        <w:t xml:space="preserve">new </w:t>
      </w:r>
      <w:r w:rsidR="00D40277" w:rsidRPr="005171D2">
        <w:t>developments in this area.</w:t>
      </w:r>
    </w:p>
    <w:p w14:paraId="32DB0A22" w14:textId="2692CF5F" w:rsidR="00D40277" w:rsidRPr="005171D2" w:rsidRDefault="00D40277" w:rsidP="00D40277">
      <w:pPr>
        <w:pStyle w:val="BodyText"/>
      </w:pPr>
      <w:r w:rsidRPr="005171D2">
        <w:lastRenderedPageBreak/>
        <w:t xml:space="preserve">The Committee </w:t>
      </w:r>
      <w:r w:rsidRPr="005171D2">
        <w:rPr>
          <w:u w:val="single"/>
        </w:rPr>
        <w:t>took note</w:t>
      </w:r>
      <w:r w:rsidRPr="005171D2">
        <w:t xml:space="preserve"> of the report and statements made.</w:t>
      </w:r>
    </w:p>
    <w:p w14:paraId="7423ACCE" w14:textId="08BB5336" w:rsidR="008549EC" w:rsidRPr="005171D2" w:rsidRDefault="008549EC" w:rsidP="00E10A80">
      <w:pPr>
        <w:pStyle w:val="Heading2"/>
      </w:pPr>
      <w:bookmarkStart w:id="10" w:name="_Toc63067719"/>
      <w:bookmarkEnd w:id="9"/>
      <w:r w:rsidRPr="005171D2">
        <w:t xml:space="preserve">Review of </w:t>
      </w:r>
      <w:r w:rsidR="00462D82" w:rsidRPr="005171D2">
        <w:t xml:space="preserve">Recent Developments Regarding Preferential Rules </w:t>
      </w:r>
      <w:r w:rsidRPr="005171D2">
        <w:t xml:space="preserve">of </w:t>
      </w:r>
      <w:r w:rsidR="00462D82" w:rsidRPr="005171D2">
        <w:t xml:space="preserve">Origin </w:t>
      </w:r>
      <w:r w:rsidRPr="005171D2">
        <w:t>for LDCs – Report by Preference</w:t>
      </w:r>
      <w:r w:rsidR="00462D82" w:rsidRPr="005171D2">
        <w:noBreakHyphen/>
      </w:r>
      <w:r w:rsidRPr="005171D2">
        <w:t>Granting Members</w:t>
      </w:r>
      <w:bookmarkEnd w:id="10"/>
    </w:p>
    <w:p w14:paraId="17A93D85" w14:textId="77777777" w:rsidR="004F0C58" w:rsidRPr="005171D2" w:rsidRDefault="00E10A80" w:rsidP="008549EC">
      <w:pPr>
        <w:pStyle w:val="Heading3"/>
      </w:pPr>
      <w:bookmarkStart w:id="11" w:name="_Toc63067720"/>
      <w:r w:rsidRPr="005171D2">
        <w:t xml:space="preserve">Implementation of the REX System – Update by the </w:t>
      </w:r>
      <w:r w:rsidR="00D15DF4" w:rsidRPr="005171D2">
        <w:t>European Union</w:t>
      </w:r>
      <w:bookmarkEnd w:id="7"/>
      <w:r w:rsidR="00D15DF4" w:rsidRPr="005171D2">
        <w:t xml:space="preserve"> (RD/RO/93)</w:t>
      </w:r>
      <w:bookmarkEnd w:id="11"/>
    </w:p>
    <w:p w14:paraId="52A9D355" w14:textId="61A677FE" w:rsidR="001674D6" w:rsidRPr="005171D2" w:rsidRDefault="00E10A80" w:rsidP="00F538B9">
      <w:pPr>
        <w:pStyle w:val="BodyText"/>
      </w:pPr>
      <w:r w:rsidRPr="005171D2">
        <w:t>T</w:t>
      </w:r>
      <w:r w:rsidR="003E6505" w:rsidRPr="005171D2">
        <w:t xml:space="preserve">he </w:t>
      </w:r>
      <w:r w:rsidR="003E6505" w:rsidRPr="005171D2">
        <w:rPr>
          <w:u w:val="single"/>
        </w:rPr>
        <w:t>Chairperson</w:t>
      </w:r>
      <w:r w:rsidR="003E6505" w:rsidRPr="005171D2">
        <w:t xml:space="preserve"> recalled that the REX</w:t>
      </w:r>
      <w:r w:rsidR="00AF5354" w:rsidRPr="005171D2">
        <w:t> </w:t>
      </w:r>
      <w:r w:rsidR="00496ABA" w:rsidRPr="005171D2">
        <w:t xml:space="preserve">system </w:t>
      </w:r>
      <w:r w:rsidR="003E6505" w:rsidRPr="005171D2">
        <w:t xml:space="preserve">of self-certification for registered exporters was being implemented by the </w:t>
      </w:r>
      <w:r w:rsidR="00496ABA" w:rsidRPr="005171D2">
        <w:t xml:space="preserve">European Union, </w:t>
      </w:r>
      <w:r w:rsidR="005D7EAF" w:rsidRPr="005171D2">
        <w:t>Norway</w:t>
      </w:r>
      <w:r w:rsidR="00496ABA" w:rsidRPr="005171D2">
        <w:t xml:space="preserve">, </w:t>
      </w:r>
      <w:r w:rsidR="005D7EAF" w:rsidRPr="005171D2">
        <w:t>Switzerland</w:t>
      </w:r>
      <w:r w:rsidR="00496ABA" w:rsidRPr="005171D2">
        <w:t xml:space="preserve">, </w:t>
      </w:r>
      <w:r w:rsidR="00662112" w:rsidRPr="005171D2">
        <w:t xml:space="preserve">and Turkey. </w:t>
      </w:r>
      <w:r w:rsidR="002C3976" w:rsidRPr="005171D2">
        <w:t>He</w:t>
      </w:r>
      <w:r w:rsidR="003E6505" w:rsidRPr="005171D2">
        <w:t xml:space="preserve"> recalled that </w:t>
      </w:r>
      <w:r w:rsidR="005D7EAF" w:rsidRPr="005171D2">
        <w:t xml:space="preserve">the </w:t>
      </w:r>
      <w:r w:rsidR="002C3976" w:rsidRPr="005171D2">
        <w:t xml:space="preserve">EU had </w:t>
      </w:r>
      <w:r w:rsidR="00962526" w:rsidRPr="005171D2">
        <w:t xml:space="preserve">previously </w:t>
      </w:r>
      <w:r w:rsidR="00496ABA" w:rsidRPr="005171D2">
        <w:t xml:space="preserve">reported </w:t>
      </w:r>
      <w:r w:rsidR="002C3976" w:rsidRPr="005171D2">
        <w:t xml:space="preserve">that some </w:t>
      </w:r>
      <w:r w:rsidR="00662112" w:rsidRPr="005171D2">
        <w:t xml:space="preserve">LDCs </w:t>
      </w:r>
      <w:r w:rsidR="002C3976" w:rsidRPr="005171D2">
        <w:t xml:space="preserve">had </w:t>
      </w:r>
      <w:r w:rsidR="00662112" w:rsidRPr="005171D2">
        <w:t xml:space="preserve">not yet </w:t>
      </w:r>
      <w:r w:rsidR="002C3976" w:rsidRPr="005171D2">
        <w:t xml:space="preserve">completed the necessary steps to move to </w:t>
      </w:r>
      <w:r w:rsidR="00662112" w:rsidRPr="005171D2">
        <w:t>this system</w:t>
      </w:r>
      <w:r w:rsidR="0036211E" w:rsidRPr="005171D2">
        <w:t>,</w:t>
      </w:r>
      <w:r w:rsidR="00662112" w:rsidRPr="005171D2">
        <w:t xml:space="preserve"> </w:t>
      </w:r>
      <w:r w:rsidR="002C3976" w:rsidRPr="005171D2">
        <w:t>and</w:t>
      </w:r>
      <w:r w:rsidR="0036211E" w:rsidRPr="005171D2">
        <w:t xml:space="preserve"> that, in consequence</w:t>
      </w:r>
      <w:r w:rsidR="00662112" w:rsidRPr="005171D2">
        <w:t xml:space="preserve">, </w:t>
      </w:r>
      <w:r w:rsidR="0036211E" w:rsidRPr="005171D2">
        <w:t xml:space="preserve">they </w:t>
      </w:r>
      <w:r w:rsidR="002C3976" w:rsidRPr="005171D2">
        <w:t xml:space="preserve">could not </w:t>
      </w:r>
      <w:r w:rsidR="00662112" w:rsidRPr="005171D2">
        <w:t xml:space="preserve">claim </w:t>
      </w:r>
      <w:r w:rsidR="002C3976" w:rsidRPr="005171D2">
        <w:t xml:space="preserve">tariff </w:t>
      </w:r>
      <w:r w:rsidR="00662112" w:rsidRPr="005171D2">
        <w:t xml:space="preserve">preferences </w:t>
      </w:r>
      <w:r w:rsidR="00992A9B" w:rsidRPr="005171D2">
        <w:t xml:space="preserve">either </w:t>
      </w:r>
      <w:r w:rsidR="00662112" w:rsidRPr="005171D2">
        <w:t xml:space="preserve">in </w:t>
      </w:r>
      <w:r w:rsidR="002C3976" w:rsidRPr="005171D2">
        <w:t>the EU</w:t>
      </w:r>
      <w:r w:rsidR="0036211E" w:rsidRPr="005171D2">
        <w:t> market</w:t>
      </w:r>
      <w:r w:rsidR="002C3976" w:rsidRPr="005171D2">
        <w:t xml:space="preserve"> </w:t>
      </w:r>
      <w:r w:rsidR="00992A9B" w:rsidRPr="005171D2">
        <w:t xml:space="preserve">or </w:t>
      </w:r>
      <w:r w:rsidR="00DE4994" w:rsidRPr="005171D2">
        <w:t xml:space="preserve">in the </w:t>
      </w:r>
      <w:r w:rsidR="0036211E" w:rsidRPr="005171D2">
        <w:t xml:space="preserve">markets of </w:t>
      </w:r>
      <w:r w:rsidR="002C3976" w:rsidRPr="005171D2">
        <w:t xml:space="preserve">other </w:t>
      </w:r>
      <w:r w:rsidR="00662112" w:rsidRPr="005171D2">
        <w:t>Members</w:t>
      </w:r>
      <w:r w:rsidR="00962526" w:rsidRPr="005171D2">
        <w:t xml:space="preserve"> implementing the REX</w:t>
      </w:r>
      <w:r w:rsidR="00AF5354" w:rsidRPr="005171D2">
        <w:t> </w:t>
      </w:r>
      <w:r w:rsidR="00496ABA" w:rsidRPr="005171D2">
        <w:t>system</w:t>
      </w:r>
      <w:r w:rsidR="00662112" w:rsidRPr="005171D2">
        <w:t xml:space="preserve">. </w:t>
      </w:r>
      <w:r w:rsidR="002C3976" w:rsidRPr="005171D2">
        <w:t xml:space="preserve">He invited the </w:t>
      </w:r>
      <w:r w:rsidR="003E6505" w:rsidRPr="005171D2">
        <w:t>EU to update the Committee on recent developments</w:t>
      </w:r>
      <w:r w:rsidR="005A1306" w:rsidRPr="005171D2">
        <w:t xml:space="preserve"> in this regard</w:t>
      </w:r>
      <w:r w:rsidR="003E6505" w:rsidRPr="005171D2">
        <w:t>.</w:t>
      </w:r>
    </w:p>
    <w:p w14:paraId="15CA6239" w14:textId="6F2FD21C" w:rsidR="00DD1FE0" w:rsidRPr="005171D2" w:rsidRDefault="0088316D" w:rsidP="008E79B3">
      <w:pPr>
        <w:pStyle w:val="BodyText"/>
      </w:pPr>
      <w:r w:rsidRPr="005171D2">
        <w:t>Mr</w:t>
      </w:r>
      <w:r w:rsidR="006F23DB" w:rsidRPr="005171D2">
        <w:t> </w:t>
      </w:r>
      <w:proofErr w:type="spellStart"/>
      <w:r w:rsidRPr="005171D2">
        <w:t>Hervé</w:t>
      </w:r>
      <w:proofErr w:type="spellEnd"/>
      <w:r w:rsidRPr="005171D2">
        <w:t xml:space="preserve"> Godin of the Commission </w:t>
      </w:r>
      <w:r w:rsidR="00163A48" w:rsidRPr="005171D2">
        <w:t xml:space="preserve">of the </w:t>
      </w:r>
      <w:r w:rsidR="00163A48" w:rsidRPr="005171D2">
        <w:rPr>
          <w:u w:val="single"/>
        </w:rPr>
        <w:t>European Union</w:t>
      </w:r>
      <w:r w:rsidR="00163A48" w:rsidRPr="005171D2">
        <w:t xml:space="preserve"> </w:t>
      </w:r>
      <w:r w:rsidR="00830C3D" w:rsidRPr="005171D2">
        <w:t>(RD/RO/</w:t>
      </w:r>
      <w:r w:rsidR="002B3526" w:rsidRPr="005171D2">
        <w:t>93</w:t>
      </w:r>
      <w:r w:rsidR="00830C3D" w:rsidRPr="005171D2">
        <w:t>)</w:t>
      </w:r>
      <w:r w:rsidR="00DD1FE0" w:rsidRPr="005171D2">
        <w:t xml:space="preserve"> reminded Members that the REX</w:t>
      </w:r>
      <w:r w:rsidR="00F54014" w:rsidRPr="005171D2">
        <w:t xml:space="preserve"> system </w:t>
      </w:r>
      <w:r w:rsidR="00DD1FE0" w:rsidRPr="005171D2">
        <w:t xml:space="preserve">was a system of self-certification </w:t>
      </w:r>
      <w:r w:rsidR="00BD53B0" w:rsidRPr="005171D2">
        <w:t xml:space="preserve">that </w:t>
      </w:r>
      <w:r w:rsidR="00DD1FE0" w:rsidRPr="005171D2">
        <w:t xml:space="preserve">allowed registered exporters </w:t>
      </w:r>
      <w:r w:rsidR="00BD53B0" w:rsidRPr="005171D2">
        <w:t xml:space="preserve">themselves </w:t>
      </w:r>
      <w:r w:rsidR="00DD1FE0" w:rsidRPr="005171D2">
        <w:t>to attest the origin of their goods as opposed to having to obtain a certificate of origin from an authority. This system would replace certificates of origin ("Form</w:t>
      </w:r>
      <w:r w:rsidR="003A5B67" w:rsidRPr="005171D2">
        <w:t> </w:t>
      </w:r>
      <w:r w:rsidR="00DD1FE0" w:rsidRPr="005171D2">
        <w:t>A") and would be used for all preferential exports to the EU</w:t>
      </w:r>
      <w:r w:rsidR="009B13BC">
        <w:t>;</w:t>
      </w:r>
      <w:r w:rsidR="00DD1FE0" w:rsidRPr="005171D2">
        <w:t xml:space="preserve"> </w:t>
      </w:r>
      <w:r w:rsidR="009B13BC">
        <w:t>Norway;</w:t>
      </w:r>
      <w:r w:rsidR="00DD1FE0" w:rsidRPr="005171D2">
        <w:t xml:space="preserve"> </w:t>
      </w:r>
      <w:r w:rsidR="009B13BC">
        <w:t>Switzerland;</w:t>
      </w:r>
      <w:r w:rsidR="00DD1FE0" w:rsidRPr="005171D2">
        <w:t xml:space="preserve"> and Turkey. In addition, it was used by</w:t>
      </w:r>
      <w:r w:rsidR="00DE4994" w:rsidRPr="005171D2">
        <w:t xml:space="preserve"> operators in</w:t>
      </w:r>
      <w:r w:rsidR="00DD1FE0" w:rsidRPr="005171D2">
        <w:t xml:space="preserve"> Overseas Countries and Territories </w:t>
      </w:r>
      <w:r w:rsidR="00DE4994" w:rsidRPr="005171D2">
        <w:t xml:space="preserve">as well as </w:t>
      </w:r>
      <w:r w:rsidR="00DD1FE0" w:rsidRPr="005171D2">
        <w:t>by EU exporters under preferential trade agreements (</w:t>
      </w:r>
      <w:r w:rsidR="00DE4994" w:rsidRPr="005171D2">
        <w:t>such as those</w:t>
      </w:r>
      <w:r w:rsidR="00FA549F" w:rsidRPr="005171D2">
        <w:t>, for example,</w:t>
      </w:r>
      <w:r w:rsidR="00DE4994" w:rsidRPr="005171D2">
        <w:t xml:space="preserve"> </w:t>
      </w:r>
      <w:r w:rsidR="00DD1FE0" w:rsidRPr="005171D2">
        <w:t xml:space="preserve">with </w:t>
      </w:r>
      <w:r w:rsidR="008E79B3" w:rsidRPr="005171D2">
        <w:t>Canada;</w:t>
      </w:r>
      <w:r w:rsidR="00DD1FE0" w:rsidRPr="005171D2">
        <w:t xml:space="preserve"> </w:t>
      </w:r>
      <w:r w:rsidR="008E79B3" w:rsidRPr="005171D2">
        <w:t>Côte d'Ivoire; Ghana; Japan;</w:t>
      </w:r>
      <w:r w:rsidR="00DD1FE0" w:rsidRPr="005171D2">
        <w:t xml:space="preserve"> </w:t>
      </w:r>
      <w:r w:rsidR="008E79B3" w:rsidRPr="005171D2">
        <w:t xml:space="preserve">and </w:t>
      </w:r>
      <w:r w:rsidR="00DD1FE0" w:rsidRPr="005171D2">
        <w:t>Viet Nam</w:t>
      </w:r>
      <w:r w:rsidR="00FA549F" w:rsidRPr="005171D2">
        <w:t>,</w:t>
      </w:r>
      <w:r w:rsidR="00DD1FE0" w:rsidRPr="005171D2">
        <w:t xml:space="preserve"> </w:t>
      </w:r>
      <w:r w:rsidR="00FA549F" w:rsidRPr="005171D2">
        <w:t xml:space="preserve">as well as </w:t>
      </w:r>
      <w:r w:rsidR="00DD1FE0" w:rsidRPr="005171D2">
        <w:t xml:space="preserve">countries </w:t>
      </w:r>
      <w:r w:rsidR="00FA549F" w:rsidRPr="005171D2">
        <w:t xml:space="preserve">that had </w:t>
      </w:r>
      <w:r w:rsidR="00DD1FE0" w:rsidRPr="005171D2">
        <w:t xml:space="preserve">signed Economic Partnership Agreements with the EU). The </w:t>
      </w:r>
      <w:r w:rsidR="00FA549F" w:rsidRPr="005171D2">
        <w:t xml:space="preserve">REX system </w:t>
      </w:r>
      <w:r w:rsidR="00DD1FE0" w:rsidRPr="005171D2">
        <w:t xml:space="preserve">already </w:t>
      </w:r>
      <w:r w:rsidR="00FA549F" w:rsidRPr="005171D2">
        <w:t xml:space="preserve">had </w:t>
      </w:r>
      <w:r w:rsidR="00DD1FE0" w:rsidRPr="005171D2">
        <w:t xml:space="preserve">more than </w:t>
      </w:r>
      <w:r w:rsidR="00F23903" w:rsidRPr="005171D2">
        <w:t>54,000 </w:t>
      </w:r>
      <w:r w:rsidR="00DD1FE0" w:rsidRPr="005171D2">
        <w:t>users in beneficiary countries (</w:t>
      </w:r>
      <w:r w:rsidR="00F23903" w:rsidRPr="005171D2">
        <w:t xml:space="preserve">including </w:t>
      </w:r>
      <w:r w:rsidR="00DD1FE0" w:rsidRPr="005171D2">
        <w:t xml:space="preserve">large numbers in India and Pakistan) and over </w:t>
      </w:r>
      <w:r w:rsidR="00F23903" w:rsidRPr="005171D2">
        <w:t xml:space="preserve">48,000 users </w:t>
      </w:r>
      <w:r w:rsidR="00DD1FE0" w:rsidRPr="005171D2">
        <w:t xml:space="preserve">in the EU, Norway, </w:t>
      </w:r>
      <w:r w:rsidR="00F23903" w:rsidRPr="005171D2">
        <w:t>Switzerland,</w:t>
      </w:r>
      <w:r w:rsidR="00DD1FE0" w:rsidRPr="005171D2">
        <w:t xml:space="preserve"> and Turkey. Regarding the </w:t>
      </w:r>
      <w:r w:rsidR="00F23903" w:rsidRPr="005171D2">
        <w:t xml:space="preserve">system's </w:t>
      </w:r>
      <w:r w:rsidR="00DD1FE0" w:rsidRPr="005171D2">
        <w:t xml:space="preserve">current state of </w:t>
      </w:r>
      <w:r w:rsidR="00DE4994" w:rsidRPr="005171D2">
        <w:t>implementation</w:t>
      </w:r>
      <w:r w:rsidR="00DD1FE0" w:rsidRPr="005171D2">
        <w:t>, Mr</w:t>
      </w:r>
      <w:r w:rsidR="00F23903" w:rsidRPr="005171D2">
        <w:t> </w:t>
      </w:r>
      <w:r w:rsidR="00DD1FE0" w:rsidRPr="005171D2">
        <w:t>Godin explained that 21</w:t>
      </w:r>
      <w:r w:rsidR="003A5B67" w:rsidRPr="005171D2">
        <w:t> </w:t>
      </w:r>
      <w:r w:rsidR="00DD1FE0" w:rsidRPr="005171D2">
        <w:t>beneficiary countries had requested an additional extension of the transition period</w:t>
      </w:r>
      <w:r w:rsidR="00F23903" w:rsidRPr="005171D2">
        <w:t>,</w:t>
      </w:r>
      <w:r w:rsidR="00DD1FE0" w:rsidRPr="005171D2">
        <w:t xml:space="preserve"> until 31</w:t>
      </w:r>
      <w:r w:rsidR="003A5B67" w:rsidRPr="005171D2">
        <w:t> </w:t>
      </w:r>
      <w:r w:rsidR="00DD1FE0" w:rsidRPr="005171D2">
        <w:t>December</w:t>
      </w:r>
      <w:r w:rsidR="003A5B67" w:rsidRPr="005171D2">
        <w:t> </w:t>
      </w:r>
      <w:r w:rsidR="00DD1FE0" w:rsidRPr="005171D2">
        <w:t xml:space="preserve">2020. </w:t>
      </w:r>
      <w:r w:rsidR="00DE4994" w:rsidRPr="005171D2">
        <w:t>The</w:t>
      </w:r>
      <w:r w:rsidR="00DD1FE0" w:rsidRPr="005171D2">
        <w:t xml:space="preserve"> extension had been granted on </w:t>
      </w:r>
      <w:r w:rsidR="00F23903" w:rsidRPr="005171D2">
        <w:t xml:space="preserve">the following </w:t>
      </w:r>
      <w:r w:rsidR="00DD1FE0" w:rsidRPr="005171D2">
        <w:t>condition</w:t>
      </w:r>
      <w:r w:rsidR="00F23903" w:rsidRPr="005171D2">
        <w:t>s:</w:t>
      </w:r>
      <w:r w:rsidR="00DD1FE0" w:rsidRPr="005171D2">
        <w:t xml:space="preserve"> </w:t>
      </w:r>
      <w:r w:rsidR="00F23903" w:rsidRPr="005171D2">
        <w:t>(</w:t>
      </w:r>
      <w:proofErr w:type="spellStart"/>
      <w:r w:rsidR="00F23903" w:rsidRPr="005171D2">
        <w:t>i</w:t>
      </w:r>
      <w:proofErr w:type="spellEnd"/>
      <w:r w:rsidR="00F23903" w:rsidRPr="005171D2">
        <w:t xml:space="preserve">) they </w:t>
      </w:r>
      <w:r w:rsidR="00DD1FE0" w:rsidRPr="005171D2">
        <w:t xml:space="preserve">could </w:t>
      </w:r>
      <w:r w:rsidR="00F23903" w:rsidRPr="005171D2">
        <w:t xml:space="preserve">demonstrate </w:t>
      </w:r>
      <w:r w:rsidR="00DD1FE0" w:rsidRPr="005171D2">
        <w:t xml:space="preserve">the difficulties </w:t>
      </w:r>
      <w:r w:rsidR="00F23903" w:rsidRPr="005171D2">
        <w:t xml:space="preserve">that </w:t>
      </w:r>
      <w:r w:rsidR="00DD1FE0" w:rsidRPr="005171D2">
        <w:t>they faced</w:t>
      </w:r>
      <w:r w:rsidR="00F23903" w:rsidRPr="005171D2">
        <w:t xml:space="preserve">; </w:t>
      </w:r>
      <w:r w:rsidR="00DD1FE0" w:rsidRPr="005171D2">
        <w:t xml:space="preserve">they prepared a workplan </w:t>
      </w:r>
      <w:r w:rsidR="00DE4994" w:rsidRPr="005171D2">
        <w:t xml:space="preserve">of steps </w:t>
      </w:r>
      <w:r w:rsidR="00DD1FE0" w:rsidRPr="005171D2">
        <w:t>to introduce the system</w:t>
      </w:r>
      <w:r w:rsidR="00F23903" w:rsidRPr="005171D2">
        <w:t>;</w:t>
      </w:r>
      <w:r w:rsidR="00DD1FE0" w:rsidRPr="005171D2">
        <w:t xml:space="preserve"> and </w:t>
      </w:r>
      <w:r w:rsidR="00F23903" w:rsidRPr="005171D2">
        <w:t>(iii)</w:t>
      </w:r>
      <w:r w:rsidR="00DD1FE0" w:rsidRPr="005171D2">
        <w:t xml:space="preserve"> they submitted a progress report. After </w:t>
      </w:r>
      <w:r w:rsidR="00F23903" w:rsidRPr="005171D2">
        <w:t xml:space="preserve">the </w:t>
      </w:r>
      <w:r w:rsidR="00DD1FE0" w:rsidRPr="005171D2">
        <w:t>deadline, all beneficiary countries that had not implemented the REX</w:t>
      </w:r>
      <w:r w:rsidR="003A5B67" w:rsidRPr="005171D2">
        <w:t> </w:t>
      </w:r>
      <w:r w:rsidR="00F23903" w:rsidRPr="005171D2">
        <w:t xml:space="preserve">system </w:t>
      </w:r>
      <w:r w:rsidR="00DD1FE0" w:rsidRPr="005171D2">
        <w:t xml:space="preserve">would no longer be </w:t>
      </w:r>
      <w:r w:rsidR="00F23903" w:rsidRPr="005171D2">
        <w:t xml:space="preserve">eligible </w:t>
      </w:r>
      <w:r w:rsidR="00DD1FE0" w:rsidRPr="005171D2">
        <w:t>to receive preferences under the EU's general</w:t>
      </w:r>
      <w:r w:rsidR="00F23903" w:rsidRPr="005171D2">
        <w:t>ized</w:t>
      </w:r>
      <w:r w:rsidR="00DD1FE0" w:rsidRPr="005171D2">
        <w:t xml:space="preserve"> system of preferences.</w:t>
      </w:r>
      <w:r w:rsidR="00DE4994" w:rsidRPr="005171D2">
        <w:t xml:space="preserve"> Some</w:t>
      </w:r>
      <w:r w:rsidR="009B13BC">
        <w:t> </w:t>
      </w:r>
      <w:r w:rsidR="00DE4994" w:rsidRPr="005171D2">
        <w:t xml:space="preserve">LDCs were not covered by this new extension period and were therefore </w:t>
      </w:r>
      <w:r w:rsidR="00F23903" w:rsidRPr="005171D2">
        <w:t xml:space="preserve">ineligible </w:t>
      </w:r>
      <w:r w:rsidR="00DE4994" w:rsidRPr="005171D2">
        <w:t>to claim preferences at present.</w:t>
      </w:r>
      <w:r w:rsidR="00DD1FE0" w:rsidRPr="005171D2">
        <w:t xml:space="preserve"> Mr</w:t>
      </w:r>
      <w:r w:rsidR="003A5B67" w:rsidRPr="005171D2">
        <w:t> </w:t>
      </w:r>
      <w:r w:rsidR="00DD1FE0" w:rsidRPr="005171D2">
        <w:t>Godin explained that the EU</w:t>
      </w:r>
      <w:r w:rsidR="003A5B67" w:rsidRPr="005171D2">
        <w:t> </w:t>
      </w:r>
      <w:r w:rsidR="00DD1FE0" w:rsidRPr="005171D2">
        <w:t xml:space="preserve">Commission continued to reach out to beneficiary countries to offer them training programmes to </w:t>
      </w:r>
      <w:r w:rsidR="00F23903" w:rsidRPr="005171D2">
        <w:t xml:space="preserve">assist them in </w:t>
      </w:r>
      <w:r w:rsidR="00DD1FE0" w:rsidRPr="005171D2">
        <w:t>implement</w:t>
      </w:r>
      <w:r w:rsidR="00F23903" w:rsidRPr="005171D2">
        <w:t>ing</w:t>
      </w:r>
      <w:r w:rsidR="00DD1FE0" w:rsidRPr="005171D2">
        <w:t xml:space="preserve"> the REX</w:t>
      </w:r>
      <w:r w:rsidR="003A5B67" w:rsidRPr="005171D2">
        <w:t> </w:t>
      </w:r>
      <w:r w:rsidR="00F23903" w:rsidRPr="005171D2">
        <w:t>system</w:t>
      </w:r>
      <w:r w:rsidR="00DD1FE0" w:rsidRPr="005171D2">
        <w:t>.</w:t>
      </w:r>
    </w:p>
    <w:p w14:paraId="1026D6F2" w14:textId="42D110AD" w:rsidR="00DD1FE0" w:rsidRPr="005171D2" w:rsidRDefault="00DD1FE0" w:rsidP="00DD1FE0">
      <w:pPr>
        <w:pStyle w:val="BodyText"/>
      </w:pPr>
      <w:r w:rsidRPr="005171D2">
        <w:t xml:space="preserve">The representative of </w:t>
      </w:r>
      <w:r w:rsidRPr="005171D2">
        <w:rPr>
          <w:u w:val="single"/>
        </w:rPr>
        <w:t>Tanzania</w:t>
      </w:r>
      <w:r w:rsidRPr="005171D2">
        <w:t xml:space="preserve"> thanked the EU for its comprehensive report and for engaging favourably with </w:t>
      </w:r>
      <w:r w:rsidR="0043649D" w:rsidRPr="005171D2">
        <w:t xml:space="preserve">those </w:t>
      </w:r>
      <w:r w:rsidRPr="005171D2">
        <w:t>LDCs that required additional time to move to the REX</w:t>
      </w:r>
      <w:r w:rsidR="003A5B67" w:rsidRPr="005171D2">
        <w:t> </w:t>
      </w:r>
      <w:r w:rsidR="0043649D" w:rsidRPr="005171D2">
        <w:t>system</w:t>
      </w:r>
      <w:r w:rsidRPr="005171D2">
        <w:t xml:space="preserve">. He </w:t>
      </w:r>
      <w:r w:rsidR="00DF1035" w:rsidRPr="005171D2">
        <w:t xml:space="preserve">asked if </w:t>
      </w:r>
      <w:r w:rsidRPr="005171D2">
        <w:t xml:space="preserve">an additional extension of the deadline </w:t>
      </w:r>
      <w:r w:rsidR="00DF1035" w:rsidRPr="005171D2">
        <w:t xml:space="preserve">might be </w:t>
      </w:r>
      <w:r w:rsidRPr="005171D2">
        <w:t xml:space="preserve">warranted, particularly </w:t>
      </w:r>
      <w:proofErr w:type="gramStart"/>
      <w:r w:rsidRPr="005171D2">
        <w:t>in light of</w:t>
      </w:r>
      <w:proofErr w:type="gramEnd"/>
      <w:r w:rsidRPr="005171D2">
        <w:t xml:space="preserve"> the difficulties </w:t>
      </w:r>
      <w:r w:rsidR="00DF1035" w:rsidRPr="005171D2">
        <w:t xml:space="preserve">caused </w:t>
      </w:r>
      <w:r w:rsidRPr="005171D2">
        <w:t>by the COVID-19</w:t>
      </w:r>
      <w:r w:rsidR="003A5B67" w:rsidRPr="005171D2">
        <w:t> </w:t>
      </w:r>
      <w:r w:rsidRPr="005171D2">
        <w:t>pandemic. He asked the EU to continue raising awareness about the REX</w:t>
      </w:r>
      <w:r w:rsidR="003A5B67" w:rsidRPr="005171D2">
        <w:t> </w:t>
      </w:r>
      <w:r w:rsidRPr="005171D2">
        <w:t xml:space="preserve">system among LDCs to ensure that </w:t>
      </w:r>
      <w:r w:rsidR="00DE4994" w:rsidRPr="005171D2">
        <w:t xml:space="preserve">more </w:t>
      </w:r>
      <w:r w:rsidRPr="005171D2">
        <w:t>companies in LDC</w:t>
      </w:r>
      <w:r w:rsidR="00DE4994" w:rsidRPr="005171D2">
        <w:t>s</w:t>
      </w:r>
      <w:r w:rsidRPr="005171D2">
        <w:t xml:space="preserve"> could register </w:t>
      </w:r>
      <w:r w:rsidR="00DF1035" w:rsidRPr="005171D2">
        <w:t xml:space="preserve">for </w:t>
      </w:r>
      <w:r w:rsidRPr="005171D2">
        <w:t>self</w:t>
      </w:r>
      <w:r w:rsidR="003A5B67" w:rsidRPr="005171D2">
        <w:noBreakHyphen/>
      </w:r>
      <w:r w:rsidRPr="005171D2">
        <w:t>certification</w:t>
      </w:r>
      <w:r w:rsidR="00DE4994" w:rsidRPr="005171D2">
        <w:t xml:space="preserve"> and </w:t>
      </w:r>
      <w:r w:rsidR="00DF1035" w:rsidRPr="005171D2">
        <w:t xml:space="preserve">thereby </w:t>
      </w:r>
      <w:r w:rsidR="00DE4994" w:rsidRPr="005171D2">
        <w:t xml:space="preserve">benefit from </w:t>
      </w:r>
      <w:r w:rsidR="0043649D" w:rsidRPr="005171D2">
        <w:t xml:space="preserve">the </w:t>
      </w:r>
      <w:r w:rsidR="00DE4994" w:rsidRPr="005171D2">
        <w:t>preferences</w:t>
      </w:r>
      <w:r w:rsidR="0043649D" w:rsidRPr="005171D2">
        <w:t xml:space="preserve"> available</w:t>
      </w:r>
      <w:r w:rsidRPr="005171D2">
        <w:t>.</w:t>
      </w:r>
    </w:p>
    <w:p w14:paraId="3D10B8E5" w14:textId="605B711B" w:rsidR="00DD1FE0" w:rsidRPr="005171D2" w:rsidRDefault="00DD1FE0" w:rsidP="00DD1FE0">
      <w:pPr>
        <w:pStyle w:val="BodyText"/>
      </w:pPr>
      <w:r w:rsidRPr="005171D2">
        <w:t xml:space="preserve">The </w:t>
      </w:r>
      <w:r w:rsidR="0043649D" w:rsidRPr="005171D2">
        <w:rPr>
          <w:u w:val="single"/>
        </w:rPr>
        <w:t>European Union</w:t>
      </w:r>
      <w:r w:rsidR="0043649D" w:rsidRPr="005171D2">
        <w:t xml:space="preserve"> </w:t>
      </w:r>
      <w:r w:rsidRPr="005171D2">
        <w:t>clarified that the EU</w:t>
      </w:r>
      <w:r w:rsidR="003A5B67" w:rsidRPr="005171D2">
        <w:t> </w:t>
      </w:r>
      <w:r w:rsidRPr="005171D2">
        <w:t xml:space="preserve">Commission did </w:t>
      </w:r>
      <w:r w:rsidR="00741891" w:rsidRPr="005171D2">
        <w:t xml:space="preserve">regularly </w:t>
      </w:r>
      <w:r w:rsidRPr="005171D2">
        <w:t xml:space="preserve">organize awareness-raising campaigns to train economic operators and government officials. In addition to face-to-face and </w:t>
      </w:r>
      <w:r w:rsidR="00C13CCA" w:rsidRPr="005171D2">
        <w:t xml:space="preserve">virtual </w:t>
      </w:r>
      <w:r w:rsidRPr="005171D2">
        <w:t xml:space="preserve">training activities, the EU had prepared guidance notes and an e-learning course explaining in detail how the </w:t>
      </w:r>
      <w:r w:rsidR="00DE4994" w:rsidRPr="005171D2">
        <w:t>s</w:t>
      </w:r>
      <w:r w:rsidRPr="005171D2">
        <w:t xml:space="preserve">ystem worked. </w:t>
      </w:r>
      <w:r w:rsidR="00C13CCA" w:rsidRPr="005171D2">
        <w:t>Nevertheless</w:t>
      </w:r>
      <w:r w:rsidRPr="005171D2">
        <w:t xml:space="preserve">, </w:t>
      </w:r>
      <w:r w:rsidR="00C13CCA" w:rsidRPr="005171D2">
        <w:t xml:space="preserve">he agreed </w:t>
      </w:r>
      <w:r w:rsidRPr="005171D2">
        <w:t xml:space="preserve">that more work was needed. </w:t>
      </w:r>
      <w:r w:rsidR="00C13CCA" w:rsidRPr="005171D2">
        <w:t>Regarding</w:t>
      </w:r>
      <w:r w:rsidRPr="005171D2">
        <w:t xml:space="preserve"> </w:t>
      </w:r>
      <w:r w:rsidR="00C13CCA" w:rsidRPr="005171D2">
        <w:t xml:space="preserve">a further </w:t>
      </w:r>
      <w:r w:rsidRPr="005171D2">
        <w:t xml:space="preserve">extension of the implementation deadline, he explained that all the countries that had requested an extension seemed to be </w:t>
      </w:r>
      <w:r w:rsidR="00C13CCA" w:rsidRPr="005171D2">
        <w:t xml:space="preserve">well </w:t>
      </w:r>
      <w:r w:rsidRPr="005171D2">
        <w:t xml:space="preserve">on track to implementing the </w:t>
      </w:r>
      <w:r w:rsidR="00C13CCA" w:rsidRPr="005171D2">
        <w:t>system</w:t>
      </w:r>
      <w:r w:rsidR="00D366BD" w:rsidRPr="005171D2">
        <w:t>; for this reason, there appeared to be no need for an extension at that</w:t>
      </w:r>
      <w:r w:rsidRPr="005171D2">
        <w:t xml:space="preserve"> time.</w:t>
      </w:r>
    </w:p>
    <w:p w14:paraId="4591F0F4" w14:textId="2F0F121E" w:rsidR="00DD1FE0" w:rsidRPr="005171D2" w:rsidRDefault="00DD1FE0" w:rsidP="00DD1FE0">
      <w:pPr>
        <w:pStyle w:val="BodyText"/>
      </w:pPr>
      <w:r w:rsidRPr="005171D2">
        <w:t xml:space="preserve">The Committee </w:t>
      </w:r>
      <w:r w:rsidRPr="005171D2">
        <w:rPr>
          <w:u w:val="single"/>
        </w:rPr>
        <w:t>took note</w:t>
      </w:r>
      <w:r w:rsidRPr="005171D2">
        <w:t xml:space="preserve"> of the update and statements made.</w:t>
      </w:r>
    </w:p>
    <w:p w14:paraId="3B3980AE" w14:textId="77777777" w:rsidR="004F0C58" w:rsidRPr="005171D2" w:rsidRDefault="002E4720" w:rsidP="008549EC">
      <w:pPr>
        <w:pStyle w:val="Heading3"/>
      </w:pPr>
      <w:bookmarkStart w:id="12" w:name="_Toc39610307"/>
      <w:bookmarkStart w:id="13" w:name="_Toc63067721"/>
      <w:r w:rsidRPr="005171D2">
        <w:t>Report of Recent Developments Related to Preferential Rules of Origin for LDCs by Other Preference-Granting Members</w:t>
      </w:r>
      <w:bookmarkEnd w:id="12"/>
      <w:bookmarkEnd w:id="13"/>
    </w:p>
    <w:bookmarkEnd w:id="2"/>
    <w:p w14:paraId="280A73A5" w14:textId="1F0F3E15" w:rsidR="002E4720" w:rsidRPr="005171D2" w:rsidRDefault="000C5CFA" w:rsidP="006A01C0">
      <w:pPr>
        <w:pStyle w:val="BodyText"/>
      </w:pPr>
      <w:r w:rsidRPr="005171D2">
        <w:t>T</w:t>
      </w:r>
      <w:r w:rsidR="00393C77" w:rsidRPr="005171D2">
        <w:t xml:space="preserve">he </w:t>
      </w:r>
      <w:r w:rsidR="00393C77" w:rsidRPr="005171D2">
        <w:rPr>
          <w:u w:val="single"/>
        </w:rPr>
        <w:t>Chairperson</w:t>
      </w:r>
      <w:r w:rsidR="002E4720" w:rsidRPr="005171D2">
        <w:t xml:space="preserve"> offer</w:t>
      </w:r>
      <w:r w:rsidR="00393C77" w:rsidRPr="005171D2">
        <w:t>ed</w:t>
      </w:r>
      <w:r w:rsidR="002E4720" w:rsidRPr="005171D2">
        <w:t xml:space="preserve"> other preference-granting Members an opportunity to update the Committee on any recent developments. </w:t>
      </w:r>
      <w:r w:rsidR="00393C77" w:rsidRPr="005171D2">
        <w:t xml:space="preserve">These updates would be </w:t>
      </w:r>
      <w:r w:rsidRPr="005171D2">
        <w:t xml:space="preserve">compiled in the Committee's </w:t>
      </w:r>
      <w:r w:rsidR="00D366BD" w:rsidRPr="005171D2">
        <w:t>end</w:t>
      </w:r>
      <w:r w:rsidR="00D366BD" w:rsidRPr="005171D2">
        <w:noBreakHyphen/>
        <w:t xml:space="preserve">year </w:t>
      </w:r>
      <w:r w:rsidRPr="005171D2">
        <w:t xml:space="preserve">report </w:t>
      </w:r>
      <w:r w:rsidR="002E4720" w:rsidRPr="005171D2">
        <w:t>to the General Council</w:t>
      </w:r>
      <w:r w:rsidR="009D7447" w:rsidRPr="005171D2">
        <w:t>.</w:t>
      </w:r>
    </w:p>
    <w:p w14:paraId="0E6269E8" w14:textId="30617230" w:rsidR="00822183" w:rsidRPr="005171D2" w:rsidRDefault="00822183" w:rsidP="00822183">
      <w:pPr>
        <w:pStyle w:val="BodyText"/>
      </w:pPr>
      <w:r w:rsidRPr="005171D2">
        <w:t xml:space="preserve">The representative of the </w:t>
      </w:r>
      <w:r w:rsidRPr="005171D2">
        <w:rPr>
          <w:u w:val="single"/>
        </w:rPr>
        <w:t>United Kingdom</w:t>
      </w:r>
      <w:r w:rsidRPr="005171D2">
        <w:t xml:space="preserve"> </w:t>
      </w:r>
      <w:r w:rsidR="00ED5C63" w:rsidRPr="005171D2">
        <w:t>confirmed</w:t>
      </w:r>
      <w:r w:rsidRPr="005171D2">
        <w:t xml:space="preserve"> that his government was committed to the Bali and Nairobi Ministerial Decisions and that it supported the efforts of LDCs towards their </w:t>
      </w:r>
      <w:r w:rsidRPr="005171D2">
        <w:lastRenderedPageBreak/>
        <w:t>implementation. The</w:t>
      </w:r>
      <w:r w:rsidR="00ED5C63" w:rsidRPr="005171D2">
        <w:t xml:space="preserve"> UK</w:t>
      </w:r>
      <w:r w:rsidRPr="005171D2">
        <w:t xml:space="preserve"> intended to notify its non-reciprocal preferential rules of origin for LDCs at the earliest opportunity. In the meantime, he clarified that the UK was in a transition period with the European Union until 31</w:t>
      </w:r>
      <w:r w:rsidR="003A5B67" w:rsidRPr="005171D2">
        <w:t> </w:t>
      </w:r>
      <w:r w:rsidRPr="005171D2">
        <w:t>December</w:t>
      </w:r>
      <w:r w:rsidR="003A5B67" w:rsidRPr="005171D2">
        <w:t> </w:t>
      </w:r>
      <w:r w:rsidRPr="005171D2">
        <w:t xml:space="preserve">2020, at which point the European Union's </w:t>
      </w:r>
      <w:r w:rsidR="00D600D2" w:rsidRPr="005171D2">
        <w:t>Generalized System of Preferences (</w:t>
      </w:r>
      <w:r w:rsidRPr="005171D2">
        <w:t>GSP</w:t>
      </w:r>
      <w:r w:rsidR="00D600D2" w:rsidRPr="005171D2">
        <w:t>)</w:t>
      </w:r>
      <w:r w:rsidRPr="005171D2">
        <w:t xml:space="preserve"> would cease to apply and the U</w:t>
      </w:r>
      <w:r w:rsidR="00D600D2" w:rsidRPr="005171D2">
        <w:t>K</w:t>
      </w:r>
      <w:r w:rsidRPr="005171D2">
        <w:t>'s independent GSP would come into force. The UK's GSP had been designed to ensure maximum continuity of effect from the EU's GSP. As such, after the end of the transition period, LDC</w:t>
      </w:r>
      <w:r w:rsidR="00E23BE0" w:rsidRPr="005171D2">
        <w:t> </w:t>
      </w:r>
      <w:r w:rsidRPr="005171D2">
        <w:t xml:space="preserve">businesses would be able to export to the </w:t>
      </w:r>
      <w:r w:rsidR="00E23BE0" w:rsidRPr="005171D2">
        <w:t>UK</w:t>
      </w:r>
      <w:r w:rsidRPr="005171D2">
        <w:t xml:space="preserve"> under conditions </w:t>
      </w:r>
      <w:proofErr w:type="gramStart"/>
      <w:r w:rsidR="00ED5C63" w:rsidRPr="005171D2">
        <w:t xml:space="preserve">similar </w:t>
      </w:r>
      <w:r w:rsidRPr="005171D2">
        <w:t>to</w:t>
      </w:r>
      <w:proofErr w:type="gramEnd"/>
      <w:r w:rsidRPr="005171D2">
        <w:t xml:space="preserve"> those that applied currently. </w:t>
      </w:r>
      <w:r w:rsidR="00E23BE0" w:rsidRPr="005171D2">
        <w:t xml:space="preserve">As </w:t>
      </w:r>
      <w:r w:rsidRPr="005171D2">
        <w:t>of 1</w:t>
      </w:r>
      <w:r w:rsidR="003A5B67" w:rsidRPr="005171D2">
        <w:t> </w:t>
      </w:r>
      <w:r w:rsidRPr="005171D2">
        <w:t>January</w:t>
      </w:r>
      <w:r w:rsidR="003A5B67" w:rsidRPr="005171D2">
        <w:t> </w:t>
      </w:r>
      <w:r w:rsidRPr="005171D2">
        <w:t>2021, the UK's GSP would provide continuity through both replicating trade preferences for the same Members, as well as the three-tiered framework of the current EU</w:t>
      </w:r>
      <w:r w:rsidR="009B13BC">
        <w:t xml:space="preserve"> </w:t>
      </w:r>
      <w:r w:rsidRPr="005171D2">
        <w:t>system. It would also be governed by the same product</w:t>
      </w:r>
      <w:r w:rsidR="009B13BC">
        <w:noBreakHyphen/>
        <w:t>s</w:t>
      </w:r>
      <w:r w:rsidRPr="005171D2">
        <w:t xml:space="preserve">pecific rules </w:t>
      </w:r>
      <w:r w:rsidR="00ED5C63" w:rsidRPr="005171D2">
        <w:t xml:space="preserve">of origin </w:t>
      </w:r>
      <w:r w:rsidRPr="005171D2">
        <w:t xml:space="preserve">as those currently in force between the </w:t>
      </w:r>
      <w:r w:rsidR="00ED5C63" w:rsidRPr="005171D2">
        <w:t xml:space="preserve">EU </w:t>
      </w:r>
      <w:r w:rsidRPr="005171D2">
        <w:t>and GSP</w:t>
      </w:r>
      <w:r w:rsidR="003A5B67" w:rsidRPr="005171D2">
        <w:t> </w:t>
      </w:r>
      <w:r w:rsidRPr="005171D2">
        <w:t>beneficiary Members. Many of the general provisions would remain unchanged</w:t>
      </w:r>
      <w:r w:rsidR="00ED5C63" w:rsidRPr="005171D2">
        <w:t>,</w:t>
      </w:r>
      <w:r w:rsidRPr="005171D2">
        <w:t xml:space="preserve"> including rules relating to tolerance and non</w:t>
      </w:r>
      <w:r w:rsidR="003A5B67" w:rsidRPr="005171D2">
        <w:noBreakHyphen/>
      </w:r>
      <w:r w:rsidRPr="005171D2">
        <w:t>manipulation. Additionally, the possibilities for cumulation would also be largely similar. One</w:t>
      </w:r>
      <w:r w:rsidR="003A5B67" w:rsidRPr="005171D2">
        <w:t> </w:t>
      </w:r>
      <w:r w:rsidRPr="005171D2">
        <w:t>notable point of difference</w:t>
      </w:r>
      <w:r w:rsidR="00ED5C63" w:rsidRPr="005171D2">
        <w:t xml:space="preserve">, he explained, was that </w:t>
      </w:r>
      <w:r w:rsidRPr="005171D2">
        <w:t>the independent UK</w:t>
      </w:r>
      <w:r w:rsidR="003A5B67" w:rsidRPr="005171D2">
        <w:t> </w:t>
      </w:r>
      <w:r w:rsidRPr="005171D2">
        <w:t xml:space="preserve">scheme would </w:t>
      </w:r>
      <w:r w:rsidR="00ED5C63" w:rsidRPr="005171D2">
        <w:t>require</w:t>
      </w:r>
      <w:r w:rsidRPr="005171D2">
        <w:t xml:space="preserve"> a valid proof of origin. This would need to be made out and signed by the exporter in the GSP</w:t>
      </w:r>
      <w:r w:rsidR="00E23BE0" w:rsidRPr="005171D2">
        <w:t> </w:t>
      </w:r>
      <w:r w:rsidRPr="005171D2">
        <w:t xml:space="preserve">country and </w:t>
      </w:r>
      <w:r w:rsidR="00E23BE0" w:rsidRPr="005171D2">
        <w:t xml:space="preserve">take </w:t>
      </w:r>
      <w:r w:rsidRPr="005171D2">
        <w:t xml:space="preserve">the form either </w:t>
      </w:r>
      <w:r w:rsidR="00E23BE0" w:rsidRPr="005171D2">
        <w:t xml:space="preserve">of </w:t>
      </w:r>
      <w:r w:rsidRPr="005171D2">
        <w:t>a GSP</w:t>
      </w:r>
      <w:r w:rsidR="003A5B67" w:rsidRPr="005171D2">
        <w:t> </w:t>
      </w:r>
      <w:r w:rsidRPr="005171D2">
        <w:t>Form</w:t>
      </w:r>
      <w:r w:rsidR="003A5B67" w:rsidRPr="005171D2">
        <w:t> </w:t>
      </w:r>
      <w:r w:rsidRPr="005171D2">
        <w:t xml:space="preserve">A, which could be accepted unstamped, or an origin declaration. These changes would maintain a low administrative burden on LDCs in line with </w:t>
      </w:r>
      <w:r w:rsidR="00E23BE0" w:rsidRPr="005171D2">
        <w:t xml:space="preserve">the </w:t>
      </w:r>
      <w:r w:rsidRPr="005171D2">
        <w:t>commitments made as part of the 2015</w:t>
      </w:r>
      <w:r w:rsidR="003A5B67" w:rsidRPr="005171D2">
        <w:t> </w:t>
      </w:r>
      <w:r w:rsidRPr="005171D2">
        <w:t>Nairobi Decision. Further details had been published on 10</w:t>
      </w:r>
      <w:r w:rsidR="003A5B67" w:rsidRPr="005171D2">
        <w:t> </w:t>
      </w:r>
      <w:r w:rsidRPr="005171D2">
        <w:t>November</w:t>
      </w:r>
      <w:r w:rsidR="003A5B67" w:rsidRPr="005171D2">
        <w:t> </w:t>
      </w:r>
      <w:r w:rsidRPr="005171D2">
        <w:t>2020 (</w:t>
      </w:r>
      <w:hyperlink r:id="rId9" w:history="1">
        <w:r w:rsidR="009B13BC" w:rsidRPr="000B232E">
          <w:rPr>
            <w:rStyle w:val="Hyperlink"/>
          </w:rPr>
          <w:t>www.gov.uk</w:t>
        </w:r>
      </w:hyperlink>
      <w:r w:rsidR="009B13BC">
        <w:t>)</w:t>
      </w:r>
      <w:r w:rsidRPr="005171D2">
        <w:t>.</w:t>
      </w:r>
    </w:p>
    <w:p w14:paraId="7085B182" w14:textId="1F780817" w:rsidR="00822183" w:rsidRPr="005171D2" w:rsidRDefault="00822183" w:rsidP="00822183">
      <w:pPr>
        <w:pStyle w:val="BodyText"/>
      </w:pPr>
      <w:r w:rsidRPr="005171D2">
        <w:t xml:space="preserve">The representative of </w:t>
      </w:r>
      <w:r w:rsidRPr="005171D2">
        <w:rPr>
          <w:u w:val="single"/>
        </w:rPr>
        <w:t>Tanzania</w:t>
      </w:r>
      <w:r w:rsidRPr="005171D2">
        <w:t xml:space="preserve"> expressed appreciation to the government of the UK for taking early action to avoid any interruption </w:t>
      </w:r>
      <w:r w:rsidR="00FC52BA" w:rsidRPr="005171D2">
        <w:t xml:space="preserve">to its </w:t>
      </w:r>
      <w:r w:rsidRPr="005171D2">
        <w:t>trade preferences. He also appreciated the efforts being made to ensure that the new rules of origin would be in line with the Nairobi Ministerial Decision.</w:t>
      </w:r>
    </w:p>
    <w:p w14:paraId="53F7CC53" w14:textId="5ADB2BBA" w:rsidR="00822183" w:rsidRPr="005171D2" w:rsidRDefault="00822183" w:rsidP="00822183">
      <w:pPr>
        <w:pStyle w:val="BodyText"/>
      </w:pPr>
      <w:r w:rsidRPr="005171D2">
        <w:t xml:space="preserve">The </w:t>
      </w:r>
      <w:r w:rsidRPr="005171D2">
        <w:rPr>
          <w:u w:val="single"/>
        </w:rPr>
        <w:t>Chairperson</w:t>
      </w:r>
      <w:r w:rsidRPr="005171D2">
        <w:t xml:space="preserve"> thanked the </w:t>
      </w:r>
      <w:r w:rsidR="00FC52BA" w:rsidRPr="005171D2">
        <w:t>UK and</w:t>
      </w:r>
      <w:r w:rsidRPr="005171D2">
        <w:t xml:space="preserve"> invited all other preference</w:t>
      </w:r>
      <w:r w:rsidR="003A5B67" w:rsidRPr="005171D2">
        <w:noBreakHyphen/>
      </w:r>
      <w:r w:rsidRPr="005171D2">
        <w:t xml:space="preserve">granting Members to examine their rules </w:t>
      </w:r>
      <w:proofErr w:type="gramStart"/>
      <w:r w:rsidRPr="005171D2">
        <w:t>in light of</w:t>
      </w:r>
      <w:proofErr w:type="gramEnd"/>
      <w:r w:rsidRPr="005171D2">
        <w:t xml:space="preserve"> the provisions of the Bali and the Nairobi Ministerial Decisions with a view to </w:t>
      </w:r>
      <w:r w:rsidR="00ED5C63" w:rsidRPr="005171D2">
        <w:t xml:space="preserve">further </w:t>
      </w:r>
      <w:r w:rsidRPr="005171D2">
        <w:t xml:space="preserve">simplifying their rules </w:t>
      </w:r>
      <w:r w:rsidR="00ED5C63" w:rsidRPr="005171D2">
        <w:t xml:space="preserve">if and </w:t>
      </w:r>
      <w:r w:rsidRPr="005171D2">
        <w:t>when possible. He also invited all delegations to keep the CRO abreast of any developments in this area.</w:t>
      </w:r>
    </w:p>
    <w:p w14:paraId="7E6E2B75" w14:textId="692A4634" w:rsidR="00E25F9A" w:rsidRPr="005171D2" w:rsidRDefault="00822183" w:rsidP="00822183">
      <w:pPr>
        <w:pStyle w:val="BodyText"/>
      </w:pPr>
      <w:r w:rsidRPr="005171D2">
        <w:t xml:space="preserve">The Committee </w:t>
      </w:r>
      <w:r w:rsidRPr="005171D2">
        <w:rPr>
          <w:u w:val="single"/>
        </w:rPr>
        <w:t>took note</w:t>
      </w:r>
      <w:r w:rsidRPr="005171D2">
        <w:t xml:space="preserve"> of the statements made.</w:t>
      </w:r>
    </w:p>
    <w:p w14:paraId="638616B2" w14:textId="3A58F056" w:rsidR="008D346E" w:rsidRPr="005171D2" w:rsidRDefault="008549EC" w:rsidP="008549EC">
      <w:pPr>
        <w:pStyle w:val="Heading2"/>
      </w:pPr>
      <w:bookmarkStart w:id="14" w:name="_Toc63067722"/>
      <w:r w:rsidRPr="005171D2">
        <w:t xml:space="preserve">Developments </w:t>
      </w:r>
      <w:r w:rsidR="00FC52BA" w:rsidRPr="005171D2">
        <w:t xml:space="preserve">Regarding Methods Using </w:t>
      </w:r>
      <w:r w:rsidRPr="005171D2">
        <w:t xml:space="preserve">the </w:t>
      </w:r>
      <w:r w:rsidR="00FC52BA" w:rsidRPr="005171D2">
        <w:rPr>
          <w:i/>
          <w:iCs/>
        </w:rPr>
        <w:t>Ad Valorem</w:t>
      </w:r>
      <w:r w:rsidR="00FC52BA" w:rsidRPr="005171D2">
        <w:t xml:space="preserve"> Percentage Criterion </w:t>
      </w:r>
      <w:r w:rsidRPr="005171D2">
        <w:t xml:space="preserve">to </w:t>
      </w:r>
      <w:r w:rsidR="00FC52BA" w:rsidRPr="005171D2">
        <w:t xml:space="preserve">Determine Substantial Transformation </w:t>
      </w:r>
      <w:r w:rsidRPr="005171D2">
        <w:t>(</w:t>
      </w:r>
      <w:r w:rsidR="00FC52BA" w:rsidRPr="005171D2">
        <w:t>Paragraph </w:t>
      </w:r>
      <w:r w:rsidRPr="005171D2">
        <w:t>1.1 of the Nairobi Decision) (G/RO/W/202</w:t>
      </w:r>
      <w:r w:rsidR="00D15DF4" w:rsidRPr="005171D2">
        <w:t>; RD/RO/91</w:t>
      </w:r>
      <w:r w:rsidRPr="005171D2">
        <w:t>) – Submission by the LDC Group</w:t>
      </w:r>
      <w:bookmarkEnd w:id="14"/>
    </w:p>
    <w:p w14:paraId="79525651" w14:textId="1DFCE7C4" w:rsidR="00913CD9" w:rsidRPr="005171D2" w:rsidRDefault="00913CD9" w:rsidP="00913CD9">
      <w:pPr>
        <w:pStyle w:val="BodyText"/>
      </w:pPr>
      <w:r w:rsidRPr="005171D2">
        <w:t xml:space="preserve">The </w:t>
      </w:r>
      <w:r w:rsidRPr="005171D2">
        <w:rPr>
          <w:u w:val="single"/>
        </w:rPr>
        <w:t>Chairperson</w:t>
      </w:r>
      <w:r w:rsidRPr="005171D2">
        <w:t xml:space="preserve"> drew Members' attention to document</w:t>
      </w:r>
      <w:r w:rsidR="003A5B67" w:rsidRPr="005171D2">
        <w:t> </w:t>
      </w:r>
      <w:r w:rsidRPr="005171D2">
        <w:t xml:space="preserve">G/RO/W/202 </w:t>
      </w:r>
      <w:r w:rsidR="00CF1C70" w:rsidRPr="005171D2">
        <w:t xml:space="preserve">from </w:t>
      </w:r>
      <w:r w:rsidRPr="005171D2">
        <w:t>the LDC</w:t>
      </w:r>
      <w:r w:rsidR="003A5B67" w:rsidRPr="005171D2">
        <w:t> </w:t>
      </w:r>
      <w:r w:rsidRPr="005171D2">
        <w:t>Group, containing the Group's examination of rules of origin based on the "</w:t>
      </w:r>
      <w:r w:rsidRPr="005171D2">
        <w:rPr>
          <w:i/>
          <w:iCs/>
        </w:rPr>
        <w:t>ad valorem</w:t>
      </w:r>
      <w:r w:rsidRPr="005171D2">
        <w:t xml:space="preserve"> percentage" criterion. </w:t>
      </w:r>
      <w:r w:rsidR="00CF1C70" w:rsidRPr="005171D2">
        <w:t xml:space="preserve">Before requesting to hear the views of other delegations, he first invited </w:t>
      </w:r>
      <w:r w:rsidRPr="005171D2">
        <w:t>the LDC</w:t>
      </w:r>
      <w:r w:rsidR="003A5B67" w:rsidRPr="005171D2">
        <w:t> </w:t>
      </w:r>
      <w:r w:rsidRPr="005171D2">
        <w:t xml:space="preserve">Group to present </w:t>
      </w:r>
      <w:r w:rsidR="00CF1C70" w:rsidRPr="005171D2">
        <w:t xml:space="preserve">its </w:t>
      </w:r>
      <w:r w:rsidRPr="005171D2">
        <w:t>paper.</w:t>
      </w:r>
    </w:p>
    <w:p w14:paraId="44C2FE7E" w14:textId="66F5D33B" w:rsidR="00913CD9" w:rsidRPr="005171D2" w:rsidRDefault="00913CD9" w:rsidP="00913CD9">
      <w:pPr>
        <w:pStyle w:val="BodyText"/>
      </w:pPr>
      <w:r w:rsidRPr="005171D2">
        <w:t xml:space="preserve">The representative of </w:t>
      </w:r>
      <w:r w:rsidRPr="005171D2">
        <w:rPr>
          <w:u w:val="single"/>
        </w:rPr>
        <w:t>Tanzania</w:t>
      </w:r>
      <w:r w:rsidRPr="005171D2">
        <w:t xml:space="preserve"> explained that </w:t>
      </w:r>
      <w:r w:rsidR="00A67BD7" w:rsidRPr="005171D2">
        <w:t xml:space="preserve">the </w:t>
      </w:r>
      <w:r w:rsidR="00ED5C63" w:rsidRPr="005171D2">
        <w:t>proposal was a contribution by the LDC</w:t>
      </w:r>
      <w:r w:rsidR="003A5B67" w:rsidRPr="005171D2">
        <w:t> </w:t>
      </w:r>
      <w:r w:rsidR="00ED5C63" w:rsidRPr="005171D2">
        <w:t>Grou</w:t>
      </w:r>
      <w:r w:rsidRPr="005171D2">
        <w:t xml:space="preserve">p to </w:t>
      </w:r>
      <w:r w:rsidR="00ED5C63" w:rsidRPr="005171D2">
        <w:t xml:space="preserve">efforts to </w:t>
      </w:r>
      <w:r w:rsidRPr="005171D2">
        <w:t xml:space="preserve">implement the Ministerial Decision by examining current practices </w:t>
      </w:r>
      <w:r w:rsidR="00ED5C63" w:rsidRPr="005171D2">
        <w:t xml:space="preserve">and </w:t>
      </w:r>
      <w:r w:rsidRPr="005171D2">
        <w:t>compar</w:t>
      </w:r>
      <w:r w:rsidR="00ED5C63" w:rsidRPr="005171D2">
        <w:t>ing</w:t>
      </w:r>
      <w:r w:rsidRPr="005171D2">
        <w:t xml:space="preserve"> them </w:t>
      </w:r>
      <w:r w:rsidR="00ED5C63" w:rsidRPr="005171D2">
        <w:t xml:space="preserve">to </w:t>
      </w:r>
      <w:r w:rsidRPr="005171D2">
        <w:t xml:space="preserve">the provisions of the Nairobi Decision and </w:t>
      </w:r>
      <w:r w:rsidR="00ED5C63" w:rsidRPr="005171D2">
        <w:t xml:space="preserve">other </w:t>
      </w:r>
      <w:r w:rsidRPr="005171D2">
        <w:t>best practices. The</w:t>
      </w:r>
      <w:r w:rsidR="009B13BC">
        <w:t> </w:t>
      </w:r>
      <w:r w:rsidRPr="005171D2">
        <w:t>COVID</w:t>
      </w:r>
      <w:r w:rsidR="00A67BD7" w:rsidRPr="005171D2">
        <w:noBreakHyphen/>
      </w:r>
      <w:r w:rsidRPr="005171D2">
        <w:t>19</w:t>
      </w:r>
      <w:r w:rsidR="003A5B67" w:rsidRPr="005171D2">
        <w:t> </w:t>
      </w:r>
      <w:r w:rsidRPr="005171D2">
        <w:t xml:space="preserve">pandemic had disrupted the economies of LDCs in unprecedent ways, including by causing a drop in exports and a collapse </w:t>
      </w:r>
      <w:r w:rsidR="006F48D3" w:rsidRPr="005171D2">
        <w:t xml:space="preserve">in </w:t>
      </w:r>
      <w:r w:rsidRPr="005171D2">
        <w:t xml:space="preserve">global prices. </w:t>
      </w:r>
      <w:r w:rsidR="006F48D3" w:rsidRPr="005171D2">
        <w:t xml:space="preserve">For these reasons, the </w:t>
      </w:r>
      <w:r w:rsidRPr="005171D2">
        <w:t xml:space="preserve">economic recovery of LDCs would require the support of the international community. </w:t>
      </w:r>
      <w:r w:rsidR="006F48D3" w:rsidRPr="005171D2">
        <w:t>S</w:t>
      </w:r>
      <w:r w:rsidRPr="005171D2">
        <w:t>imple and transparent rules of origin that facilitate</w:t>
      </w:r>
      <w:r w:rsidR="00ED5C63" w:rsidRPr="005171D2">
        <w:t>d</w:t>
      </w:r>
      <w:r w:rsidRPr="005171D2">
        <w:t xml:space="preserve"> trade from LDCs would </w:t>
      </w:r>
      <w:r w:rsidR="006F48D3" w:rsidRPr="005171D2">
        <w:t xml:space="preserve">also </w:t>
      </w:r>
      <w:r w:rsidRPr="005171D2">
        <w:t xml:space="preserve">be </w:t>
      </w:r>
      <w:r w:rsidR="006F48D3" w:rsidRPr="005171D2">
        <w:t xml:space="preserve">of </w:t>
      </w:r>
      <w:r w:rsidRPr="005171D2">
        <w:t>critical</w:t>
      </w:r>
      <w:r w:rsidR="006F48D3" w:rsidRPr="005171D2">
        <w:t xml:space="preserve"> importance</w:t>
      </w:r>
      <w:r w:rsidRPr="005171D2">
        <w:t>.</w:t>
      </w:r>
    </w:p>
    <w:p w14:paraId="63938F8C" w14:textId="1AD4C2D8" w:rsidR="00913CD9" w:rsidRPr="005171D2" w:rsidRDefault="00913CD9" w:rsidP="00ED5C63">
      <w:pPr>
        <w:pStyle w:val="BodyText"/>
      </w:pPr>
      <w:r w:rsidRPr="005171D2">
        <w:t xml:space="preserve">The representative of </w:t>
      </w:r>
      <w:r w:rsidRPr="005171D2">
        <w:rPr>
          <w:u w:val="single"/>
        </w:rPr>
        <w:t>Afghanistan</w:t>
      </w:r>
      <w:r w:rsidRPr="005171D2">
        <w:t xml:space="preserve"> presented the </w:t>
      </w:r>
      <w:r w:rsidR="00B86700" w:rsidRPr="005171D2">
        <w:t>LDC </w:t>
      </w:r>
      <w:r w:rsidRPr="005171D2">
        <w:t xml:space="preserve">Group's communication </w:t>
      </w:r>
      <w:r w:rsidR="00B86700" w:rsidRPr="005171D2">
        <w:t>circulated in document </w:t>
      </w:r>
      <w:r w:rsidRPr="005171D2">
        <w:t>RD/RO/91. He recalled that paragraph</w:t>
      </w:r>
      <w:r w:rsidR="003A5B67" w:rsidRPr="005171D2">
        <w:t> </w:t>
      </w:r>
      <w:r w:rsidRPr="005171D2">
        <w:t>1.1. of the Nairobi Decision contained three</w:t>
      </w:r>
      <w:r w:rsidR="00B86700" w:rsidRPr="005171D2">
        <w:t> </w:t>
      </w:r>
      <w:r w:rsidRPr="005171D2">
        <w:t>distinct elements</w:t>
      </w:r>
      <w:r w:rsidR="00B86700" w:rsidRPr="005171D2">
        <w:t>: first</w:t>
      </w:r>
      <w:r w:rsidRPr="005171D2">
        <w:t xml:space="preserve">, </w:t>
      </w:r>
      <w:r w:rsidR="00ED5C63" w:rsidRPr="005171D2">
        <w:t>a</w:t>
      </w:r>
      <w:r w:rsidRPr="005171D2">
        <w:t xml:space="preserve"> commitment by preference</w:t>
      </w:r>
      <w:r w:rsidR="003A5B67" w:rsidRPr="005171D2">
        <w:noBreakHyphen/>
      </w:r>
      <w:r w:rsidRPr="005171D2">
        <w:t>granting Members to adopt a method of calculation based on the value of non-originating materials</w:t>
      </w:r>
      <w:r w:rsidR="00B86700" w:rsidRPr="005171D2">
        <w:t>; second</w:t>
      </w:r>
      <w:r w:rsidRPr="005171D2">
        <w:t>, when doing so, the commitment to allow for the use of non</w:t>
      </w:r>
      <w:r w:rsidR="003A5B67" w:rsidRPr="005171D2">
        <w:noBreakHyphen/>
      </w:r>
      <w:r w:rsidRPr="005171D2">
        <w:t>originating materials for up to 75% of the total value of a good</w:t>
      </w:r>
      <w:r w:rsidR="00B86700" w:rsidRPr="005171D2">
        <w:t>; and third</w:t>
      </w:r>
      <w:r w:rsidRPr="005171D2">
        <w:t xml:space="preserve">, </w:t>
      </w:r>
      <w:r w:rsidR="00ED5C63" w:rsidRPr="005171D2">
        <w:t>a</w:t>
      </w:r>
      <w:r w:rsidRPr="005171D2">
        <w:t xml:space="preserve"> commitment to consider allowing for the deduction of the costs of transportation and insurance from the value of non</w:t>
      </w:r>
      <w:r w:rsidR="003A5B67" w:rsidRPr="005171D2">
        <w:noBreakHyphen/>
      </w:r>
      <w:r w:rsidRPr="005171D2">
        <w:t xml:space="preserve">originating materials. </w:t>
      </w:r>
      <w:r w:rsidR="00B86700" w:rsidRPr="005171D2">
        <w:t>Regarding</w:t>
      </w:r>
      <w:r w:rsidRPr="005171D2">
        <w:t xml:space="preserve"> the</w:t>
      </w:r>
      <w:r w:rsidR="00ED5C63" w:rsidRPr="005171D2">
        <w:t xml:space="preserve"> first</w:t>
      </w:r>
      <w:r w:rsidR="009B13BC">
        <w:t xml:space="preserve"> </w:t>
      </w:r>
      <w:r w:rsidR="00ED5C63" w:rsidRPr="005171D2">
        <w:t>element</w:t>
      </w:r>
      <w:r w:rsidRPr="005171D2">
        <w:t xml:space="preserve">, he </w:t>
      </w:r>
      <w:r w:rsidR="00ED5C63" w:rsidRPr="005171D2">
        <w:t xml:space="preserve">said </w:t>
      </w:r>
      <w:r w:rsidRPr="005171D2">
        <w:t>that all preference</w:t>
      </w:r>
      <w:r w:rsidR="003A5B67" w:rsidRPr="005171D2">
        <w:noBreakHyphen/>
      </w:r>
      <w:r w:rsidRPr="005171D2">
        <w:t>granting Members used a method based on the value of non</w:t>
      </w:r>
      <w:r w:rsidR="003A5B67" w:rsidRPr="005171D2">
        <w:noBreakHyphen/>
      </w:r>
      <w:r w:rsidRPr="005171D2">
        <w:t xml:space="preserve">originating materials except for </w:t>
      </w:r>
      <w:r w:rsidR="009B13BC">
        <w:t>Australia;</w:t>
      </w:r>
      <w:r w:rsidRPr="005171D2">
        <w:t xml:space="preserve"> </w:t>
      </w:r>
      <w:r w:rsidR="009B13BC">
        <w:t>New Zealand;</w:t>
      </w:r>
      <w:r w:rsidRPr="005171D2">
        <w:t xml:space="preserve"> Chinese Taipei</w:t>
      </w:r>
      <w:r w:rsidR="009B13BC">
        <w:t>;</w:t>
      </w:r>
      <w:r w:rsidRPr="005171D2">
        <w:t xml:space="preserve"> and the US</w:t>
      </w:r>
      <w:r w:rsidR="004523CD" w:rsidRPr="005171D2">
        <w:t xml:space="preserve">, </w:t>
      </w:r>
      <w:r w:rsidRPr="005171D2">
        <w:t xml:space="preserve">despite the fact that these same Members </w:t>
      </w:r>
      <w:r w:rsidR="00ED5C63" w:rsidRPr="005171D2">
        <w:t xml:space="preserve">were using </w:t>
      </w:r>
      <w:r w:rsidRPr="005171D2">
        <w:t xml:space="preserve">this method in their </w:t>
      </w:r>
      <w:r w:rsidR="00ED5C63" w:rsidRPr="005171D2">
        <w:t>RTAs</w:t>
      </w:r>
      <w:r w:rsidRPr="005171D2">
        <w:t>. On the second</w:t>
      </w:r>
      <w:r w:rsidR="004523CD" w:rsidRPr="005171D2">
        <w:t> </w:t>
      </w:r>
      <w:r w:rsidR="00ED5C63" w:rsidRPr="005171D2">
        <w:t>element</w:t>
      </w:r>
      <w:r w:rsidRPr="005171D2">
        <w:t>, only Canada allowed for the use of up to 75% of non</w:t>
      </w:r>
      <w:r w:rsidR="003A5B67" w:rsidRPr="005171D2">
        <w:noBreakHyphen/>
      </w:r>
      <w:r w:rsidRPr="005171D2">
        <w:t xml:space="preserve">originating materials. However, he acknowledged that provisions </w:t>
      </w:r>
      <w:r w:rsidR="004523CD" w:rsidRPr="005171D2">
        <w:t xml:space="preserve">relating </w:t>
      </w:r>
      <w:r w:rsidRPr="005171D2">
        <w:t xml:space="preserve">to cumulation could </w:t>
      </w:r>
      <w:r w:rsidR="004523CD" w:rsidRPr="005171D2">
        <w:t xml:space="preserve">be influencing </w:t>
      </w:r>
      <w:r w:rsidRPr="005171D2">
        <w:t>this assessment for other preference</w:t>
      </w:r>
      <w:r w:rsidR="003A5B67" w:rsidRPr="005171D2">
        <w:noBreakHyphen/>
      </w:r>
      <w:r w:rsidRPr="005171D2">
        <w:t>granting Members. Finally, in relation to the third</w:t>
      </w:r>
      <w:r w:rsidR="003A5B67" w:rsidRPr="005171D2">
        <w:t> </w:t>
      </w:r>
      <w:r w:rsidR="00ED5C63" w:rsidRPr="005171D2">
        <w:t>element</w:t>
      </w:r>
      <w:r w:rsidRPr="005171D2">
        <w:t>, he reported that no preference</w:t>
      </w:r>
      <w:r w:rsidR="003A5B67" w:rsidRPr="005171D2">
        <w:noBreakHyphen/>
      </w:r>
      <w:r w:rsidRPr="005171D2">
        <w:t xml:space="preserve">granting Member currently allowed for the deduction of the </w:t>
      </w:r>
      <w:r w:rsidR="00ED5C63" w:rsidRPr="005171D2">
        <w:t xml:space="preserve">transport and insurance </w:t>
      </w:r>
      <w:r w:rsidRPr="005171D2">
        <w:t xml:space="preserve">costs. </w:t>
      </w:r>
      <w:r w:rsidR="004523CD" w:rsidRPr="005171D2">
        <w:t xml:space="preserve">For these reasons, he </w:t>
      </w:r>
      <w:r w:rsidR="00ED5C63" w:rsidRPr="005171D2">
        <w:t xml:space="preserve">urged preference-granting </w:t>
      </w:r>
      <w:r w:rsidR="00ED5C63" w:rsidRPr="005171D2">
        <w:lastRenderedPageBreak/>
        <w:t xml:space="preserve">Members to align their practices to the elements defined in </w:t>
      </w:r>
      <w:r w:rsidRPr="005171D2">
        <w:t xml:space="preserve">the Nairobi Decision. </w:t>
      </w:r>
      <w:r w:rsidR="00ED5C63" w:rsidRPr="005171D2">
        <w:t xml:space="preserve">Alternative methods had </w:t>
      </w:r>
      <w:r w:rsidR="008C723F" w:rsidRPr="005171D2">
        <w:t xml:space="preserve">several </w:t>
      </w:r>
      <w:r w:rsidR="00ED5C63" w:rsidRPr="005171D2">
        <w:t>disadvantages</w:t>
      </w:r>
      <w:r w:rsidR="008C723F" w:rsidRPr="005171D2">
        <w:t>, he explained</w:t>
      </w:r>
      <w:r w:rsidR="00ED5C63" w:rsidRPr="005171D2">
        <w:t xml:space="preserve">. </w:t>
      </w:r>
      <w:r w:rsidRPr="005171D2">
        <w:t xml:space="preserve">For </w:t>
      </w:r>
      <w:r w:rsidR="009706F7" w:rsidRPr="005171D2">
        <w:t>example</w:t>
      </w:r>
      <w:r w:rsidRPr="005171D2">
        <w:t xml:space="preserve">, the concept of "direct processing costs" used by the US </w:t>
      </w:r>
      <w:r w:rsidR="008C723F" w:rsidRPr="005171D2">
        <w:t xml:space="preserve">was </w:t>
      </w:r>
      <w:r w:rsidRPr="005171D2">
        <w:t>imprecise, entail</w:t>
      </w:r>
      <w:r w:rsidR="008C723F" w:rsidRPr="005171D2">
        <w:t>ed</w:t>
      </w:r>
      <w:r w:rsidRPr="005171D2">
        <w:t xml:space="preserve"> complex accounting to calculate unit costs</w:t>
      </w:r>
      <w:r w:rsidR="009706F7" w:rsidRPr="005171D2">
        <w:t>,</w:t>
      </w:r>
      <w:r w:rsidRPr="005171D2">
        <w:t xml:space="preserve"> and requir</w:t>
      </w:r>
      <w:r w:rsidR="008C723F" w:rsidRPr="005171D2">
        <w:t>ed</w:t>
      </w:r>
      <w:r w:rsidRPr="005171D2">
        <w:t xml:space="preserve"> </w:t>
      </w:r>
      <w:proofErr w:type="gramStart"/>
      <w:r w:rsidRPr="005171D2">
        <w:t>a large number of</w:t>
      </w:r>
      <w:proofErr w:type="gramEnd"/>
      <w:r w:rsidRPr="005171D2">
        <w:t xml:space="preserve"> supporting documents. Similarly, </w:t>
      </w:r>
      <w:r w:rsidR="008C723F" w:rsidRPr="005171D2">
        <w:t xml:space="preserve">allowing </w:t>
      </w:r>
      <w:r w:rsidRPr="005171D2">
        <w:t>LDCs to deduct transportation and insurance costs from the value of non-originating materials</w:t>
      </w:r>
      <w:r w:rsidR="008C723F" w:rsidRPr="005171D2">
        <w:t xml:space="preserve"> </w:t>
      </w:r>
      <w:r w:rsidRPr="005171D2">
        <w:t xml:space="preserve">would facilitate </w:t>
      </w:r>
      <w:r w:rsidR="009706F7" w:rsidRPr="005171D2">
        <w:t>LDC </w:t>
      </w:r>
      <w:r w:rsidRPr="005171D2">
        <w:t>compliance</w:t>
      </w:r>
      <w:r w:rsidR="009706F7" w:rsidRPr="005171D2">
        <w:t>,</w:t>
      </w:r>
      <w:r w:rsidRPr="005171D2">
        <w:t xml:space="preserve"> </w:t>
      </w:r>
      <w:proofErr w:type="gramStart"/>
      <w:r w:rsidR="009706F7" w:rsidRPr="005171D2">
        <w:t xml:space="preserve">in </w:t>
      </w:r>
      <w:r w:rsidRPr="005171D2">
        <w:t>particular landlocked</w:t>
      </w:r>
      <w:proofErr w:type="gramEnd"/>
      <w:r w:rsidRPr="005171D2">
        <w:t xml:space="preserve"> and island LDCs. In conclusion, he said that the LDC</w:t>
      </w:r>
      <w:r w:rsidR="009706F7" w:rsidRPr="005171D2">
        <w:t> </w:t>
      </w:r>
      <w:r w:rsidRPr="005171D2">
        <w:t>Group expected preference-granting Members to reform their rules</w:t>
      </w:r>
      <w:r w:rsidR="009706F7" w:rsidRPr="005171D2">
        <w:t>,</w:t>
      </w:r>
      <w:r w:rsidRPr="005171D2">
        <w:t xml:space="preserve"> where necessary</w:t>
      </w:r>
      <w:r w:rsidR="009706F7" w:rsidRPr="005171D2">
        <w:t>,</w:t>
      </w:r>
      <w:r w:rsidRPr="005171D2">
        <w:t xml:space="preserve"> </w:t>
      </w:r>
      <w:r w:rsidR="009706F7" w:rsidRPr="005171D2">
        <w:t xml:space="preserve">and </w:t>
      </w:r>
      <w:r w:rsidRPr="005171D2">
        <w:t xml:space="preserve">to adopt </w:t>
      </w:r>
      <w:r w:rsidR="008C723F" w:rsidRPr="005171D2">
        <w:t xml:space="preserve">the </w:t>
      </w:r>
      <w:r w:rsidRPr="005171D2">
        <w:t>best practices</w:t>
      </w:r>
      <w:r w:rsidR="008C723F" w:rsidRPr="005171D2">
        <w:t xml:space="preserve"> illustrated in the LDC</w:t>
      </w:r>
      <w:r w:rsidR="003A5B67" w:rsidRPr="005171D2">
        <w:t> </w:t>
      </w:r>
      <w:r w:rsidR="008C723F" w:rsidRPr="005171D2">
        <w:t>communication</w:t>
      </w:r>
      <w:r w:rsidRPr="005171D2">
        <w:t xml:space="preserve">. In particular, </w:t>
      </w:r>
      <w:r w:rsidR="009706F7" w:rsidRPr="005171D2">
        <w:t xml:space="preserve">he noted that </w:t>
      </w:r>
      <w:r w:rsidRPr="005171D2">
        <w:t xml:space="preserve">those Members </w:t>
      </w:r>
      <w:r w:rsidR="009706F7" w:rsidRPr="005171D2">
        <w:t xml:space="preserve">that </w:t>
      </w:r>
      <w:r w:rsidRPr="005171D2">
        <w:t>were not using the value of non</w:t>
      </w:r>
      <w:r w:rsidR="003A5B67" w:rsidRPr="005171D2">
        <w:noBreakHyphen/>
      </w:r>
      <w:r w:rsidRPr="005171D2">
        <w:t xml:space="preserve">originating materials should review their calculation methods, </w:t>
      </w:r>
      <w:r w:rsidR="009706F7" w:rsidRPr="005171D2">
        <w:t xml:space="preserve">and that </w:t>
      </w:r>
      <w:r w:rsidRPr="005171D2">
        <w:t>all preference</w:t>
      </w:r>
      <w:r w:rsidR="003A5B67" w:rsidRPr="005171D2">
        <w:noBreakHyphen/>
      </w:r>
      <w:r w:rsidRPr="005171D2">
        <w:t>giving countries should allow the deduction of insurance and freight costs, where applicable.</w:t>
      </w:r>
    </w:p>
    <w:p w14:paraId="2EF6D39D" w14:textId="7C1CF089" w:rsidR="00913CD9" w:rsidRPr="005171D2" w:rsidRDefault="00913CD9" w:rsidP="00913CD9">
      <w:pPr>
        <w:pStyle w:val="BodyText"/>
      </w:pPr>
      <w:r w:rsidRPr="005171D2">
        <w:t xml:space="preserve">The representative of </w:t>
      </w:r>
      <w:r w:rsidRPr="005171D2">
        <w:rPr>
          <w:u w:val="single"/>
        </w:rPr>
        <w:t>Chinese Taipei</w:t>
      </w:r>
      <w:r w:rsidRPr="005171D2">
        <w:t xml:space="preserve"> clarified that</w:t>
      </w:r>
      <w:r w:rsidR="008C723F" w:rsidRPr="005171D2">
        <w:t>,</w:t>
      </w:r>
      <w:r w:rsidRPr="005171D2">
        <w:t xml:space="preserve"> </w:t>
      </w:r>
      <w:r w:rsidR="00B541FD" w:rsidRPr="005171D2">
        <w:t xml:space="preserve">contrary to </w:t>
      </w:r>
      <w:r w:rsidR="008C723F" w:rsidRPr="005171D2">
        <w:t xml:space="preserve">what had been </w:t>
      </w:r>
      <w:r w:rsidR="00B541FD" w:rsidRPr="005171D2">
        <w:t xml:space="preserve">indicated </w:t>
      </w:r>
      <w:r w:rsidR="008C723F" w:rsidRPr="005171D2">
        <w:t>by the LDC</w:t>
      </w:r>
      <w:r w:rsidR="003A5B67" w:rsidRPr="005171D2">
        <w:t> </w:t>
      </w:r>
      <w:r w:rsidR="008C723F" w:rsidRPr="005171D2">
        <w:t xml:space="preserve">Group, </w:t>
      </w:r>
      <w:r w:rsidRPr="005171D2">
        <w:t xml:space="preserve">her government used a methodology for the calculation of the </w:t>
      </w:r>
      <w:r w:rsidRPr="005171D2">
        <w:rPr>
          <w:i/>
          <w:iCs/>
        </w:rPr>
        <w:t>ad valorem</w:t>
      </w:r>
      <w:r w:rsidRPr="005171D2">
        <w:t xml:space="preserve"> percentage criterion based on the value of non</w:t>
      </w:r>
      <w:r w:rsidR="003A5B67" w:rsidRPr="005171D2">
        <w:noBreakHyphen/>
      </w:r>
      <w:r w:rsidRPr="005171D2">
        <w:t>originating materials. The calculation formula was "</w:t>
      </w:r>
      <w:r w:rsidR="00340567" w:rsidRPr="005171D2">
        <w:t xml:space="preserve">f.o.b. </w:t>
      </w:r>
      <w:r w:rsidRPr="005171D2">
        <w:t>value – value of non</w:t>
      </w:r>
      <w:r w:rsidR="003A5B67" w:rsidRPr="005171D2">
        <w:noBreakHyphen/>
      </w:r>
      <w:r w:rsidRPr="005171D2">
        <w:t>originating materials/</w:t>
      </w:r>
      <w:r w:rsidR="00340567" w:rsidRPr="005171D2">
        <w:t xml:space="preserve">f.o.b. </w:t>
      </w:r>
      <w:r w:rsidRPr="005171D2">
        <w:t xml:space="preserve">value". This, she said, was </w:t>
      </w:r>
      <w:proofErr w:type="gramStart"/>
      <w:r w:rsidRPr="005171D2">
        <w:t>similar to</w:t>
      </w:r>
      <w:proofErr w:type="gramEnd"/>
      <w:r w:rsidRPr="005171D2">
        <w:t xml:space="preserve"> the methodology used by Chile and Thailand.</w:t>
      </w:r>
    </w:p>
    <w:p w14:paraId="4E20FB23" w14:textId="03EF1685" w:rsidR="00913CD9" w:rsidRPr="005171D2" w:rsidRDefault="00913CD9" w:rsidP="00913CD9">
      <w:pPr>
        <w:pStyle w:val="BodyText"/>
      </w:pPr>
      <w:r w:rsidRPr="005171D2">
        <w:t xml:space="preserve">The representative of </w:t>
      </w:r>
      <w:r w:rsidRPr="005171D2">
        <w:rPr>
          <w:u w:val="single"/>
        </w:rPr>
        <w:t>New Zealand</w:t>
      </w:r>
      <w:r w:rsidRPr="005171D2">
        <w:t xml:space="preserve"> reported that her government was committed to upholding the Nairobi Decision and was therefore reviewing New Zealand's GSP</w:t>
      </w:r>
      <w:r w:rsidR="003A5B67" w:rsidRPr="005171D2">
        <w:t> </w:t>
      </w:r>
      <w:r w:rsidR="00265B5A" w:rsidRPr="005171D2">
        <w:t xml:space="preserve">scheme </w:t>
      </w:r>
      <w:r w:rsidRPr="005171D2">
        <w:t xml:space="preserve">and the associated rules or origin provisions. New Zealand's practice in its recent </w:t>
      </w:r>
      <w:r w:rsidR="00707C66" w:rsidRPr="005171D2">
        <w:t>RTA</w:t>
      </w:r>
      <w:r w:rsidRPr="005171D2">
        <w:t xml:space="preserve">s </w:t>
      </w:r>
      <w:r w:rsidR="00A662D1" w:rsidRPr="005171D2">
        <w:t xml:space="preserve">had been </w:t>
      </w:r>
      <w:r w:rsidRPr="005171D2">
        <w:t>to use rules based on a change of tariff classification (CTC) or value</w:t>
      </w:r>
      <w:r w:rsidR="003A5B67" w:rsidRPr="005171D2">
        <w:noBreakHyphen/>
      </w:r>
      <w:r w:rsidRPr="005171D2">
        <w:t xml:space="preserve">based rules </w:t>
      </w:r>
      <w:r w:rsidR="00265B5A" w:rsidRPr="005171D2">
        <w:t xml:space="preserve">that </w:t>
      </w:r>
      <w:r w:rsidRPr="005171D2">
        <w:t>deducted the value of non</w:t>
      </w:r>
      <w:r w:rsidR="003A5B67" w:rsidRPr="005171D2">
        <w:noBreakHyphen/>
      </w:r>
      <w:r w:rsidRPr="005171D2">
        <w:t xml:space="preserve">originating materials from the </w:t>
      </w:r>
      <w:r w:rsidR="00340567" w:rsidRPr="005171D2">
        <w:t>f.o.b. </w:t>
      </w:r>
      <w:r w:rsidRPr="005171D2">
        <w:t xml:space="preserve">value of goods. She explained that her government would therefore review </w:t>
      </w:r>
      <w:r w:rsidR="00265B5A" w:rsidRPr="005171D2">
        <w:t xml:space="preserve">its </w:t>
      </w:r>
      <w:r w:rsidRPr="005171D2">
        <w:t>GSP</w:t>
      </w:r>
      <w:r w:rsidR="003A5B67" w:rsidRPr="005171D2">
        <w:t> </w:t>
      </w:r>
      <w:r w:rsidRPr="005171D2">
        <w:t xml:space="preserve">rules of origin to align them to best practices in </w:t>
      </w:r>
      <w:r w:rsidR="00A662D1" w:rsidRPr="005171D2">
        <w:t xml:space="preserve">New Zealand's </w:t>
      </w:r>
      <w:r w:rsidR="00707C66" w:rsidRPr="005171D2">
        <w:t>RTA</w:t>
      </w:r>
      <w:r w:rsidRPr="005171D2">
        <w:t>s.</w:t>
      </w:r>
    </w:p>
    <w:p w14:paraId="132A9F40" w14:textId="4FA624F6" w:rsidR="00A662D1" w:rsidRPr="005171D2" w:rsidRDefault="00913CD9" w:rsidP="00A662D1">
      <w:pPr>
        <w:pStyle w:val="BodyText"/>
      </w:pPr>
      <w:r w:rsidRPr="005171D2">
        <w:t xml:space="preserve">The representative of </w:t>
      </w:r>
      <w:r w:rsidRPr="005171D2">
        <w:rPr>
          <w:u w:val="single"/>
        </w:rPr>
        <w:t>Australia</w:t>
      </w:r>
      <w:r w:rsidRPr="005171D2">
        <w:t xml:space="preserve"> said that his country had been the first to provide preferences for developing countries</w:t>
      </w:r>
      <w:r w:rsidR="00E77318" w:rsidRPr="005171D2">
        <w:t>,</w:t>
      </w:r>
      <w:r w:rsidRPr="005171D2">
        <w:t xml:space="preserve"> in 1966</w:t>
      </w:r>
      <w:r w:rsidR="00E77318" w:rsidRPr="005171D2">
        <w:t>,</w:t>
      </w:r>
      <w:r w:rsidRPr="005171D2">
        <w:t xml:space="preserve"> through the Australian System of Tariff Preferences. This</w:t>
      </w:r>
      <w:r w:rsidR="009B13BC">
        <w:t> </w:t>
      </w:r>
      <w:r w:rsidRPr="005171D2">
        <w:t>long</w:t>
      </w:r>
      <w:r w:rsidR="003A5B67" w:rsidRPr="005171D2">
        <w:noBreakHyphen/>
      </w:r>
      <w:r w:rsidRPr="005171D2">
        <w:t>standing scheme reflected Australia's commitment to supporting LDC</w:t>
      </w:r>
      <w:r w:rsidR="003A5B67" w:rsidRPr="005171D2">
        <w:t> </w:t>
      </w:r>
      <w:r w:rsidRPr="005171D2">
        <w:t>engagement in the global trading system. He noted that the LDC</w:t>
      </w:r>
      <w:r w:rsidR="003A5B67" w:rsidRPr="005171D2">
        <w:t> </w:t>
      </w:r>
      <w:r w:rsidRPr="005171D2">
        <w:t xml:space="preserve">Group submission had omitted part of the language of the Nairobi Decision. While the Decision indeed </w:t>
      </w:r>
      <w:r w:rsidR="00A662D1" w:rsidRPr="005171D2">
        <w:t xml:space="preserve">asked </w:t>
      </w:r>
      <w:r w:rsidRPr="005171D2">
        <w:t>preference</w:t>
      </w:r>
      <w:r w:rsidR="003A5B67" w:rsidRPr="005171D2">
        <w:noBreakHyphen/>
      </w:r>
      <w:r w:rsidRPr="005171D2">
        <w:t xml:space="preserve">granting Members to adopt </w:t>
      </w:r>
      <w:r w:rsidR="00A662D1" w:rsidRPr="005171D2">
        <w:t xml:space="preserve">a method </w:t>
      </w:r>
      <w:r w:rsidR="005B5163" w:rsidRPr="005171D2">
        <w:t xml:space="preserve">of calculation </w:t>
      </w:r>
      <w:r w:rsidRPr="005171D2">
        <w:t>based on the value of non</w:t>
      </w:r>
      <w:r w:rsidR="003A5B67" w:rsidRPr="005171D2">
        <w:noBreakHyphen/>
      </w:r>
      <w:r w:rsidRPr="005171D2">
        <w:t xml:space="preserve">originating materials, it also provided Members </w:t>
      </w:r>
      <w:r w:rsidR="005B5163" w:rsidRPr="005171D2">
        <w:t xml:space="preserve">with </w:t>
      </w:r>
      <w:r w:rsidRPr="005171D2">
        <w:t>flexibility to apply another method. It was important that the LDC</w:t>
      </w:r>
      <w:r w:rsidR="003A5B67" w:rsidRPr="005171D2">
        <w:t> </w:t>
      </w:r>
      <w:r w:rsidRPr="005171D2">
        <w:t>Group acknowledged the text</w:t>
      </w:r>
      <w:r w:rsidR="00A662D1" w:rsidRPr="005171D2">
        <w:t xml:space="preserve"> of the Decision</w:t>
      </w:r>
      <w:r w:rsidRPr="005171D2">
        <w:t>. He noted, in addition, that the Australian preferences allowed for cumulation between LDCs and to other developing countries: it required only 25% originating content from LDCs</w:t>
      </w:r>
      <w:r w:rsidR="00E77318" w:rsidRPr="005171D2">
        <w:t>,</w:t>
      </w:r>
      <w:r w:rsidRPr="005171D2">
        <w:t xml:space="preserve"> with a further 25% from other developing countries. As such, Australia could work with the LDC</w:t>
      </w:r>
      <w:r w:rsidR="003A5B67" w:rsidRPr="005171D2">
        <w:t> </w:t>
      </w:r>
      <w:r w:rsidRPr="005171D2">
        <w:t xml:space="preserve">Group to reflect this aspect of the Australian </w:t>
      </w:r>
      <w:r w:rsidR="00C43206" w:rsidRPr="005171D2">
        <w:t>S</w:t>
      </w:r>
      <w:r w:rsidRPr="005171D2">
        <w:t>ystem of</w:t>
      </w:r>
      <w:r w:rsidR="003140BD" w:rsidRPr="005171D2">
        <w:t xml:space="preserve"> T</w:t>
      </w:r>
      <w:r w:rsidRPr="005171D2">
        <w:t>arif</w:t>
      </w:r>
      <w:r w:rsidR="003140BD" w:rsidRPr="005171D2">
        <w:t xml:space="preserve"> </w:t>
      </w:r>
      <w:r w:rsidR="00C43206" w:rsidRPr="005171D2">
        <w:t>P</w:t>
      </w:r>
      <w:r w:rsidRPr="005171D2">
        <w:t>references in the LDC</w:t>
      </w:r>
      <w:r w:rsidR="003A5B67" w:rsidRPr="005171D2">
        <w:t> </w:t>
      </w:r>
      <w:r w:rsidRPr="005171D2">
        <w:t>Group's documentation.</w:t>
      </w:r>
    </w:p>
    <w:p w14:paraId="1DAD2452" w14:textId="6EE0D90E" w:rsidR="00AC116B" w:rsidRPr="005171D2" w:rsidRDefault="00A662D1" w:rsidP="00AC116B">
      <w:pPr>
        <w:pStyle w:val="BodyText"/>
      </w:pPr>
      <w:r w:rsidRPr="005171D2">
        <w:t xml:space="preserve">The representative of the </w:t>
      </w:r>
      <w:r w:rsidRPr="005171D2">
        <w:rPr>
          <w:u w:val="single"/>
        </w:rPr>
        <w:t>United States</w:t>
      </w:r>
      <w:r w:rsidRPr="005171D2">
        <w:t xml:space="preserve"> </w:t>
      </w:r>
      <w:r w:rsidR="00AC116B" w:rsidRPr="005171D2">
        <w:t>said that her delegation appreciated the analysis of the LDC</w:t>
      </w:r>
      <w:r w:rsidR="00FC05EA" w:rsidRPr="005171D2">
        <w:t> </w:t>
      </w:r>
      <w:r w:rsidR="00AC116B" w:rsidRPr="005171D2">
        <w:t>Group. The submission called out the United States, among other Members, for basing its calculation method on the value of originating materials. According to the submission, this approach was not in conformity with the spirit and the letter of the Nairobi Decision. Her delegation disagreed with this assessmen</w:t>
      </w:r>
      <w:r w:rsidR="005B5163" w:rsidRPr="005171D2">
        <w:t>t</w:t>
      </w:r>
      <w:r w:rsidR="00AC116B" w:rsidRPr="005171D2">
        <w:t>. In fact, the Decision provided that: "preference</w:t>
      </w:r>
      <w:r w:rsidR="00FC05EA" w:rsidRPr="005171D2">
        <w:noBreakHyphen/>
      </w:r>
      <w:r w:rsidR="00AC116B" w:rsidRPr="005171D2">
        <w:t>granting Members shall adopt a method of calculation based on the value of non</w:t>
      </w:r>
      <w:r w:rsidR="00FC05EA" w:rsidRPr="005171D2">
        <w:noBreakHyphen/>
      </w:r>
      <w:r w:rsidR="00AC116B" w:rsidRPr="005171D2">
        <w:t xml:space="preserve">originating materials. However, preference-granting Members applying another method may continue to use it". </w:t>
      </w:r>
      <w:r w:rsidR="005B5163" w:rsidRPr="005171D2">
        <w:t>H</w:t>
      </w:r>
      <w:r w:rsidR="00AC116B" w:rsidRPr="005171D2">
        <w:t>er delegation also disagreed with the assertion that the concept of "direct cost of processing" in US</w:t>
      </w:r>
      <w:r w:rsidR="00FC05EA" w:rsidRPr="005171D2">
        <w:t> </w:t>
      </w:r>
      <w:r w:rsidR="00AC116B" w:rsidRPr="005171D2">
        <w:t>Customs Regulations was complicated. Evidence for this conclusion in the LDC</w:t>
      </w:r>
      <w:r w:rsidR="00FC05EA" w:rsidRPr="005171D2">
        <w:t> </w:t>
      </w:r>
      <w:r w:rsidR="00AC116B" w:rsidRPr="005171D2">
        <w:t>paper stemmed from a search in the US</w:t>
      </w:r>
      <w:r w:rsidR="00FC05EA" w:rsidRPr="005171D2">
        <w:t> </w:t>
      </w:r>
      <w:r w:rsidR="00AC116B" w:rsidRPr="005171D2">
        <w:t xml:space="preserve">Customs rulings online </w:t>
      </w:r>
      <w:r w:rsidR="005B5163" w:rsidRPr="005171D2">
        <w:t>database</w:t>
      </w:r>
      <w:r w:rsidR="00AC116B" w:rsidRPr="005171D2">
        <w:t xml:space="preserve"> that revealed </w:t>
      </w:r>
      <w:r w:rsidR="005B5163" w:rsidRPr="005171D2">
        <w:t xml:space="preserve">that there were </w:t>
      </w:r>
      <w:r w:rsidR="00AC116B" w:rsidRPr="005171D2">
        <w:t>around 375</w:t>
      </w:r>
      <w:r w:rsidR="00FC05EA" w:rsidRPr="005171D2">
        <w:noBreakHyphen/>
      </w:r>
      <w:r w:rsidR="00AC116B" w:rsidRPr="005171D2">
        <w:t>800</w:t>
      </w:r>
      <w:r w:rsidR="00FC05EA" w:rsidRPr="005171D2">
        <w:t> </w:t>
      </w:r>
      <w:r w:rsidR="00AC116B" w:rsidRPr="005171D2">
        <w:t xml:space="preserve">rulings </w:t>
      </w:r>
      <w:r w:rsidR="005B5163" w:rsidRPr="005171D2">
        <w:t xml:space="preserve">on </w:t>
      </w:r>
      <w:r w:rsidR="00AC116B" w:rsidRPr="005171D2">
        <w:t>the definition of direct costs of processing.</w:t>
      </w:r>
      <w:r w:rsidR="005B5163" w:rsidRPr="005171D2">
        <w:t xml:space="preserve"> T</w:t>
      </w:r>
      <w:r w:rsidR="00AC116B" w:rsidRPr="005171D2">
        <w:t>h</w:t>
      </w:r>
      <w:r w:rsidR="005B5163" w:rsidRPr="005171D2">
        <w:t xml:space="preserve">at conclusion </w:t>
      </w:r>
      <w:r w:rsidR="00AC116B" w:rsidRPr="005171D2">
        <w:t xml:space="preserve">failed to </w:t>
      </w:r>
      <w:r w:rsidR="005B5163" w:rsidRPr="005171D2">
        <w:t>consider</w:t>
      </w:r>
      <w:r w:rsidR="00AC116B" w:rsidRPr="005171D2">
        <w:t xml:space="preserve"> that the database housed over 207,526</w:t>
      </w:r>
      <w:r w:rsidR="00FC05EA" w:rsidRPr="005171D2">
        <w:t> </w:t>
      </w:r>
      <w:r w:rsidR="00AC116B" w:rsidRPr="005171D2">
        <w:t>rulings since 1989. The fact that 400</w:t>
      </w:r>
      <w:r w:rsidR="00FC05EA" w:rsidRPr="005171D2">
        <w:noBreakHyphen/>
      </w:r>
      <w:r w:rsidR="00AC116B" w:rsidRPr="005171D2">
        <w:t>800</w:t>
      </w:r>
      <w:r w:rsidR="00FC05EA" w:rsidRPr="005171D2">
        <w:t> </w:t>
      </w:r>
      <w:r w:rsidR="00AC116B" w:rsidRPr="005171D2">
        <w:t>importers had obtained rulings on direct processing costs swiftly and directly from the US</w:t>
      </w:r>
      <w:r w:rsidR="00FC05EA" w:rsidRPr="005171D2">
        <w:t> </w:t>
      </w:r>
      <w:r w:rsidR="00AC116B" w:rsidRPr="005171D2">
        <w:t>Customs and Border Protection, and for free, was not indicative of a complicated rule. In fact, the opposite conclusion could be drawn: that the US</w:t>
      </w:r>
      <w:r w:rsidR="00FC05EA" w:rsidRPr="005171D2">
        <w:t> </w:t>
      </w:r>
      <w:r w:rsidR="00AC116B" w:rsidRPr="005171D2">
        <w:t>advanced ruling system made it very easy to get a definitive answer to the question of whether a good would qualify for duty</w:t>
      </w:r>
      <w:r w:rsidR="00FC05EA" w:rsidRPr="005171D2">
        <w:noBreakHyphen/>
      </w:r>
      <w:r w:rsidR="00AC116B" w:rsidRPr="005171D2">
        <w:t>free treatment under one of the US</w:t>
      </w:r>
      <w:r w:rsidR="00FC05EA" w:rsidRPr="005171D2">
        <w:t> </w:t>
      </w:r>
      <w:r w:rsidR="00AC116B" w:rsidRPr="005171D2">
        <w:t>preference programmes quickly and cheaply, prior to shipment. On the insurance and freight issue, the US had already explained in its notifications that the issue of whether to deduct these costs was only relevant for calculations based on non</w:t>
      </w:r>
      <w:r w:rsidR="00FC05EA" w:rsidRPr="005171D2">
        <w:noBreakHyphen/>
      </w:r>
      <w:r w:rsidR="00AC116B" w:rsidRPr="005171D2">
        <w:t xml:space="preserve">originating materials. For rules based on originating material, as was the case in the US, it was instead advantageous </w:t>
      </w:r>
      <w:r w:rsidR="005B5163" w:rsidRPr="005171D2">
        <w:t xml:space="preserve">for LDCs </w:t>
      </w:r>
      <w:r w:rsidR="00AC116B" w:rsidRPr="005171D2">
        <w:t xml:space="preserve">to add such costs to the value of inputs. </w:t>
      </w:r>
      <w:r w:rsidR="005B5163" w:rsidRPr="005171D2">
        <w:t>Her government</w:t>
      </w:r>
      <w:r w:rsidR="00AC116B" w:rsidRPr="005171D2">
        <w:t xml:space="preserve"> allowed the cost of freight insurance packing and all other costs incurred in transporting materials to the manufacturers plant to be added to the value of the originating materials. The</w:t>
      </w:r>
      <w:r w:rsidR="009B13BC">
        <w:t> </w:t>
      </w:r>
      <w:r w:rsidR="00AC116B" w:rsidRPr="005171D2">
        <w:t>LDC</w:t>
      </w:r>
      <w:r w:rsidR="00FC05EA" w:rsidRPr="005171D2">
        <w:t> </w:t>
      </w:r>
      <w:r w:rsidR="00AC116B" w:rsidRPr="005171D2">
        <w:t>submission</w:t>
      </w:r>
      <w:r w:rsidR="005B5163" w:rsidRPr="005171D2">
        <w:t>, she continued,</w:t>
      </w:r>
      <w:r w:rsidR="00AC116B" w:rsidRPr="005171D2">
        <w:t xml:space="preserve"> </w:t>
      </w:r>
      <w:r w:rsidR="005B5163" w:rsidRPr="005171D2">
        <w:t xml:space="preserve">called </w:t>
      </w:r>
      <w:r w:rsidR="00AC116B" w:rsidRPr="005171D2">
        <w:t>on the United States to introduce the necessary reforms in its rules of origin to adhere to such best practice</w:t>
      </w:r>
      <w:r w:rsidR="005B5163" w:rsidRPr="005171D2">
        <w:t>s</w:t>
      </w:r>
      <w:r w:rsidR="00AC116B" w:rsidRPr="005171D2">
        <w:t xml:space="preserve">. This was </w:t>
      </w:r>
      <w:r w:rsidR="00E77318" w:rsidRPr="005171D2">
        <w:t xml:space="preserve">characterized </w:t>
      </w:r>
      <w:r w:rsidR="00AC116B" w:rsidRPr="005171D2">
        <w:t>as the initial expectation of the LDCs. However, this initial expectation did not take account of the clear text of the Nairobi Decision, which allowed preference</w:t>
      </w:r>
      <w:r w:rsidR="00FC05EA" w:rsidRPr="005171D2">
        <w:noBreakHyphen/>
      </w:r>
      <w:r w:rsidR="00AC116B" w:rsidRPr="005171D2">
        <w:t xml:space="preserve">granting Members applying another method to continue to </w:t>
      </w:r>
      <w:r w:rsidR="005B5163" w:rsidRPr="005171D2">
        <w:t xml:space="preserve">do </w:t>
      </w:r>
      <w:r w:rsidR="005B5163" w:rsidRPr="005171D2">
        <w:lastRenderedPageBreak/>
        <w:t>so</w:t>
      </w:r>
      <w:r w:rsidR="00AC116B" w:rsidRPr="005171D2">
        <w:t xml:space="preserve">. With that text in mind, the </w:t>
      </w:r>
      <w:r w:rsidR="005B5163" w:rsidRPr="005171D2">
        <w:t xml:space="preserve">US </w:t>
      </w:r>
      <w:r w:rsidR="00AC116B" w:rsidRPr="005171D2">
        <w:t>respectfully submitted that it had no plans at this time to introduce reforms to its rules of origin for LDC</w:t>
      </w:r>
      <w:r w:rsidR="00FC05EA" w:rsidRPr="005171D2">
        <w:t> </w:t>
      </w:r>
      <w:r w:rsidR="00AC116B" w:rsidRPr="005171D2">
        <w:t xml:space="preserve">preference programmes. Nonetheless, </w:t>
      </w:r>
      <w:r w:rsidR="005B5163" w:rsidRPr="005171D2">
        <w:t>her delegation</w:t>
      </w:r>
      <w:r w:rsidR="00AC116B" w:rsidRPr="005171D2">
        <w:t xml:space="preserve"> was open to discussions with the LDC</w:t>
      </w:r>
      <w:r w:rsidR="00FC05EA" w:rsidRPr="005171D2">
        <w:t> </w:t>
      </w:r>
      <w:r w:rsidR="00AC116B" w:rsidRPr="005171D2">
        <w:t>Group regarding the submission.</w:t>
      </w:r>
    </w:p>
    <w:p w14:paraId="49CD1E23" w14:textId="3ECDCA5F" w:rsidR="00A662D1" w:rsidRPr="005171D2" w:rsidRDefault="00AC116B" w:rsidP="00A662D1">
      <w:pPr>
        <w:pStyle w:val="BodyText"/>
      </w:pPr>
      <w:r w:rsidRPr="005171D2">
        <w:t xml:space="preserve">The representative of </w:t>
      </w:r>
      <w:r w:rsidRPr="005171D2">
        <w:rPr>
          <w:u w:val="single"/>
        </w:rPr>
        <w:t>Canada</w:t>
      </w:r>
      <w:r w:rsidRPr="005171D2">
        <w:t xml:space="preserve"> confirmed that the LDC</w:t>
      </w:r>
      <w:r w:rsidR="00182A33" w:rsidRPr="005171D2">
        <w:t> </w:t>
      </w:r>
      <w:r w:rsidRPr="005171D2">
        <w:t>paper had correctly identified Canada as not allowing the deduction of freight and insurance costs from the value of non</w:t>
      </w:r>
      <w:r w:rsidR="00182A33" w:rsidRPr="005171D2">
        <w:noBreakHyphen/>
      </w:r>
      <w:r w:rsidRPr="005171D2">
        <w:t>originating materials. However, she recalled that the Nairobi Ministerial Decision did not require preference</w:t>
      </w:r>
      <w:r w:rsidR="00E77318" w:rsidRPr="005171D2">
        <w:noBreakHyphen/>
      </w:r>
      <w:r w:rsidRPr="005171D2">
        <w:t>granting Members to do so. Hence, she reiterated that Canada was fully compliant with the Nairobi Decision in this regard.</w:t>
      </w:r>
    </w:p>
    <w:p w14:paraId="4116DBF2" w14:textId="23489BC9" w:rsidR="00D90840" w:rsidRPr="005171D2" w:rsidRDefault="00D90840" w:rsidP="00D90840">
      <w:pPr>
        <w:pStyle w:val="BodyText"/>
      </w:pPr>
      <w:r w:rsidRPr="005171D2">
        <w:t xml:space="preserve">The representative of the </w:t>
      </w:r>
      <w:r w:rsidRPr="005171D2">
        <w:rPr>
          <w:u w:val="single"/>
        </w:rPr>
        <w:t>European Union</w:t>
      </w:r>
      <w:r w:rsidRPr="005171D2">
        <w:t xml:space="preserve"> reaffirmed her delegation's commitment to the Nairobi Decision and sought a clarification </w:t>
      </w:r>
      <w:r w:rsidR="00E77318" w:rsidRPr="005171D2">
        <w:t xml:space="preserve">of </w:t>
      </w:r>
      <w:r w:rsidRPr="005171D2">
        <w:t>the information in Table</w:t>
      </w:r>
      <w:r w:rsidR="00182A33" w:rsidRPr="005171D2">
        <w:t> </w:t>
      </w:r>
      <w:r w:rsidRPr="005171D2">
        <w:t>1 of the LDC</w:t>
      </w:r>
      <w:r w:rsidR="00182A33" w:rsidRPr="005171D2">
        <w:t> </w:t>
      </w:r>
      <w:r w:rsidRPr="005171D2">
        <w:t>submission</w:t>
      </w:r>
      <w:r w:rsidR="00E77318" w:rsidRPr="005171D2">
        <w:t>. She</w:t>
      </w:r>
      <w:r w:rsidR="009B13BC">
        <w:t> </w:t>
      </w:r>
      <w:r w:rsidRPr="005171D2">
        <w:t xml:space="preserve">wished to know why the regulations concerning the deduction of transportation and insurance costs were marked </w:t>
      </w:r>
      <w:r w:rsidR="00E77318" w:rsidRPr="005171D2">
        <w:t xml:space="preserve">as </w:t>
      </w:r>
      <w:r w:rsidRPr="005171D2">
        <w:t>"unclear" for the EU. She also wondered why this provision had been marked "not applicable" for certain preference-granting Members.</w:t>
      </w:r>
    </w:p>
    <w:p w14:paraId="2500AA5B" w14:textId="7C37A5F7" w:rsidR="00D90840" w:rsidRPr="005171D2" w:rsidRDefault="00D90840" w:rsidP="00D90840">
      <w:pPr>
        <w:pStyle w:val="BodyText"/>
      </w:pPr>
      <w:r w:rsidRPr="005171D2">
        <w:t xml:space="preserve">The representative of </w:t>
      </w:r>
      <w:r w:rsidRPr="005171D2">
        <w:rPr>
          <w:u w:val="single"/>
        </w:rPr>
        <w:t>Switzerland</w:t>
      </w:r>
      <w:r w:rsidRPr="005171D2">
        <w:t xml:space="preserve"> said that his delegation was still analysing the submission. In the meantime, he wondered if the LDC</w:t>
      </w:r>
      <w:r w:rsidR="00182A33" w:rsidRPr="005171D2">
        <w:t> </w:t>
      </w:r>
      <w:r w:rsidRPr="005171D2">
        <w:t xml:space="preserve">Group could clarify what </w:t>
      </w:r>
      <w:r w:rsidR="00707C66" w:rsidRPr="005171D2">
        <w:t>the expected</w:t>
      </w:r>
      <w:r w:rsidRPr="005171D2">
        <w:t xml:space="preserve"> next steps should be and whether they foresaw a process </w:t>
      </w:r>
      <w:r w:rsidR="00707C66" w:rsidRPr="005171D2">
        <w:t>to discuss the submission</w:t>
      </w:r>
      <w:r w:rsidRPr="005171D2">
        <w:t>.</w:t>
      </w:r>
    </w:p>
    <w:p w14:paraId="3B4D758E" w14:textId="4CF930B3" w:rsidR="00D90840" w:rsidRPr="005171D2" w:rsidRDefault="00D90840" w:rsidP="00D90840">
      <w:pPr>
        <w:pStyle w:val="BodyText"/>
      </w:pPr>
      <w:r w:rsidRPr="005171D2">
        <w:t xml:space="preserve">The representative of the </w:t>
      </w:r>
      <w:r w:rsidRPr="005171D2">
        <w:rPr>
          <w:u w:val="single"/>
        </w:rPr>
        <w:t>Russian Federation</w:t>
      </w:r>
      <w:r w:rsidRPr="005171D2">
        <w:t xml:space="preserve"> reported that her delegation had consulted </w:t>
      </w:r>
      <w:r w:rsidR="003D389E" w:rsidRPr="005171D2">
        <w:t xml:space="preserve">with </w:t>
      </w:r>
      <w:r w:rsidRPr="005171D2">
        <w:t>the LDC</w:t>
      </w:r>
      <w:r w:rsidR="00182A33" w:rsidRPr="005171D2">
        <w:t> </w:t>
      </w:r>
      <w:r w:rsidRPr="005171D2">
        <w:t xml:space="preserve">Group bilaterally </w:t>
      </w:r>
      <w:r w:rsidR="003D389E" w:rsidRPr="005171D2">
        <w:t xml:space="preserve">in order </w:t>
      </w:r>
      <w:r w:rsidRPr="005171D2">
        <w:t xml:space="preserve">better </w:t>
      </w:r>
      <w:r w:rsidR="003D389E" w:rsidRPr="005171D2">
        <w:t xml:space="preserve">to </w:t>
      </w:r>
      <w:r w:rsidRPr="005171D2">
        <w:t>understand the Group's expectations. She clarified that</w:t>
      </w:r>
      <w:r w:rsidR="003D389E" w:rsidRPr="005171D2">
        <w:t>,</w:t>
      </w:r>
      <w:r w:rsidRPr="005171D2">
        <w:t xml:space="preserve"> under the Eurasian Economic Union</w:t>
      </w:r>
      <w:r w:rsidR="00E658CE" w:rsidRPr="005171D2">
        <w:t xml:space="preserve"> (EAEU)</w:t>
      </w:r>
      <w:r w:rsidR="003D389E" w:rsidRPr="005171D2">
        <w:t>,</w:t>
      </w:r>
      <w:r w:rsidRPr="005171D2">
        <w:t xml:space="preserve"> the percentage of allowed non</w:t>
      </w:r>
      <w:r w:rsidR="003D389E" w:rsidRPr="005171D2">
        <w:noBreakHyphen/>
      </w:r>
      <w:r w:rsidRPr="005171D2">
        <w:t>originating materials could reach up to 60% by 2025; not 55%</w:t>
      </w:r>
      <w:r w:rsidR="003D389E" w:rsidRPr="005171D2">
        <w:t>,</w:t>
      </w:r>
      <w:r w:rsidRPr="005171D2">
        <w:t xml:space="preserve"> as mentioned in the document. She also reiterated that her delegation was open to discussing bilaterally any specific challenges being faced by LDCs.</w:t>
      </w:r>
    </w:p>
    <w:p w14:paraId="25943DED" w14:textId="25CACD97" w:rsidR="00D90840" w:rsidRPr="005171D2" w:rsidRDefault="009F7910" w:rsidP="00D90840">
      <w:pPr>
        <w:pStyle w:val="BodyText"/>
      </w:pPr>
      <w:r w:rsidRPr="005171D2">
        <w:t>The</w:t>
      </w:r>
      <w:r w:rsidR="00D90840" w:rsidRPr="005171D2">
        <w:t xml:space="preserve"> representative of </w:t>
      </w:r>
      <w:r w:rsidR="00D90840" w:rsidRPr="005171D2">
        <w:rPr>
          <w:u w:val="single"/>
        </w:rPr>
        <w:t>Afghanistan</w:t>
      </w:r>
      <w:r w:rsidRPr="005171D2">
        <w:t>,</w:t>
      </w:r>
      <w:r w:rsidR="00D90840" w:rsidRPr="005171D2">
        <w:t xml:space="preserve"> </w:t>
      </w:r>
      <w:r w:rsidRPr="005171D2">
        <w:t xml:space="preserve">in response to Members' comments and questions, first </w:t>
      </w:r>
      <w:r w:rsidR="00D90840" w:rsidRPr="005171D2">
        <w:t xml:space="preserve">thanked the delegation </w:t>
      </w:r>
      <w:r w:rsidR="00707C66" w:rsidRPr="005171D2">
        <w:t>of</w:t>
      </w:r>
      <w:r w:rsidR="00D90840" w:rsidRPr="005171D2">
        <w:t xml:space="preserve"> Chinese Taipei for having clarified their requirements. He also thanked the delegation of New Zealand for its report</w:t>
      </w:r>
      <w:r w:rsidR="005171D2">
        <w:t xml:space="preserve"> </w:t>
      </w:r>
      <w:r w:rsidR="00D90840" w:rsidRPr="005171D2">
        <w:t>and added that the LDC</w:t>
      </w:r>
      <w:r w:rsidR="00182A33" w:rsidRPr="005171D2">
        <w:t> </w:t>
      </w:r>
      <w:r w:rsidR="00D90840" w:rsidRPr="005171D2">
        <w:t xml:space="preserve">Group would be interested to discuss New Zealand's reforms in detail. He also thanked Australia for its clarification and reiterated that the Group was simply asking Australia to extend to LDCs the same </w:t>
      </w:r>
      <w:r w:rsidR="003140BD" w:rsidRPr="005171D2">
        <w:t xml:space="preserve">rules </w:t>
      </w:r>
      <w:r w:rsidRPr="005171D2">
        <w:t xml:space="preserve">as those it </w:t>
      </w:r>
      <w:r w:rsidR="00D90840" w:rsidRPr="005171D2">
        <w:t xml:space="preserve">already </w:t>
      </w:r>
      <w:r w:rsidRPr="005171D2">
        <w:t xml:space="preserve">applied </w:t>
      </w:r>
      <w:r w:rsidR="00D90840" w:rsidRPr="005171D2">
        <w:t xml:space="preserve">in </w:t>
      </w:r>
      <w:r w:rsidRPr="005171D2">
        <w:t xml:space="preserve">its </w:t>
      </w:r>
      <w:r w:rsidR="00707C66" w:rsidRPr="005171D2">
        <w:t>R</w:t>
      </w:r>
      <w:r w:rsidR="00D90840" w:rsidRPr="005171D2">
        <w:t>TAs.</w:t>
      </w:r>
    </w:p>
    <w:p w14:paraId="431870E8" w14:textId="2106A991" w:rsidR="00D90840" w:rsidRPr="005171D2" w:rsidRDefault="009D3C19" w:rsidP="00D90840">
      <w:pPr>
        <w:pStyle w:val="BodyText"/>
      </w:pPr>
      <w:r w:rsidRPr="005171D2">
        <w:t xml:space="preserve">The </w:t>
      </w:r>
      <w:r w:rsidR="00D90840" w:rsidRPr="005171D2">
        <w:t xml:space="preserve">representative of </w:t>
      </w:r>
      <w:r w:rsidRPr="005171D2">
        <w:rPr>
          <w:u w:val="single"/>
        </w:rPr>
        <w:t>Tanzania,</w:t>
      </w:r>
      <w:r w:rsidR="00D90840" w:rsidRPr="005171D2">
        <w:t xml:space="preserve"> </w:t>
      </w:r>
      <w:r w:rsidRPr="005171D2">
        <w:t xml:space="preserve">in response to the questions raised by the US, </w:t>
      </w:r>
      <w:r w:rsidR="00D90840" w:rsidRPr="005171D2">
        <w:t>clarified that the LDC</w:t>
      </w:r>
      <w:r w:rsidR="00182A33" w:rsidRPr="005171D2">
        <w:t> </w:t>
      </w:r>
      <w:r w:rsidR="00D90840" w:rsidRPr="005171D2">
        <w:t xml:space="preserve">Group was not disputing the fact that preference-granting Members were allowed flexibility </w:t>
      </w:r>
      <w:r w:rsidR="00707C66" w:rsidRPr="005171D2">
        <w:t>in the Ministerial Decision</w:t>
      </w:r>
      <w:r w:rsidR="00D90840" w:rsidRPr="005171D2">
        <w:t>. However, the Group was reiterating its preference for a method based on the value of non</w:t>
      </w:r>
      <w:r w:rsidRPr="005171D2">
        <w:noBreakHyphen/>
      </w:r>
      <w:r w:rsidR="00D90840" w:rsidRPr="005171D2">
        <w:t xml:space="preserve">originating materials, as had been clearly acknowledged in the Ministerial Decision. This was the calculation method which </w:t>
      </w:r>
      <w:r w:rsidR="00D3049D" w:rsidRPr="005171D2">
        <w:t>was</w:t>
      </w:r>
      <w:r w:rsidR="00D90840" w:rsidRPr="005171D2">
        <w:t xml:space="preserve"> </w:t>
      </w:r>
      <w:r w:rsidRPr="005171D2">
        <w:t xml:space="preserve">best </w:t>
      </w:r>
      <w:r w:rsidR="00D90840" w:rsidRPr="005171D2">
        <w:t>understood and handled by LDC</w:t>
      </w:r>
      <w:r w:rsidR="00182A33" w:rsidRPr="005171D2">
        <w:t> </w:t>
      </w:r>
      <w:r w:rsidR="00D90840" w:rsidRPr="005171D2">
        <w:t>exporters and small and medium</w:t>
      </w:r>
      <w:r w:rsidRPr="005171D2">
        <w:noBreakHyphen/>
        <w:t>sized</w:t>
      </w:r>
      <w:r w:rsidR="00D90840" w:rsidRPr="005171D2">
        <w:t xml:space="preserve"> enterprises. The Group was asking preference-granting Members to consider the constraints and lack of resources of businesses in LDCs. His delegation was willing to meet the US bilaterally to further explain and illustrate those challenges.</w:t>
      </w:r>
      <w:r w:rsidR="00707C66" w:rsidRPr="005171D2">
        <w:t xml:space="preserve"> Moreover, the US had already been using other, more </w:t>
      </w:r>
      <w:r w:rsidRPr="005171D2">
        <w:t>trade</w:t>
      </w:r>
      <w:r w:rsidRPr="005171D2">
        <w:noBreakHyphen/>
      </w:r>
      <w:r w:rsidR="00707C66" w:rsidRPr="005171D2">
        <w:t xml:space="preserve">facilitating requirements in its RTAs. </w:t>
      </w:r>
      <w:r w:rsidR="00D90840" w:rsidRPr="005171D2">
        <w:t xml:space="preserve">In response to the comment by Canada, he confirmed that Canada already had flexible rules of origin. However, he reiterated that Canada's rules would be made </w:t>
      </w:r>
      <w:r w:rsidR="00707C66" w:rsidRPr="005171D2">
        <w:t>even more</w:t>
      </w:r>
      <w:r w:rsidR="00D90840" w:rsidRPr="005171D2">
        <w:t xml:space="preserve"> flexible </w:t>
      </w:r>
      <w:r w:rsidR="00D3049D" w:rsidRPr="005171D2">
        <w:t>if they</w:t>
      </w:r>
      <w:r w:rsidR="00D90840" w:rsidRPr="005171D2">
        <w:t xml:space="preserve"> allow</w:t>
      </w:r>
      <w:r w:rsidR="00D3049D" w:rsidRPr="005171D2">
        <w:t>ed</w:t>
      </w:r>
      <w:r w:rsidR="00D90840" w:rsidRPr="005171D2">
        <w:t xml:space="preserve"> for the deduction of insurance and transportation costs from the value of non</w:t>
      </w:r>
      <w:r w:rsidRPr="005171D2">
        <w:noBreakHyphen/>
      </w:r>
      <w:r w:rsidR="00D90840" w:rsidRPr="005171D2">
        <w:t xml:space="preserve">originating materials. To illustrate his point, he referred to the additional costs of transporting materials from India for further processing </w:t>
      </w:r>
      <w:r w:rsidR="00707C66" w:rsidRPr="005171D2">
        <w:t>in</w:t>
      </w:r>
      <w:r w:rsidR="00D90840" w:rsidRPr="005171D2">
        <w:t xml:space="preserve"> Tanzania as opposed to Bangladesh or Cambodia. These additional costs meant that producers in Tanzania would </w:t>
      </w:r>
      <w:r w:rsidR="00D3049D" w:rsidRPr="005171D2">
        <w:t xml:space="preserve">be disadvantaged when complying </w:t>
      </w:r>
      <w:r w:rsidR="00D90840" w:rsidRPr="005171D2">
        <w:t xml:space="preserve">with a ceiling value </w:t>
      </w:r>
      <w:r w:rsidR="00D3049D" w:rsidRPr="005171D2">
        <w:t>for</w:t>
      </w:r>
      <w:r w:rsidR="00D90840" w:rsidRPr="005171D2">
        <w:t xml:space="preserve"> non</w:t>
      </w:r>
      <w:r w:rsidRPr="005171D2">
        <w:noBreakHyphen/>
      </w:r>
      <w:r w:rsidR="00D90840" w:rsidRPr="005171D2">
        <w:t xml:space="preserve">originating materials. </w:t>
      </w:r>
      <w:r w:rsidR="00E658CE" w:rsidRPr="005171D2">
        <w:t xml:space="preserve">In relation to the comments by the Russian Federation, he appreciated that the EAEU's </w:t>
      </w:r>
      <w:r w:rsidRPr="005171D2">
        <w:t xml:space="preserve">new </w:t>
      </w:r>
      <w:r w:rsidR="00E658CE" w:rsidRPr="005171D2">
        <w:t>allowance for use of non</w:t>
      </w:r>
      <w:r w:rsidRPr="005171D2">
        <w:noBreakHyphen/>
      </w:r>
      <w:r w:rsidR="00E658CE" w:rsidRPr="005171D2">
        <w:t>originating materials would be gradually increased to 60%, bringing it closer to the 75%</w:t>
      </w:r>
      <w:r w:rsidR="0040526B" w:rsidRPr="005171D2">
        <w:t> </w:t>
      </w:r>
      <w:r w:rsidR="00E658CE" w:rsidRPr="005171D2">
        <w:t xml:space="preserve">target of the Ministerial Decision. Finally, in relation to Switzerland's question, he said that the </w:t>
      </w:r>
      <w:r w:rsidR="00860519" w:rsidRPr="005171D2">
        <w:t>Group's second</w:t>
      </w:r>
      <w:r w:rsidR="0040526B" w:rsidRPr="005171D2">
        <w:t> </w:t>
      </w:r>
      <w:r w:rsidR="00860519" w:rsidRPr="005171D2">
        <w:t xml:space="preserve">submission would clarify next steps, </w:t>
      </w:r>
      <w:r w:rsidR="0040526B" w:rsidRPr="005171D2">
        <w:t xml:space="preserve">and that ultimately </w:t>
      </w:r>
      <w:r w:rsidR="00860519" w:rsidRPr="005171D2">
        <w:t xml:space="preserve">what the Group </w:t>
      </w:r>
      <w:r w:rsidR="0040526B" w:rsidRPr="005171D2">
        <w:t xml:space="preserve">was seeking </w:t>
      </w:r>
      <w:r w:rsidR="00860519" w:rsidRPr="005171D2">
        <w:t xml:space="preserve">was to identify best practices and to </w:t>
      </w:r>
      <w:r w:rsidR="00707C66" w:rsidRPr="005171D2">
        <w:t>convince</w:t>
      </w:r>
      <w:r w:rsidR="00860519" w:rsidRPr="005171D2">
        <w:t xml:space="preserve"> preference-granting Members </w:t>
      </w:r>
      <w:r w:rsidR="00707C66" w:rsidRPr="005171D2">
        <w:t xml:space="preserve">of </w:t>
      </w:r>
      <w:r w:rsidR="00860519" w:rsidRPr="005171D2">
        <w:t>the benefits of reforming their rules to implement such practices.</w:t>
      </w:r>
    </w:p>
    <w:p w14:paraId="55149845" w14:textId="17A3DC4C" w:rsidR="00D90840" w:rsidRPr="005171D2" w:rsidRDefault="00EA3A37" w:rsidP="00A662D1">
      <w:pPr>
        <w:pStyle w:val="BodyText"/>
      </w:pPr>
      <w:r w:rsidRPr="005171D2">
        <w:t>The</w:t>
      </w:r>
      <w:r w:rsidR="00286D2E" w:rsidRPr="005171D2">
        <w:t xml:space="preserve"> </w:t>
      </w:r>
      <w:r w:rsidR="00286D2E" w:rsidRPr="005171D2">
        <w:rPr>
          <w:u w:val="single"/>
        </w:rPr>
        <w:t>Chairperson</w:t>
      </w:r>
      <w:r w:rsidR="00286D2E" w:rsidRPr="005171D2">
        <w:t xml:space="preserve"> thanked the LDC</w:t>
      </w:r>
      <w:r w:rsidR="00182A33" w:rsidRPr="005171D2">
        <w:t> </w:t>
      </w:r>
      <w:r w:rsidR="00286D2E" w:rsidRPr="005171D2">
        <w:t>Group for the work they had put into this paper and presentation. He invited delegations to consult each other on the points raised</w:t>
      </w:r>
      <w:r w:rsidR="00707C66" w:rsidRPr="005171D2">
        <w:t>. If possible, he recommended</w:t>
      </w:r>
      <w:r w:rsidR="00286D2E" w:rsidRPr="005171D2">
        <w:t xml:space="preserve"> an exchange </w:t>
      </w:r>
      <w:r w:rsidR="00707C66" w:rsidRPr="005171D2">
        <w:t xml:space="preserve">of </w:t>
      </w:r>
      <w:r w:rsidR="00286D2E" w:rsidRPr="005171D2">
        <w:t xml:space="preserve">questions and </w:t>
      </w:r>
      <w:r w:rsidR="00707C66" w:rsidRPr="005171D2">
        <w:t xml:space="preserve">answers </w:t>
      </w:r>
      <w:r w:rsidR="00286D2E" w:rsidRPr="005171D2">
        <w:t xml:space="preserve">in writing so that the Committee could continue to monitor the points </w:t>
      </w:r>
      <w:r w:rsidR="00707C66" w:rsidRPr="005171D2">
        <w:t>being discussed</w:t>
      </w:r>
      <w:r w:rsidR="00286D2E" w:rsidRPr="005171D2">
        <w:t>.</w:t>
      </w:r>
    </w:p>
    <w:p w14:paraId="45104FCF" w14:textId="3E3CB777" w:rsidR="008D346E" w:rsidRPr="005171D2" w:rsidRDefault="00913CD9" w:rsidP="00913CD9">
      <w:pPr>
        <w:pStyle w:val="BodyText"/>
      </w:pPr>
      <w:r w:rsidRPr="005171D2">
        <w:t xml:space="preserve">It was so </w:t>
      </w:r>
      <w:r w:rsidRPr="005171D2">
        <w:rPr>
          <w:u w:val="single"/>
        </w:rPr>
        <w:t>agreed</w:t>
      </w:r>
      <w:r w:rsidRPr="005171D2">
        <w:t>.</w:t>
      </w:r>
    </w:p>
    <w:p w14:paraId="1DD295DD" w14:textId="0588E9E7" w:rsidR="0076539E" w:rsidRPr="005171D2" w:rsidRDefault="00654B1F" w:rsidP="00975922">
      <w:pPr>
        <w:pStyle w:val="Heading2"/>
      </w:pPr>
      <w:bookmarkStart w:id="15" w:name="_Toc39610310"/>
      <w:bookmarkStart w:id="16" w:name="_Toc63067723"/>
      <w:r w:rsidRPr="005171D2">
        <w:lastRenderedPageBreak/>
        <w:t>Utilization of Preferential Trade Arrangements by Least Developed Countries</w:t>
      </w:r>
      <w:r w:rsidR="008549EC" w:rsidRPr="005171D2">
        <w:t xml:space="preserve">: </w:t>
      </w:r>
      <w:r w:rsidR="0040526B" w:rsidRPr="005171D2">
        <w:t xml:space="preserve">Analysis </w:t>
      </w:r>
      <w:r w:rsidR="008549EC" w:rsidRPr="005171D2">
        <w:t xml:space="preserve">of </w:t>
      </w:r>
      <w:r w:rsidR="0040526B" w:rsidRPr="005171D2">
        <w:t xml:space="preserve">Mineral </w:t>
      </w:r>
      <w:r w:rsidR="008549EC" w:rsidRPr="005171D2">
        <w:t xml:space="preserve">and </w:t>
      </w:r>
      <w:r w:rsidR="0040526B" w:rsidRPr="005171D2">
        <w:t xml:space="preserve">Metal Products </w:t>
      </w:r>
      <w:r w:rsidR="002B3526" w:rsidRPr="005171D2">
        <w:t xml:space="preserve">(G/RO/W/203; RD/RO/89) </w:t>
      </w:r>
      <w:r w:rsidRPr="005171D2">
        <w:t xml:space="preserve">– </w:t>
      </w:r>
      <w:r w:rsidR="008549EC" w:rsidRPr="005171D2">
        <w:t xml:space="preserve">Note </w:t>
      </w:r>
      <w:r w:rsidRPr="005171D2">
        <w:t xml:space="preserve">by </w:t>
      </w:r>
      <w:r w:rsidR="0040526B" w:rsidRPr="005171D2">
        <w:t xml:space="preserve">the </w:t>
      </w:r>
      <w:r w:rsidRPr="005171D2">
        <w:t>Secretariat</w:t>
      </w:r>
      <w:bookmarkEnd w:id="15"/>
      <w:bookmarkEnd w:id="16"/>
    </w:p>
    <w:p w14:paraId="46BD7478" w14:textId="3EA998D4" w:rsidR="00DE7FC3" w:rsidRPr="005171D2" w:rsidRDefault="00DE7FC3" w:rsidP="00DE7FC3">
      <w:pPr>
        <w:pStyle w:val="BodyText"/>
      </w:pPr>
      <w:r w:rsidRPr="005171D2">
        <w:t xml:space="preserve">The </w:t>
      </w:r>
      <w:r w:rsidRPr="005171D2">
        <w:rPr>
          <w:u w:val="single"/>
        </w:rPr>
        <w:t>Chairperson</w:t>
      </w:r>
      <w:r w:rsidRPr="005171D2">
        <w:t xml:space="preserve"> </w:t>
      </w:r>
      <w:r w:rsidR="00707C66" w:rsidRPr="005171D2">
        <w:t>referred to</w:t>
      </w:r>
      <w:r w:rsidRPr="005171D2">
        <w:t xml:space="preserve"> paragraph</w:t>
      </w:r>
      <w:r w:rsidR="00182A33" w:rsidRPr="005171D2">
        <w:t> </w:t>
      </w:r>
      <w:r w:rsidRPr="005171D2">
        <w:t>4.3 of the Nairobi Decision</w:t>
      </w:r>
      <w:r w:rsidR="00707C66" w:rsidRPr="005171D2">
        <w:t>, which</w:t>
      </w:r>
      <w:r w:rsidRPr="005171D2">
        <w:t xml:space="preserve"> stated that the Secretariat may calculate utilization rates. The purpose of these calculations was to identify trade flows that were not fully utilizing trade preferences to assess whether origin requirements could </w:t>
      </w:r>
      <w:r w:rsidR="00707C66" w:rsidRPr="005171D2">
        <w:t xml:space="preserve">be </w:t>
      </w:r>
      <w:r w:rsidRPr="005171D2">
        <w:t>hindering fuller utilization. To this end, the Secretariat had prepared a new report looking at utilization rates for the mineral</w:t>
      </w:r>
      <w:r w:rsidR="00BF2467" w:rsidRPr="005171D2">
        <w:t>s</w:t>
      </w:r>
      <w:r w:rsidRPr="005171D2">
        <w:t xml:space="preserve"> and metal</w:t>
      </w:r>
      <w:r w:rsidR="00BF2467" w:rsidRPr="005171D2">
        <w:t>s</w:t>
      </w:r>
      <w:r w:rsidRPr="005171D2">
        <w:t xml:space="preserve"> sector (G/RO/W/203).</w:t>
      </w:r>
    </w:p>
    <w:p w14:paraId="6D29FB87" w14:textId="6B54BF69" w:rsidR="00DE7FC3" w:rsidRPr="005171D2" w:rsidRDefault="00707C66" w:rsidP="00D90923">
      <w:pPr>
        <w:pStyle w:val="BodyText"/>
      </w:pPr>
      <w:r w:rsidRPr="005171D2">
        <w:t>T</w:t>
      </w:r>
      <w:r w:rsidR="00DE7FC3" w:rsidRPr="005171D2">
        <w:t xml:space="preserve">he </w:t>
      </w:r>
      <w:r w:rsidR="00DE7FC3" w:rsidRPr="005171D2">
        <w:rPr>
          <w:u w:val="single"/>
        </w:rPr>
        <w:t>Secretariat</w:t>
      </w:r>
      <w:r w:rsidR="00DE7FC3" w:rsidRPr="005171D2">
        <w:t xml:space="preserve"> (Mr</w:t>
      </w:r>
      <w:r w:rsidR="0040526B" w:rsidRPr="005171D2">
        <w:t> </w:t>
      </w:r>
      <w:r w:rsidR="00DE7FC3" w:rsidRPr="005171D2">
        <w:t xml:space="preserve">Simon Neumueller) explained that </w:t>
      </w:r>
      <w:r w:rsidRPr="005171D2">
        <w:t xml:space="preserve">the note </w:t>
      </w:r>
      <w:r w:rsidR="00DE7FC3" w:rsidRPr="005171D2">
        <w:t xml:space="preserve">built on </w:t>
      </w:r>
      <w:r w:rsidR="007616FD" w:rsidRPr="005171D2">
        <w:t xml:space="preserve">earlier Secretariat </w:t>
      </w:r>
      <w:r w:rsidR="00DE7FC3" w:rsidRPr="005171D2">
        <w:t xml:space="preserve">calculations, which </w:t>
      </w:r>
      <w:r w:rsidRPr="005171D2">
        <w:t xml:space="preserve">had </w:t>
      </w:r>
      <w:r w:rsidR="007616FD" w:rsidRPr="005171D2">
        <w:t xml:space="preserve">shown </w:t>
      </w:r>
      <w:r w:rsidR="00DE7FC3" w:rsidRPr="005171D2">
        <w:t>that all preference-granting Members</w:t>
      </w:r>
      <w:r w:rsidR="00D90923" w:rsidRPr="005171D2">
        <w:t xml:space="preserve"> </w:t>
      </w:r>
      <w:r w:rsidR="00BC2476" w:rsidRPr="005171D2">
        <w:t>had LDC</w:t>
      </w:r>
      <w:r w:rsidR="00182A33" w:rsidRPr="005171D2">
        <w:t> </w:t>
      </w:r>
      <w:r w:rsidR="00BC2476" w:rsidRPr="005171D2">
        <w:t xml:space="preserve">preferences that </w:t>
      </w:r>
      <w:r w:rsidR="00D90923" w:rsidRPr="005171D2">
        <w:t>were to some extent</w:t>
      </w:r>
      <w:r w:rsidR="007616FD" w:rsidRPr="005171D2">
        <w:t xml:space="preserve"> unused</w:t>
      </w:r>
      <w:r w:rsidR="00DE7FC3" w:rsidRPr="005171D2">
        <w:t xml:space="preserve">. </w:t>
      </w:r>
      <w:r w:rsidR="007616FD" w:rsidRPr="005171D2">
        <w:t xml:space="preserve">These previous </w:t>
      </w:r>
      <w:r w:rsidR="00DE7FC3" w:rsidRPr="005171D2">
        <w:t>calculations had shown that underutilization affected sectors in different ways</w:t>
      </w:r>
      <w:r w:rsidR="007616FD" w:rsidRPr="005171D2">
        <w:t>,</w:t>
      </w:r>
      <w:r w:rsidR="00DE7FC3" w:rsidRPr="005171D2">
        <w:t xml:space="preserve"> </w:t>
      </w:r>
      <w:r w:rsidR="007616FD" w:rsidRPr="005171D2">
        <w:t xml:space="preserve">and </w:t>
      </w:r>
      <w:r w:rsidR="00DE7FC3" w:rsidRPr="005171D2">
        <w:t xml:space="preserve">that </w:t>
      </w:r>
      <w:r w:rsidR="00BC2476" w:rsidRPr="005171D2">
        <w:t>it</w:t>
      </w:r>
      <w:r w:rsidR="007616FD" w:rsidRPr="005171D2">
        <w:t>s impact</w:t>
      </w:r>
      <w:r w:rsidR="00BC2476" w:rsidRPr="005171D2">
        <w:t xml:space="preserve"> </w:t>
      </w:r>
      <w:r w:rsidR="00DE7FC3" w:rsidRPr="005171D2">
        <w:t xml:space="preserve">also </w:t>
      </w:r>
      <w:r w:rsidR="007616FD" w:rsidRPr="005171D2">
        <w:t xml:space="preserve">extended to </w:t>
      </w:r>
      <w:r w:rsidR="00DE7FC3" w:rsidRPr="005171D2">
        <w:t xml:space="preserve">exports subject to simple origin criteria, such as fresh fruits and vegetables. </w:t>
      </w:r>
      <w:r w:rsidR="00D90923" w:rsidRPr="005171D2">
        <w:t xml:space="preserve">The Secretariat had sought to test some of these findings on a new sector. </w:t>
      </w:r>
      <w:r w:rsidR="00DE7FC3" w:rsidRPr="005171D2">
        <w:t>Minerals and metals</w:t>
      </w:r>
      <w:r w:rsidR="00D90923" w:rsidRPr="005171D2">
        <w:t xml:space="preserve"> </w:t>
      </w:r>
      <w:proofErr w:type="gramStart"/>
      <w:r w:rsidR="00DE7FC3" w:rsidRPr="005171D2">
        <w:t>was</w:t>
      </w:r>
      <w:proofErr w:type="gramEnd"/>
      <w:r w:rsidR="00DE7FC3" w:rsidRPr="005171D2">
        <w:t xml:space="preserve"> interesting</w:t>
      </w:r>
      <w:r w:rsidR="007616FD" w:rsidRPr="005171D2">
        <w:t xml:space="preserve"> in this regard</w:t>
      </w:r>
      <w:r w:rsidR="00DE7FC3" w:rsidRPr="005171D2">
        <w:t xml:space="preserve"> since it represented about a quarter of all exports from LDCs to preference-granting Members. Of that amount, preferences in this sector represented about 6.5% of all exports from LDCs to preference</w:t>
      </w:r>
      <w:r w:rsidR="00D600D2" w:rsidRPr="005171D2">
        <w:t>-</w:t>
      </w:r>
      <w:r w:rsidR="00DE7FC3" w:rsidRPr="005171D2">
        <w:t>granting Members (about US$10</w:t>
      </w:r>
      <w:r w:rsidR="007616FD" w:rsidRPr="005171D2">
        <w:t> </w:t>
      </w:r>
      <w:r w:rsidR="00DE7FC3" w:rsidRPr="005171D2">
        <w:t xml:space="preserve">billion). In 2018, the largest destinations of these exports had been </w:t>
      </w:r>
      <w:r w:rsidR="00B87C95">
        <w:t>China;</w:t>
      </w:r>
      <w:r w:rsidR="00DE7FC3" w:rsidRPr="005171D2">
        <w:t xml:space="preserve"> </w:t>
      </w:r>
      <w:r w:rsidR="00B87C95">
        <w:t>India;</w:t>
      </w:r>
      <w:r w:rsidR="00DE7FC3" w:rsidRPr="005171D2">
        <w:t xml:space="preserve"> the EU</w:t>
      </w:r>
      <w:r w:rsidR="00B87C95">
        <w:t>;</w:t>
      </w:r>
      <w:r w:rsidR="00DE7FC3" w:rsidRPr="005171D2">
        <w:t xml:space="preserve"> and the Republic of Korea. The biggest exporters were Zambia (copper) and the Democratic Republic of Congo (cobalt, copper</w:t>
      </w:r>
      <w:r w:rsidR="007616FD" w:rsidRPr="005171D2">
        <w:t>,</w:t>
      </w:r>
      <w:r w:rsidR="00DE7FC3" w:rsidRPr="005171D2">
        <w:t xml:space="preserve"> and diamonds). Other major exporters were Mozambique (aluminium); Tanzania (gold); Myanmar (copper, nickel, precious stones</w:t>
      </w:r>
      <w:r w:rsidR="007616FD" w:rsidRPr="005171D2">
        <w:t>,</w:t>
      </w:r>
      <w:r w:rsidR="00DE7FC3" w:rsidRPr="005171D2">
        <w:t xml:space="preserve"> and jewellery)</w:t>
      </w:r>
      <w:r w:rsidR="009B13BC">
        <w:t>;</w:t>
      </w:r>
      <w:r w:rsidR="00DE7FC3" w:rsidRPr="005171D2">
        <w:t xml:space="preserve"> and Angola (natural gas and diamonds). Copper was the single most important product in this sector, making up 45% of all preferential exports from LDCs, followed by aluminium, gold, jewellery, cobalt, precious stones, granite</w:t>
      </w:r>
      <w:r w:rsidR="007616FD" w:rsidRPr="005171D2">
        <w:t>,</w:t>
      </w:r>
      <w:r w:rsidR="00DE7FC3" w:rsidRPr="005171D2">
        <w:t xml:space="preserve"> and articles of steel. As a result, </w:t>
      </w:r>
      <w:proofErr w:type="gramStart"/>
      <w:r w:rsidR="00DE7FC3" w:rsidRPr="005171D2">
        <w:t>the majority of</w:t>
      </w:r>
      <w:proofErr w:type="gramEnd"/>
      <w:r w:rsidR="00DE7FC3" w:rsidRPr="005171D2">
        <w:t xml:space="preserve"> the traded goods were raw commodities.</w:t>
      </w:r>
    </w:p>
    <w:p w14:paraId="3BCCE555" w14:textId="61B8716E" w:rsidR="008E44EA" w:rsidRPr="005171D2" w:rsidRDefault="00414EE0" w:rsidP="00DE7FC3">
      <w:pPr>
        <w:pStyle w:val="BodyText"/>
      </w:pPr>
      <w:r w:rsidRPr="005171D2">
        <w:t xml:space="preserve">He </w:t>
      </w:r>
      <w:r w:rsidR="00DE7FC3" w:rsidRPr="005171D2">
        <w:t>explained</w:t>
      </w:r>
      <w:r w:rsidRPr="005171D2">
        <w:t xml:space="preserve"> that</w:t>
      </w:r>
      <w:r w:rsidR="00DE7FC3" w:rsidRPr="005171D2">
        <w:t xml:space="preserve">, </w:t>
      </w:r>
      <w:r w:rsidRPr="005171D2">
        <w:t xml:space="preserve">overall, </w:t>
      </w:r>
      <w:proofErr w:type="gramStart"/>
      <w:r w:rsidR="00DE7FC3" w:rsidRPr="005171D2">
        <w:t>the majority of</w:t>
      </w:r>
      <w:proofErr w:type="gramEnd"/>
      <w:r w:rsidR="00DE7FC3" w:rsidRPr="005171D2">
        <w:t xml:space="preserve"> exports in this sector had not received tariff preferences: 66% of all </w:t>
      </w:r>
      <w:r w:rsidR="00D90923" w:rsidRPr="005171D2">
        <w:t>preference-eligible imports</w:t>
      </w:r>
      <w:r w:rsidR="00DE7FC3" w:rsidRPr="005171D2">
        <w:t xml:space="preserve"> had not </w:t>
      </w:r>
      <w:r w:rsidR="00D90923" w:rsidRPr="005171D2">
        <w:t>used preferences</w:t>
      </w:r>
      <w:r w:rsidR="00DE7FC3" w:rsidRPr="005171D2">
        <w:t>. However, there were significant variations for different product</w:t>
      </w:r>
      <w:r w:rsidRPr="005171D2">
        <w:t xml:space="preserve"> </w:t>
      </w:r>
      <w:r w:rsidR="00DE7FC3" w:rsidRPr="005171D2">
        <w:t xml:space="preserve">groups and for different </w:t>
      </w:r>
      <w:r w:rsidR="00BC2476" w:rsidRPr="005171D2">
        <w:t>preferential schemes</w:t>
      </w:r>
      <w:r w:rsidR="00DE7FC3" w:rsidRPr="005171D2">
        <w:t xml:space="preserve">. </w:t>
      </w:r>
      <w:r w:rsidR="00D90923" w:rsidRPr="005171D2">
        <w:t xml:space="preserve">Hence, the </w:t>
      </w:r>
      <w:r w:rsidR="00DE7FC3" w:rsidRPr="005171D2">
        <w:t xml:space="preserve">note </w:t>
      </w:r>
      <w:r w:rsidR="00D90923" w:rsidRPr="005171D2">
        <w:t xml:space="preserve">had explored </w:t>
      </w:r>
      <w:r w:rsidR="00DE7FC3" w:rsidRPr="005171D2">
        <w:t xml:space="preserve">different reasons </w:t>
      </w:r>
      <w:r w:rsidRPr="005171D2">
        <w:t xml:space="preserve">that might </w:t>
      </w:r>
      <w:r w:rsidR="00DE7FC3" w:rsidRPr="005171D2">
        <w:t xml:space="preserve">help </w:t>
      </w:r>
      <w:r w:rsidRPr="005171D2">
        <w:t xml:space="preserve">to </w:t>
      </w:r>
      <w:r w:rsidR="00DE7FC3" w:rsidRPr="005171D2">
        <w:t xml:space="preserve">explain underutilization rates and these variations. First, </w:t>
      </w:r>
      <w:r w:rsidR="00BC2476" w:rsidRPr="005171D2">
        <w:t xml:space="preserve">descriptive analysis </w:t>
      </w:r>
      <w:r w:rsidR="00D90923" w:rsidRPr="005171D2">
        <w:t xml:space="preserve">revealed that </w:t>
      </w:r>
      <w:r w:rsidR="00DE7FC3" w:rsidRPr="005171D2">
        <w:t xml:space="preserve">preferential margins </w:t>
      </w:r>
      <w:r w:rsidR="00BC2476" w:rsidRPr="005171D2">
        <w:t>seem</w:t>
      </w:r>
      <w:r w:rsidRPr="005171D2">
        <w:t>ed</w:t>
      </w:r>
      <w:r w:rsidR="00BC2476" w:rsidRPr="005171D2">
        <w:t xml:space="preserve"> </w:t>
      </w:r>
      <w:r w:rsidR="00DE7FC3" w:rsidRPr="005171D2">
        <w:t xml:space="preserve">not </w:t>
      </w:r>
      <w:r w:rsidR="00BC2476" w:rsidRPr="005171D2">
        <w:t xml:space="preserve">to </w:t>
      </w:r>
      <w:r w:rsidR="00DE7FC3" w:rsidRPr="005171D2">
        <w:t xml:space="preserve">affect underutilization rates (one </w:t>
      </w:r>
      <w:r w:rsidRPr="005171D2">
        <w:t xml:space="preserve">might </w:t>
      </w:r>
      <w:r w:rsidR="00D90923" w:rsidRPr="005171D2">
        <w:t xml:space="preserve">have </w:t>
      </w:r>
      <w:r w:rsidR="00DE7FC3" w:rsidRPr="005171D2">
        <w:t>imagine</w:t>
      </w:r>
      <w:r w:rsidR="00D90923" w:rsidRPr="005171D2">
        <w:t>d</w:t>
      </w:r>
      <w:r w:rsidR="00DE7FC3" w:rsidRPr="005171D2">
        <w:t xml:space="preserve"> that the higher the duty savings, the lower </w:t>
      </w:r>
      <w:r w:rsidR="00D90923" w:rsidRPr="005171D2">
        <w:t xml:space="preserve">the </w:t>
      </w:r>
      <w:r w:rsidR="00DE7FC3" w:rsidRPr="005171D2">
        <w:t>underutilization rates</w:t>
      </w:r>
      <w:r w:rsidRPr="005171D2">
        <w:t>,</w:t>
      </w:r>
      <w:r w:rsidR="00DE7FC3" w:rsidRPr="005171D2">
        <w:t xml:space="preserve"> because operators would have a greater incentive to fulfil the origin criteria. However, the underutilization was highest where preference margins </w:t>
      </w:r>
      <w:r w:rsidR="00BC2476" w:rsidRPr="005171D2">
        <w:t xml:space="preserve">were </w:t>
      </w:r>
      <w:r w:rsidR="00DE7FC3" w:rsidRPr="005171D2">
        <w:t>greatest</w:t>
      </w:r>
      <w:r w:rsidR="00BC2476" w:rsidRPr="005171D2">
        <w:t xml:space="preserve"> in this sector</w:t>
      </w:r>
      <w:r w:rsidR="00DE7FC3" w:rsidRPr="005171D2">
        <w:t xml:space="preserve">). Second, </w:t>
      </w:r>
      <w:r w:rsidR="00363815" w:rsidRPr="005171D2">
        <w:t xml:space="preserve">preliminary analysis suggested </w:t>
      </w:r>
      <w:r w:rsidR="00D90923" w:rsidRPr="005171D2">
        <w:t>that there was no clear pattern between underutilization rates and the complexity of the products exported</w:t>
      </w:r>
      <w:r w:rsidR="00DE7FC3" w:rsidRPr="005171D2">
        <w:t xml:space="preserve"> (assuming that </w:t>
      </w:r>
      <w:r w:rsidR="00D90923" w:rsidRPr="005171D2">
        <w:t>more complex</w:t>
      </w:r>
      <w:r w:rsidR="00DE7FC3" w:rsidRPr="005171D2">
        <w:t xml:space="preserve"> products </w:t>
      </w:r>
      <w:r w:rsidR="00D90923" w:rsidRPr="005171D2">
        <w:t xml:space="preserve">would be </w:t>
      </w:r>
      <w:r w:rsidR="00DE7FC3" w:rsidRPr="005171D2">
        <w:t xml:space="preserve">subject to more complex origin criteria). In fact, a more detailed examination of exports of jewellery and precious stones did not reveal any clear variation in utilization for simpler or more strict origin criteria. Exports of jewellery from Niger and </w:t>
      </w:r>
      <w:r w:rsidR="00D90923" w:rsidRPr="005171D2">
        <w:t>Nepal, examined in the note,</w:t>
      </w:r>
      <w:r w:rsidR="00DE7FC3" w:rsidRPr="005171D2">
        <w:t xml:space="preserve"> illustrated this point. Third,</w:t>
      </w:r>
      <w:r w:rsidR="009B13BC">
        <w:t> </w:t>
      </w:r>
      <w:r w:rsidR="00DE7FC3" w:rsidRPr="005171D2">
        <w:t>the note had tested the effect of direct consignment obligations and noted that underutilization was</w:t>
      </w:r>
      <w:r w:rsidR="00D90923" w:rsidRPr="005171D2">
        <w:t xml:space="preserve"> slightly</w:t>
      </w:r>
      <w:r w:rsidR="00DE7FC3" w:rsidRPr="005171D2">
        <w:t xml:space="preserve"> higher for landlocked LDCs (</w:t>
      </w:r>
      <w:r w:rsidR="00D90923" w:rsidRPr="005171D2">
        <w:t xml:space="preserve">the </w:t>
      </w:r>
      <w:r w:rsidR="00DE7FC3" w:rsidRPr="005171D2">
        <w:t xml:space="preserve">overall underutilization </w:t>
      </w:r>
      <w:r w:rsidRPr="005171D2">
        <w:t xml:space="preserve">rate </w:t>
      </w:r>
      <w:r w:rsidR="00D90923" w:rsidRPr="005171D2">
        <w:t xml:space="preserve">was </w:t>
      </w:r>
      <w:r w:rsidR="00DE7FC3" w:rsidRPr="005171D2">
        <w:t>62% for LDCs wi</w:t>
      </w:r>
      <w:r w:rsidR="00D90923" w:rsidRPr="005171D2">
        <w:t>t</w:t>
      </w:r>
      <w:r w:rsidR="00DE7FC3" w:rsidRPr="005171D2">
        <w:t>h sea access</w:t>
      </w:r>
      <w:r w:rsidRPr="005171D2">
        <w:t>,</w:t>
      </w:r>
      <w:r w:rsidR="00DE7FC3" w:rsidRPr="005171D2">
        <w:t xml:space="preserve"> and 76% for landlocked LDCs). Fourth, </w:t>
      </w:r>
      <w:r w:rsidR="008E44EA" w:rsidRPr="005171D2">
        <w:t xml:space="preserve">the note </w:t>
      </w:r>
      <w:r w:rsidR="003140BD" w:rsidRPr="005171D2">
        <w:t>explored</w:t>
      </w:r>
      <w:r w:rsidRPr="005171D2">
        <w:t xml:space="preserve"> </w:t>
      </w:r>
      <w:r w:rsidR="008E44EA" w:rsidRPr="005171D2">
        <w:t xml:space="preserve">the hypothesis that </w:t>
      </w:r>
      <w:r w:rsidR="00DE7FC3" w:rsidRPr="005171D2">
        <w:t>underutilization rates could b</w:t>
      </w:r>
      <w:r w:rsidR="008E44EA" w:rsidRPr="005171D2">
        <w:t xml:space="preserve">e linked to </w:t>
      </w:r>
      <w:r w:rsidR="00DE7FC3" w:rsidRPr="005171D2">
        <w:t xml:space="preserve">the fact that operators were not aware that a preference was available. </w:t>
      </w:r>
      <w:r w:rsidRPr="005171D2">
        <w:t>H</w:t>
      </w:r>
      <w:r w:rsidR="00DE7FC3" w:rsidRPr="005171D2">
        <w:t xml:space="preserve">owever, </w:t>
      </w:r>
      <w:r w:rsidRPr="005171D2">
        <w:t xml:space="preserve">such a hypothesis would be </w:t>
      </w:r>
      <w:r w:rsidR="00DE7FC3" w:rsidRPr="005171D2">
        <w:t>impossible to test with the annual statistics notified by Members to the Secretariat.</w:t>
      </w:r>
    </w:p>
    <w:p w14:paraId="7EA3655F" w14:textId="327285B2" w:rsidR="00DE7FC3" w:rsidRPr="005171D2" w:rsidRDefault="00DE7FC3" w:rsidP="00DE7FC3">
      <w:pPr>
        <w:pStyle w:val="BodyText"/>
      </w:pPr>
      <w:r w:rsidRPr="005171D2">
        <w:t xml:space="preserve">In conclusion, he said that </w:t>
      </w:r>
      <w:r w:rsidR="008E44EA" w:rsidRPr="005171D2">
        <w:t>further</w:t>
      </w:r>
      <w:r w:rsidRPr="005171D2">
        <w:t xml:space="preserve"> analysis was needed, to test the </w:t>
      </w:r>
      <w:r w:rsidR="00414EE0" w:rsidRPr="005171D2">
        <w:t xml:space="preserve">role </w:t>
      </w:r>
      <w:r w:rsidRPr="005171D2">
        <w:t xml:space="preserve">that fixed costs </w:t>
      </w:r>
      <w:r w:rsidR="00414EE0" w:rsidRPr="005171D2">
        <w:t xml:space="preserve">might </w:t>
      </w:r>
      <w:r w:rsidRPr="005171D2">
        <w:t xml:space="preserve">play </w:t>
      </w:r>
      <w:r w:rsidR="00414EE0" w:rsidRPr="005171D2">
        <w:t xml:space="preserve">in </w:t>
      </w:r>
      <w:r w:rsidRPr="005171D2">
        <w:t>individual shipments</w:t>
      </w:r>
      <w:r w:rsidR="00414EE0" w:rsidRPr="005171D2">
        <w:t>, for example</w:t>
      </w:r>
      <w:r w:rsidRPr="005171D2">
        <w:t xml:space="preserve">. In addition, a more detailed examination of direct consignment and certification obligations could also help </w:t>
      </w:r>
      <w:r w:rsidR="00414EE0" w:rsidRPr="005171D2">
        <w:t xml:space="preserve">to </w:t>
      </w:r>
      <w:r w:rsidRPr="005171D2">
        <w:t xml:space="preserve">advance Members' understanding </w:t>
      </w:r>
      <w:r w:rsidR="00414EE0" w:rsidRPr="005171D2">
        <w:t xml:space="preserve">of </w:t>
      </w:r>
      <w:r w:rsidRPr="005171D2">
        <w:t>the reasons for underutilization.</w:t>
      </w:r>
    </w:p>
    <w:p w14:paraId="090A7054" w14:textId="6E7FBD5A" w:rsidR="00B70014" w:rsidRPr="005171D2" w:rsidRDefault="00B70014" w:rsidP="00B70014">
      <w:pPr>
        <w:pStyle w:val="BodyText"/>
      </w:pPr>
      <w:r w:rsidRPr="005171D2">
        <w:t xml:space="preserve">The representative of </w:t>
      </w:r>
      <w:r w:rsidRPr="005171D2">
        <w:rPr>
          <w:u w:val="single"/>
        </w:rPr>
        <w:t>Canada</w:t>
      </w:r>
      <w:r w:rsidRPr="005171D2">
        <w:t xml:space="preserve"> thanked the Secretariat for </w:t>
      </w:r>
      <w:r w:rsidR="009F7910" w:rsidRPr="005171D2">
        <w:t>its</w:t>
      </w:r>
      <w:r w:rsidRPr="005171D2">
        <w:t xml:space="preserve"> report and said that her delegation was still reviewing it.</w:t>
      </w:r>
    </w:p>
    <w:p w14:paraId="708408F9" w14:textId="07E233C8" w:rsidR="00B70014" w:rsidRPr="005171D2" w:rsidRDefault="00B70014" w:rsidP="00B70014">
      <w:pPr>
        <w:pStyle w:val="BodyText"/>
      </w:pPr>
      <w:r w:rsidRPr="005171D2">
        <w:t xml:space="preserve">The representative of </w:t>
      </w:r>
      <w:r w:rsidRPr="005171D2">
        <w:rPr>
          <w:u w:val="single"/>
        </w:rPr>
        <w:t>Switzerland</w:t>
      </w:r>
      <w:r w:rsidRPr="005171D2">
        <w:t xml:space="preserve"> said that his government had been examining import statistics in detail to identify the possible causes for the high underutilization rates reported by the Secretariat for mineral and metal imports. The most plausible explanation, he said, related to Switzerland's landlocked nature and </w:t>
      </w:r>
      <w:r w:rsidR="008E44EA" w:rsidRPr="005171D2">
        <w:t xml:space="preserve">its </w:t>
      </w:r>
      <w:r w:rsidRPr="005171D2">
        <w:t>direct consignment requirements. In fact, goods directly consigned to Switzerland always</w:t>
      </w:r>
      <w:r w:rsidR="00CD23E9" w:rsidRPr="005171D2">
        <w:t>,</w:t>
      </w:r>
      <w:r w:rsidRPr="005171D2">
        <w:t xml:space="preserve"> or almost always</w:t>
      </w:r>
      <w:r w:rsidR="00CD23E9" w:rsidRPr="005171D2">
        <w:t>,</w:t>
      </w:r>
      <w:r w:rsidRPr="005171D2">
        <w:t xml:space="preserve"> received preferences</w:t>
      </w:r>
      <w:r w:rsidR="00CD23E9" w:rsidRPr="005171D2">
        <w:t>; h</w:t>
      </w:r>
      <w:r w:rsidRPr="005171D2">
        <w:t xml:space="preserve">owever, goods imported indirectly </w:t>
      </w:r>
      <w:r w:rsidR="008E44EA" w:rsidRPr="005171D2">
        <w:t>almost never did</w:t>
      </w:r>
      <w:r w:rsidRPr="005171D2">
        <w:t>. In Switzerland, indirect shipment was deemed to take place when imported goods had already been cleared by another customs authority (</w:t>
      </w:r>
      <w:r w:rsidR="0040526B" w:rsidRPr="005171D2">
        <w:t>for example,</w:t>
      </w:r>
      <w:r w:rsidRPr="005171D2">
        <w:t xml:space="preserve"> a </w:t>
      </w:r>
      <w:r w:rsidR="0040526B" w:rsidRPr="005171D2">
        <w:t xml:space="preserve">member State </w:t>
      </w:r>
      <w:r w:rsidR="008E44EA" w:rsidRPr="005171D2">
        <w:t>of the EU</w:t>
      </w:r>
      <w:r w:rsidRPr="005171D2">
        <w:t xml:space="preserve">). In other words, imported goods could not be granted preferential tariff treatment </w:t>
      </w:r>
      <w:r w:rsidRPr="005171D2">
        <w:lastRenderedPageBreak/>
        <w:t xml:space="preserve">in Switzerland if they had already been cleared by the customs authority of a transit country. </w:t>
      </w:r>
      <w:r w:rsidR="00CD23E9" w:rsidRPr="005171D2">
        <w:t>He</w:t>
      </w:r>
      <w:r w:rsidR="009B13BC">
        <w:t> </w:t>
      </w:r>
      <w:r w:rsidR="00CD23E9" w:rsidRPr="005171D2">
        <w:t xml:space="preserve">reported that internal </w:t>
      </w:r>
      <w:r w:rsidRPr="005171D2">
        <w:t xml:space="preserve">discussions were under way </w:t>
      </w:r>
      <w:r w:rsidR="008E44EA" w:rsidRPr="005171D2">
        <w:t>to relax</w:t>
      </w:r>
      <w:r w:rsidRPr="005171D2">
        <w:t xml:space="preserve"> this requirement</w:t>
      </w:r>
      <w:r w:rsidR="0040526B" w:rsidRPr="005171D2">
        <w:t xml:space="preserve">, and that it </w:t>
      </w:r>
      <w:r w:rsidRPr="005171D2">
        <w:t xml:space="preserve">was one of the points being considered for a reform of Switzerland's GSP. His delegation would keep the CRO informed about the results of </w:t>
      </w:r>
      <w:r w:rsidR="0040526B" w:rsidRPr="005171D2">
        <w:t xml:space="preserve">these </w:t>
      </w:r>
      <w:r w:rsidRPr="005171D2">
        <w:t>internal discussions.</w:t>
      </w:r>
    </w:p>
    <w:p w14:paraId="14593D15" w14:textId="62AA4687" w:rsidR="00B70014" w:rsidRPr="005171D2" w:rsidRDefault="00B70014" w:rsidP="00B70014">
      <w:pPr>
        <w:pStyle w:val="BodyText"/>
      </w:pPr>
      <w:r w:rsidRPr="005171D2">
        <w:t xml:space="preserve">The representative of </w:t>
      </w:r>
      <w:r w:rsidRPr="005171D2">
        <w:rPr>
          <w:u w:val="single"/>
        </w:rPr>
        <w:t>Senegal</w:t>
      </w:r>
      <w:r w:rsidRPr="005171D2">
        <w:t xml:space="preserve">, commenting on the </w:t>
      </w:r>
      <w:r w:rsidR="009A4273" w:rsidRPr="005171D2">
        <w:t xml:space="preserve">Secretariat's </w:t>
      </w:r>
      <w:r w:rsidRPr="005171D2">
        <w:t xml:space="preserve">findings, wondered how </w:t>
      </w:r>
      <w:r w:rsidR="009A4273" w:rsidRPr="005171D2">
        <w:t xml:space="preserve">a </w:t>
      </w:r>
      <w:r w:rsidRPr="005171D2">
        <w:t>lack of awareness that a tariff preference was available could impact</w:t>
      </w:r>
      <w:r w:rsidR="009A4273" w:rsidRPr="005171D2">
        <w:t xml:space="preserve"> upon</w:t>
      </w:r>
      <w:r w:rsidRPr="005171D2">
        <w:t xml:space="preserve"> the utilization of preferences. In fact, </w:t>
      </w:r>
      <w:r w:rsidR="008E44EA" w:rsidRPr="005171D2">
        <w:t xml:space="preserve">he explained, </w:t>
      </w:r>
      <w:r w:rsidRPr="005171D2">
        <w:t>preferences were claimed by operators in the importing preference</w:t>
      </w:r>
      <w:r w:rsidR="00182A33" w:rsidRPr="005171D2">
        <w:noBreakHyphen/>
      </w:r>
      <w:r w:rsidRPr="005171D2">
        <w:t xml:space="preserve">granting Member, so it </w:t>
      </w:r>
      <w:r w:rsidR="008E44EA" w:rsidRPr="005171D2">
        <w:t xml:space="preserve">was </w:t>
      </w:r>
      <w:r w:rsidRPr="005171D2">
        <w:t xml:space="preserve">surprising </w:t>
      </w:r>
      <w:r w:rsidR="009A4273" w:rsidRPr="005171D2">
        <w:t xml:space="preserve">to learn </w:t>
      </w:r>
      <w:r w:rsidRPr="005171D2">
        <w:t xml:space="preserve">that </w:t>
      </w:r>
      <w:r w:rsidR="009A4273" w:rsidRPr="005171D2">
        <w:t xml:space="preserve">those </w:t>
      </w:r>
      <w:r w:rsidRPr="005171D2">
        <w:t xml:space="preserve">operators </w:t>
      </w:r>
      <w:r w:rsidR="009A4273" w:rsidRPr="005171D2">
        <w:t xml:space="preserve">might </w:t>
      </w:r>
      <w:r w:rsidRPr="005171D2">
        <w:t xml:space="preserve">not be familiar with </w:t>
      </w:r>
      <w:r w:rsidR="009A4273" w:rsidRPr="005171D2">
        <w:t xml:space="preserve">the </w:t>
      </w:r>
      <w:r w:rsidRPr="005171D2">
        <w:t>preferential market access opportunities</w:t>
      </w:r>
      <w:r w:rsidR="008E44EA" w:rsidRPr="005171D2">
        <w:t xml:space="preserve"> </w:t>
      </w:r>
      <w:r w:rsidR="009A4273" w:rsidRPr="005171D2">
        <w:t xml:space="preserve">available </w:t>
      </w:r>
      <w:r w:rsidR="008E44EA" w:rsidRPr="005171D2">
        <w:t>in their own countries</w:t>
      </w:r>
      <w:r w:rsidRPr="005171D2">
        <w:t>.</w:t>
      </w:r>
    </w:p>
    <w:p w14:paraId="3E891596" w14:textId="4FC6B28E" w:rsidR="00B70014" w:rsidRPr="005171D2" w:rsidRDefault="00B70014" w:rsidP="00B70014">
      <w:pPr>
        <w:pStyle w:val="BodyText"/>
      </w:pPr>
      <w:r w:rsidRPr="005171D2">
        <w:t xml:space="preserve">The representative of the </w:t>
      </w:r>
      <w:r w:rsidRPr="005171D2">
        <w:rPr>
          <w:u w:val="single"/>
        </w:rPr>
        <w:t>European Union</w:t>
      </w:r>
      <w:r w:rsidRPr="005171D2">
        <w:t xml:space="preserve"> thanked the Secretariat for its calculations and </w:t>
      </w:r>
      <w:r w:rsidR="008E44EA" w:rsidRPr="005171D2">
        <w:t xml:space="preserve">said </w:t>
      </w:r>
      <w:r w:rsidRPr="005171D2">
        <w:t xml:space="preserve">that her delegation was </w:t>
      </w:r>
      <w:r w:rsidR="0040526B" w:rsidRPr="005171D2">
        <w:t xml:space="preserve">also </w:t>
      </w:r>
      <w:r w:rsidR="008E44EA" w:rsidRPr="005171D2">
        <w:t xml:space="preserve">still </w:t>
      </w:r>
      <w:r w:rsidRPr="005171D2">
        <w:t>analysing the note.</w:t>
      </w:r>
    </w:p>
    <w:p w14:paraId="2C0DF5DB" w14:textId="0B477D71" w:rsidR="00B70014" w:rsidRPr="005171D2" w:rsidRDefault="00B70014" w:rsidP="00B70014">
      <w:pPr>
        <w:pStyle w:val="BodyText"/>
      </w:pPr>
      <w:r w:rsidRPr="005171D2">
        <w:t xml:space="preserve">The representative of the </w:t>
      </w:r>
      <w:r w:rsidRPr="005171D2">
        <w:rPr>
          <w:u w:val="single"/>
        </w:rPr>
        <w:t>United States</w:t>
      </w:r>
      <w:r w:rsidRPr="005171D2">
        <w:t xml:space="preserve"> thanked the Secretariat for submitting </w:t>
      </w:r>
      <w:r w:rsidR="007A7ED6" w:rsidRPr="005171D2">
        <w:t xml:space="preserve">its </w:t>
      </w:r>
      <w:r w:rsidRPr="005171D2">
        <w:t>note. She</w:t>
      </w:r>
      <w:r w:rsidR="009B13BC">
        <w:t> </w:t>
      </w:r>
      <w:r w:rsidRPr="005171D2">
        <w:t xml:space="preserve">said that this type of detailed, fact-based information </w:t>
      </w:r>
      <w:r w:rsidR="008E44EA" w:rsidRPr="005171D2">
        <w:t>was</w:t>
      </w:r>
      <w:r w:rsidRPr="005171D2">
        <w:t xml:space="preserve"> useful in identifying effective strategies for addressing underutilization. The note assigned that preferences </w:t>
      </w:r>
      <w:r w:rsidR="007A7ED6" w:rsidRPr="005171D2">
        <w:t xml:space="preserve">were </w:t>
      </w:r>
      <w:r w:rsidRPr="005171D2">
        <w:t xml:space="preserve">almost fully utilized in the United States for these sectors, </w:t>
      </w:r>
      <w:r w:rsidR="007A7ED6" w:rsidRPr="005171D2">
        <w:t xml:space="preserve">thereby helping to </w:t>
      </w:r>
      <w:r w:rsidRPr="005171D2">
        <w:t xml:space="preserve">focus attention </w:t>
      </w:r>
      <w:r w:rsidR="007A7ED6" w:rsidRPr="005171D2">
        <w:t xml:space="preserve">on </w:t>
      </w:r>
      <w:r w:rsidRPr="005171D2">
        <w:t xml:space="preserve">where </w:t>
      </w:r>
      <w:r w:rsidR="007A7ED6" w:rsidRPr="005171D2">
        <w:t xml:space="preserve">the </w:t>
      </w:r>
      <w:r w:rsidRPr="005171D2">
        <w:t>problems exist</w:t>
      </w:r>
      <w:r w:rsidR="008E44EA" w:rsidRPr="005171D2">
        <w:t>ed</w:t>
      </w:r>
      <w:r w:rsidRPr="005171D2">
        <w:t xml:space="preserve">. Her delegation </w:t>
      </w:r>
      <w:r w:rsidR="008E44EA" w:rsidRPr="005171D2">
        <w:t xml:space="preserve">would </w:t>
      </w:r>
      <w:r w:rsidRPr="005171D2">
        <w:t>continue to review this paper.</w:t>
      </w:r>
    </w:p>
    <w:p w14:paraId="2E9DAEA6" w14:textId="67440887" w:rsidR="00B70014" w:rsidRPr="005171D2" w:rsidRDefault="00B70014" w:rsidP="00B70014">
      <w:pPr>
        <w:pStyle w:val="BodyText"/>
      </w:pPr>
      <w:r w:rsidRPr="005171D2">
        <w:t xml:space="preserve">The representative of </w:t>
      </w:r>
      <w:r w:rsidRPr="005171D2">
        <w:rPr>
          <w:u w:val="single"/>
        </w:rPr>
        <w:t>Tanzania</w:t>
      </w:r>
      <w:r w:rsidRPr="005171D2">
        <w:t xml:space="preserve"> said that the LDC</w:t>
      </w:r>
      <w:r w:rsidR="00182A33" w:rsidRPr="005171D2">
        <w:t> </w:t>
      </w:r>
      <w:r w:rsidRPr="005171D2">
        <w:t xml:space="preserve">Group attached great importance to the issue of utilization rates. He acknowledged the efforts being made by the Swiss delegation to examine its requirements </w:t>
      </w:r>
      <w:proofErr w:type="gramStart"/>
      <w:r w:rsidR="003E0275" w:rsidRPr="005171D2">
        <w:t xml:space="preserve">in order </w:t>
      </w:r>
      <w:r w:rsidRPr="005171D2">
        <w:t>to</w:t>
      </w:r>
      <w:proofErr w:type="gramEnd"/>
      <w:r w:rsidRPr="005171D2">
        <w:t xml:space="preserve"> better understand the causes of underutilization. This really was, he explained, the spirit </w:t>
      </w:r>
      <w:r w:rsidR="003E0275" w:rsidRPr="005171D2">
        <w:t xml:space="preserve">in </w:t>
      </w:r>
      <w:r w:rsidRPr="005171D2">
        <w:t>which all preference</w:t>
      </w:r>
      <w:r w:rsidR="00182A33" w:rsidRPr="005171D2">
        <w:noBreakHyphen/>
      </w:r>
      <w:r w:rsidRPr="005171D2">
        <w:t xml:space="preserve">granting Members should approach the Committee's discussions. Even if the language of the Ministerial Decision was flexible enough to allow for a variety of rules of origin and practices, its intention was clear: to improve market access opportunities for LDCs. He therefore invited other preference-granting Members to analyse their own imports to identify possible reforms </w:t>
      </w:r>
      <w:r w:rsidR="003E0275" w:rsidRPr="005171D2">
        <w:t xml:space="preserve">that </w:t>
      </w:r>
      <w:r w:rsidRPr="005171D2">
        <w:t xml:space="preserve">could </w:t>
      </w:r>
      <w:r w:rsidR="008E44EA" w:rsidRPr="005171D2">
        <w:t>unlock the</w:t>
      </w:r>
      <w:r w:rsidRPr="005171D2">
        <w:t xml:space="preserve"> fuller utilization of existing tariff preferences. In doing so, he highlighted the importance of assessing the impact of direct consignment and certification obligations.</w:t>
      </w:r>
    </w:p>
    <w:p w14:paraId="7241D2D8" w14:textId="500697BD" w:rsidR="00B70014" w:rsidRPr="005171D2" w:rsidRDefault="003E0275" w:rsidP="00B70014">
      <w:pPr>
        <w:pStyle w:val="BodyText"/>
      </w:pPr>
      <w:r w:rsidRPr="005171D2">
        <w:t xml:space="preserve">The </w:t>
      </w:r>
      <w:r w:rsidR="00B70014" w:rsidRPr="005171D2">
        <w:rPr>
          <w:u w:val="single"/>
        </w:rPr>
        <w:t>Secretariat</w:t>
      </w:r>
      <w:r w:rsidRPr="005171D2">
        <w:t>, in response to the question raised by Senegal,</w:t>
      </w:r>
      <w:r w:rsidR="00B70014" w:rsidRPr="005171D2">
        <w:t xml:space="preserve"> clarified that it was not possible to measure the impact that </w:t>
      </w:r>
      <w:r w:rsidR="008E44EA" w:rsidRPr="005171D2">
        <w:t xml:space="preserve">a possible lack of </w:t>
      </w:r>
      <w:r w:rsidR="00B70014" w:rsidRPr="005171D2">
        <w:t>awareness</w:t>
      </w:r>
      <w:r w:rsidR="008E44EA" w:rsidRPr="005171D2">
        <w:t xml:space="preserve"> </w:t>
      </w:r>
      <w:r w:rsidRPr="005171D2">
        <w:t xml:space="preserve">might have </w:t>
      </w:r>
      <w:r w:rsidR="00B70014" w:rsidRPr="005171D2">
        <w:t xml:space="preserve">on the ability of operators to claim tariff preferences. Indeed, it was not even possible to affirm that this was </w:t>
      </w:r>
      <w:r w:rsidR="008E44EA" w:rsidRPr="005171D2">
        <w:t>actually</w:t>
      </w:r>
      <w:r w:rsidR="00B70014" w:rsidRPr="005171D2">
        <w:t xml:space="preserve"> an impediment. However, it was </w:t>
      </w:r>
      <w:r w:rsidR="008E44EA" w:rsidRPr="005171D2">
        <w:t xml:space="preserve">plausible </w:t>
      </w:r>
      <w:r w:rsidR="00B70014" w:rsidRPr="005171D2">
        <w:t>that this could play a role and hence it was important for Members and international organizations to conduct awareness</w:t>
      </w:r>
      <w:r w:rsidR="00182A33" w:rsidRPr="005171D2">
        <w:noBreakHyphen/>
      </w:r>
      <w:r w:rsidR="00B70014" w:rsidRPr="005171D2">
        <w:t>raising and training activities. The</w:t>
      </w:r>
      <w:r w:rsidR="009B13BC">
        <w:t> </w:t>
      </w:r>
      <w:r w:rsidR="00B70014" w:rsidRPr="005171D2">
        <w:t xml:space="preserve">Secretariat had been able to exclude some factors </w:t>
      </w:r>
      <w:r w:rsidRPr="005171D2">
        <w:t xml:space="preserve">that </w:t>
      </w:r>
      <w:r w:rsidR="00B70014" w:rsidRPr="005171D2">
        <w:t>could be causing underutilization in this sector, such as the lack of incentives to use a preference (preferential tariff margins) or the application of strict origin criteria (most products were wholly obtained). However, it had not been able to identify with precision the causes of underutilization. Additional research would be needed</w:t>
      </w:r>
      <w:r w:rsidRPr="005171D2">
        <w:t xml:space="preserve"> </w:t>
      </w:r>
      <w:r w:rsidR="00B70014" w:rsidRPr="005171D2">
        <w:t>to understand with greater precision the impact of direct consignment and certification obligations</w:t>
      </w:r>
      <w:r w:rsidRPr="005171D2">
        <w:t>, for example</w:t>
      </w:r>
      <w:r w:rsidR="00B70014" w:rsidRPr="005171D2">
        <w:t xml:space="preserve">. Moreover, preference-granting Members themselves could analyse their import statistics and test different </w:t>
      </w:r>
      <w:r w:rsidRPr="005171D2">
        <w:t xml:space="preserve">hypotheses </w:t>
      </w:r>
      <w:r w:rsidR="00B70014" w:rsidRPr="005171D2">
        <w:t xml:space="preserve">to explain underutilization. </w:t>
      </w:r>
      <w:proofErr w:type="gramStart"/>
      <w:r w:rsidR="00B70014" w:rsidRPr="005171D2">
        <w:t>In particular, preference</w:t>
      </w:r>
      <w:proofErr w:type="gramEnd"/>
      <w:r w:rsidR="00182A33" w:rsidRPr="005171D2">
        <w:noBreakHyphen/>
      </w:r>
      <w:r w:rsidR="00B70014" w:rsidRPr="005171D2">
        <w:t>granting Member</w:t>
      </w:r>
      <w:r w:rsidR="008E44EA" w:rsidRPr="005171D2">
        <w:t>s</w:t>
      </w:r>
      <w:r w:rsidR="00B70014" w:rsidRPr="005171D2">
        <w:t xml:space="preserve"> could analyse their statistics to distinguish cases in which a preference had not been claimed from cases in which the preference had been claimed but </w:t>
      </w:r>
      <w:r w:rsidRPr="005171D2">
        <w:t xml:space="preserve">subsequently </w:t>
      </w:r>
      <w:r w:rsidR="00B70014" w:rsidRPr="005171D2">
        <w:t>refused. In</w:t>
      </w:r>
      <w:r w:rsidR="009B13BC">
        <w:t> </w:t>
      </w:r>
      <w:r w:rsidR="00B70014" w:rsidRPr="005171D2">
        <w:t xml:space="preserve">conclusion, the Secretariat </w:t>
      </w:r>
      <w:r w:rsidRPr="005171D2">
        <w:t xml:space="preserve">stood </w:t>
      </w:r>
      <w:r w:rsidR="00B70014" w:rsidRPr="005171D2">
        <w:t xml:space="preserve">ready to </w:t>
      </w:r>
      <w:r w:rsidR="008E44EA" w:rsidRPr="005171D2">
        <w:t xml:space="preserve">continue </w:t>
      </w:r>
      <w:r w:rsidRPr="005171D2">
        <w:t xml:space="preserve">in </w:t>
      </w:r>
      <w:r w:rsidR="008E44EA" w:rsidRPr="005171D2">
        <w:t xml:space="preserve">its </w:t>
      </w:r>
      <w:r w:rsidRPr="005171D2">
        <w:t xml:space="preserve">analysis </w:t>
      </w:r>
      <w:r w:rsidR="008E44EA" w:rsidRPr="005171D2">
        <w:t xml:space="preserve">and </w:t>
      </w:r>
      <w:r w:rsidRPr="005171D2">
        <w:t xml:space="preserve">to </w:t>
      </w:r>
      <w:r w:rsidR="00B70014" w:rsidRPr="005171D2">
        <w:t xml:space="preserve">engage more closely with preference-granting Members to </w:t>
      </w:r>
      <w:r w:rsidRPr="005171D2">
        <w:t>advance it further</w:t>
      </w:r>
      <w:r w:rsidR="00B70014" w:rsidRPr="005171D2">
        <w:t>.</w:t>
      </w:r>
    </w:p>
    <w:p w14:paraId="62429FAE" w14:textId="471CCB41" w:rsidR="00B70014" w:rsidRPr="005171D2" w:rsidRDefault="00B70014" w:rsidP="00B70014">
      <w:pPr>
        <w:pStyle w:val="BodyText"/>
      </w:pPr>
      <w:r w:rsidRPr="005171D2">
        <w:t xml:space="preserve">The </w:t>
      </w:r>
      <w:r w:rsidRPr="005171D2">
        <w:rPr>
          <w:u w:val="single"/>
        </w:rPr>
        <w:t>Chairperson</w:t>
      </w:r>
      <w:r w:rsidRPr="005171D2">
        <w:t xml:space="preserve"> thanked the Secretariat for its report and calculations. He asked the Secretariat to continue updating and expanding its studies on preference utilization </w:t>
      </w:r>
      <w:proofErr w:type="gramStart"/>
      <w:r w:rsidRPr="005171D2">
        <w:t>in order to</w:t>
      </w:r>
      <w:proofErr w:type="gramEnd"/>
      <w:r w:rsidRPr="005171D2">
        <w:t xml:space="preserve"> support the CRO in this area. Finally, he invited preference-granting Members to conduct their own calculations and examinations, particularly on those aspects for which their data was more detailed than </w:t>
      </w:r>
      <w:r w:rsidR="008E44EA" w:rsidRPr="005171D2">
        <w:t xml:space="preserve">that </w:t>
      </w:r>
      <w:r w:rsidRPr="005171D2">
        <w:t>of the Secretariat.</w:t>
      </w:r>
    </w:p>
    <w:p w14:paraId="6AEAAFF7" w14:textId="67E93541" w:rsidR="00501E58" w:rsidRPr="005171D2" w:rsidRDefault="00501E58" w:rsidP="00501E58">
      <w:pPr>
        <w:pStyle w:val="BodyText"/>
      </w:pPr>
      <w:r w:rsidRPr="005171D2">
        <w:t xml:space="preserve">The representative of the </w:t>
      </w:r>
      <w:r w:rsidRPr="005171D2">
        <w:rPr>
          <w:u w:val="single"/>
        </w:rPr>
        <w:t>United States</w:t>
      </w:r>
      <w:r w:rsidRPr="005171D2">
        <w:t xml:space="preserve"> reiterated that her delegation was still reviewing the information that had been provided in the note by the Secretariat. As a result, her delegation was not </w:t>
      </w:r>
      <w:proofErr w:type="gramStart"/>
      <w:r w:rsidRPr="005171D2">
        <w:t>in a position</w:t>
      </w:r>
      <w:proofErr w:type="gramEnd"/>
      <w:r w:rsidRPr="005171D2">
        <w:t xml:space="preserve"> to agree to this latter suggestion. Her delegation would review </w:t>
      </w:r>
      <w:r w:rsidR="008E44EA" w:rsidRPr="005171D2">
        <w:t>its</w:t>
      </w:r>
      <w:r w:rsidRPr="005171D2">
        <w:t xml:space="preserve"> resources and capabilities and </w:t>
      </w:r>
      <w:proofErr w:type="gramStart"/>
      <w:r w:rsidRPr="005171D2">
        <w:t>revert back</w:t>
      </w:r>
      <w:proofErr w:type="gramEnd"/>
      <w:r w:rsidRPr="005171D2">
        <w:t xml:space="preserve"> on this matter in the next meeting of the Committee.</w:t>
      </w:r>
    </w:p>
    <w:p w14:paraId="6BD3E022" w14:textId="4E1D157A" w:rsidR="0076539E" w:rsidRPr="005171D2" w:rsidRDefault="008E44EA" w:rsidP="0004503C">
      <w:pPr>
        <w:pStyle w:val="BodyText"/>
      </w:pPr>
      <w:r w:rsidRPr="005171D2">
        <w:t xml:space="preserve">The Committee </w:t>
      </w:r>
      <w:r w:rsidRPr="005171D2">
        <w:rPr>
          <w:u w:val="single"/>
        </w:rPr>
        <w:t>agreed</w:t>
      </w:r>
      <w:r w:rsidRPr="005171D2">
        <w:t xml:space="preserve"> to ask the Secretariat to continue </w:t>
      </w:r>
      <w:r w:rsidR="003E0275" w:rsidRPr="005171D2">
        <w:t xml:space="preserve">in </w:t>
      </w:r>
      <w:r w:rsidRPr="005171D2">
        <w:t xml:space="preserve">its </w:t>
      </w:r>
      <w:r w:rsidR="003E0275" w:rsidRPr="005171D2">
        <w:t xml:space="preserve">analysis </w:t>
      </w:r>
      <w:r w:rsidRPr="005171D2">
        <w:t xml:space="preserve">and </w:t>
      </w:r>
      <w:r w:rsidRPr="005171D2">
        <w:rPr>
          <w:u w:val="single"/>
        </w:rPr>
        <w:t>took note</w:t>
      </w:r>
      <w:r w:rsidRPr="005171D2">
        <w:t xml:space="preserve"> of the report and the statements made</w:t>
      </w:r>
      <w:r w:rsidR="00FD2B7A" w:rsidRPr="005171D2">
        <w:t>.</w:t>
      </w:r>
    </w:p>
    <w:p w14:paraId="3A4A76AE" w14:textId="0F471376" w:rsidR="00CE17FA" w:rsidRPr="005171D2" w:rsidRDefault="008549EC" w:rsidP="006C44FA">
      <w:pPr>
        <w:pStyle w:val="Heading2"/>
      </w:pPr>
      <w:bookmarkStart w:id="17" w:name="_Toc63067724"/>
      <w:r w:rsidRPr="005171D2">
        <w:rPr>
          <w:szCs w:val="28"/>
        </w:rPr>
        <w:lastRenderedPageBreak/>
        <w:t xml:space="preserve">Implementation of the WTO </w:t>
      </w:r>
      <w:r w:rsidR="003350F1" w:rsidRPr="005171D2">
        <w:rPr>
          <w:szCs w:val="28"/>
        </w:rPr>
        <w:t xml:space="preserve">Ministerial Decisions </w:t>
      </w:r>
      <w:r w:rsidRPr="005171D2">
        <w:rPr>
          <w:szCs w:val="28"/>
        </w:rPr>
        <w:t xml:space="preserve">on </w:t>
      </w:r>
      <w:r w:rsidR="003350F1" w:rsidRPr="005171D2">
        <w:rPr>
          <w:szCs w:val="28"/>
        </w:rPr>
        <w:t xml:space="preserve">Preferential Rules </w:t>
      </w:r>
      <w:r w:rsidRPr="005171D2">
        <w:rPr>
          <w:szCs w:val="28"/>
        </w:rPr>
        <w:t xml:space="preserve">of </w:t>
      </w:r>
      <w:r w:rsidR="003350F1" w:rsidRPr="005171D2">
        <w:rPr>
          <w:szCs w:val="28"/>
        </w:rPr>
        <w:t xml:space="preserve">Origin </w:t>
      </w:r>
      <w:r w:rsidRPr="005171D2">
        <w:rPr>
          <w:szCs w:val="28"/>
        </w:rPr>
        <w:t xml:space="preserve">for LDCs: </w:t>
      </w:r>
      <w:r w:rsidR="003350F1" w:rsidRPr="005171D2">
        <w:rPr>
          <w:szCs w:val="28"/>
        </w:rPr>
        <w:t xml:space="preserve">Achievements </w:t>
      </w:r>
      <w:r w:rsidRPr="005171D2">
        <w:rPr>
          <w:szCs w:val="28"/>
        </w:rPr>
        <w:t xml:space="preserve">and </w:t>
      </w:r>
      <w:r w:rsidR="003350F1" w:rsidRPr="005171D2">
        <w:rPr>
          <w:szCs w:val="28"/>
        </w:rPr>
        <w:t xml:space="preserve">Gaps </w:t>
      </w:r>
      <w:r w:rsidRPr="005171D2">
        <w:t>(G/RO/W/198) – Submission by the LDC</w:t>
      </w:r>
      <w:r w:rsidR="003350F1" w:rsidRPr="005171D2">
        <w:t> </w:t>
      </w:r>
      <w:r w:rsidRPr="005171D2">
        <w:t>Group</w:t>
      </w:r>
      <w:bookmarkEnd w:id="17"/>
    </w:p>
    <w:p w14:paraId="424DE396" w14:textId="70D47037" w:rsidR="00F566AD" w:rsidRPr="005171D2" w:rsidRDefault="00F566AD" w:rsidP="00F566AD">
      <w:pPr>
        <w:pStyle w:val="BodyText"/>
      </w:pPr>
      <w:r w:rsidRPr="005171D2">
        <w:t xml:space="preserve">The </w:t>
      </w:r>
      <w:r w:rsidRPr="005171D2">
        <w:rPr>
          <w:u w:val="single"/>
        </w:rPr>
        <w:t>Chairperson</w:t>
      </w:r>
      <w:r w:rsidRPr="005171D2">
        <w:t xml:space="preserve"> reminded delegations that, at the last Committee meeting, the LDC</w:t>
      </w:r>
      <w:r w:rsidR="00182A33" w:rsidRPr="005171D2">
        <w:t> </w:t>
      </w:r>
      <w:r w:rsidRPr="005171D2">
        <w:t xml:space="preserve">Group had suggested that the Committee could take stock of what had been achieved and what needed more work in order to achieve the objectives </w:t>
      </w:r>
      <w:r w:rsidR="00EF2FCE" w:rsidRPr="005171D2">
        <w:t>of</w:t>
      </w:r>
      <w:r w:rsidRPr="005171D2">
        <w:t xml:space="preserve"> the Nairobi Ministerial Decision (G/RO/W/194). When</w:t>
      </w:r>
      <w:r w:rsidR="009B13BC">
        <w:t> </w:t>
      </w:r>
      <w:r w:rsidRPr="005171D2">
        <w:t>considering this suggestion, Members had asked the LDC</w:t>
      </w:r>
      <w:r w:rsidR="00182A33" w:rsidRPr="005171D2">
        <w:t> </w:t>
      </w:r>
      <w:r w:rsidRPr="005171D2">
        <w:t>Group to be more specific about the steps and the language that they wished the Committee to consider. He reported that the LDC Group had prepared document</w:t>
      </w:r>
      <w:r w:rsidR="00182A33" w:rsidRPr="005171D2">
        <w:t> </w:t>
      </w:r>
      <w:r w:rsidRPr="005171D2">
        <w:t>G/RO/W/198 for consideration.</w:t>
      </w:r>
    </w:p>
    <w:p w14:paraId="4120D273" w14:textId="717588EF" w:rsidR="00F566AD" w:rsidRPr="005171D2" w:rsidRDefault="00F566AD" w:rsidP="00F566AD">
      <w:pPr>
        <w:pStyle w:val="BodyText"/>
      </w:pPr>
      <w:r w:rsidRPr="005171D2">
        <w:t xml:space="preserve">The representative of </w:t>
      </w:r>
      <w:r w:rsidRPr="005171D2">
        <w:rPr>
          <w:u w:val="single"/>
        </w:rPr>
        <w:t>Tanzania</w:t>
      </w:r>
      <w:r w:rsidRPr="005171D2">
        <w:t xml:space="preserve"> introduced the document on behalf of the LDC</w:t>
      </w:r>
      <w:r w:rsidR="00182A33" w:rsidRPr="005171D2">
        <w:t> </w:t>
      </w:r>
      <w:r w:rsidRPr="005171D2">
        <w:t>Group. He</w:t>
      </w:r>
      <w:r w:rsidR="009B13BC">
        <w:t> </w:t>
      </w:r>
      <w:r w:rsidRPr="005171D2">
        <w:t xml:space="preserve">acknowledged that the Nairobi Ministerial Decision was a fundamental component </w:t>
      </w:r>
      <w:r w:rsidR="00112596" w:rsidRPr="005171D2">
        <w:t xml:space="preserve">in </w:t>
      </w:r>
      <w:r w:rsidRPr="005171D2">
        <w:t xml:space="preserve">the efforts </w:t>
      </w:r>
      <w:r w:rsidR="00112596" w:rsidRPr="005171D2">
        <w:t xml:space="preserve">by </w:t>
      </w:r>
      <w:r w:rsidRPr="005171D2">
        <w:t>the international community to better integrate LDCs into the multilateral trading system. It</w:t>
      </w:r>
      <w:r w:rsidR="009B13BC">
        <w:t> </w:t>
      </w:r>
      <w:r w:rsidRPr="005171D2">
        <w:t>reaffirmed the overall objective that preferential rules of origin for LDCs should be transparent</w:t>
      </w:r>
      <w:r w:rsidR="00112596" w:rsidRPr="005171D2">
        <w:t>,</w:t>
      </w:r>
      <w:r w:rsidRPr="005171D2">
        <w:t xml:space="preserve"> simple</w:t>
      </w:r>
      <w:r w:rsidR="00112596" w:rsidRPr="005171D2">
        <w:t>,</w:t>
      </w:r>
      <w:r w:rsidRPr="005171D2">
        <w:t xml:space="preserve"> and facilitate market access. Implementation</w:t>
      </w:r>
      <w:r w:rsidR="00EF2FCE" w:rsidRPr="005171D2">
        <w:t xml:space="preserve"> </w:t>
      </w:r>
      <w:r w:rsidRPr="005171D2">
        <w:t xml:space="preserve">had been successful in </w:t>
      </w:r>
      <w:r w:rsidR="00112596" w:rsidRPr="005171D2">
        <w:t xml:space="preserve">certain </w:t>
      </w:r>
      <w:r w:rsidRPr="005171D2">
        <w:t>respects</w:t>
      </w:r>
      <w:r w:rsidR="00EF2FCE" w:rsidRPr="005171D2">
        <w:t xml:space="preserve">, </w:t>
      </w:r>
      <w:r w:rsidR="00112596" w:rsidRPr="005171D2">
        <w:t xml:space="preserve">including greater </w:t>
      </w:r>
      <w:r w:rsidRPr="005171D2">
        <w:t xml:space="preserve">transparency concerning the existing rules through the use of an agreed notification template; better monitoring of the use of preferences with the notification of preferential imports and the calculation of utilization rates; </w:t>
      </w:r>
      <w:r w:rsidR="00EF2FCE" w:rsidRPr="005171D2">
        <w:t xml:space="preserve">and </w:t>
      </w:r>
      <w:r w:rsidRPr="005171D2">
        <w:t>better examination of specific practices with specific analyses prepared by the LDC</w:t>
      </w:r>
      <w:r w:rsidR="00182A33" w:rsidRPr="005171D2">
        <w:t> </w:t>
      </w:r>
      <w:r w:rsidRPr="005171D2">
        <w:t xml:space="preserve">Group. </w:t>
      </w:r>
      <w:r w:rsidR="00112596" w:rsidRPr="005171D2">
        <w:t xml:space="preserve">In addition, he </w:t>
      </w:r>
      <w:r w:rsidRPr="005171D2">
        <w:t>acknowledged</w:t>
      </w:r>
      <w:r w:rsidR="00112596" w:rsidRPr="005171D2">
        <w:t xml:space="preserve"> </w:t>
      </w:r>
      <w:r w:rsidRPr="005171D2">
        <w:t xml:space="preserve">that a few preference-granting Members had reformed </w:t>
      </w:r>
      <w:r w:rsidR="00EF2FCE" w:rsidRPr="005171D2">
        <w:t xml:space="preserve">and simplified </w:t>
      </w:r>
      <w:r w:rsidR="00112596" w:rsidRPr="005171D2">
        <w:t xml:space="preserve">certain </w:t>
      </w:r>
      <w:r w:rsidRPr="005171D2">
        <w:t>aspects of their rules</w:t>
      </w:r>
      <w:r w:rsidR="00112596" w:rsidRPr="005171D2">
        <w:t>; some</w:t>
      </w:r>
      <w:r w:rsidRPr="005171D2">
        <w:t xml:space="preserve"> had also committed to reviewing their requirements</w:t>
      </w:r>
      <w:r w:rsidR="00112596" w:rsidRPr="005171D2">
        <w:t xml:space="preserve"> </w:t>
      </w:r>
      <w:proofErr w:type="gramStart"/>
      <w:r w:rsidR="00112596" w:rsidRPr="005171D2">
        <w:t>in order</w:t>
      </w:r>
      <w:r w:rsidRPr="005171D2">
        <w:t xml:space="preserve"> to</w:t>
      </w:r>
      <w:proofErr w:type="gramEnd"/>
      <w:r w:rsidRPr="005171D2">
        <w:t xml:space="preserve"> better understand the possible causes of underutilization.</w:t>
      </w:r>
    </w:p>
    <w:p w14:paraId="23366144" w14:textId="0977A1A5" w:rsidR="00F566AD" w:rsidRPr="005171D2" w:rsidRDefault="00BB7447" w:rsidP="00F566AD">
      <w:pPr>
        <w:pStyle w:val="BodyText"/>
      </w:pPr>
      <w:r w:rsidRPr="005171D2">
        <w:t xml:space="preserve">Nevertheless, despite </w:t>
      </w:r>
      <w:r w:rsidR="00F566AD" w:rsidRPr="005171D2">
        <w:t xml:space="preserve">these achievements, </w:t>
      </w:r>
      <w:proofErr w:type="gramStart"/>
      <w:r w:rsidRPr="005171D2">
        <w:t>a number of</w:t>
      </w:r>
      <w:proofErr w:type="gramEnd"/>
      <w:r w:rsidRPr="005171D2">
        <w:t xml:space="preserve"> </w:t>
      </w:r>
      <w:r w:rsidR="00F566AD" w:rsidRPr="005171D2">
        <w:t xml:space="preserve">trade-restricting rules of origin and origin requirements continued to be applied. With few exceptions, preference-granting Members had not engaged in a comprehensive review of their requirements. </w:t>
      </w:r>
      <w:r w:rsidRPr="005171D2">
        <w:t>Consequently</w:t>
      </w:r>
      <w:r w:rsidR="00F566AD" w:rsidRPr="005171D2">
        <w:t>, the LDC</w:t>
      </w:r>
      <w:r w:rsidR="00182A33" w:rsidRPr="005171D2">
        <w:t> </w:t>
      </w:r>
      <w:r w:rsidR="00F566AD" w:rsidRPr="005171D2">
        <w:t>Group invited preference</w:t>
      </w:r>
      <w:r w:rsidR="00182A33" w:rsidRPr="005171D2">
        <w:noBreakHyphen/>
      </w:r>
      <w:r w:rsidR="00F566AD" w:rsidRPr="005171D2">
        <w:t>granting Members to reform their rules of origin</w:t>
      </w:r>
      <w:r w:rsidRPr="005171D2">
        <w:t>,</w:t>
      </w:r>
      <w:r w:rsidR="00F566AD" w:rsidRPr="005171D2">
        <w:t xml:space="preserve"> to adopt best practices</w:t>
      </w:r>
      <w:r w:rsidRPr="005171D2">
        <w:t>,</w:t>
      </w:r>
      <w:r w:rsidR="00F566AD" w:rsidRPr="005171D2">
        <w:t xml:space="preserve"> and </w:t>
      </w:r>
      <w:r w:rsidRPr="005171D2">
        <w:t xml:space="preserve">to </w:t>
      </w:r>
      <w:r w:rsidR="00F566AD" w:rsidRPr="005171D2">
        <w:t>remove th</w:t>
      </w:r>
      <w:r w:rsidR="00EF2FCE" w:rsidRPr="005171D2">
        <w:t>os</w:t>
      </w:r>
      <w:r w:rsidR="00F566AD" w:rsidRPr="005171D2">
        <w:t xml:space="preserve">e requirements </w:t>
      </w:r>
      <w:r w:rsidRPr="005171D2">
        <w:t xml:space="preserve">that </w:t>
      </w:r>
      <w:r w:rsidR="00EF2FCE" w:rsidRPr="005171D2">
        <w:t xml:space="preserve">could be causing </w:t>
      </w:r>
      <w:r w:rsidR="00F566AD" w:rsidRPr="005171D2">
        <w:t xml:space="preserve">underutilization. For </w:t>
      </w:r>
      <w:r w:rsidRPr="005171D2">
        <w:t>example</w:t>
      </w:r>
      <w:r w:rsidR="00F566AD" w:rsidRPr="005171D2">
        <w:t>, the non</w:t>
      </w:r>
      <w:r w:rsidRPr="005171D2">
        <w:noBreakHyphen/>
      </w:r>
      <w:r w:rsidR="00F566AD" w:rsidRPr="005171D2">
        <w:t>alteration principle provided a good alternative to the obligation to provide a "certificate of non</w:t>
      </w:r>
      <w:r w:rsidR="00182A33" w:rsidRPr="005171D2">
        <w:noBreakHyphen/>
      </w:r>
      <w:r w:rsidR="00F566AD" w:rsidRPr="005171D2">
        <w:t>manipulation" in case of transit. Under this principle, additional documents could still be required by customs to prove that the goods had not been altered during transit, but</w:t>
      </w:r>
      <w:r w:rsidRPr="005171D2">
        <w:t xml:space="preserve"> these</w:t>
      </w:r>
      <w:r w:rsidR="00F566AD" w:rsidRPr="005171D2">
        <w:t xml:space="preserve"> </w:t>
      </w:r>
      <w:r w:rsidR="00EF2FCE" w:rsidRPr="005171D2">
        <w:t xml:space="preserve">documents would only be presented </w:t>
      </w:r>
      <w:r w:rsidRPr="005171D2">
        <w:t xml:space="preserve">when </w:t>
      </w:r>
      <w:r w:rsidR="00EF2FCE" w:rsidRPr="005171D2">
        <w:t xml:space="preserve">customs had </w:t>
      </w:r>
      <w:r w:rsidRPr="005171D2">
        <w:t xml:space="preserve">concerns </w:t>
      </w:r>
      <w:r w:rsidR="00EF2FCE" w:rsidRPr="005171D2">
        <w:t xml:space="preserve">about </w:t>
      </w:r>
      <w:r w:rsidRPr="005171D2">
        <w:t xml:space="preserve">a </w:t>
      </w:r>
      <w:r w:rsidR="00EF2FCE" w:rsidRPr="005171D2">
        <w:t>possible alteration</w:t>
      </w:r>
      <w:r w:rsidRPr="005171D2">
        <w:t>,</w:t>
      </w:r>
      <w:r w:rsidR="00EF2FCE" w:rsidRPr="005171D2">
        <w:t xml:space="preserve"> </w:t>
      </w:r>
      <w:r w:rsidR="00F566AD" w:rsidRPr="005171D2">
        <w:t xml:space="preserve">rather than in all cases. In addition, the Group had provided sufficient evidence of the difficulties created by rules of origin based on the change of tariff classification criterion when such rules contained several exceptions and restrictions. The Group invited the Members </w:t>
      </w:r>
      <w:r w:rsidRPr="005171D2">
        <w:t xml:space="preserve">that </w:t>
      </w:r>
      <w:r w:rsidR="00F566AD" w:rsidRPr="005171D2">
        <w:t xml:space="preserve">applied such rules to justify </w:t>
      </w:r>
      <w:r w:rsidRPr="005171D2">
        <w:t xml:space="preserve">why </w:t>
      </w:r>
      <w:r w:rsidR="00F566AD" w:rsidRPr="005171D2">
        <w:t xml:space="preserve">such restrictions were needed. </w:t>
      </w:r>
      <w:r w:rsidRPr="005171D2">
        <w:t>He</w:t>
      </w:r>
      <w:r w:rsidR="009B13BC">
        <w:t> </w:t>
      </w:r>
      <w:r w:rsidRPr="005171D2">
        <w:t xml:space="preserve">explained that the </w:t>
      </w:r>
      <w:r w:rsidR="00F566AD" w:rsidRPr="005171D2">
        <w:t>implementation of the Nairobi Decision</w:t>
      </w:r>
      <w:r w:rsidRPr="005171D2">
        <w:t xml:space="preserve"> </w:t>
      </w:r>
      <w:r w:rsidR="00F566AD" w:rsidRPr="005171D2">
        <w:t xml:space="preserve">was </w:t>
      </w:r>
      <w:r w:rsidRPr="005171D2">
        <w:t xml:space="preserve">the </w:t>
      </w:r>
      <w:r w:rsidR="00F566AD" w:rsidRPr="005171D2">
        <w:t xml:space="preserve">shared responsibility of all Members. As such, Members could </w:t>
      </w:r>
      <w:r w:rsidR="00EF2FCE" w:rsidRPr="005171D2">
        <w:t>reaffirm their commitment to</w:t>
      </w:r>
      <w:r w:rsidR="00F566AD" w:rsidRPr="005171D2">
        <w:t xml:space="preserve"> enhanc</w:t>
      </w:r>
      <w:r w:rsidR="00EF2FCE" w:rsidRPr="005171D2">
        <w:t>ing</w:t>
      </w:r>
      <w:r w:rsidR="00F566AD" w:rsidRPr="005171D2">
        <w:t xml:space="preserve"> their efforts, for </w:t>
      </w:r>
      <w:r w:rsidRPr="005171D2">
        <w:t>example</w:t>
      </w:r>
      <w:r w:rsidR="00F566AD" w:rsidRPr="005171D2">
        <w:t>, by agreeing to a work programme under which they would examine additional aspects covered by the Ministerial Decision; identify best practices; and report</w:t>
      </w:r>
      <w:r w:rsidRPr="005171D2">
        <w:t xml:space="preserve"> to the next Ministerial Conference on</w:t>
      </w:r>
      <w:r w:rsidR="00F566AD" w:rsidRPr="005171D2">
        <w:t xml:space="preserve"> progress being made.</w:t>
      </w:r>
    </w:p>
    <w:p w14:paraId="6DC768C2" w14:textId="0159951F" w:rsidR="00550459" w:rsidRPr="005171D2" w:rsidRDefault="00550459" w:rsidP="00550459">
      <w:pPr>
        <w:pStyle w:val="BodyText"/>
      </w:pPr>
      <w:r w:rsidRPr="005171D2">
        <w:t xml:space="preserve">The representative of the </w:t>
      </w:r>
      <w:r w:rsidRPr="005171D2">
        <w:rPr>
          <w:u w:val="single"/>
        </w:rPr>
        <w:t>European</w:t>
      </w:r>
      <w:r w:rsidRPr="005171D2">
        <w:t xml:space="preserve"> </w:t>
      </w:r>
      <w:r w:rsidRPr="005171D2">
        <w:rPr>
          <w:u w:val="single"/>
        </w:rPr>
        <w:t>Union</w:t>
      </w:r>
      <w:r w:rsidRPr="005171D2">
        <w:t xml:space="preserve"> said that her delegation was not entirely clear about the precise objectives and real purpose of the LDC</w:t>
      </w:r>
      <w:r w:rsidR="00182A33" w:rsidRPr="005171D2">
        <w:t> </w:t>
      </w:r>
      <w:r w:rsidRPr="005171D2">
        <w:t xml:space="preserve">submission. Her delegation would welcome </w:t>
      </w:r>
      <w:r w:rsidR="003350F1" w:rsidRPr="005171D2">
        <w:t xml:space="preserve">and require further </w:t>
      </w:r>
      <w:r w:rsidRPr="005171D2">
        <w:t xml:space="preserve">clarification before it could engage in </w:t>
      </w:r>
      <w:r w:rsidR="003350F1" w:rsidRPr="005171D2">
        <w:t xml:space="preserve">a </w:t>
      </w:r>
      <w:r w:rsidRPr="005171D2">
        <w:t xml:space="preserve">discussion </w:t>
      </w:r>
      <w:r w:rsidR="003350F1" w:rsidRPr="005171D2">
        <w:t xml:space="preserve">of </w:t>
      </w:r>
      <w:r w:rsidRPr="005171D2">
        <w:t>the document</w:t>
      </w:r>
      <w:r w:rsidR="003350F1" w:rsidRPr="005171D2">
        <w:t xml:space="preserve"> itself</w:t>
      </w:r>
      <w:r w:rsidRPr="005171D2">
        <w:t>.</w:t>
      </w:r>
    </w:p>
    <w:p w14:paraId="160AC746" w14:textId="64BA77A3" w:rsidR="00550459" w:rsidRPr="005171D2" w:rsidRDefault="00550459" w:rsidP="00550459">
      <w:pPr>
        <w:pStyle w:val="BodyText"/>
      </w:pPr>
      <w:r w:rsidRPr="005171D2">
        <w:t xml:space="preserve">The representative of </w:t>
      </w:r>
      <w:r w:rsidRPr="005171D2">
        <w:rPr>
          <w:u w:val="single"/>
        </w:rPr>
        <w:t>Switzerland</w:t>
      </w:r>
      <w:r w:rsidRPr="005171D2">
        <w:t xml:space="preserve"> stated that his government had fully implemented the Nairobi Decision and that it had also submitted comprehensive notifications. While his delegation was still studying the submission by the LDC</w:t>
      </w:r>
      <w:r w:rsidR="00182A33" w:rsidRPr="005171D2">
        <w:t> </w:t>
      </w:r>
      <w:r w:rsidRPr="005171D2">
        <w:t>Group, he said that its nature and objectives were not entirely clear</w:t>
      </w:r>
      <w:r w:rsidR="003350F1" w:rsidRPr="005171D2">
        <w:t>.</w:t>
      </w:r>
      <w:r w:rsidRPr="005171D2">
        <w:t xml:space="preserve"> </w:t>
      </w:r>
      <w:r w:rsidR="003350F1" w:rsidRPr="005171D2">
        <w:t xml:space="preserve">He </w:t>
      </w:r>
      <w:r w:rsidRPr="005171D2">
        <w:t>would welcome more information about the expected outcomes.</w:t>
      </w:r>
    </w:p>
    <w:p w14:paraId="368B9861" w14:textId="0EFDB644" w:rsidR="00550459" w:rsidRPr="005171D2" w:rsidRDefault="00550459" w:rsidP="00550459">
      <w:pPr>
        <w:pStyle w:val="BodyText"/>
      </w:pPr>
      <w:r w:rsidRPr="005171D2">
        <w:t xml:space="preserve">The representative of </w:t>
      </w:r>
      <w:r w:rsidRPr="005171D2">
        <w:rPr>
          <w:u w:val="single"/>
        </w:rPr>
        <w:t>Australia</w:t>
      </w:r>
      <w:r w:rsidRPr="005171D2">
        <w:t xml:space="preserve"> reiterated his government's long</w:t>
      </w:r>
      <w:r w:rsidR="006E7A28" w:rsidRPr="005171D2">
        <w:noBreakHyphen/>
      </w:r>
      <w:r w:rsidRPr="005171D2">
        <w:t>standing commitment to the provision of preferences</w:t>
      </w:r>
      <w:r w:rsidR="003350F1" w:rsidRPr="005171D2">
        <w:t>,</w:t>
      </w:r>
      <w:r w:rsidRPr="005171D2">
        <w:t xml:space="preserve"> not only to LDCs, but also </w:t>
      </w:r>
      <w:r w:rsidR="003350F1" w:rsidRPr="005171D2">
        <w:t xml:space="preserve">to </w:t>
      </w:r>
      <w:r w:rsidRPr="005171D2">
        <w:t>developing countries. He noted that any proposed work programme should be consistent with the Nairobi Decision.</w:t>
      </w:r>
    </w:p>
    <w:p w14:paraId="246193D0" w14:textId="608C9CF4" w:rsidR="00550459" w:rsidRPr="005171D2" w:rsidRDefault="00550459" w:rsidP="00550459">
      <w:pPr>
        <w:pStyle w:val="BodyText"/>
      </w:pPr>
      <w:r w:rsidRPr="005171D2">
        <w:t xml:space="preserve">The representative of </w:t>
      </w:r>
      <w:r w:rsidRPr="005171D2">
        <w:rPr>
          <w:u w:val="single"/>
        </w:rPr>
        <w:t>India</w:t>
      </w:r>
      <w:r w:rsidRPr="005171D2">
        <w:t xml:space="preserve"> state</w:t>
      </w:r>
      <w:r w:rsidR="00EF2FCE" w:rsidRPr="005171D2">
        <w:t>d</w:t>
      </w:r>
      <w:r w:rsidRPr="005171D2">
        <w:t xml:space="preserve"> that his colleagues in </w:t>
      </w:r>
      <w:r w:rsidR="00645A85" w:rsidRPr="005171D2">
        <w:t xml:space="preserve">Capital </w:t>
      </w:r>
      <w:r w:rsidRPr="005171D2">
        <w:t>were still examining the LDC</w:t>
      </w:r>
      <w:r w:rsidR="00182A33" w:rsidRPr="005171D2">
        <w:t> </w:t>
      </w:r>
      <w:r w:rsidRPr="005171D2">
        <w:t>paper.</w:t>
      </w:r>
    </w:p>
    <w:p w14:paraId="4E704C7B" w14:textId="5FFF2ED5" w:rsidR="00550459" w:rsidRPr="005171D2" w:rsidRDefault="00550459" w:rsidP="00550459">
      <w:pPr>
        <w:pStyle w:val="BodyText"/>
      </w:pPr>
      <w:r w:rsidRPr="005171D2">
        <w:t xml:space="preserve">The representative of </w:t>
      </w:r>
      <w:r w:rsidRPr="005171D2">
        <w:rPr>
          <w:u w:val="single"/>
        </w:rPr>
        <w:t>Canada</w:t>
      </w:r>
      <w:r w:rsidRPr="005171D2">
        <w:t xml:space="preserve"> said that her delegation was </w:t>
      </w:r>
      <w:r w:rsidR="003350F1" w:rsidRPr="005171D2">
        <w:t xml:space="preserve">also </w:t>
      </w:r>
      <w:r w:rsidRPr="005171D2">
        <w:t xml:space="preserve">still analysing the submission. Her delegation supported the objective </w:t>
      </w:r>
      <w:r w:rsidR="003350F1" w:rsidRPr="005171D2">
        <w:t xml:space="preserve">as </w:t>
      </w:r>
      <w:r w:rsidRPr="005171D2">
        <w:t xml:space="preserve">set out: </w:t>
      </w:r>
      <w:r w:rsidR="003350F1" w:rsidRPr="005171D2">
        <w:t xml:space="preserve">namely, </w:t>
      </w:r>
      <w:r w:rsidRPr="005171D2">
        <w:t xml:space="preserve">to promote transparency and to explore best practices. </w:t>
      </w:r>
      <w:r w:rsidR="003350F1" w:rsidRPr="005171D2">
        <w:t xml:space="preserve">In this context, she </w:t>
      </w:r>
      <w:r w:rsidRPr="005171D2">
        <w:t xml:space="preserve">reiterated that her government fully met the commitments set out in the Nairobi Ministerial Decision. </w:t>
      </w:r>
      <w:proofErr w:type="gramStart"/>
      <w:r w:rsidR="003350F1" w:rsidRPr="005171D2">
        <w:t>In order to</w:t>
      </w:r>
      <w:proofErr w:type="gramEnd"/>
      <w:r w:rsidR="003350F1" w:rsidRPr="005171D2">
        <w:t xml:space="preserve"> </w:t>
      </w:r>
      <w:r w:rsidRPr="005171D2">
        <w:t xml:space="preserve">move forward with the proposed workplan, she </w:t>
      </w:r>
      <w:r w:rsidRPr="005171D2">
        <w:lastRenderedPageBreak/>
        <w:t>encouraged the LDC</w:t>
      </w:r>
      <w:r w:rsidR="00182A33" w:rsidRPr="005171D2">
        <w:t> </w:t>
      </w:r>
      <w:r w:rsidRPr="005171D2">
        <w:t>Group to pursue an informal dialogue with preference</w:t>
      </w:r>
      <w:r w:rsidR="003350F1" w:rsidRPr="005171D2">
        <w:noBreakHyphen/>
      </w:r>
      <w:r w:rsidRPr="005171D2">
        <w:t>granting Members and the Chair.</w:t>
      </w:r>
    </w:p>
    <w:p w14:paraId="4532F42F" w14:textId="70631112" w:rsidR="00550459" w:rsidRPr="005171D2" w:rsidRDefault="00550459" w:rsidP="00550459">
      <w:pPr>
        <w:pStyle w:val="BodyText"/>
      </w:pPr>
      <w:r w:rsidRPr="005171D2">
        <w:t xml:space="preserve">The representative of the </w:t>
      </w:r>
      <w:r w:rsidRPr="005171D2">
        <w:rPr>
          <w:u w:val="single"/>
        </w:rPr>
        <w:t>United States</w:t>
      </w:r>
      <w:r w:rsidRPr="005171D2">
        <w:t xml:space="preserve"> said that her delegation would have welcomed some outreach on the proposal prior to the meeting, given that the submission raised significant concerns. First, the document was entitled "submission" but contained</w:t>
      </w:r>
      <w:r w:rsidR="00EF2FCE" w:rsidRPr="005171D2">
        <w:t xml:space="preserve"> a</w:t>
      </w:r>
      <w:r w:rsidRPr="005171D2">
        <w:t xml:space="preserve"> proposal for a workplan. If the submission was intended to represent the specific views of the LDC</w:t>
      </w:r>
      <w:r w:rsidR="00182A33" w:rsidRPr="005171D2">
        <w:t> </w:t>
      </w:r>
      <w:r w:rsidRPr="005171D2">
        <w:t xml:space="preserve">Group, that should be made clear. If, however, the submission was intended to reflect the views of the full Committee, the United States would not be </w:t>
      </w:r>
      <w:proofErr w:type="gramStart"/>
      <w:r w:rsidRPr="005171D2">
        <w:t>in a position</w:t>
      </w:r>
      <w:proofErr w:type="gramEnd"/>
      <w:r w:rsidRPr="005171D2">
        <w:t xml:space="preserve"> to associate </w:t>
      </w:r>
      <w:r w:rsidR="003458B5" w:rsidRPr="005171D2">
        <w:t xml:space="preserve">itself </w:t>
      </w:r>
      <w:r w:rsidRPr="005171D2">
        <w:t>with its contents. Second, the submission appeared to interpret the Nairobi Ministerial Decision in a manner that was not supported by the text of the Decision. For example, the Decision provided that preference-granting Members shall, "As a general principle, refrain from requiring a certificate of non</w:t>
      </w:r>
      <w:r w:rsidR="003458B5" w:rsidRPr="005171D2">
        <w:noBreakHyphen/>
      </w:r>
      <w:r w:rsidRPr="005171D2">
        <w:t>manipulation for products originating in a LDC but shipped across other countries unless there are concerns regarding transhipment, manipulation, or fraudulent documentation" (paragraph</w:t>
      </w:r>
      <w:r w:rsidR="00182A33" w:rsidRPr="005171D2">
        <w:t> </w:t>
      </w:r>
      <w:r w:rsidRPr="005171D2">
        <w:t>3.1(a)). However, the proposal called for the abolishment of requirements for a certificate of non</w:t>
      </w:r>
      <w:r w:rsidR="00182A33" w:rsidRPr="005171D2">
        <w:noBreakHyphen/>
      </w:r>
      <w:r w:rsidRPr="005171D2">
        <w:t xml:space="preserve">manipulation or any other similar form of documentary evidence. "Abolish", she explained, was clearly not the same as "refrain", indicating that significant liberties had been taken with the text of the Decision. Third, this submission made assumptions and assertions about the Decision that did not reflect the mutual understanding of Members. In particular, the </w:t>
      </w:r>
      <w:r w:rsidR="00EF2FCE" w:rsidRPr="005171D2">
        <w:t>US</w:t>
      </w:r>
      <w:r w:rsidRPr="005171D2">
        <w:t xml:space="preserve"> took issue with the underlying assumption that it needed to "align its rules of origin with the Nairobi Decision". Her delegation had explained many times that it had already taken every measure necessary to implement the Decision. She referred Members to document</w:t>
      </w:r>
      <w:r w:rsidR="00182A33" w:rsidRPr="005171D2">
        <w:t> </w:t>
      </w:r>
      <w:r w:rsidRPr="005171D2">
        <w:t>G/RO/83 for a full explanation of U</w:t>
      </w:r>
      <w:r w:rsidR="00D600D2" w:rsidRPr="005171D2">
        <w:t>S</w:t>
      </w:r>
      <w:r w:rsidR="003458B5" w:rsidRPr="005171D2">
        <w:t> </w:t>
      </w:r>
      <w:r w:rsidRPr="005171D2">
        <w:t xml:space="preserve">preferential rules of origin </w:t>
      </w:r>
      <w:proofErr w:type="gramStart"/>
      <w:r w:rsidRPr="005171D2">
        <w:t>in light of</w:t>
      </w:r>
      <w:proofErr w:type="gramEnd"/>
      <w:r w:rsidRPr="005171D2">
        <w:t xml:space="preserve"> Nairobi Decision commitments. Fourth, the submission asserted that Members </w:t>
      </w:r>
      <w:r w:rsidR="003458B5" w:rsidRPr="005171D2">
        <w:t xml:space="preserve">that </w:t>
      </w:r>
      <w:r w:rsidRPr="005171D2">
        <w:t>had not adopted the best</w:t>
      </w:r>
      <w:r w:rsidR="00D600D2" w:rsidRPr="005171D2">
        <w:t xml:space="preserve"> </w:t>
      </w:r>
      <w:r w:rsidRPr="005171D2">
        <w:t>practices identified in the proposal were not in alignment with the Nairobi Decision. That,</w:t>
      </w:r>
      <w:r w:rsidR="009B13BC">
        <w:t> </w:t>
      </w:r>
      <w:r w:rsidRPr="005171D2">
        <w:t>she explained</w:t>
      </w:r>
      <w:r w:rsidR="003458B5" w:rsidRPr="005171D2">
        <w:t>,</w:t>
      </w:r>
      <w:r w:rsidRPr="005171D2">
        <w:t xml:space="preserve"> was blatantly not the case</w:t>
      </w:r>
      <w:r w:rsidR="003458B5" w:rsidRPr="005171D2">
        <w:t>,</w:t>
      </w:r>
      <w:r w:rsidRPr="005171D2">
        <w:t xml:space="preserve"> since some of the best</w:t>
      </w:r>
      <w:r w:rsidR="00D600D2" w:rsidRPr="005171D2">
        <w:t xml:space="preserve"> </w:t>
      </w:r>
      <w:r w:rsidRPr="005171D2">
        <w:t xml:space="preserve">practices mentioned in the submission mischaracterized the commitments </w:t>
      </w:r>
      <w:r w:rsidR="00EF2FCE" w:rsidRPr="005171D2">
        <w:t xml:space="preserve">Members had made </w:t>
      </w:r>
      <w:r w:rsidRPr="005171D2">
        <w:t>in the Decision. In effect, the submission substituted non-negotiated, unilaterally determined measures, labelled as "best practices", for the actual text Members had negotiated in Nairobi. Fifth, this proposal called on Members to "reaffirm their commitment" to Sustainable Development Goal (SDG)</w:t>
      </w:r>
      <w:r w:rsidR="001178A6" w:rsidRPr="005171D2">
        <w:t> </w:t>
      </w:r>
      <w:r w:rsidRPr="005171D2">
        <w:t xml:space="preserve">17.12. </w:t>
      </w:r>
      <w:r w:rsidR="001178A6" w:rsidRPr="005171D2">
        <w:t xml:space="preserve">However, her </w:t>
      </w:r>
      <w:r w:rsidRPr="005171D2">
        <w:t xml:space="preserve">delegation thought it </w:t>
      </w:r>
      <w:r w:rsidR="001178A6" w:rsidRPr="005171D2">
        <w:t>in</w:t>
      </w:r>
      <w:r w:rsidRPr="005171D2">
        <w:t>appropriate to refer to SDG</w:t>
      </w:r>
      <w:r w:rsidR="00182A33" w:rsidRPr="005171D2">
        <w:t> </w:t>
      </w:r>
      <w:r w:rsidRPr="005171D2">
        <w:t>targets in a WTO</w:t>
      </w:r>
      <w:r w:rsidR="00182A33" w:rsidRPr="005171D2">
        <w:t> </w:t>
      </w:r>
      <w:r w:rsidRPr="005171D2">
        <w:t>proposal. The SDG</w:t>
      </w:r>
      <w:r w:rsidR="00182A33" w:rsidRPr="005171D2">
        <w:t> </w:t>
      </w:r>
      <w:r w:rsidRPr="005171D2">
        <w:t>language had been negotiated in a separate institution with different members and different rules. The</w:t>
      </w:r>
      <w:r w:rsidR="009B13BC">
        <w:t> </w:t>
      </w:r>
      <w:r w:rsidRPr="005171D2">
        <w:t>2030</w:t>
      </w:r>
      <w:r w:rsidR="00182A33" w:rsidRPr="005171D2">
        <w:t> </w:t>
      </w:r>
      <w:r w:rsidRPr="005171D2">
        <w:t xml:space="preserve">Agenda did not contain commitments; rather, </w:t>
      </w:r>
      <w:r w:rsidR="001178A6" w:rsidRPr="005171D2">
        <w:t xml:space="preserve">it was </w:t>
      </w:r>
      <w:r w:rsidRPr="005171D2">
        <w:t>a framework for sustainable development that could help countries work toward</w:t>
      </w:r>
      <w:r w:rsidR="001178A6" w:rsidRPr="005171D2">
        <w:t>s</w:t>
      </w:r>
      <w:r w:rsidRPr="005171D2">
        <w:t xml:space="preserve"> global peace and prosperity. The proposal mischaracterized the nature of the SDG</w:t>
      </w:r>
      <w:r w:rsidR="00FE3202" w:rsidRPr="005171D2">
        <w:t>s</w:t>
      </w:r>
      <w:r w:rsidRPr="005171D2">
        <w:t xml:space="preserve"> by assuming commitments that did not exist. Similarly, the contents of the submission seemed to reflect UNCTAD</w:t>
      </w:r>
      <w:r w:rsidR="00182A33" w:rsidRPr="005171D2">
        <w:t> </w:t>
      </w:r>
      <w:r w:rsidRPr="005171D2">
        <w:t xml:space="preserve">initiatives. She </w:t>
      </w:r>
      <w:r w:rsidR="00FE3202" w:rsidRPr="005171D2">
        <w:t>explained</w:t>
      </w:r>
      <w:r w:rsidRPr="005171D2">
        <w:t xml:space="preserve"> that</w:t>
      </w:r>
      <w:r w:rsidR="00FE3202" w:rsidRPr="005171D2">
        <w:t>,</w:t>
      </w:r>
      <w:r w:rsidRPr="005171D2">
        <w:t xml:space="preserve"> while UNCTAD may hold its own views on certain WTO</w:t>
      </w:r>
      <w:r w:rsidR="00182A33" w:rsidRPr="005171D2">
        <w:t> </w:t>
      </w:r>
      <w:r w:rsidRPr="005171D2">
        <w:t>Ministerial Decisions, it was solely for WTO</w:t>
      </w:r>
      <w:r w:rsidR="007F7308" w:rsidRPr="005171D2">
        <w:t> </w:t>
      </w:r>
      <w:r w:rsidRPr="005171D2">
        <w:t>Members to interpret those decisions and UNCTAD should not steer the work of the Committee. In conclusion, she said that the US believed the Decisions taken in Nairobi and in Bali were valuable and important. Her delegation understood the significant implications that these issues had for LDC</w:t>
      </w:r>
      <w:r w:rsidR="00182A33" w:rsidRPr="005171D2">
        <w:t> </w:t>
      </w:r>
      <w:r w:rsidRPr="005171D2">
        <w:t>utilization of unilateral preference programmes. That was precisely the reason why her delegation had been surprised about the approach that the LDC</w:t>
      </w:r>
      <w:r w:rsidR="00182A33" w:rsidRPr="005171D2">
        <w:t> </w:t>
      </w:r>
      <w:r w:rsidRPr="005171D2">
        <w:t xml:space="preserve">Group had put forward in this submission. The Group had asked for an examination of the rules of origin currently adopted by preference-granting Members. She asked whether that was not exactly the work </w:t>
      </w:r>
      <w:r w:rsidR="007F7308" w:rsidRPr="005171D2">
        <w:t xml:space="preserve">that </w:t>
      </w:r>
      <w:r w:rsidRPr="005171D2">
        <w:t>the CRO had diligently undertaken for the past five</w:t>
      </w:r>
      <w:r w:rsidR="007F7308" w:rsidRPr="005171D2">
        <w:t> </w:t>
      </w:r>
      <w:r w:rsidRPr="005171D2">
        <w:t>years. The Group had asked the Committee to identify best practices. She wondered whether that was not exactly what the LDC</w:t>
      </w:r>
      <w:r w:rsidR="00182A33" w:rsidRPr="005171D2">
        <w:t> </w:t>
      </w:r>
      <w:r w:rsidRPr="005171D2">
        <w:t xml:space="preserve">Group had done in the several papers cited in the submission itself. The Group had asked for a report from Members </w:t>
      </w:r>
      <w:r w:rsidR="00FE3202" w:rsidRPr="005171D2">
        <w:t xml:space="preserve">and argued that this </w:t>
      </w:r>
      <w:r w:rsidRPr="005171D2">
        <w:t>had already been mandated in the Nairobi Decision. She reiterated that her delegation had serious concerns with document</w:t>
      </w:r>
      <w:r w:rsidR="00182A33" w:rsidRPr="005171D2">
        <w:t> </w:t>
      </w:r>
      <w:r w:rsidRPr="005171D2">
        <w:t>G/RO/W/198 and wished such concerns to be reflected in the minutes of the meeting as well as in the three</w:t>
      </w:r>
      <w:r w:rsidR="007F7308" w:rsidRPr="005171D2">
        <w:t> </w:t>
      </w:r>
      <w:r w:rsidRPr="005171D2">
        <w:t>reports listed on the agenda.</w:t>
      </w:r>
    </w:p>
    <w:p w14:paraId="4ECE7F52" w14:textId="2D3B6A34" w:rsidR="00550459" w:rsidRPr="005171D2" w:rsidRDefault="00550459" w:rsidP="00550459">
      <w:pPr>
        <w:pStyle w:val="BodyText"/>
      </w:pPr>
      <w:r w:rsidRPr="005171D2">
        <w:t xml:space="preserve">The representative of </w:t>
      </w:r>
      <w:r w:rsidRPr="005171D2">
        <w:rPr>
          <w:u w:val="single"/>
        </w:rPr>
        <w:t>Tanzania</w:t>
      </w:r>
      <w:r w:rsidRPr="005171D2">
        <w:t xml:space="preserve"> appreciated the engagement by preference-granting Members on the LDC</w:t>
      </w:r>
      <w:r w:rsidR="00182A33" w:rsidRPr="005171D2">
        <w:t> </w:t>
      </w:r>
      <w:r w:rsidRPr="005171D2">
        <w:t>submission. He clarified that the original intention of the LDC</w:t>
      </w:r>
      <w:r w:rsidR="00646110" w:rsidRPr="005171D2">
        <w:t> </w:t>
      </w:r>
      <w:r w:rsidRPr="005171D2">
        <w:t>Group had been to propose draft language for the consideration of Ministers at the 12</w:t>
      </w:r>
      <w:r w:rsidRPr="005171D2">
        <w:rPr>
          <w:vertAlign w:val="superscript"/>
        </w:rPr>
        <w:t>th</w:t>
      </w:r>
      <w:r w:rsidR="00182A33" w:rsidRPr="005171D2">
        <w:t> </w:t>
      </w:r>
      <w:r w:rsidRPr="005171D2">
        <w:t xml:space="preserve">Ministerial Conference (MC12). However, </w:t>
      </w:r>
      <w:proofErr w:type="gramStart"/>
      <w:r w:rsidRPr="005171D2">
        <w:t>in light of</w:t>
      </w:r>
      <w:proofErr w:type="gramEnd"/>
      <w:r w:rsidRPr="005171D2">
        <w:t xml:space="preserve"> the uncertainties regarding the dates of the Conference, the Group had preferred to discuss options to strengthen the work of the CRO and accelerate reforms to facilitate the use of preferences by LDCs. The proposal was intended to strengthen and </w:t>
      </w:r>
      <w:r w:rsidR="00646110" w:rsidRPr="005171D2">
        <w:t xml:space="preserve">revitalize </w:t>
      </w:r>
      <w:r w:rsidRPr="005171D2">
        <w:t xml:space="preserve">the mandate given to the CRO so that it would pursue its discussions with </w:t>
      </w:r>
      <w:r w:rsidR="00646110" w:rsidRPr="005171D2">
        <w:t xml:space="preserve">the </w:t>
      </w:r>
      <w:r w:rsidRPr="005171D2">
        <w:t xml:space="preserve">greater and shared engagement </w:t>
      </w:r>
      <w:r w:rsidR="00646110" w:rsidRPr="005171D2">
        <w:t xml:space="preserve">of </w:t>
      </w:r>
      <w:r w:rsidRPr="005171D2">
        <w:t>all Members. The</w:t>
      </w:r>
      <w:r w:rsidR="009B13BC">
        <w:t> </w:t>
      </w:r>
      <w:r w:rsidRPr="005171D2">
        <w:t xml:space="preserve">challenges that LDCs faced were </w:t>
      </w:r>
      <w:r w:rsidR="00081F71" w:rsidRPr="005171D2">
        <w:t xml:space="preserve">well </w:t>
      </w:r>
      <w:r w:rsidRPr="005171D2">
        <w:t xml:space="preserve">known and many had </w:t>
      </w:r>
      <w:r w:rsidR="00081F71" w:rsidRPr="005171D2">
        <w:t xml:space="preserve">already </w:t>
      </w:r>
      <w:r w:rsidRPr="005171D2">
        <w:t>been discussed. That</w:t>
      </w:r>
      <w:r w:rsidR="009B13BC">
        <w:t> </w:t>
      </w:r>
      <w:r w:rsidRPr="005171D2">
        <w:t xml:space="preserve">renewed commitment could be reflected in a Committee document, </w:t>
      </w:r>
      <w:proofErr w:type="gramStart"/>
      <w:r w:rsidRPr="005171D2">
        <w:t>on the basis of</w:t>
      </w:r>
      <w:proofErr w:type="gramEnd"/>
      <w:r w:rsidRPr="005171D2">
        <w:t xml:space="preserve"> language agreed to by all Members. He noted with concern that the US was not comfortable with this approach. </w:t>
      </w:r>
      <w:r w:rsidR="00FE3202" w:rsidRPr="005171D2">
        <w:t>I</w:t>
      </w:r>
      <w:r w:rsidRPr="005171D2">
        <w:t xml:space="preserve">n addition, he had been surprised </w:t>
      </w:r>
      <w:r w:rsidR="00081F71" w:rsidRPr="005171D2">
        <w:t xml:space="preserve">by </w:t>
      </w:r>
      <w:r w:rsidRPr="005171D2">
        <w:t>the US</w:t>
      </w:r>
      <w:r w:rsidR="00182A33" w:rsidRPr="005171D2">
        <w:t> </w:t>
      </w:r>
      <w:r w:rsidRPr="005171D2">
        <w:t xml:space="preserve">doubts about quoting the SDGs. The SDGs were relevant in this context and </w:t>
      </w:r>
      <w:r w:rsidR="004F6322" w:rsidRPr="005171D2">
        <w:t>were</w:t>
      </w:r>
      <w:r w:rsidRPr="005171D2">
        <w:t xml:space="preserve"> agreed to at the highest level. In relation to the assertion that the </w:t>
      </w:r>
      <w:r w:rsidRPr="005171D2">
        <w:lastRenderedPageBreak/>
        <w:t xml:space="preserve">Group had mischaracterized the text of the Ministerial Decision, he explained that what ultimately mattered was to find common solutions to simplify rules of origin to </w:t>
      </w:r>
      <w:r w:rsidR="00081F71" w:rsidRPr="005171D2">
        <w:t>en</w:t>
      </w:r>
      <w:r w:rsidRPr="005171D2">
        <w:t xml:space="preserve">sure </w:t>
      </w:r>
      <w:r w:rsidR="00081F71" w:rsidRPr="005171D2">
        <w:t xml:space="preserve">that </w:t>
      </w:r>
      <w:r w:rsidRPr="005171D2">
        <w:t xml:space="preserve">LDCs could meet them and fully utilize </w:t>
      </w:r>
      <w:r w:rsidR="00081F71" w:rsidRPr="005171D2">
        <w:t xml:space="preserve">the </w:t>
      </w:r>
      <w:r w:rsidRPr="005171D2">
        <w:t>trade preferences</w:t>
      </w:r>
      <w:r w:rsidR="00081F71" w:rsidRPr="005171D2">
        <w:t xml:space="preserve"> available</w:t>
      </w:r>
      <w:r w:rsidRPr="005171D2">
        <w:t xml:space="preserve">. There would be no harm </w:t>
      </w:r>
      <w:r w:rsidR="00081F71" w:rsidRPr="005171D2">
        <w:t xml:space="preserve">in </w:t>
      </w:r>
      <w:r w:rsidRPr="005171D2">
        <w:t>Members reaffirm</w:t>
      </w:r>
      <w:r w:rsidR="00081F71" w:rsidRPr="005171D2">
        <w:t>ing</w:t>
      </w:r>
      <w:r w:rsidRPr="005171D2">
        <w:t xml:space="preserve"> their commitment to this objective and strengthen</w:t>
      </w:r>
      <w:r w:rsidR="00081F71" w:rsidRPr="005171D2">
        <w:t>ing</w:t>
      </w:r>
      <w:r w:rsidRPr="005171D2">
        <w:t xml:space="preserve"> their work. This was the spirit </w:t>
      </w:r>
      <w:r w:rsidR="00081F71" w:rsidRPr="005171D2">
        <w:t xml:space="preserve">in </w:t>
      </w:r>
      <w:r w:rsidRPr="005171D2">
        <w:t xml:space="preserve">which preference-granting Members </w:t>
      </w:r>
      <w:r w:rsidR="00081F71" w:rsidRPr="005171D2">
        <w:t>should</w:t>
      </w:r>
      <w:r w:rsidRPr="005171D2">
        <w:t xml:space="preserve"> approach the LDC</w:t>
      </w:r>
      <w:r w:rsidR="00182A33" w:rsidRPr="005171D2">
        <w:t> </w:t>
      </w:r>
      <w:r w:rsidRPr="005171D2">
        <w:t>Group submission.</w:t>
      </w:r>
    </w:p>
    <w:p w14:paraId="62F75B3B" w14:textId="0BAE3E82" w:rsidR="00550459" w:rsidRPr="005171D2" w:rsidRDefault="00550459" w:rsidP="00550459">
      <w:pPr>
        <w:pStyle w:val="BodyText"/>
      </w:pPr>
      <w:r w:rsidRPr="005171D2">
        <w:t xml:space="preserve">In conclusion, the </w:t>
      </w:r>
      <w:r w:rsidRPr="005171D2">
        <w:rPr>
          <w:u w:val="single"/>
        </w:rPr>
        <w:t>Chairperson</w:t>
      </w:r>
      <w:r w:rsidRPr="005171D2">
        <w:t xml:space="preserve"> thanked the LDC</w:t>
      </w:r>
      <w:r w:rsidR="00182A33" w:rsidRPr="005171D2">
        <w:t> </w:t>
      </w:r>
      <w:r w:rsidRPr="005171D2">
        <w:t>Group for its submission. He thought that all Members recognized that the implementation of the Ministerial Decisions was their shared responsibility. He recognized that the Committee had made substantive progress in implementing the Decision</w:t>
      </w:r>
      <w:r w:rsidR="005171D2" w:rsidRPr="005171D2">
        <w:t>s</w:t>
      </w:r>
      <w:r w:rsidRPr="005171D2">
        <w:t xml:space="preserve">, </w:t>
      </w:r>
      <w:r w:rsidR="00D054D0" w:rsidRPr="005171D2">
        <w:t xml:space="preserve">including </w:t>
      </w:r>
      <w:r w:rsidRPr="005171D2">
        <w:t>by adopting a notification template, by improving transparency</w:t>
      </w:r>
      <w:r w:rsidR="00D054D0" w:rsidRPr="005171D2">
        <w:t>,</w:t>
      </w:r>
      <w:r w:rsidRPr="005171D2">
        <w:t xml:space="preserve"> and by engaging in focused discussions about utilization rates. He asked the LDCs and preference</w:t>
      </w:r>
      <w:r w:rsidR="00182A33" w:rsidRPr="005171D2">
        <w:noBreakHyphen/>
      </w:r>
      <w:r w:rsidRPr="005171D2">
        <w:t xml:space="preserve">granting Members to consult </w:t>
      </w:r>
      <w:r w:rsidR="00D054D0" w:rsidRPr="005171D2">
        <w:t xml:space="preserve">with </w:t>
      </w:r>
      <w:r w:rsidRPr="005171D2">
        <w:t xml:space="preserve">each other </w:t>
      </w:r>
      <w:proofErr w:type="gramStart"/>
      <w:r w:rsidR="00D054D0" w:rsidRPr="005171D2">
        <w:t xml:space="preserve">in order </w:t>
      </w:r>
      <w:r w:rsidRPr="005171D2">
        <w:t>to</w:t>
      </w:r>
      <w:proofErr w:type="gramEnd"/>
      <w:r w:rsidRPr="005171D2">
        <w:t xml:space="preserve"> identify how best to </w:t>
      </w:r>
      <w:r w:rsidR="00D054D0" w:rsidRPr="005171D2">
        <w:t xml:space="preserve">advance </w:t>
      </w:r>
      <w:r w:rsidRPr="005171D2">
        <w:t>the</w:t>
      </w:r>
      <w:r w:rsidR="00FE3202" w:rsidRPr="005171D2">
        <w:t>se</w:t>
      </w:r>
      <w:r w:rsidRPr="005171D2">
        <w:t xml:space="preserve"> discussions.</w:t>
      </w:r>
    </w:p>
    <w:p w14:paraId="374574CF" w14:textId="749463E8" w:rsidR="00B9195C" w:rsidRPr="005171D2" w:rsidRDefault="00550459" w:rsidP="00550459">
      <w:pPr>
        <w:pStyle w:val="BodyText"/>
      </w:pPr>
      <w:r w:rsidRPr="005171D2">
        <w:t xml:space="preserve">It was so </w:t>
      </w:r>
      <w:r w:rsidRPr="005171D2">
        <w:rPr>
          <w:u w:val="single"/>
        </w:rPr>
        <w:t>agreed</w:t>
      </w:r>
      <w:r w:rsidRPr="005171D2">
        <w:t>.</w:t>
      </w:r>
    </w:p>
    <w:p w14:paraId="7E9EFE8A" w14:textId="592A7E6B" w:rsidR="008549EC" w:rsidRPr="005171D2" w:rsidRDefault="008549EC" w:rsidP="008549EC">
      <w:pPr>
        <w:pStyle w:val="Heading2"/>
      </w:pPr>
      <w:bookmarkStart w:id="18" w:name="_Toc63067725"/>
      <w:r w:rsidRPr="005171D2">
        <w:rPr>
          <w:szCs w:val="28"/>
        </w:rPr>
        <w:t xml:space="preserve">Draft Report (2020) of the CRO to the General Council on </w:t>
      </w:r>
      <w:r w:rsidR="00CD09C1" w:rsidRPr="005171D2">
        <w:rPr>
          <w:szCs w:val="28"/>
        </w:rPr>
        <w:t xml:space="preserve">Preferential Rules </w:t>
      </w:r>
      <w:r w:rsidRPr="005171D2">
        <w:rPr>
          <w:szCs w:val="28"/>
        </w:rPr>
        <w:t xml:space="preserve">of </w:t>
      </w:r>
      <w:r w:rsidR="00CD09C1" w:rsidRPr="005171D2">
        <w:rPr>
          <w:szCs w:val="28"/>
        </w:rPr>
        <w:t xml:space="preserve">Origin </w:t>
      </w:r>
      <w:r w:rsidRPr="005171D2">
        <w:rPr>
          <w:szCs w:val="28"/>
        </w:rPr>
        <w:t>for LDCs (G/RO/W/201)</w:t>
      </w:r>
      <w:bookmarkEnd w:id="18"/>
    </w:p>
    <w:p w14:paraId="740196C1" w14:textId="78C43BAA" w:rsidR="005C5790" w:rsidRPr="005171D2" w:rsidRDefault="005C5790" w:rsidP="005C5790">
      <w:pPr>
        <w:pStyle w:val="BodyText"/>
      </w:pPr>
      <w:r w:rsidRPr="005171D2">
        <w:t xml:space="preserve">The </w:t>
      </w:r>
      <w:r w:rsidRPr="005171D2">
        <w:rPr>
          <w:u w:val="single"/>
        </w:rPr>
        <w:t>Chairperson</w:t>
      </w:r>
      <w:r w:rsidRPr="005171D2">
        <w:t xml:space="preserve"> recalled that the CRO had to report every year to the General Council on recent developments regarding preferential rules of origin for LDCs and the implementation of the Ministerial Decisions. The Secretariat had prepared a draft for consideration (G/RO/W/201). He sought to hear Members' views on that draft with a view to finalizing it for adoption.</w:t>
      </w:r>
    </w:p>
    <w:p w14:paraId="7C014D17" w14:textId="4F3E8DEB" w:rsidR="005C5790" w:rsidRPr="005171D2" w:rsidRDefault="005C5790" w:rsidP="005C5790">
      <w:pPr>
        <w:pStyle w:val="BodyText"/>
      </w:pPr>
      <w:r w:rsidRPr="005171D2">
        <w:t xml:space="preserve">The representative of the </w:t>
      </w:r>
      <w:r w:rsidRPr="005171D2">
        <w:rPr>
          <w:u w:val="single"/>
        </w:rPr>
        <w:t>United States</w:t>
      </w:r>
      <w:r w:rsidRPr="005171D2">
        <w:t xml:space="preserve"> proposed specific revisions to the draft report (</w:t>
      </w:r>
      <w:r w:rsidR="00C64A9F" w:rsidRPr="005171D2">
        <w:t xml:space="preserve">under the </w:t>
      </w:r>
      <w:r w:rsidRPr="005171D2">
        <w:t>sections "Examination of current rules of origin"</w:t>
      </w:r>
      <w:r w:rsidR="00C64A9F" w:rsidRPr="005171D2">
        <w:t>,</w:t>
      </w:r>
      <w:r w:rsidRPr="005171D2">
        <w:t xml:space="preserve"> and "Annual review of implementation"). </w:t>
      </w:r>
      <w:r w:rsidR="00FE3202" w:rsidRPr="005171D2">
        <w:t>These</w:t>
      </w:r>
      <w:r w:rsidR="001D65F3">
        <w:t> </w:t>
      </w:r>
      <w:r w:rsidR="00FE3202" w:rsidRPr="005171D2">
        <w:t xml:space="preserve">proposals had been notified to the Secretariat. </w:t>
      </w:r>
      <w:proofErr w:type="gramStart"/>
      <w:r w:rsidRPr="005171D2">
        <w:t>In light of</w:t>
      </w:r>
      <w:proofErr w:type="gramEnd"/>
      <w:r w:rsidRPr="005171D2">
        <w:t xml:space="preserve"> these proposed changes, she requested a written procedure for Members to review the text of the draft report </w:t>
      </w:r>
      <w:r w:rsidR="00C64A9F" w:rsidRPr="005171D2">
        <w:t xml:space="preserve">before its </w:t>
      </w:r>
      <w:r w:rsidRPr="005171D2">
        <w:t>adopt</w:t>
      </w:r>
      <w:r w:rsidR="00C64A9F" w:rsidRPr="005171D2">
        <w:t>ion</w:t>
      </w:r>
      <w:r w:rsidRPr="005171D2">
        <w:t>.</w:t>
      </w:r>
    </w:p>
    <w:p w14:paraId="58F7699C" w14:textId="04C33254" w:rsidR="005C5790" w:rsidRPr="005171D2" w:rsidRDefault="005C5790" w:rsidP="005C5790">
      <w:pPr>
        <w:pStyle w:val="BodyText"/>
      </w:pPr>
      <w:r w:rsidRPr="005171D2">
        <w:t xml:space="preserve">The representative of the </w:t>
      </w:r>
      <w:r w:rsidRPr="005171D2">
        <w:rPr>
          <w:u w:val="single"/>
        </w:rPr>
        <w:t>European Union</w:t>
      </w:r>
      <w:r w:rsidRPr="005171D2">
        <w:t xml:space="preserve"> said that the draft report summarized the discussions that had taken place in the CRO in 2020. </w:t>
      </w:r>
      <w:r w:rsidR="00E05343" w:rsidRPr="005171D2">
        <w:t>However, she asked if</w:t>
      </w:r>
      <w:r w:rsidRPr="005171D2">
        <w:t xml:space="preserve"> the LDC</w:t>
      </w:r>
      <w:r w:rsidR="00182A33" w:rsidRPr="005171D2">
        <w:t> </w:t>
      </w:r>
      <w:r w:rsidRPr="005171D2">
        <w:t xml:space="preserve">Group </w:t>
      </w:r>
      <w:r w:rsidR="00E05343" w:rsidRPr="005171D2">
        <w:t xml:space="preserve">planned any </w:t>
      </w:r>
      <w:r w:rsidRPr="005171D2">
        <w:t>specific follow-up actions to any of the issues discussed.</w:t>
      </w:r>
    </w:p>
    <w:p w14:paraId="269B620F" w14:textId="5CEB975B" w:rsidR="005C5790" w:rsidRPr="005171D2" w:rsidRDefault="005C5790" w:rsidP="005C5790">
      <w:pPr>
        <w:pStyle w:val="BodyText"/>
      </w:pPr>
      <w:r w:rsidRPr="005171D2">
        <w:t xml:space="preserve">The representative of </w:t>
      </w:r>
      <w:r w:rsidRPr="005171D2">
        <w:rPr>
          <w:u w:val="single"/>
        </w:rPr>
        <w:t>Tanzania</w:t>
      </w:r>
      <w:r w:rsidRPr="005171D2">
        <w:t xml:space="preserve"> said that the LDC</w:t>
      </w:r>
      <w:r w:rsidR="00182A33" w:rsidRPr="005171D2">
        <w:t> </w:t>
      </w:r>
      <w:r w:rsidRPr="005171D2">
        <w:t xml:space="preserve">Group would assess what specific steps would be needed but anticipated further discussions and further investigations on the matters raised. In particular, the Group would encourage preference-granting Members to examine their own preferences and requirements. </w:t>
      </w:r>
      <w:r w:rsidR="00D54EC3" w:rsidRPr="005171D2">
        <w:t xml:space="preserve">In addition, the </w:t>
      </w:r>
      <w:r w:rsidRPr="005171D2">
        <w:t>LDC</w:t>
      </w:r>
      <w:r w:rsidR="00182A33" w:rsidRPr="005171D2">
        <w:t> </w:t>
      </w:r>
      <w:r w:rsidRPr="005171D2">
        <w:t>Group would engage with Members informally and bilaterally to identify possible next steps.</w:t>
      </w:r>
    </w:p>
    <w:p w14:paraId="320DB1DE" w14:textId="70D88B22" w:rsidR="005C5790" w:rsidRPr="005171D2" w:rsidRDefault="00CC0015" w:rsidP="005C5790">
      <w:pPr>
        <w:pStyle w:val="BodyText"/>
      </w:pPr>
      <w:r w:rsidRPr="005171D2">
        <w:t>The</w:t>
      </w:r>
      <w:r w:rsidR="005C5790" w:rsidRPr="005171D2">
        <w:t xml:space="preserve"> </w:t>
      </w:r>
      <w:r w:rsidR="005C5790" w:rsidRPr="005171D2">
        <w:rPr>
          <w:u w:val="single"/>
        </w:rPr>
        <w:t>Chairperson</w:t>
      </w:r>
      <w:r w:rsidRPr="005171D2">
        <w:t xml:space="preserve">, </w:t>
      </w:r>
      <w:proofErr w:type="gramStart"/>
      <w:r w:rsidRPr="005171D2">
        <w:t>in light of</w:t>
      </w:r>
      <w:proofErr w:type="gramEnd"/>
      <w:r w:rsidRPr="005171D2">
        <w:t xml:space="preserve"> Members' comments, </w:t>
      </w:r>
      <w:r w:rsidR="005C5790" w:rsidRPr="005171D2">
        <w:t xml:space="preserve">proposed that the Committee </w:t>
      </w:r>
      <w:r w:rsidRPr="005171D2">
        <w:t xml:space="preserve">request </w:t>
      </w:r>
      <w:r w:rsidR="005C5790" w:rsidRPr="005171D2">
        <w:t xml:space="preserve">the Secretariat to revise the draft report and </w:t>
      </w:r>
      <w:r w:rsidRPr="005171D2">
        <w:t xml:space="preserve">to </w:t>
      </w:r>
      <w:r w:rsidR="005C5790" w:rsidRPr="005171D2">
        <w:t xml:space="preserve">circulate </w:t>
      </w:r>
      <w:r w:rsidR="00FE3202" w:rsidRPr="005171D2">
        <w:t>a revised version</w:t>
      </w:r>
      <w:r w:rsidR="005C5790" w:rsidRPr="005171D2">
        <w:t xml:space="preserve"> to Members. If no objections were received by the Secretariat within a prescribed time</w:t>
      </w:r>
      <w:r w:rsidR="00340567" w:rsidRPr="005171D2">
        <w:noBreakHyphen/>
      </w:r>
      <w:r w:rsidR="005C5790" w:rsidRPr="005171D2">
        <w:t xml:space="preserve">frame, the report would </w:t>
      </w:r>
      <w:r w:rsidR="00FE3202" w:rsidRPr="005171D2">
        <w:t>be</w:t>
      </w:r>
      <w:r w:rsidR="005C5790" w:rsidRPr="005171D2">
        <w:t xml:space="preserve"> adopted.</w:t>
      </w:r>
    </w:p>
    <w:p w14:paraId="3D090E5F" w14:textId="7911A2B7" w:rsidR="008549EC" w:rsidRPr="005171D2" w:rsidRDefault="008549EC" w:rsidP="005C5790">
      <w:pPr>
        <w:pStyle w:val="BodyText"/>
      </w:pPr>
      <w:r w:rsidRPr="005171D2">
        <w:t xml:space="preserve">It was so </w:t>
      </w:r>
      <w:r w:rsidRPr="005171D2">
        <w:rPr>
          <w:u w:val="single"/>
        </w:rPr>
        <w:t>agreed</w:t>
      </w:r>
      <w:r w:rsidRPr="005171D2">
        <w:t>.</w:t>
      </w:r>
    </w:p>
    <w:p w14:paraId="349C384C" w14:textId="4E613903" w:rsidR="005C5790" w:rsidRPr="005171D2" w:rsidRDefault="005C5790" w:rsidP="005C5790">
      <w:pPr>
        <w:pStyle w:val="BodyText"/>
      </w:pPr>
      <w:r w:rsidRPr="005171D2">
        <w:t xml:space="preserve">The report of the CRO to the General Council was </w:t>
      </w:r>
      <w:r w:rsidRPr="005171D2">
        <w:rPr>
          <w:u w:val="single"/>
        </w:rPr>
        <w:t>revised</w:t>
      </w:r>
      <w:r w:rsidRPr="005171D2">
        <w:t xml:space="preserve"> and </w:t>
      </w:r>
      <w:r w:rsidRPr="005171D2">
        <w:rPr>
          <w:u w:val="single"/>
        </w:rPr>
        <w:t>adopted</w:t>
      </w:r>
      <w:r w:rsidRPr="005171D2">
        <w:t xml:space="preserve"> through written procedures on 18</w:t>
      </w:r>
      <w:r w:rsidR="00182A33" w:rsidRPr="005171D2">
        <w:t> </w:t>
      </w:r>
      <w:r w:rsidRPr="005171D2">
        <w:t>November</w:t>
      </w:r>
      <w:r w:rsidR="00182A33" w:rsidRPr="005171D2">
        <w:t> </w:t>
      </w:r>
      <w:r w:rsidRPr="005171D2">
        <w:t>2020 (G/RO/91).</w:t>
      </w:r>
    </w:p>
    <w:p w14:paraId="1F792981" w14:textId="6902A8BB" w:rsidR="00773927" w:rsidRPr="005171D2" w:rsidRDefault="008549EC" w:rsidP="00D561F7">
      <w:pPr>
        <w:pStyle w:val="Heading1"/>
      </w:pPr>
      <w:bookmarkStart w:id="19" w:name="_Toc39610312"/>
      <w:bookmarkStart w:id="20" w:name="_Toc63067726"/>
      <w:r w:rsidRPr="005171D2">
        <w:rPr>
          <w:caps w:val="0"/>
        </w:rPr>
        <w:t>Notifications under Article</w:t>
      </w:r>
      <w:r w:rsidR="00182A33" w:rsidRPr="005171D2">
        <w:rPr>
          <w:caps w:val="0"/>
        </w:rPr>
        <w:t> </w:t>
      </w:r>
      <w:r w:rsidRPr="005171D2">
        <w:rPr>
          <w:caps w:val="0"/>
        </w:rPr>
        <w:t>5 and under Paragraph</w:t>
      </w:r>
      <w:r w:rsidR="00182A33" w:rsidRPr="005171D2">
        <w:rPr>
          <w:caps w:val="0"/>
        </w:rPr>
        <w:t> </w:t>
      </w:r>
      <w:r w:rsidRPr="005171D2">
        <w:rPr>
          <w:caps w:val="0"/>
        </w:rPr>
        <w:t>4 of Annex</w:t>
      </w:r>
      <w:r w:rsidR="00182A33" w:rsidRPr="005171D2">
        <w:rPr>
          <w:caps w:val="0"/>
        </w:rPr>
        <w:t> </w:t>
      </w:r>
      <w:r w:rsidRPr="005171D2">
        <w:rPr>
          <w:caps w:val="0"/>
        </w:rPr>
        <w:t>II of the Agreement on Rules of Origin</w:t>
      </w:r>
      <w:r w:rsidRPr="005171D2">
        <w:t xml:space="preserve"> (G/RO/N/195 TO G/RO/N/206)</w:t>
      </w:r>
      <w:bookmarkEnd w:id="19"/>
      <w:bookmarkEnd w:id="20"/>
    </w:p>
    <w:p w14:paraId="670B81A7" w14:textId="0448F065" w:rsidR="008A2211" w:rsidRPr="005171D2" w:rsidRDefault="005A3E6C" w:rsidP="005C5790">
      <w:pPr>
        <w:pStyle w:val="BodyText"/>
      </w:pPr>
      <w:r w:rsidRPr="005171D2">
        <w:t xml:space="preserve">The </w:t>
      </w:r>
      <w:r w:rsidRPr="005171D2">
        <w:rPr>
          <w:u w:val="single"/>
        </w:rPr>
        <w:t>Chair</w:t>
      </w:r>
      <w:r w:rsidR="008736BD" w:rsidRPr="005171D2">
        <w:rPr>
          <w:u w:val="single"/>
        </w:rPr>
        <w:t>person</w:t>
      </w:r>
      <w:r w:rsidRPr="005171D2">
        <w:t xml:space="preserve"> drew </w:t>
      </w:r>
      <w:r w:rsidR="00B33BF0" w:rsidRPr="005171D2">
        <w:t>Members</w:t>
      </w:r>
      <w:r w:rsidRPr="005171D2">
        <w:t>'</w:t>
      </w:r>
      <w:r w:rsidR="00B33BF0" w:rsidRPr="005171D2">
        <w:t xml:space="preserve"> attention to the latest notifications received by the Secretariat</w:t>
      </w:r>
      <w:r w:rsidR="005C7E04" w:rsidRPr="005171D2">
        <w:t xml:space="preserve"> under the following symbols</w:t>
      </w:r>
      <w:r w:rsidRPr="005171D2">
        <w:t>: G/RO/N/</w:t>
      </w:r>
      <w:r w:rsidR="005C5790" w:rsidRPr="005171D2">
        <w:t>195</w:t>
      </w:r>
      <w:r w:rsidRPr="005171D2">
        <w:t>; G/RO/N/</w:t>
      </w:r>
      <w:r w:rsidR="005C5790" w:rsidRPr="005171D2">
        <w:t>196</w:t>
      </w:r>
      <w:r w:rsidRPr="005171D2">
        <w:t>; G/RO/N/</w:t>
      </w:r>
      <w:r w:rsidR="005C5790" w:rsidRPr="005171D2">
        <w:t>197</w:t>
      </w:r>
      <w:r w:rsidRPr="005171D2">
        <w:t>; G/RO/N/19</w:t>
      </w:r>
      <w:r w:rsidR="005C5790" w:rsidRPr="005171D2">
        <w:t>8</w:t>
      </w:r>
      <w:r w:rsidRPr="005171D2">
        <w:t>; G/RO/N/19</w:t>
      </w:r>
      <w:r w:rsidR="005C5790" w:rsidRPr="005171D2">
        <w:t>9</w:t>
      </w:r>
      <w:r w:rsidRPr="005171D2">
        <w:t>; G/RO/N/</w:t>
      </w:r>
      <w:r w:rsidR="005C5790" w:rsidRPr="005171D2">
        <w:t>200</w:t>
      </w:r>
      <w:r w:rsidRPr="005171D2">
        <w:t>; G/RO/N/</w:t>
      </w:r>
      <w:r w:rsidR="005C5790" w:rsidRPr="005171D2">
        <w:t>201</w:t>
      </w:r>
      <w:r w:rsidR="005C7E04" w:rsidRPr="005171D2">
        <w:t>;</w:t>
      </w:r>
      <w:r w:rsidRPr="005171D2">
        <w:t xml:space="preserve"> </w:t>
      </w:r>
      <w:r w:rsidR="005C5790" w:rsidRPr="005171D2">
        <w:t xml:space="preserve">G/RO/N/202; G/RO/N/203; </w:t>
      </w:r>
      <w:r w:rsidRPr="005171D2">
        <w:t xml:space="preserve">and </w:t>
      </w:r>
      <w:r w:rsidR="005C5790" w:rsidRPr="005171D2">
        <w:t>G/RO/N/20</w:t>
      </w:r>
      <w:r w:rsidRPr="005171D2">
        <w:t>4</w:t>
      </w:r>
      <w:r w:rsidR="00B33BF0" w:rsidRPr="005171D2">
        <w:t xml:space="preserve">. These notifications </w:t>
      </w:r>
      <w:r w:rsidR="005C7E04" w:rsidRPr="005171D2">
        <w:t xml:space="preserve">covered </w:t>
      </w:r>
      <w:r w:rsidR="00B33BF0" w:rsidRPr="005171D2">
        <w:t>non</w:t>
      </w:r>
      <w:r w:rsidR="005C7E04" w:rsidRPr="005171D2">
        <w:noBreakHyphen/>
      </w:r>
      <w:r w:rsidR="00B33BF0" w:rsidRPr="005171D2">
        <w:t>preferential rules of origin</w:t>
      </w:r>
      <w:r w:rsidR="003A23B7" w:rsidRPr="005171D2">
        <w:t xml:space="preserve"> </w:t>
      </w:r>
      <w:r w:rsidRPr="005171D2">
        <w:t>(</w:t>
      </w:r>
      <w:r w:rsidR="00B33BF0" w:rsidRPr="005171D2">
        <w:t>Article</w:t>
      </w:r>
      <w:r w:rsidR="00934EB1" w:rsidRPr="005171D2">
        <w:t> 5 of t</w:t>
      </w:r>
      <w:r w:rsidR="00B33BF0" w:rsidRPr="005171D2">
        <w:t>he Agreement</w:t>
      </w:r>
      <w:r w:rsidRPr="005171D2">
        <w:t>)</w:t>
      </w:r>
      <w:r w:rsidR="00B33BF0" w:rsidRPr="005171D2">
        <w:t xml:space="preserve"> and preferential rules of origin </w:t>
      </w:r>
      <w:r w:rsidRPr="005171D2">
        <w:t>(</w:t>
      </w:r>
      <w:r w:rsidR="00B33BF0" w:rsidRPr="005171D2">
        <w:t xml:space="preserve">under </w:t>
      </w:r>
      <w:r w:rsidR="00916FDB" w:rsidRPr="005171D2">
        <w:t>RTAs</w:t>
      </w:r>
      <w:r w:rsidR="00B33BF0" w:rsidRPr="005171D2">
        <w:t xml:space="preserve">, originally circulated to the </w:t>
      </w:r>
      <w:r w:rsidR="00D600D2" w:rsidRPr="005171D2">
        <w:t>Committee on Regional Trade Agreements (</w:t>
      </w:r>
      <w:r w:rsidR="00916FDB" w:rsidRPr="005171D2">
        <w:t>CRTA</w:t>
      </w:r>
      <w:r w:rsidR="00D600D2" w:rsidRPr="005171D2">
        <w:t>)</w:t>
      </w:r>
      <w:r w:rsidRPr="005171D2">
        <w:t>)</w:t>
      </w:r>
      <w:r w:rsidR="00B33BF0" w:rsidRPr="005171D2">
        <w:t>.</w:t>
      </w:r>
      <w:r w:rsidRPr="005171D2">
        <w:t xml:space="preserve"> </w:t>
      </w:r>
      <w:r w:rsidR="005C5790" w:rsidRPr="005171D2">
        <w:t>They</w:t>
      </w:r>
      <w:r w:rsidR="001D65F3">
        <w:t> </w:t>
      </w:r>
      <w:r w:rsidR="005C5790" w:rsidRPr="005171D2">
        <w:t>included a first</w:t>
      </w:r>
      <w:r w:rsidR="00DE7FE5" w:rsidRPr="005171D2">
        <w:noBreakHyphen/>
        <w:t>time</w:t>
      </w:r>
      <w:r w:rsidR="005C5790" w:rsidRPr="005171D2">
        <w:t xml:space="preserve"> notification under Art</w:t>
      </w:r>
      <w:r w:rsidR="00DE7FE5" w:rsidRPr="005171D2">
        <w:t>icle </w:t>
      </w:r>
      <w:r w:rsidR="005C5790" w:rsidRPr="005171D2">
        <w:t xml:space="preserve">5 </w:t>
      </w:r>
      <w:r w:rsidR="00995241" w:rsidRPr="005171D2">
        <w:t>by</w:t>
      </w:r>
      <w:r w:rsidR="005C5790" w:rsidRPr="005171D2">
        <w:t xml:space="preserve"> </w:t>
      </w:r>
      <w:r w:rsidR="00DE7FE5" w:rsidRPr="005171D2">
        <w:t>Cambodia,</w:t>
      </w:r>
      <w:r w:rsidR="005C5790" w:rsidRPr="005171D2">
        <w:t xml:space="preserve"> </w:t>
      </w:r>
      <w:r w:rsidR="00995241" w:rsidRPr="005171D2">
        <w:t>a</w:t>
      </w:r>
      <w:r w:rsidR="00FE3202" w:rsidRPr="005171D2">
        <w:t>nd</w:t>
      </w:r>
      <w:r w:rsidR="00995241" w:rsidRPr="005171D2">
        <w:t xml:space="preserve"> revised notifications by </w:t>
      </w:r>
      <w:r w:rsidR="001D65F3">
        <w:t>Indonesia;</w:t>
      </w:r>
      <w:r w:rsidR="00DE7FE5" w:rsidRPr="005171D2">
        <w:t xml:space="preserve"> </w:t>
      </w:r>
      <w:r w:rsidR="001D65F3">
        <w:t>Montenegro;</w:t>
      </w:r>
      <w:r w:rsidR="00DE7FE5" w:rsidRPr="005171D2">
        <w:t xml:space="preserve"> </w:t>
      </w:r>
      <w:r w:rsidR="00995241" w:rsidRPr="005171D2">
        <w:t xml:space="preserve">North </w:t>
      </w:r>
      <w:r w:rsidR="001D65F3">
        <w:t>Macedonia;</w:t>
      </w:r>
      <w:r w:rsidR="00DE7FE5" w:rsidRPr="005171D2">
        <w:t xml:space="preserve"> </w:t>
      </w:r>
      <w:r w:rsidR="001D65F3">
        <w:t>Norway;</w:t>
      </w:r>
      <w:r w:rsidR="00DE7FE5" w:rsidRPr="005171D2">
        <w:t xml:space="preserve"> </w:t>
      </w:r>
      <w:r w:rsidR="00995241" w:rsidRPr="005171D2">
        <w:t xml:space="preserve">and the Kyrgyz Republic. </w:t>
      </w:r>
      <w:r w:rsidR="005C7E04" w:rsidRPr="005171D2">
        <w:t xml:space="preserve">Further to </w:t>
      </w:r>
      <w:r w:rsidRPr="005171D2">
        <w:t xml:space="preserve">these notifications, </w:t>
      </w:r>
      <w:r w:rsidR="00995241" w:rsidRPr="005171D2">
        <w:t xml:space="preserve">he reported </w:t>
      </w:r>
      <w:r w:rsidRPr="005171D2">
        <w:t xml:space="preserve">that </w:t>
      </w:r>
      <w:r w:rsidR="00B33BF0" w:rsidRPr="005171D2">
        <w:t>all WTO</w:t>
      </w:r>
      <w:r w:rsidR="0071166D" w:rsidRPr="005171D2">
        <w:t> </w:t>
      </w:r>
      <w:r w:rsidR="00B33BF0" w:rsidRPr="005171D2">
        <w:t>Members appl</w:t>
      </w:r>
      <w:r w:rsidRPr="005171D2">
        <w:t>ied</w:t>
      </w:r>
      <w:r w:rsidR="00B33BF0" w:rsidRPr="005171D2">
        <w:t xml:space="preserve"> at least one</w:t>
      </w:r>
      <w:r w:rsidR="005C7E04" w:rsidRPr="005171D2">
        <w:t> </w:t>
      </w:r>
      <w:r w:rsidR="00B33BF0" w:rsidRPr="005171D2">
        <w:t>set of preferential rules of origin.</w:t>
      </w:r>
      <w:r w:rsidRPr="005171D2">
        <w:t xml:space="preserve"> </w:t>
      </w:r>
      <w:r w:rsidR="00B33BF0" w:rsidRPr="005171D2">
        <w:t xml:space="preserve">In addition, </w:t>
      </w:r>
      <w:r w:rsidR="0076051A" w:rsidRPr="005171D2">
        <w:t>5</w:t>
      </w:r>
      <w:r w:rsidR="00995241" w:rsidRPr="005171D2">
        <w:t>1</w:t>
      </w:r>
      <w:r w:rsidR="005C7E04" w:rsidRPr="005171D2">
        <w:t> </w:t>
      </w:r>
      <w:r w:rsidR="00B33BF0" w:rsidRPr="005171D2">
        <w:t>Members</w:t>
      </w:r>
      <w:r w:rsidR="003A23B7" w:rsidRPr="005171D2">
        <w:t xml:space="preserve"> </w:t>
      </w:r>
      <w:r w:rsidRPr="005171D2">
        <w:t xml:space="preserve">had </w:t>
      </w:r>
      <w:r w:rsidR="00B33BF0" w:rsidRPr="005171D2">
        <w:t>informed the Secretariat that they appl</w:t>
      </w:r>
      <w:r w:rsidRPr="005171D2">
        <w:t>ied</w:t>
      </w:r>
      <w:r w:rsidR="00B33BF0" w:rsidRPr="005171D2">
        <w:t xml:space="preserve"> non</w:t>
      </w:r>
      <w:r w:rsidR="005C7E04" w:rsidRPr="005171D2">
        <w:noBreakHyphen/>
      </w:r>
      <w:r w:rsidR="00B33BF0" w:rsidRPr="005171D2">
        <w:t>preferential rules of origin</w:t>
      </w:r>
      <w:r w:rsidR="005C7E04" w:rsidRPr="005171D2">
        <w:t>,</w:t>
      </w:r>
      <w:r w:rsidRPr="005171D2">
        <w:t xml:space="preserve"> and </w:t>
      </w:r>
      <w:r w:rsidR="0076051A" w:rsidRPr="005171D2">
        <w:t>60</w:t>
      </w:r>
      <w:r w:rsidR="005C7E04" w:rsidRPr="005171D2">
        <w:t> </w:t>
      </w:r>
      <w:r w:rsidR="00B33BF0" w:rsidRPr="005171D2">
        <w:t xml:space="preserve">Members </w:t>
      </w:r>
      <w:r w:rsidRPr="005171D2">
        <w:t xml:space="preserve">had </w:t>
      </w:r>
      <w:r w:rsidR="00B33BF0" w:rsidRPr="005171D2">
        <w:t xml:space="preserve">informed the Secretariat that they </w:t>
      </w:r>
      <w:r w:rsidRPr="005171D2">
        <w:t xml:space="preserve">did not </w:t>
      </w:r>
      <w:r w:rsidR="00B33BF0" w:rsidRPr="005171D2">
        <w:t xml:space="preserve">apply such rules. </w:t>
      </w:r>
      <w:r w:rsidR="003A23B7" w:rsidRPr="005171D2">
        <w:t>Twenty</w:t>
      </w:r>
      <w:r w:rsidR="005C7E04" w:rsidRPr="005171D2">
        <w:noBreakHyphen/>
      </w:r>
      <w:r w:rsidR="00995241" w:rsidRPr="005171D2">
        <w:t>five</w:t>
      </w:r>
      <w:r w:rsidR="00182A33" w:rsidRPr="005171D2">
        <w:t> </w:t>
      </w:r>
      <w:r w:rsidR="00B33BF0" w:rsidRPr="005171D2">
        <w:t xml:space="preserve">Members </w:t>
      </w:r>
      <w:r w:rsidRPr="005171D2">
        <w:t xml:space="preserve">had </w:t>
      </w:r>
      <w:r w:rsidR="00995241" w:rsidRPr="005171D2">
        <w:t xml:space="preserve">not yet </w:t>
      </w:r>
      <w:r w:rsidR="00B33BF0" w:rsidRPr="005171D2">
        <w:t>submitted a notification under Article</w:t>
      </w:r>
      <w:r w:rsidR="0071166D" w:rsidRPr="005171D2">
        <w:t> </w:t>
      </w:r>
      <w:r w:rsidR="00B33BF0" w:rsidRPr="005171D2">
        <w:t>5 of the Agreement.</w:t>
      </w:r>
      <w:r w:rsidR="00995241" w:rsidRPr="005171D2">
        <w:t xml:space="preserve"> The full </w:t>
      </w:r>
      <w:r w:rsidR="00995241" w:rsidRPr="005171D2">
        <w:lastRenderedPageBreak/>
        <w:t>list of notifications received was available in the annex to document</w:t>
      </w:r>
      <w:r w:rsidR="00182A33" w:rsidRPr="005171D2">
        <w:t> </w:t>
      </w:r>
      <w:r w:rsidR="00995241" w:rsidRPr="005171D2">
        <w:t>G/RO/W/199 and on the rules of origin webpage of the WTO</w:t>
      </w:r>
      <w:r w:rsidR="00182A33" w:rsidRPr="005171D2">
        <w:t> </w:t>
      </w:r>
      <w:r w:rsidR="00995241" w:rsidRPr="005171D2">
        <w:t>website.</w:t>
      </w:r>
    </w:p>
    <w:p w14:paraId="7A2C5E62" w14:textId="6843AA7A" w:rsidR="00995241" w:rsidRPr="005171D2" w:rsidRDefault="00995241" w:rsidP="005C5790">
      <w:pPr>
        <w:pStyle w:val="BodyText"/>
      </w:pPr>
      <w:r w:rsidRPr="005171D2">
        <w:t>He thanked the delegations that had submitted these notifications and encouraged all Members to ensure that the information contained in their notifications was up-to-date and complete.</w:t>
      </w:r>
    </w:p>
    <w:p w14:paraId="3F79C24E" w14:textId="38E68E3A" w:rsidR="00B33BF0" w:rsidRPr="005171D2" w:rsidRDefault="005A3E6C" w:rsidP="0004503C">
      <w:pPr>
        <w:pStyle w:val="BodyText"/>
      </w:pPr>
      <w:r w:rsidRPr="005171D2">
        <w:t xml:space="preserve">The Committee </w:t>
      </w:r>
      <w:r w:rsidRPr="005171D2">
        <w:rPr>
          <w:u w:val="single"/>
        </w:rPr>
        <w:t>took note</w:t>
      </w:r>
      <w:r w:rsidRPr="005171D2">
        <w:t xml:space="preserve"> of this </w:t>
      </w:r>
      <w:r w:rsidR="00995241" w:rsidRPr="005171D2">
        <w:t>report</w:t>
      </w:r>
      <w:r w:rsidRPr="005171D2">
        <w:t>.</w:t>
      </w:r>
    </w:p>
    <w:p w14:paraId="3D1FED9F" w14:textId="5037F90F" w:rsidR="004F0C58" w:rsidRPr="005171D2" w:rsidRDefault="008549EC" w:rsidP="00D561F7">
      <w:pPr>
        <w:pStyle w:val="Heading1"/>
      </w:pPr>
      <w:bookmarkStart w:id="21" w:name="_Toc63067727"/>
      <w:r w:rsidRPr="005171D2">
        <w:t>DRAFT TEMPLATE FOR THE NOTIFICATION OF NON</w:t>
      </w:r>
      <w:r w:rsidR="00DE7FE5" w:rsidRPr="005171D2">
        <w:noBreakHyphen/>
      </w:r>
      <w:r w:rsidRPr="005171D2">
        <w:t>PREFERENTIAL RULES OF ORIGIN AND ORIGIN REQUIREMENTS (G/RO/W/182/REV.3) – STATEMENT BY SWITZERLAND</w:t>
      </w:r>
      <w:bookmarkEnd w:id="21"/>
    </w:p>
    <w:p w14:paraId="646BA8BA" w14:textId="52FD4779" w:rsidR="00E4265B" w:rsidRPr="005171D2" w:rsidRDefault="00E4265B" w:rsidP="00E4265B">
      <w:pPr>
        <w:pStyle w:val="BodyText"/>
      </w:pPr>
      <w:r w:rsidRPr="005171D2">
        <w:t xml:space="preserve">The </w:t>
      </w:r>
      <w:r w:rsidRPr="005171D2">
        <w:rPr>
          <w:u w:val="single"/>
        </w:rPr>
        <w:t>Chairperson</w:t>
      </w:r>
      <w:r w:rsidRPr="005171D2">
        <w:t xml:space="preserve"> referred to past discussions on information gaps </w:t>
      </w:r>
      <w:r w:rsidR="00FE3202" w:rsidRPr="005171D2">
        <w:t xml:space="preserve">and outdated </w:t>
      </w:r>
      <w:r w:rsidRPr="005171D2">
        <w:t>notifications made under Article</w:t>
      </w:r>
      <w:r w:rsidR="00182A33" w:rsidRPr="005171D2">
        <w:t> </w:t>
      </w:r>
      <w:r w:rsidRPr="005171D2">
        <w:t>5 of the Agreement. At the last Committee meeting, Members had considered the third</w:t>
      </w:r>
      <w:r w:rsidR="002169E8" w:rsidRPr="005171D2">
        <w:t> </w:t>
      </w:r>
      <w:r w:rsidRPr="005171D2">
        <w:t xml:space="preserve">revision of </w:t>
      </w:r>
      <w:r w:rsidR="002169E8" w:rsidRPr="005171D2">
        <w:t xml:space="preserve">a </w:t>
      </w:r>
      <w:r w:rsidRPr="005171D2">
        <w:t xml:space="preserve">proposal </w:t>
      </w:r>
      <w:r w:rsidR="00FE3202" w:rsidRPr="005171D2">
        <w:t>to address such challenges (</w:t>
      </w:r>
      <w:r w:rsidRPr="005171D2">
        <w:t>G/RO/W/182/Rev.3</w:t>
      </w:r>
      <w:r w:rsidR="00FE3202" w:rsidRPr="005171D2">
        <w:t>)</w:t>
      </w:r>
      <w:r w:rsidRPr="005171D2">
        <w:t xml:space="preserve"> and the Chairperson had noted that the </w:t>
      </w:r>
      <w:r w:rsidR="00FE3202" w:rsidRPr="005171D2">
        <w:t>proposal</w:t>
      </w:r>
      <w:r w:rsidRPr="005171D2">
        <w:t xml:space="preserve"> was largely stable. The Chairperson had also concluded that no delegation had objected to the objectives of the proposal. All delegations</w:t>
      </w:r>
      <w:r w:rsidR="00FE3202" w:rsidRPr="005171D2">
        <w:t xml:space="preserve"> had</w:t>
      </w:r>
      <w:r w:rsidRPr="005171D2">
        <w:t xml:space="preserve"> shared the assessment that there was a significant transparency gap in this area and that it was important to find solutions to improve the current situation. Several delegations had also noted that a fresh and updated notification exercise was needed </w:t>
      </w:r>
      <w:proofErr w:type="gramStart"/>
      <w:r w:rsidRPr="005171D2">
        <w:t>in order to</w:t>
      </w:r>
      <w:proofErr w:type="gramEnd"/>
      <w:r w:rsidRPr="005171D2">
        <w:t xml:space="preserve"> make this information available to economic operators, for instance through the Origin Facilitator. However, three</w:t>
      </w:r>
      <w:r w:rsidR="002169E8" w:rsidRPr="005171D2">
        <w:t> </w:t>
      </w:r>
      <w:r w:rsidRPr="005171D2">
        <w:t xml:space="preserve">delegations had expressed some concerns or had asked for clarifications. </w:t>
      </w:r>
      <w:r w:rsidR="00FE3202" w:rsidRPr="005171D2">
        <w:t>It was then</w:t>
      </w:r>
      <w:r w:rsidRPr="005171D2">
        <w:t xml:space="preserve"> agreed that delegations would hold consultations on these questions and reservations. He therefore asked the proponents to update the Committee on the latest status of the proposal and on </w:t>
      </w:r>
      <w:r w:rsidR="00FE3202" w:rsidRPr="005171D2">
        <w:t>their preferred</w:t>
      </w:r>
      <w:r w:rsidRPr="005171D2">
        <w:t xml:space="preserve"> next steps.</w:t>
      </w:r>
    </w:p>
    <w:p w14:paraId="1134DA97" w14:textId="4621ABAF" w:rsidR="00E4265B" w:rsidRPr="005171D2" w:rsidRDefault="00E4265B" w:rsidP="00E4265B">
      <w:pPr>
        <w:pStyle w:val="BodyText"/>
      </w:pPr>
      <w:r w:rsidRPr="005171D2">
        <w:t xml:space="preserve">The representative of </w:t>
      </w:r>
      <w:r w:rsidRPr="005171D2">
        <w:rPr>
          <w:u w:val="single"/>
        </w:rPr>
        <w:t>Switzerland</w:t>
      </w:r>
      <w:r w:rsidRPr="005171D2">
        <w:t xml:space="preserve"> recalled that Members had been considering this proposal for the past two</w:t>
      </w:r>
      <w:r w:rsidR="002169E8" w:rsidRPr="005171D2">
        <w:t> </w:t>
      </w:r>
      <w:r w:rsidRPr="005171D2">
        <w:t xml:space="preserve">years already. </w:t>
      </w:r>
      <w:r w:rsidR="00BD62E7" w:rsidRPr="005171D2">
        <w:t>P</w:t>
      </w:r>
      <w:r w:rsidRPr="005171D2">
        <w:t>roponents had shown flexibility and incorporated changes to the text as needed. The language of the third</w:t>
      </w:r>
      <w:r w:rsidR="002169E8" w:rsidRPr="005171D2">
        <w:t> </w:t>
      </w:r>
      <w:r w:rsidRPr="005171D2">
        <w:t xml:space="preserve">revision, he said, was stable. Despite very </w:t>
      </w:r>
      <w:r w:rsidR="002169E8" w:rsidRPr="005171D2">
        <w:t xml:space="preserve">significant </w:t>
      </w:r>
      <w:r w:rsidRPr="005171D2">
        <w:t xml:space="preserve">support for the proposal, </w:t>
      </w:r>
      <w:r w:rsidR="002169E8" w:rsidRPr="005171D2">
        <w:t xml:space="preserve">it had not proven possible to adopt </w:t>
      </w:r>
      <w:r w:rsidRPr="005171D2">
        <w:t>the decision at the Committee's March</w:t>
      </w:r>
      <w:r w:rsidR="00182A33" w:rsidRPr="005171D2">
        <w:t> </w:t>
      </w:r>
      <w:r w:rsidRPr="005171D2">
        <w:t>2020 meeting. He reported that, following bilateral consultations, the concerns expressed by one</w:t>
      </w:r>
      <w:r w:rsidR="002169E8" w:rsidRPr="005171D2">
        <w:t> </w:t>
      </w:r>
      <w:r w:rsidRPr="005171D2">
        <w:t xml:space="preserve">delegation could </w:t>
      </w:r>
      <w:r w:rsidR="002169E8" w:rsidRPr="005171D2">
        <w:t xml:space="preserve">still </w:t>
      </w:r>
      <w:r w:rsidRPr="005171D2">
        <w:t xml:space="preserve">be addressed by clarifying </w:t>
      </w:r>
      <w:r w:rsidR="002169E8" w:rsidRPr="005171D2">
        <w:t xml:space="preserve">certain </w:t>
      </w:r>
      <w:r w:rsidRPr="005171D2">
        <w:t>aspects of the proposal</w:t>
      </w:r>
      <w:r w:rsidR="002169E8" w:rsidRPr="005171D2">
        <w:t>,</w:t>
      </w:r>
      <w:r w:rsidRPr="005171D2">
        <w:t xml:space="preserve"> </w:t>
      </w:r>
      <w:r w:rsidR="002169E8" w:rsidRPr="005171D2">
        <w:t xml:space="preserve">but </w:t>
      </w:r>
      <w:r w:rsidRPr="005171D2">
        <w:t xml:space="preserve">without amending it. The difficult working conditions that Members </w:t>
      </w:r>
      <w:r w:rsidR="002169E8" w:rsidRPr="005171D2">
        <w:t xml:space="preserve">had </w:t>
      </w:r>
      <w:r w:rsidRPr="005171D2">
        <w:t xml:space="preserve">experienced since March </w:t>
      </w:r>
      <w:r w:rsidR="00BD62E7" w:rsidRPr="005171D2">
        <w:t>because of the COVID-19</w:t>
      </w:r>
      <w:r w:rsidR="00182A33" w:rsidRPr="005171D2">
        <w:t> </w:t>
      </w:r>
      <w:r w:rsidR="00BD62E7" w:rsidRPr="005171D2">
        <w:t xml:space="preserve">pandemic </w:t>
      </w:r>
      <w:r w:rsidRPr="005171D2">
        <w:t>did not allow for the resolution of the concerns expressed by two</w:t>
      </w:r>
      <w:r w:rsidR="002169E8" w:rsidRPr="005171D2">
        <w:t> </w:t>
      </w:r>
      <w:r w:rsidRPr="005171D2">
        <w:t xml:space="preserve">other </w:t>
      </w:r>
      <w:r w:rsidR="002169E8" w:rsidRPr="005171D2">
        <w:t>M</w:t>
      </w:r>
      <w:r w:rsidRPr="005171D2">
        <w:t xml:space="preserve">embers. </w:t>
      </w:r>
      <w:proofErr w:type="gramStart"/>
      <w:r w:rsidRPr="005171D2">
        <w:t>In light of</w:t>
      </w:r>
      <w:proofErr w:type="gramEnd"/>
      <w:r w:rsidRPr="005171D2">
        <w:t xml:space="preserve"> the stability of the text, the proponents </w:t>
      </w:r>
      <w:r w:rsidR="002169E8" w:rsidRPr="005171D2">
        <w:t>wished</w:t>
      </w:r>
      <w:r w:rsidRPr="005171D2">
        <w:t xml:space="preserve"> Members to reconsider the proposal for adoption.</w:t>
      </w:r>
    </w:p>
    <w:p w14:paraId="33B27F5D" w14:textId="7E570D92" w:rsidR="00E4265B" w:rsidRPr="005171D2" w:rsidRDefault="00E4265B" w:rsidP="00E4265B">
      <w:pPr>
        <w:pStyle w:val="BodyText"/>
      </w:pPr>
      <w:r w:rsidRPr="005171D2">
        <w:t xml:space="preserve">The representative of </w:t>
      </w:r>
      <w:r w:rsidRPr="005171D2">
        <w:rPr>
          <w:u w:val="single"/>
        </w:rPr>
        <w:t>Indonesia</w:t>
      </w:r>
      <w:r w:rsidRPr="005171D2">
        <w:t xml:space="preserve"> thanked the Swiss delegation for the consultations on the proposal. Following </w:t>
      </w:r>
      <w:r w:rsidR="00EB6CF1" w:rsidRPr="005171D2">
        <w:t xml:space="preserve">Indonesia's own </w:t>
      </w:r>
      <w:r w:rsidRPr="005171D2">
        <w:t xml:space="preserve">domestic consultations, he reported that his government was of the view that the proposal served </w:t>
      </w:r>
      <w:r w:rsidR="00BD62E7" w:rsidRPr="005171D2">
        <w:t>a</w:t>
      </w:r>
      <w:r w:rsidRPr="005171D2">
        <w:t xml:space="preserve"> positive purpose</w:t>
      </w:r>
      <w:r w:rsidR="00EB6CF1" w:rsidRPr="005171D2">
        <w:t xml:space="preserve">, </w:t>
      </w:r>
      <w:r w:rsidR="001D65F3" w:rsidRPr="005171D2">
        <w:t>namely,</w:t>
      </w:r>
      <w:r w:rsidRPr="005171D2">
        <w:t xml:space="preserve"> to increase transparency in this area. Nevertheless, any proposal setting up new notification obligations should be practicable and not create additional burdensome measures for Members, especially for developing and LDC</w:t>
      </w:r>
      <w:r w:rsidR="00182A33" w:rsidRPr="005171D2">
        <w:t> </w:t>
      </w:r>
      <w:r w:rsidRPr="005171D2">
        <w:t>Members. In this context, paragraph</w:t>
      </w:r>
      <w:r w:rsidR="00182A33" w:rsidRPr="005171D2">
        <w:t> </w:t>
      </w:r>
      <w:r w:rsidRPr="005171D2">
        <w:t>7 of the draft proposal had the potential to create</w:t>
      </w:r>
      <w:r w:rsidR="00D24899" w:rsidRPr="005171D2">
        <w:t xml:space="preserve"> an</w:t>
      </w:r>
      <w:r w:rsidRPr="005171D2">
        <w:t xml:space="preserve"> additional burden: it required Members to provide legal references, websites, explanatory documents, and any other documents, in an official WTO</w:t>
      </w:r>
      <w:r w:rsidR="00182A33" w:rsidRPr="005171D2">
        <w:t> </w:t>
      </w:r>
      <w:r w:rsidRPr="005171D2">
        <w:t>language. For Indonesia, whose national language was not English, Spanish</w:t>
      </w:r>
      <w:r w:rsidR="00EB6CF1" w:rsidRPr="005171D2">
        <w:t>,</w:t>
      </w:r>
      <w:r w:rsidRPr="005171D2">
        <w:t xml:space="preserve"> or French, fulfilling this obligation could constitute a challenge. Moreover, his delegation welcomed a clarification </w:t>
      </w:r>
      <w:r w:rsidR="00BD62E7" w:rsidRPr="005171D2">
        <w:t>about</w:t>
      </w:r>
      <w:r w:rsidRPr="005171D2">
        <w:t xml:space="preserve"> the precise scope of the wording "any other documents" under the same paragraph. To move forward with this proposal, his delegation </w:t>
      </w:r>
      <w:r w:rsidR="00EB6CF1" w:rsidRPr="005171D2">
        <w:t xml:space="preserve">suggested that </w:t>
      </w:r>
      <w:r w:rsidRPr="005171D2">
        <w:t xml:space="preserve">the </w:t>
      </w:r>
      <w:r w:rsidR="00EB6CF1" w:rsidRPr="005171D2">
        <w:t xml:space="preserve">words </w:t>
      </w:r>
      <w:r w:rsidRPr="005171D2">
        <w:t xml:space="preserve">"shall endeavour" </w:t>
      </w:r>
      <w:r w:rsidR="00EB6CF1" w:rsidRPr="005171D2">
        <w:t xml:space="preserve">be replaced by </w:t>
      </w:r>
      <w:r w:rsidRPr="005171D2">
        <w:t xml:space="preserve">"are encouraged to". In addition, he reported that his delegation was flexible with the current draft concerning advanced rulings and </w:t>
      </w:r>
      <w:r w:rsidR="00BD62E7" w:rsidRPr="005171D2">
        <w:t>did not have any</w:t>
      </w:r>
      <w:r w:rsidRPr="005171D2">
        <w:t xml:space="preserve"> reservations on this provision. He hoped that the proponents could accept the pragmatic approach </w:t>
      </w:r>
      <w:r w:rsidR="00282C65" w:rsidRPr="005171D2">
        <w:t xml:space="preserve">preferred </w:t>
      </w:r>
      <w:r w:rsidRPr="005171D2">
        <w:t>by his delegation.</w:t>
      </w:r>
    </w:p>
    <w:p w14:paraId="61CCE894" w14:textId="19412558" w:rsidR="00E4265B" w:rsidRPr="005171D2" w:rsidRDefault="00E4265B" w:rsidP="00E4265B">
      <w:pPr>
        <w:pStyle w:val="BodyText"/>
      </w:pPr>
      <w:r w:rsidRPr="005171D2">
        <w:t xml:space="preserve">The representative of </w:t>
      </w:r>
      <w:r w:rsidRPr="005171D2">
        <w:rPr>
          <w:u w:val="single"/>
        </w:rPr>
        <w:t>Chinese Taipei</w:t>
      </w:r>
      <w:r w:rsidRPr="005171D2">
        <w:t xml:space="preserve"> reiterated her delegation</w:t>
      </w:r>
      <w:r w:rsidR="00BD62E7" w:rsidRPr="005171D2">
        <w:t>'s</w:t>
      </w:r>
      <w:r w:rsidRPr="005171D2">
        <w:t xml:space="preserve"> support for the proposal and highlighted that notifications were the backbone of the work of the CRO. Updated and comprehensive notification</w:t>
      </w:r>
      <w:r w:rsidR="00BD62E7" w:rsidRPr="005171D2">
        <w:t>s</w:t>
      </w:r>
      <w:r w:rsidRPr="005171D2">
        <w:t xml:space="preserve"> by Members would ensure that traders could access the relevant information to arrange their shipments in advance. He therefore encouraged Members to seriously consider the proposal.</w:t>
      </w:r>
    </w:p>
    <w:p w14:paraId="0D034EC9" w14:textId="34CB7091" w:rsidR="00E4265B" w:rsidRPr="005171D2" w:rsidRDefault="00E4265B" w:rsidP="00E4265B">
      <w:pPr>
        <w:pStyle w:val="BodyText"/>
      </w:pPr>
      <w:r w:rsidRPr="005171D2">
        <w:t xml:space="preserve">The representative of the </w:t>
      </w:r>
      <w:r w:rsidRPr="005171D2">
        <w:rPr>
          <w:u w:val="single"/>
        </w:rPr>
        <w:t>United Kingdom</w:t>
      </w:r>
      <w:r w:rsidRPr="005171D2">
        <w:t xml:space="preserve"> agreed with the value and importance of transparency </w:t>
      </w:r>
      <w:r w:rsidR="00BD62E7" w:rsidRPr="005171D2">
        <w:t xml:space="preserve">on </w:t>
      </w:r>
      <w:r w:rsidRPr="005171D2">
        <w:t>non</w:t>
      </w:r>
      <w:r w:rsidR="00C85E08" w:rsidRPr="005171D2">
        <w:noBreakHyphen/>
      </w:r>
      <w:r w:rsidRPr="005171D2">
        <w:t>preferential rules of origin. Increased transparency helped to keep costs down</w:t>
      </w:r>
      <w:r w:rsidR="00BD62E7" w:rsidRPr="005171D2">
        <w:t xml:space="preserve"> a</w:t>
      </w:r>
      <w:r w:rsidRPr="005171D2">
        <w:t xml:space="preserve">nd simplify red tape for all global businesses. His delegation agreed with the co-sponsors, and other Members </w:t>
      </w:r>
      <w:r w:rsidR="005E515C" w:rsidRPr="005171D2">
        <w:t xml:space="preserve">that </w:t>
      </w:r>
      <w:r w:rsidRPr="005171D2">
        <w:t xml:space="preserve">had expressed an interest in improving the current practice around these notifications. Consequently, his delegation supported this proposal and would co-sponsor it. He said that, from </w:t>
      </w:r>
      <w:r w:rsidRPr="005171D2">
        <w:lastRenderedPageBreak/>
        <w:t>the perspective of a Member that was preparing to make its notifications for the first</w:t>
      </w:r>
      <w:r w:rsidR="005E515C" w:rsidRPr="005171D2">
        <w:t> </w:t>
      </w:r>
      <w:r w:rsidRPr="005171D2">
        <w:t xml:space="preserve">time following the end of the transition period between the UK and EU, his government had found this template useful. If provided clarity, had helped to streamline internal processes, and would help </w:t>
      </w:r>
      <w:r w:rsidR="005E515C" w:rsidRPr="005171D2">
        <w:t xml:space="preserve">to </w:t>
      </w:r>
      <w:r w:rsidRPr="005171D2">
        <w:t xml:space="preserve">ensure that complete and accurate information would be notified. In fact, it was the UK's intention to use the </w:t>
      </w:r>
      <w:r w:rsidR="00BD62E7" w:rsidRPr="005171D2">
        <w:t xml:space="preserve">proposed </w:t>
      </w:r>
      <w:r w:rsidRPr="005171D2">
        <w:t xml:space="preserve">template to notify </w:t>
      </w:r>
      <w:r w:rsidR="00BD62E7" w:rsidRPr="005171D2">
        <w:t xml:space="preserve">its </w:t>
      </w:r>
      <w:r w:rsidRPr="005171D2">
        <w:t>non-preferential rules of origin.</w:t>
      </w:r>
    </w:p>
    <w:p w14:paraId="52F22067" w14:textId="4BE2C6D8" w:rsidR="00E4265B" w:rsidRPr="005171D2" w:rsidRDefault="00E4265B" w:rsidP="00E4265B">
      <w:pPr>
        <w:pStyle w:val="BodyText"/>
      </w:pPr>
      <w:r w:rsidRPr="005171D2">
        <w:t xml:space="preserve">The representative of </w:t>
      </w:r>
      <w:r w:rsidRPr="005171D2">
        <w:rPr>
          <w:u w:val="single"/>
        </w:rPr>
        <w:t>Hong Kong, China</w:t>
      </w:r>
      <w:r w:rsidRPr="005171D2">
        <w:t xml:space="preserve"> reminded Members that, according to the Secretariat's records, only 51</w:t>
      </w:r>
      <w:r w:rsidR="00182A33" w:rsidRPr="005171D2">
        <w:t> </w:t>
      </w:r>
      <w:r w:rsidRPr="005171D2">
        <w:t xml:space="preserve">Members applied non-preferential rules of origin </w:t>
      </w:r>
      <w:r w:rsidR="00BD62E7" w:rsidRPr="005171D2">
        <w:t xml:space="preserve">and </w:t>
      </w:r>
      <w:r w:rsidRPr="005171D2">
        <w:t>would need to report</w:t>
      </w:r>
      <w:r w:rsidR="00BD62E7" w:rsidRPr="005171D2">
        <w:t xml:space="preserve"> them</w:t>
      </w:r>
      <w:r w:rsidRPr="005171D2">
        <w:t xml:space="preserve"> under this proposed template. The </w:t>
      </w:r>
      <w:r w:rsidR="005E515C" w:rsidRPr="005171D2">
        <w:t xml:space="preserve">remaining </w:t>
      </w:r>
      <w:r w:rsidRPr="005171D2">
        <w:t>60</w:t>
      </w:r>
      <w:r w:rsidR="00182A33" w:rsidRPr="005171D2">
        <w:t> </w:t>
      </w:r>
      <w:r w:rsidRPr="005171D2">
        <w:t>Members did not maintain any rules of this type and could hence notify their practices very simpl</w:t>
      </w:r>
      <w:r w:rsidR="00BD62E7" w:rsidRPr="005171D2">
        <w:t>y</w:t>
      </w:r>
      <w:r w:rsidRPr="005171D2">
        <w:t xml:space="preserve">. She also </w:t>
      </w:r>
      <w:r w:rsidR="005E515C" w:rsidRPr="005171D2">
        <w:t xml:space="preserve">emphasized </w:t>
      </w:r>
      <w:r w:rsidRPr="005171D2">
        <w:t>that a notification obligation already exist</w:t>
      </w:r>
      <w:r w:rsidR="00BD62E7" w:rsidRPr="005171D2">
        <w:t>ed</w:t>
      </w:r>
      <w:r w:rsidRPr="005171D2">
        <w:t>. The proposed template would facilitate the presentation of information in a clear and user-friendly manner and would make it possible to search non</w:t>
      </w:r>
      <w:r w:rsidR="005E515C" w:rsidRPr="005171D2">
        <w:noBreakHyphen/>
      </w:r>
      <w:r w:rsidRPr="005171D2">
        <w:t xml:space="preserve">preferential rules of origin on the Origin Facilitator. She thought the template was easy to use and would not require more than a few minutes or a few days to complete depending on Members' practices. For this reason, the benefits of the template outweighed any possible administrative burden. Her delegation encouraged Members to see this template as a tool to significantly enhance </w:t>
      </w:r>
      <w:r w:rsidR="005E515C" w:rsidRPr="005171D2">
        <w:t xml:space="preserve">the </w:t>
      </w:r>
      <w:r w:rsidRPr="005171D2">
        <w:t>transparency of origin requirements, hence creating new opportunities for traders in global markets</w:t>
      </w:r>
      <w:r w:rsidR="005E515C" w:rsidRPr="005171D2">
        <w:t>,</w:t>
      </w:r>
      <w:r w:rsidRPr="005171D2">
        <w:t xml:space="preserve"> and helping them </w:t>
      </w:r>
      <w:r w:rsidR="005E515C" w:rsidRPr="005171D2">
        <w:t xml:space="preserve">to </w:t>
      </w:r>
      <w:r w:rsidRPr="005171D2">
        <w:t>recover from the pandemic. She thanked the delegation of Indonesia for its suggestion on the text and looked forward to working with Members to resolve any remaining concerns.</w:t>
      </w:r>
    </w:p>
    <w:p w14:paraId="2DD1EFC7" w14:textId="6BB57A82" w:rsidR="00E4265B" w:rsidRPr="005171D2" w:rsidRDefault="00E4265B" w:rsidP="00E4265B">
      <w:pPr>
        <w:pStyle w:val="BodyText"/>
      </w:pPr>
      <w:r w:rsidRPr="005171D2">
        <w:t xml:space="preserve">The representative of </w:t>
      </w:r>
      <w:r w:rsidRPr="005171D2">
        <w:rPr>
          <w:u w:val="single"/>
        </w:rPr>
        <w:t>Ecuador</w:t>
      </w:r>
      <w:r w:rsidRPr="005171D2">
        <w:t xml:space="preserve"> said that his delegation had </w:t>
      </w:r>
      <w:r w:rsidR="003464A3" w:rsidRPr="005171D2">
        <w:t xml:space="preserve">certain </w:t>
      </w:r>
      <w:r w:rsidRPr="005171D2">
        <w:t>reservations regarding this proposal. The requirements of paragraphs</w:t>
      </w:r>
      <w:r w:rsidR="00182A33" w:rsidRPr="005171D2">
        <w:t> </w:t>
      </w:r>
      <w:r w:rsidRPr="005171D2">
        <w:t xml:space="preserve">4 and 8 would, he said, create transparency obligations </w:t>
      </w:r>
      <w:r w:rsidR="003464A3" w:rsidRPr="005171D2">
        <w:t xml:space="preserve">that </w:t>
      </w:r>
      <w:r w:rsidRPr="005171D2">
        <w:t>currently did not exist in the Agreement on Rules of Origin. In this regard, his delegation considered that the use of Annex</w:t>
      </w:r>
      <w:r w:rsidR="00182A33" w:rsidRPr="005171D2">
        <w:t> </w:t>
      </w:r>
      <w:r w:rsidRPr="005171D2">
        <w:t>II of the draft decision should be voluntary.</w:t>
      </w:r>
    </w:p>
    <w:p w14:paraId="69E86F65" w14:textId="1F536185" w:rsidR="00E4265B" w:rsidRPr="005171D2" w:rsidRDefault="00E4265B" w:rsidP="00E4265B">
      <w:pPr>
        <w:pStyle w:val="BodyText"/>
      </w:pPr>
      <w:r w:rsidRPr="005171D2">
        <w:t xml:space="preserve">The representative of the </w:t>
      </w:r>
      <w:r w:rsidRPr="005171D2">
        <w:rPr>
          <w:u w:val="single"/>
        </w:rPr>
        <w:t>European Union</w:t>
      </w:r>
      <w:r w:rsidRPr="005171D2">
        <w:t xml:space="preserve"> confirmed that the EU supported the draft as it stood. At the same time, the EU wished to promote transparency in all areas where non</w:t>
      </w:r>
      <w:r w:rsidR="003464A3" w:rsidRPr="005171D2">
        <w:noBreakHyphen/>
      </w:r>
      <w:r w:rsidRPr="005171D2">
        <w:t xml:space="preserve">preferential rules of origin were used. Hence the EU believed that the notifications should not be limited to the </w:t>
      </w:r>
      <w:r w:rsidR="00BD62E7" w:rsidRPr="005171D2">
        <w:t xml:space="preserve">rules used for the </w:t>
      </w:r>
      <w:r w:rsidRPr="005171D2">
        <w:t>application of MFN</w:t>
      </w:r>
      <w:r w:rsidR="00182A33" w:rsidRPr="005171D2">
        <w:t> </w:t>
      </w:r>
      <w:r w:rsidRPr="005171D2">
        <w:t xml:space="preserve">duties only, as was the case under the draft proposal, </w:t>
      </w:r>
      <w:r w:rsidR="00BD62E7" w:rsidRPr="005171D2">
        <w:t>but</w:t>
      </w:r>
      <w:r w:rsidRPr="005171D2">
        <w:t xml:space="preserve"> should </w:t>
      </w:r>
      <w:r w:rsidR="00267D7B" w:rsidRPr="005171D2">
        <w:t xml:space="preserve">also </w:t>
      </w:r>
      <w:r w:rsidRPr="005171D2">
        <w:t xml:space="preserve">cover other </w:t>
      </w:r>
      <w:r w:rsidR="00267D7B" w:rsidRPr="005171D2">
        <w:t xml:space="preserve">rules </w:t>
      </w:r>
      <w:r w:rsidR="00BD62E7" w:rsidRPr="005171D2">
        <w:t xml:space="preserve">of non-preferential </w:t>
      </w:r>
      <w:r w:rsidRPr="005171D2">
        <w:t>applications of origin</w:t>
      </w:r>
      <w:r w:rsidR="00BD62E7" w:rsidRPr="005171D2">
        <w:t>, for which</w:t>
      </w:r>
      <w:r w:rsidRPr="005171D2">
        <w:t xml:space="preserve"> the stakes for businesses were much higher.</w:t>
      </w:r>
    </w:p>
    <w:p w14:paraId="1506682F" w14:textId="18FA644F" w:rsidR="00E4265B" w:rsidRPr="005171D2" w:rsidRDefault="00E4265B" w:rsidP="00E4265B">
      <w:pPr>
        <w:pStyle w:val="BodyText"/>
      </w:pPr>
      <w:r w:rsidRPr="005171D2">
        <w:t xml:space="preserve">The representative of </w:t>
      </w:r>
      <w:r w:rsidRPr="005171D2">
        <w:rPr>
          <w:u w:val="single"/>
        </w:rPr>
        <w:t>Japan</w:t>
      </w:r>
      <w:r w:rsidRPr="005171D2">
        <w:t xml:space="preserve"> said that his delegation supported the adoption of this proposal by the Committee.</w:t>
      </w:r>
    </w:p>
    <w:p w14:paraId="31D79B88" w14:textId="576DACBA" w:rsidR="00E4265B" w:rsidRPr="005171D2" w:rsidRDefault="00E4265B" w:rsidP="00E4265B">
      <w:pPr>
        <w:pStyle w:val="BodyText"/>
      </w:pPr>
      <w:r w:rsidRPr="005171D2">
        <w:t xml:space="preserve">The representative of </w:t>
      </w:r>
      <w:r w:rsidRPr="005171D2">
        <w:rPr>
          <w:u w:val="single"/>
        </w:rPr>
        <w:t>Turkey</w:t>
      </w:r>
      <w:r w:rsidRPr="005171D2">
        <w:t xml:space="preserve"> said that her delegation supported transparency efforts in the WTO and believed that this proposal would provide a meaningful contribution </w:t>
      </w:r>
      <w:r w:rsidR="00971F35" w:rsidRPr="005171D2">
        <w:t xml:space="preserve">to </w:t>
      </w:r>
      <w:r w:rsidR="00BD62E7" w:rsidRPr="005171D2">
        <w:t xml:space="preserve">the </w:t>
      </w:r>
      <w:r w:rsidRPr="005171D2">
        <w:t>collection of much needed, structured data in the area of non</w:t>
      </w:r>
      <w:r w:rsidR="00620251" w:rsidRPr="005171D2">
        <w:noBreakHyphen/>
      </w:r>
      <w:r w:rsidRPr="005171D2">
        <w:t>preferential rules of origin, which covered a large segment of trade. This would translate into more transparency and predictability for traders, and thus facilitate market access, which was in the interest</w:t>
      </w:r>
      <w:r w:rsidR="00620251" w:rsidRPr="005171D2">
        <w:t>s</w:t>
      </w:r>
      <w:r w:rsidRPr="005171D2">
        <w:t xml:space="preserve"> of all Members.</w:t>
      </w:r>
    </w:p>
    <w:p w14:paraId="37767CAF" w14:textId="79C87D06" w:rsidR="00E4265B" w:rsidRPr="005171D2" w:rsidRDefault="00E4265B" w:rsidP="00E4265B">
      <w:pPr>
        <w:pStyle w:val="BodyText"/>
      </w:pPr>
      <w:r w:rsidRPr="005171D2">
        <w:t xml:space="preserve">The representative of </w:t>
      </w:r>
      <w:r w:rsidRPr="005171D2">
        <w:rPr>
          <w:u w:val="single"/>
        </w:rPr>
        <w:t>India</w:t>
      </w:r>
      <w:r w:rsidRPr="005171D2">
        <w:t xml:space="preserve"> reiterated the concerns that his delegation had </w:t>
      </w:r>
      <w:r w:rsidR="00620251" w:rsidRPr="005171D2">
        <w:t xml:space="preserve">already </w:t>
      </w:r>
      <w:r w:rsidRPr="005171D2">
        <w:t xml:space="preserve">raised in </w:t>
      </w:r>
      <w:r w:rsidR="00620251" w:rsidRPr="005171D2">
        <w:t xml:space="preserve">previous meetings of </w:t>
      </w:r>
      <w:r w:rsidRPr="005171D2">
        <w:t>the Committee. His delegation</w:t>
      </w:r>
      <w:r w:rsidR="00BD62E7" w:rsidRPr="005171D2">
        <w:t>'</w:t>
      </w:r>
      <w:r w:rsidRPr="005171D2">
        <w:t xml:space="preserve">s concerns were that the proposal introduced new notification obligations and that it lacked effective special and differential (S&amp;D) treatment for developing countries and LDCs. Moreover, introducing transparency obligations in this area did not match transparency obligations in other areas of interest to developing countries, particularly the LDCs. As a result, his delegation was not </w:t>
      </w:r>
      <w:proofErr w:type="gramStart"/>
      <w:r w:rsidRPr="005171D2">
        <w:t>in a position</w:t>
      </w:r>
      <w:proofErr w:type="gramEnd"/>
      <w:r w:rsidRPr="005171D2">
        <w:t xml:space="preserve"> to support the adoption of this draft decision.</w:t>
      </w:r>
    </w:p>
    <w:p w14:paraId="579A1BF7" w14:textId="5473CC6B" w:rsidR="00E4265B" w:rsidRPr="005171D2" w:rsidRDefault="00E4265B" w:rsidP="00E4265B">
      <w:pPr>
        <w:pStyle w:val="BodyText"/>
      </w:pPr>
      <w:r w:rsidRPr="005171D2">
        <w:t xml:space="preserve">The representative of </w:t>
      </w:r>
      <w:r w:rsidRPr="005171D2">
        <w:rPr>
          <w:u w:val="single"/>
        </w:rPr>
        <w:t>Canada</w:t>
      </w:r>
      <w:r w:rsidRPr="005171D2">
        <w:t xml:space="preserve"> reiterated his </w:t>
      </w:r>
      <w:r w:rsidR="00BD62E7" w:rsidRPr="005171D2">
        <w:t xml:space="preserve">delegation's </w:t>
      </w:r>
      <w:r w:rsidRPr="005171D2">
        <w:t xml:space="preserve">support for this initiative and </w:t>
      </w:r>
      <w:r w:rsidR="00620251" w:rsidRPr="005171D2">
        <w:t xml:space="preserve">its </w:t>
      </w:r>
      <w:r w:rsidRPr="005171D2">
        <w:t>willingness to engage with Members to try to find a solution so it could be adopted.</w:t>
      </w:r>
    </w:p>
    <w:p w14:paraId="39623F58" w14:textId="4DE370A7" w:rsidR="00E4265B" w:rsidRPr="005171D2" w:rsidRDefault="00E4265B" w:rsidP="00F54014">
      <w:pPr>
        <w:pStyle w:val="BodyText"/>
      </w:pPr>
      <w:r w:rsidRPr="005171D2">
        <w:t xml:space="preserve">The representative of </w:t>
      </w:r>
      <w:r w:rsidRPr="005171D2">
        <w:rPr>
          <w:u w:val="single"/>
        </w:rPr>
        <w:t>Switzerland</w:t>
      </w:r>
      <w:r w:rsidRPr="005171D2">
        <w:t xml:space="preserve"> thanked all delegations for their interventions and their support. </w:t>
      </w:r>
      <w:r w:rsidR="005216C7" w:rsidRPr="005171D2">
        <w:t>In</w:t>
      </w:r>
      <w:r w:rsidRPr="005171D2">
        <w:t xml:space="preserve"> particular</w:t>
      </w:r>
      <w:r w:rsidR="005216C7" w:rsidRPr="005171D2">
        <w:t>, he thanked</w:t>
      </w:r>
      <w:r w:rsidRPr="005171D2">
        <w:t xml:space="preserve"> the delegations of Ecuador</w:t>
      </w:r>
      <w:r w:rsidR="005216C7" w:rsidRPr="005171D2">
        <w:t xml:space="preserve">, </w:t>
      </w:r>
      <w:r w:rsidRPr="005171D2">
        <w:t>Indonesia</w:t>
      </w:r>
      <w:r w:rsidR="005216C7" w:rsidRPr="005171D2">
        <w:t xml:space="preserve">, </w:t>
      </w:r>
      <w:r w:rsidRPr="005171D2">
        <w:t>and India for explicitly raising their concerns</w:t>
      </w:r>
      <w:r w:rsidR="002F3273" w:rsidRPr="005171D2">
        <w:t>. He thought that</w:t>
      </w:r>
      <w:r w:rsidRPr="005171D2">
        <w:t xml:space="preserve"> this facilitated finding common ground on this proposal. He</w:t>
      </w:r>
      <w:r w:rsidR="001D65F3">
        <w:t> </w:t>
      </w:r>
      <w:r w:rsidRPr="005171D2">
        <w:t xml:space="preserve">clarified that the proposal dealt with how to submit information to the Secretariat, not what to submit. He said that the scope of the notification was already </w:t>
      </w:r>
      <w:r w:rsidR="002F3273" w:rsidRPr="005171D2">
        <w:t>defined</w:t>
      </w:r>
      <w:r w:rsidRPr="005171D2">
        <w:t xml:space="preserve"> </w:t>
      </w:r>
      <w:r w:rsidR="002F3273" w:rsidRPr="005171D2">
        <w:t>by</w:t>
      </w:r>
      <w:r w:rsidRPr="005171D2">
        <w:t xml:space="preserve"> Article</w:t>
      </w:r>
      <w:r w:rsidR="00182A33" w:rsidRPr="005171D2">
        <w:t> </w:t>
      </w:r>
      <w:r w:rsidRPr="005171D2">
        <w:t>5 of the Agreement. The template only clarified how to structure notifications and addressed information gaps in a very pragmatic manner</w:t>
      </w:r>
      <w:r w:rsidR="002F3273" w:rsidRPr="005171D2">
        <w:t>,</w:t>
      </w:r>
      <w:r w:rsidRPr="005171D2">
        <w:t xml:space="preserve"> as </w:t>
      </w:r>
      <w:r w:rsidR="002F3273" w:rsidRPr="005171D2">
        <w:t xml:space="preserve">most </w:t>
      </w:r>
      <w:r w:rsidRPr="005171D2">
        <w:t xml:space="preserve">Members </w:t>
      </w:r>
      <w:r w:rsidR="002F3273" w:rsidRPr="005171D2">
        <w:t xml:space="preserve">had </w:t>
      </w:r>
      <w:r w:rsidR="005216C7" w:rsidRPr="005171D2">
        <w:t>recognized</w:t>
      </w:r>
      <w:r w:rsidRPr="005171D2">
        <w:t>. The only additional or new obligation was contained in paragraph</w:t>
      </w:r>
      <w:r w:rsidR="00182A33" w:rsidRPr="005171D2">
        <w:t> </w:t>
      </w:r>
      <w:r w:rsidRPr="005171D2">
        <w:t xml:space="preserve">8, which required that Members update their notification </w:t>
      </w:r>
      <w:r w:rsidR="005216C7" w:rsidRPr="005171D2">
        <w:t>when</w:t>
      </w:r>
      <w:r w:rsidRPr="005171D2">
        <w:t xml:space="preserve"> substantive changes were made to their rules of origin. The Agreement required the publication, but not the notification, of such changes. All other aspects of the proposed notification template were already </w:t>
      </w:r>
      <w:r w:rsidRPr="005171D2">
        <w:lastRenderedPageBreak/>
        <w:t xml:space="preserve">contained in the Agreement. </w:t>
      </w:r>
      <w:r w:rsidR="002F3273" w:rsidRPr="005171D2">
        <w:t>H</w:t>
      </w:r>
      <w:r w:rsidRPr="005171D2">
        <w:t>e</w:t>
      </w:r>
      <w:r w:rsidR="002F3273" w:rsidRPr="005171D2">
        <w:t xml:space="preserve"> also</w:t>
      </w:r>
      <w:r w:rsidRPr="005171D2">
        <w:t xml:space="preserve"> welcomed the UK's statement about using the template.</w:t>
      </w:r>
      <w:r w:rsidR="002F3273" w:rsidRPr="005171D2">
        <w:t xml:space="preserve"> </w:t>
      </w:r>
      <w:r w:rsidRPr="005171D2">
        <w:t xml:space="preserve">In relation to the concerns raised by Indonesia, he believed a solution could be found </w:t>
      </w:r>
      <w:proofErr w:type="gramStart"/>
      <w:r w:rsidRPr="005171D2">
        <w:t>in order to</w:t>
      </w:r>
      <w:proofErr w:type="gramEnd"/>
      <w:r w:rsidRPr="005171D2">
        <w:t xml:space="preserve"> avoid overburdening Members for whom the</w:t>
      </w:r>
      <w:r w:rsidR="005216C7" w:rsidRPr="005171D2">
        <w:t>ir</w:t>
      </w:r>
      <w:r w:rsidRPr="005171D2">
        <w:t xml:space="preserve"> official language was not a WTO</w:t>
      </w:r>
      <w:r w:rsidR="00182A33" w:rsidRPr="005171D2">
        <w:t> </w:t>
      </w:r>
      <w:r w:rsidRPr="005171D2">
        <w:t xml:space="preserve">language. He said that the template had been designed to minimize any administrative burden, </w:t>
      </w:r>
      <w:proofErr w:type="gramStart"/>
      <w:r w:rsidRPr="005171D2">
        <w:t xml:space="preserve">in particular </w:t>
      </w:r>
      <w:r w:rsidR="005216C7" w:rsidRPr="005171D2">
        <w:t>by</w:t>
      </w:r>
      <w:proofErr w:type="gramEnd"/>
      <w:r w:rsidR="005216C7" w:rsidRPr="005171D2">
        <w:t xml:space="preserve"> </w:t>
      </w:r>
      <w:r w:rsidRPr="005171D2">
        <w:t xml:space="preserve">allowing many Members to report information </w:t>
      </w:r>
      <w:r w:rsidR="002F3273" w:rsidRPr="005171D2">
        <w:t>by</w:t>
      </w:r>
      <w:r w:rsidRPr="005171D2">
        <w:t xml:space="preserve"> simply ticking a few boxes. In relation to the concerns raised by India, he </w:t>
      </w:r>
      <w:r w:rsidR="005216C7" w:rsidRPr="005171D2">
        <w:t>asked if</w:t>
      </w:r>
      <w:r w:rsidRPr="005171D2">
        <w:t xml:space="preserve"> India could elaborate on and substantiate its need for </w:t>
      </w:r>
      <w:r w:rsidR="00D600D2" w:rsidRPr="005171D2">
        <w:t>S&amp;D</w:t>
      </w:r>
      <w:r w:rsidR="005216C7" w:rsidRPr="005171D2">
        <w:t> </w:t>
      </w:r>
      <w:r w:rsidRPr="005171D2">
        <w:t>treatment</w:t>
      </w:r>
      <w:r w:rsidR="005216C7" w:rsidRPr="005171D2">
        <w:t>, because only then</w:t>
      </w:r>
      <w:r w:rsidRPr="005171D2">
        <w:t xml:space="preserve"> could a constructive dialogue take place to design specific solutions</w:t>
      </w:r>
      <w:r w:rsidR="002F3273" w:rsidRPr="005171D2">
        <w:t xml:space="preserve"> </w:t>
      </w:r>
      <w:r w:rsidR="005216C7" w:rsidRPr="005171D2">
        <w:t xml:space="preserve">to </w:t>
      </w:r>
      <w:r w:rsidR="002F3273" w:rsidRPr="005171D2">
        <w:t>solve specific challenges</w:t>
      </w:r>
      <w:r w:rsidRPr="005171D2">
        <w:t xml:space="preserve">. </w:t>
      </w:r>
      <w:r w:rsidR="005216C7" w:rsidRPr="005171D2">
        <w:t xml:space="preserve">Indeed, this </w:t>
      </w:r>
      <w:r w:rsidRPr="005171D2">
        <w:t xml:space="preserve">was the approach </w:t>
      </w:r>
      <w:r w:rsidR="005216C7" w:rsidRPr="005171D2">
        <w:t xml:space="preserve">that </w:t>
      </w:r>
      <w:r w:rsidRPr="005171D2">
        <w:t xml:space="preserve">had led to the revisions </w:t>
      </w:r>
      <w:r w:rsidR="005216C7" w:rsidRPr="005171D2">
        <w:t xml:space="preserve">in </w:t>
      </w:r>
      <w:r w:rsidRPr="005171D2">
        <w:t xml:space="preserve">the </w:t>
      </w:r>
      <w:r w:rsidR="005216C7" w:rsidRPr="005171D2">
        <w:t xml:space="preserve">current </w:t>
      </w:r>
      <w:r w:rsidRPr="005171D2">
        <w:t>proposal. India did not apply non</w:t>
      </w:r>
      <w:r w:rsidR="005216C7" w:rsidRPr="005171D2">
        <w:noBreakHyphen/>
      </w:r>
      <w:r w:rsidRPr="005171D2">
        <w:t xml:space="preserve">preferential rules of origin and did not require a mandatory certificate of origin. As a result, reporting this information with the template would be extremely simple for the Indian delegation. If this was indeed the case, he wondered </w:t>
      </w:r>
      <w:r w:rsidR="005216C7" w:rsidRPr="005171D2">
        <w:t xml:space="preserve">what </w:t>
      </w:r>
      <w:r w:rsidRPr="005171D2">
        <w:t xml:space="preserve">specific difficulties would be </w:t>
      </w:r>
      <w:r w:rsidR="005216C7" w:rsidRPr="005171D2">
        <w:t>re</w:t>
      </w:r>
      <w:r w:rsidRPr="005171D2">
        <w:t>solved by additional S&amp;D</w:t>
      </w:r>
      <w:r w:rsidR="0053747C" w:rsidRPr="005171D2">
        <w:t> </w:t>
      </w:r>
      <w:r w:rsidRPr="005171D2">
        <w:t>provisions. The adoption of this template, he concluded, would allow Members to access product</w:t>
      </w:r>
      <w:r w:rsidR="005216C7" w:rsidRPr="005171D2">
        <w:noBreakHyphen/>
      </w:r>
      <w:r w:rsidRPr="005171D2">
        <w:t xml:space="preserve">specific requirements using the Origin Facilitator, making it a truly comprehensive tool. </w:t>
      </w:r>
      <w:proofErr w:type="gramStart"/>
      <w:r w:rsidRPr="005171D2">
        <w:t>In order to</w:t>
      </w:r>
      <w:proofErr w:type="gramEnd"/>
      <w:r w:rsidRPr="005171D2">
        <w:t xml:space="preserve"> </w:t>
      </w:r>
      <w:r w:rsidR="005216C7" w:rsidRPr="005171D2">
        <w:t xml:space="preserve">address </w:t>
      </w:r>
      <w:r w:rsidRPr="005171D2">
        <w:t xml:space="preserve">the remaining concerns, he </w:t>
      </w:r>
      <w:r w:rsidR="005216C7" w:rsidRPr="005171D2">
        <w:t xml:space="preserve">requested </w:t>
      </w:r>
      <w:r w:rsidRPr="005171D2">
        <w:t>the Chairperson, with the help of the Secretariat or a facilitator, to establish a small group to finalize the proposal with a view to it</w:t>
      </w:r>
      <w:r w:rsidR="005216C7" w:rsidRPr="005171D2">
        <w:t>s adoption</w:t>
      </w:r>
      <w:r w:rsidRPr="005171D2">
        <w:t>.</w:t>
      </w:r>
    </w:p>
    <w:p w14:paraId="0924E744" w14:textId="26A5AB13" w:rsidR="00E4265B" w:rsidRPr="005171D2" w:rsidRDefault="00E4265B" w:rsidP="00E4265B">
      <w:pPr>
        <w:pStyle w:val="BodyText"/>
      </w:pPr>
      <w:r w:rsidRPr="005171D2">
        <w:t xml:space="preserve">The </w:t>
      </w:r>
      <w:r w:rsidRPr="005171D2">
        <w:rPr>
          <w:u w:val="single"/>
        </w:rPr>
        <w:t>Chairperson</w:t>
      </w:r>
      <w:r w:rsidRPr="005171D2">
        <w:t xml:space="preserve"> thanked Switzerland for the suggested next steps. Before concluding, he called on those Members </w:t>
      </w:r>
      <w:r w:rsidR="005216C7" w:rsidRPr="005171D2">
        <w:t xml:space="preserve">that </w:t>
      </w:r>
      <w:r w:rsidRPr="005171D2">
        <w:t xml:space="preserve">had expressed concerns </w:t>
      </w:r>
      <w:r w:rsidR="005216C7" w:rsidRPr="005171D2">
        <w:t xml:space="preserve">over </w:t>
      </w:r>
      <w:r w:rsidRPr="005171D2">
        <w:t xml:space="preserve">the proposal to elaborate </w:t>
      </w:r>
      <w:r w:rsidR="005216C7" w:rsidRPr="005171D2">
        <w:t xml:space="preserve">on them </w:t>
      </w:r>
      <w:r w:rsidRPr="005171D2">
        <w:t>further and</w:t>
      </w:r>
      <w:proofErr w:type="gramStart"/>
      <w:r w:rsidRPr="005171D2">
        <w:t>, in particular, to</w:t>
      </w:r>
      <w:proofErr w:type="gramEnd"/>
      <w:r w:rsidRPr="005171D2">
        <w:t xml:space="preserve"> suggest specific changes to the text </w:t>
      </w:r>
      <w:r w:rsidR="004B5329" w:rsidRPr="005171D2">
        <w:t xml:space="preserve">that </w:t>
      </w:r>
      <w:r w:rsidRPr="005171D2">
        <w:t xml:space="preserve">could address </w:t>
      </w:r>
      <w:r w:rsidR="004B5329" w:rsidRPr="005171D2">
        <w:t>those concerns</w:t>
      </w:r>
      <w:r w:rsidRPr="005171D2">
        <w:t>.</w:t>
      </w:r>
    </w:p>
    <w:p w14:paraId="327B9A76" w14:textId="7D793BC6" w:rsidR="00047F95" w:rsidRPr="005171D2" w:rsidRDefault="00047F95" w:rsidP="00047F95">
      <w:pPr>
        <w:pStyle w:val="BodyText"/>
      </w:pPr>
      <w:r w:rsidRPr="005171D2">
        <w:t xml:space="preserve">The representative of </w:t>
      </w:r>
      <w:r w:rsidRPr="005171D2">
        <w:rPr>
          <w:u w:val="single"/>
        </w:rPr>
        <w:t>India</w:t>
      </w:r>
      <w:r w:rsidRPr="005171D2">
        <w:t xml:space="preserve"> did not agree that the concerns expressed by his delegation lacked </w:t>
      </w:r>
      <w:r w:rsidR="00F15FD2" w:rsidRPr="005171D2">
        <w:t>clarity</w:t>
      </w:r>
      <w:r w:rsidRPr="005171D2">
        <w:t xml:space="preserve">. </w:t>
      </w:r>
      <w:r w:rsidR="002F3273" w:rsidRPr="005171D2">
        <w:t xml:space="preserve">His delegation had </w:t>
      </w:r>
      <w:r w:rsidRPr="005171D2">
        <w:t>discussed the</w:t>
      </w:r>
      <w:r w:rsidR="002F3273" w:rsidRPr="005171D2">
        <w:t>se concerns</w:t>
      </w:r>
      <w:r w:rsidRPr="005171D2">
        <w:t xml:space="preserve"> with the proponents during Committee meetings, </w:t>
      </w:r>
      <w:r w:rsidR="002F3273" w:rsidRPr="005171D2">
        <w:t xml:space="preserve">and in </w:t>
      </w:r>
      <w:r w:rsidRPr="005171D2">
        <w:t>informal and bilateral</w:t>
      </w:r>
      <w:r w:rsidR="002F3273" w:rsidRPr="005171D2">
        <w:t xml:space="preserve"> consultation</w:t>
      </w:r>
      <w:r w:rsidR="002F0362" w:rsidRPr="005171D2">
        <w:t>s</w:t>
      </w:r>
      <w:r w:rsidRPr="005171D2">
        <w:t xml:space="preserve">. He said that </w:t>
      </w:r>
      <w:r w:rsidR="00C43206" w:rsidRPr="005171D2">
        <w:t>A</w:t>
      </w:r>
      <w:r w:rsidRPr="005171D2">
        <w:t>rticle</w:t>
      </w:r>
      <w:r w:rsidR="0053747C" w:rsidRPr="005171D2">
        <w:t> </w:t>
      </w:r>
      <w:r w:rsidRPr="005171D2">
        <w:t>4 and Annex</w:t>
      </w:r>
      <w:r w:rsidR="0053747C" w:rsidRPr="005171D2">
        <w:t> </w:t>
      </w:r>
      <w:r w:rsidRPr="005171D2">
        <w:t xml:space="preserve">II of the proposal contained new notification obligations. </w:t>
      </w:r>
      <w:r w:rsidR="009D6990" w:rsidRPr="005171D2">
        <w:t xml:space="preserve">And even </w:t>
      </w:r>
      <w:r w:rsidRPr="005171D2">
        <w:t>if India did not use any non</w:t>
      </w:r>
      <w:r w:rsidR="002F0362" w:rsidRPr="005171D2">
        <w:noBreakHyphen/>
      </w:r>
      <w:r w:rsidRPr="005171D2">
        <w:t>preferential rules of origin, it would still need to complete Annex</w:t>
      </w:r>
      <w:r w:rsidR="0053747C" w:rsidRPr="005171D2">
        <w:t> </w:t>
      </w:r>
      <w:r w:rsidRPr="005171D2">
        <w:t>II and report information about any certification requirements</w:t>
      </w:r>
      <w:r w:rsidR="002F3273" w:rsidRPr="005171D2">
        <w:t xml:space="preserve"> in case it applied any documentary requirements.</w:t>
      </w:r>
    </w:p>
    <w:p w14:paraId="4AE1667A" w14:textId="5A8392C9" w:rsidR="00047F95" w:rsidRPr="005171D2" w:rsidRDefault="00047F95" w:rsidP="00047F95">
      <w:pPr>
        <w:pStyle w:val="BodyText"/>
      </w:pPr>
      <w:r w:rsidRPr="005171D2">
        <w:t xml:space="preserve">The representative of the </w:t>
      </w:r>
      <w:r w:rsidRPr="005171D2">
        <w:rPr>
          <w:u w:val="single"/>
        </w:rPr>
        <w:t>United States</w:t>
      </w:r>
      <w:r w:rsidRPr="005171D2">
        <w:t xml:space="preserve"> reiterated her delegation</w:t>
      </w:r>
      <w:r w:rsidR="002F3273" w:rsidRPr="005171D2">
        <w:t>'s support</w:t>
      </w:r>
      <w:r w:rsidRPr="005171D2">
        <w:t xml:space="preserve"> for the proposal. After years of consultations and discussion, almost all Members of the Committee now supported the proposal. The adoption of the decision and use of the template would bring the kind of transparency and organization already established for preferential rules under the Nairobi Decision, with great approval, to the realm of non</w:t>
      </w:r>
      <w:r w:rsidR="009D6990" w:rsidRPr="005171D2">
        <w:noBreakHyphen/>
      </w:r>
      <w:r w:rsidRPr="005171D2">
        <w:t xml:space="preserve">preferential rules, affecting more trade and more Members. The results of this proposal would be positive and substantial, just as they had been </w:t>
      </w:r>
      <w:proofErr w:type="gramStart"/>
      <w:r w:rsidRPr="005171D2">
        <w:t>in the area of</w:t>
      </w:r>
      <w:proofErr w:type="gramEnd"/>
      <w:r w:rsidRPr="005171D2">
        <w:t xml:space="preserve"> preferential rules. Her delegation supported the Swiss delegation in its consistent and accessible efforts to find consensus on this proposal and was happy to join whatever steps </w:t>
      </w:r>
      <w:r w:rsidR="009D6990" w:rsidRPr="005171D2">
        <w:t xml:space="preserve">were </w:t>
      </w:r>
      <w:r w:rsidRPr="005171D2">
        <w:t>needed to finalize and adopt</w:t>
      </w:r>
      <w:r w:rsidR="009D6990" w:rsidRPr="005171D2">
        <w:t xml:space="preserve"> it</w:t>
      </w:r>
      <w:r w:rsidRPr="005171D2">
        <w:t>.</w:t>
      </w:r>
    </w:p>
    <w:p w14:paraId="4CD58C1E" w14:textId="12460190" w:rsidR="007E5287" w:rsidRPr="005171D2" w:rsidRDefault="00047F95" w:rsidP="00047F95">
      <w:pPr>
        <w:pStyle w:val="BodyText"/>
      </w:pPr>
      <w:r w:rsidRPr="005171D2">
        <w:t xml:space="preserve">In conclusion, the </w:t>
      </w:r>
      <w:r w:rsidRPr="005171D2">
        <w:rPr>
          <w:u w:val="single"/>
        </w:rPr>
        <w:t>Chairperson</w:t>
      </w:r>
      <w:r w:rsidRPr="005171D2">
        <w:t xml:space="preserve"> noted again that there was </w:t>
      </w:r>
      <w:r w:rsidR="006A111A" w:rsidRPr="005171D2">
        <w:t xml:space="preserve">significant </w:t>
      </w:r>
      <w:r w:rsidRPr="005171D2">
        <w:t xml:space="preserve">support for the objectives of the proposal, </w:t>
      </w:r>
      <w:r w:rsidR="006A111A" w:rsidRPr="005171D2">
        <w:t xml:space="preserve">and </w:t>
      </w:r>
      <w:r w:rsidRPr="005171D2">
        <w:t xml:space="preserve">perhaps even </w:t>
      </w:r>
      <w:r w:rsidR="006A111A" w:rsidRPr="005171D2">
        <w:t xml:space="preserve">a </w:t>
      </w:r>
      <w:r w:rsidRPr="005171D2">
        <w:t xml:space="preserve">consensus on the need for greater transparency in this area. He also noted that </w:t>
      </w:r>
      <w:proofErr w:type="gramStart"/>
      <w:r w:rsidRPr="005171D2">
        <w:t>the majority of</w:t>
      </w:r>
      <w:proofErr w:type="gramEnd"/>
      <w:r w:rsidRPr="005171D2">
        <w:t xml:space="preserve"> Members </w:t>
      </w:r>
      <w:r w:rsidR="006A111A" w:rsidRPr="005171D2">
        <w:t xml:space="preserve">considered that </w:t>
      </w:r>
      <w:r w:rsidRPr="005171D2">
        <w:t xml:space="preserve">this proposal was a very good step in that direction. No delegation had questioned the benefits of the draft template and the draft decision. He noted, however, that there </w:t>
      </w:r>
      <w:proofErr w:type="gramStart"/>
      <w:r w:rsidRPr="005171D2">
        <w:t xml:space="preserve">still </w:t>
      </w:r>
      <w:r w:rsidR="006A111A" w:rsidRPr="005171D2">
        <w:t>remained</w:t>
      </w:r>
      <w:proofErr w:type="gramEnd"/>
      <w:r w:rsidR="006A111A" w:rsidRPr="005171D2">
        <w:t xml:space="preserve"> some </w:t>
      </w:r>
      <w:r w:rsidRPr="005171D2">
        <w:t xml:space="preserve">questions or concerns </w:t>
      </w:r>
      <w:r w:rsidR="006A111A" w:rsidRPr="005171D2">
        <w:t xml:space="preserve">about </w:t>
      </w:r>
      <w:r w:rsidRPr="005171D2">
        <w:t>the text</w:t>
      </w:r>
      <w:r w:rsidR="006A111A" w:rsidRPr="005171D2">
        <w:t xml:space="preserve"> itself</w:t>
      </w:r>
      <w:r w:rsidRPr="005171D2">
        <w:t xml:space="preserve">. He proposed to invite delegations for a small group follow-up consultation on this template, </w:t>
      </w:r>
      <w:r w:rsidR="006A111A" w:rsidRPr="005171D2">
        <w:t xml:space="preserve">at which </w:t>
      </w:r>
      <w:r w:rsidRPr="005171D2">
        <w:t>he would seek to hear specific concerns and suggestions to improve the language of the decision.</w:t>
      </w:r>
    </w:p>
    <w:p w14:paraId="376D2B72" w14:textId="77777777" w:rsidR="004F0C58" w:rsidRPr="005171D2" w:rsidRDefault="009B0268" w:rsidP="00D561F7">
      <w:pPr>
        <w:pStyle w:val="BodyText"/>
      </w:pPr>
      <w:r w:rsidRPr="005171D2">
        <w:t xml:space="preserve">The Committee </w:t>
      </w:r>
      <w:r w:rsidRPr="005171D2">
        <w:rPr>
          <w:u w:val="single"/>
        </w:rPr>
        <w:t>agreed</w:t>
      </w:r>
      <w:r w:rsidRPr="005171D2">
        <w:t xml:space="preserve"> to proceed accordingly.</w:t>
      </w:r>
    </w:p>
    <w:p w14:paraId="7228985E" w14:textId="3346E9A2" w:rsidR="004F0C58" w:rsidRPr="005171D2" w:rsidRDefault="004F0C58" w:rsidP="00D561F7">
      <w:pPr>
        <w:pStyle w:val="Heading1"/>
      </w:pPr>
      <w:r w:rsidRPr="005171D2">
        <w:t xml:space="preserve"> </w:t>
      </w:r>
      <w:bookmarkStart w:id="22" w:name="_Toc39610314"/>
      <w:bookmarkStart w:id="23" w:name="_Toc63067728"/>
      <w:r w:rsidR="00152620" w:rsidRPr="005171D2">
        <w:t xml:space="preserve">INFORMAL SESSION ON THE 25th ANNIVERSARY OF THE AGREEMENT ON RULES OF ORIGIN – </w:t>
      </w:r>
      <w:r w:rsidR="00D15DF4" w:rsidRPr="005171D2">
        <w:t>update</w:t>
      </w:r>
      <w:r w:rsidR="00152620" w:rsidRPr="005171D2">
        <w:t xml:space="preserve"> BY THE CHAIR</w:t>
      </w:r>
      <w:bookmarkEnd w:id="22"/>
      <w:r w:rsidR="006A111A" w:rsidRPr="005171D2">
        <w:t>person</w:t>
      </w:r>
      <w:bookmarkEnd w:id="23"/>
    </w:p>
    <w:p w14:paraId="1A6A33D4" w14:textId="1E167B56" w:rsidR="001B1DD4" w:rsidRPr="005171D2" w:rsidRDefault="00F60222" w:rsidP="00ED5C63">
      <w:pPr>
        <w:pStyle w:val="BodyText"/>
      </w:pPr>
      <w:r w:rsidRPr="005171D2">
        <w:t xml:space="preserve">The </w:t>
      </w:r>
      <w:r w:rsidRPr="005171D2">
        <w:rPr>
          <w:u w:val="single"/>
        </w:rPr>
        <w:t>Chairperson</w:t>
      </w:r>
      <w:r w:rsidR="001B1DD4" w:rsidRPr="005171D2">
        <w:t xml:space="preserve"> referred to the 25</w:t>
      </w:r>
      <w:r w:rsidR="001B1DD4" w:rsidRPr="005171D2">
        <w:rPr>
          <w:vertAlign w:val="superscript"/>
        </w:rPr>
        <w:t>th</w:t>
      </w:r>
      <w:r w:rsidR="0053747C" w:rsidRPr="005171D2">
        <w:t> </w:t>
      </w:r>
      <w:r w:rsidR="00A430A3" w:rsidRPr="005171D2">
        <w:t xml:space="preserve">Anniversary </w:t>
      </w:r>
      <w:r w:rsidR="001B1DD4" w:rsidRPr="005171D2">
        <w:t>of the WTO</w:t>
      </w:r>
      <w:r w:rsidR="007E4454" w:rsidRPr="005171D2">
        <w:t> </w:t>
      </w:r>
      <w:r w:rsidR="001B1DD4" w:rsidRPr="005171D2">
        <w:t xml:space="preserve">Agreement on Rules of Origin and the event organized by the Secretariat </w:t>
      </w:r>
      <w:r w:rsidR="007E4454" w:rsidRPr="005171D2">
        <w:t xml:space="preserve">to celebrate it, </w:t>
      </w:r>
      <w:r w:rsidR="001B1DD4" w:rsidRPr="005171D2">
        <w:t>on 4</w:t>
      </w:r>
      <w:r w:rsidR="0053747C" w:rsidRPr="005171D2">
        <w:t> </w:t>
      </w:r>
      <w:r w:rsidR="001B1DD4" w:rsidRPr="005171D2">
        <w:t>March</w:t>
      </w:r>
      <w:r w:rsidR="0053747C" w:rsidRPr="005171D2">
        <w:t> </w:t>
      </w:r>
      <w:r w:rsidR="001B1DD4" w:rsidRPr="005171D2">
        <w:t xml:space="preserve">2020. He informed delegations that the Secretariat had updated the Internet page of the event and added all relevant materials to </w:t>
      </w:r>
      <w:r w:rsidR="007E4454" w:rsidRPr="005171D2">
        <w:t xml:space="preserve">the </w:t>
      </w:r>
      <w:r w:rsidR="001B1DD4" w:rsidRPr="005171D2">
        <w:t>page</w:t>
      </w:r>
      <w:r w:rsidR="007E4454" w:rsidRPr="005171D2">
        <w:t xml:space="preserve">, including </w:t>
      </w:r>
      <w:r w:rsidR="001B1DD4" w:rsidRPr="005171D2">
        <w:t>the programme, video recordings, presentations</w:t>
      </w:r>
      <w:r w:rsidR="007E4454" w:rsidRPr="005171D2">
        <w:t>,</w:t>
      </w:r>
      <w:r w:rsidR="001B1DD4" w:rsidRPr="005171D2">
        <w:t xml:space="preserve"> and a summary of the discussions (G/RO/W/196). Since many interesting points had been raised concerning the work of the Committee during the event, he invited delegations to consult the webpage and the materials </w:t>
      </w:r>
      <w:r w:rsidR="007E4454" w:rsidRPr="005171D2">
        <w:t xml:space="preserve">found there </w:t>
      </w:r>
      <w:proofErr w:type="gramStart"/>
      <w:r w:rsidR="007E4454" w:rsidRPr="005171D2">
        <w:t xml:space="preserve">in order </w:t>
      </w:r>
      <w:r w:rsidR="001B1DD4" w:rsidRPr="005171D2">
        <w:t>to</w:t>
      </w:r>
      <w:proofErr w:type="gramEnd"/>
      <w:r w:rsidR="001B1DD4" w:rsidRPr="005171D2">
        <w:t xml:space="preserve"> reflect further on these </w:t>
      </w:r>
      <w:r w:rsidR="007E4454" w:rsidRPr="005171D2">
        <w:t>matters</w:t>
      </w:r>
      <w:r w:rsidR="001B1DD4" w:rsidRPr="005171D2">
        <w:t>.</w:t>
      </w:r>
    </w:p>
    <w:p w14:paraId="77531238" w14:textId="2BD97EFD" w:rsidR="004F0C58" w:rsidRPr="005171D2" w:rsidRDefault="006B7F08" w:rsidP="00D6189E">
      <w:pPr>
        <w:pStyle w:val="BodyText"/>
      </w:pPr>
      <w:r w:rsidRPr="005171D2">
        <w:t xml:space="preserve">The Committee </w:t>
      </w:r>
      <w:r w:rsidRPr="005171D2">
        <w:rPr>
          <w:u w:val="single"/>
        </w:rPr>
        <w:t>took note</w:t>
      </w:r>
      <w:r w:rsidRPr="005171D2">
        <w:t xml:space="preserve"> of the </w:t>
      </w:r>
      <w:r w:rsidR="00D57D32" w:rsidRPr="005171D2">
        <w:t>Chair</w:t>
      </w:r>
      <w:r w:rsidR="00CD09C1" w:rsidRPr="005171D2">
        <w:t>person</w:t>
      </w:r>
      <w:r w:rsidR="00D57D32" w:rsidRPr="005171D2">
        <w:t xml:space="preserve">'s </w:t>
      </w:r>
      <w:r w:rsidR="001B1DD4" w:rsidRPr="005171D2">
        <w:t>update</w:t>
      </w:r>
      <w:r w:rsidRPr="005171D2">
        <w:t>.</w:t>
      </w:r>
    </w:p>
    <w:p w14:paraId="48EEF61D" w14:textId="0234B787" w:rsidR="00193F20" w:rsidRPr="005171D2" w:rsidRDefault="00D15DF4" w:rsidP="00D561F7">
      <w:pPr>
        <w:pStyle w:val="Heading1"/>
      </w:pPr>
      <w:bookmarkStart w:id="24" w:name="_Toc39610315"/>
      <w:bookmarkStart w:id="25" w:name="_Toc63067729"/>
      <w:r w:rsidRPr="005171D2">
        <w:lastRenderedPageBreak/>
        <w:t>ORIGIN-RELATED MEASURES TAKEN IN CONNECTION WITH THE COVID-19</w:t>
      </w:r>
      <w:r w:rsidR="00CD09C1" w:rsidRPr="005171D2">
        <w:t> </w:t>
      </w:r>
      <w:r w:rsidRPr="005171D2">
        <w:t>PANDEMIC – INFORMATION BY THE SECRETARIAT</w:t>
      </w:r>
      <w:bookmarkEnd w:id="24"/>
      <w:bookmarkEnd w:id="25"/>
    </w:p>
    <w:p w14:paraId="367CAF46" w14:textId="35669438" w:rsidR="007341DA" w:rsidRPr="005171D2" w:rsidRDefault="007341DA" w:rsidP="007341DA">
      <w:pPr>
        <w:pStyle w:val="BodyText"/>
      </w:pPr>
      <w:r w:rsidRPr="005171D2">
        <w:t xml:space="preserve">The </w:t>
      </w:r>
      <w:r w:rsidRPr="005171D2">
        <w:rPr>
          <w:u w:val="single"/>
        </w:rPr>
        <w:t>Chairperson</w:t>
      </w:r>
      <w:r w:rsidRPr="005171D2">
        <w:t xml:space="preserve"> informed </w:t>
      </w:r>
      <w:r w:rsidR="002F3273" w:rsidRPr="005171D2">
        <w:t xml:space="preserve">the Committee </w:t>
      </w:r>
      <w:r w:rsidRPr="005171D2">
        <w:t>that some of the measures taken by governments to fight the COVID-19</w:t>
      </w:r>
      <w:r w:rsidR="0053747C" w:rsidRPr="005171D2">
        <w:t> </w:t>
      </w:r>
      <w:r w:rsidRPr="005171D2">
        <w:t xml:space="preserve">pandemic related to origin. He had therefore asked the Secretariat to share this information with delegations in case they had an interest in knowing more about </w:t>
      </w:r>
      <w:r w:rsidR="002F3273" w:rsidRPr="005171D2">
        <w:t>such</w:t>
      </w:r>
      <w:r w:rsidRPr="005171D2">
        <w:t xml:space="preserve"> measures.</w:t>
      </w:r>
    </w:p>
    <w:p w14:paraId="685CE4A6" w14:textId="38939AD4" w:rsidR="007341DA" w:rsidRPr="005171D2" w:rsidRDefault="007341DA" w:rsidP="007341DA">
      <w:pPr>
        <w:pStyle w:val="BodyText"/>
      </w:pPr>
      <w:r w:rsidRPr="005171D2">
        <w:t xml:space="preserve">The </w:t>
      </w:r>
      <w:r w:rsidRPr="005171D2">
        <w:rPr>
          <w:u w:val="single"/>
        </w:rPr>
        <w:t>Secretariat</w:t>
      </w:r>
      <w:r w:rsidRPr="005171D2">
        <w:t xml:space="preserve"> (</w:t>
      </w:r>
      <w:r w:rsidR="007E4454" w:rsidRPr="005171D2">
        <w:t>Mr </w:t>
      </w:r>
      <w:r w:rsidRPr="005171D2">
        <w:t>Darlan F. Martí) explained that this point had been added to the agenda for delegations' information only (RD/RO/90). The purpose was to bring to delegations' attention the fact that some of the measures taken by governments to fight the COVID-19</w:t>
      </w:r>
      <w:r w:rsidR="0053747C" w:rsidRPr="005171D2">
        <w:t> </w:t>
      </w:r>
      <w:r w:rsidRPr="005171D2">
        <w:t>pandemic related to origin requirements. In fact, several governments had temporarily closed businesses and government agencies</w:t>
      </w:r>
      <w:r w:rsidR="007E4454" w:rsidRPr="005171D2">
        <w:t>,</w:t>
      </w:r>
      <w:r w:rsidRPr="005171D2">
        <w:t xml:space="preserve"> and </w:t>
      </w:r>
      <w:r w:rsidR="007E4454" w:rsidRPr="005171D2">
        <w:t xml:space="preserve">had </w:t>
      </w:r>
      <w:r w:rsidRPr="005171D2">
        <w:t>severely restricted the movement of persons</w:t>
      </w:r>
      <w:r w:rsidR="007E4454" w:rsidRPr="005171D2">
        <w:t>,</w:t>
      </w:r>
      <w:r w:rsidR="002F3273" w:rsidRPr="005171D2">
        <w:t xml:space="preserve"> </w:t>
      </w:r>
      <w:proofErr w:type="gramStart"/>
      <w:r w:rsidR="002F3273" w:rsidRPr="005171D2">
        <w:t>in order to</w:t>
      </w:r>
      <w:proofErr w:type="gramEnd"/>
      <w:r w:rsidR="002F3273" w:rsidRPr="005171D2">
        <w:t xml:space="preserve"> fight the spread of the pandemic</w:t>
      </w:r>
      <w:r w:rsidRPr="005171D2">
        <w:t xml:space="preserve">. </w:t>
      </w:r>
      <w:r w:rsidR="002F3273" w:rsidRPr="005171D2">
        <w:t>Consequently</w:t>
      </w:r>
      <w:r w:rsidRPr="005171D2">
        <w:t>, some administrative procedures, such as the preparation of certificates of origin,</w:t>
      </w:r>
      <w:r w:rsidR="002F3273" w:rsidRPr="005171D2">
        <w:t xml:space="preserve"> </w:t>
      </w:r>
      <w:r w:rsidR="007E4454" w:rsidRPr="005171D2">
        <w:t xml:space="preserve">and </w:t>
      </w:r>
      <w:r w:rsidR="002F3273" w:rsidRPr="005171D2">
        <w:t xml:space="preserve">the </w:t>
      </w:r>
      <w:r w:rsidR="00AD4FD8">
        <w:t>addition of official</w:t>
      </w:r>
      <w:r w:rsidR="002F3273" w:rsidRPr="005171D2">
        <w:t xml:space="preserve"> seals or their </w:t>
      </w:r>
      <w:proofErr w:type="spellStart"/>
      <w:r w:rsidR="002F3273" w:rsidRPr="005171D2">
        <w:t>consularization</w:t>
      </w:r>
      <w:proofErr w:type="spellEnd"/>
      <w:r w:rsidR="007E4454" w:rsidRPr="005171D2">
        <w:t>,</w:t>
      </w:r>
      <w:r w:rsidRPr="005171D2">
        <w:t xml:space="preserve"> had become more difficult or even impossible. It was in that context that some governments had sought to </w:t>
      </w:r>
      <w:r w:rsidR="002F3273" w:rsidRPr="005171D2">
        <w:t xml:space="preserve">temporarily </w:t>
      </w:r>
      <w:r w:rsidRPr="005171D2">
        <w:t xml:space="preserve">simplify </w:t>
      </w:r>
      <w:r w:rsidR="007E4454" w:rsidRPr="005171D2">
        <w:t xml:space="preserve">their </w:t>
      </w:r>
      <w:r w:rsidRPr="005171D2">
        <w:t xml:space="preserve">documentary requirements. For </w:t>
      </w:r>
      <w:r w:rsidR="007E4454" w:rsidRPr="005171D2">
        <w:t>example</w:t>
      </w:r>
      <w:r w:rsidRPr="005171D2">
        <w:t xml:space="preserve">, Argentina and the Eurasian Economic Union had allowed the electronic submission of preferential certificates of origin under certain conditions. Japan had simplified and relaxed </w:t>
      </w:r>
      <w:r w:rsidR="007E4454" w:rsidRPr="005171D2">
        <w:t xml:space="preserve">certain </w:t>
      </w:r>
      <w:r w:rsidRPr="005171D2">
        <w:t xml:space="preserve">customs procedures to </w:t>
      </w:r>
      <w:proofErr w:type="gramStart"/>
      <w:r w:rsidRPr="005171D2">
        <w:t>take into account</w:t>
      </w:r>
      <w:proofErr w:type="gramEnd"/>
      <w:r w:rsidRPr="005171D2">
        <w:t xml:space="preserve"> the difficulties of opposing a seal on a certificate of origin. Finally, the EU had authorized </w:t>
      </w:r>
      <w:r w:rsidR="007E4454" w:rsidRPr="005171D2">
        <w:t>the following measures, among others: (</w:t>
      </w:r>
      <w:proofErr w:type="spellStart"/>
      <w:r w:rsidR="007E4454" w:rsidRPr="005171D2">
        <w:t>i</w:t>
      </w:r>
      <w:proofErr w:type="spellEnd"/>
      <w:r w:rsidR="007E4454" w:rsidRPr="005171D2">
        <w:t>) </w:t>
      </w:r>
      <w:r w:rsidRPr="005171D2">
        <w:t>the electronic submission of certificates of origin</w:t>
      </w:r>
      <w:r w:rsidR="007B5EDD" w:rsidRPr="005171D2">
        <w:t>;</w:t>
      </w:r>
      <w:r w:rsidRPr="005171D2">
        <w:t xml:space="preserve"> </w:t>
      </w:r>
      <w:r w:rsidR="007E4454" w:rsidRPr="005171D2">
        <w:t xml:space="preserve">(ii) the acceptance of </w:t>
      </w:r>
      <w:r w:rsidRPr="005171D2">
        <w:t>copies of certificates</w:t>
      </w:r>
      <w:r w:rsidR="007B5EDD" w:rsidRPr="005171D2">
        <w:t>;</w:t>
      </w:r>
      <w:r w:rsidRPr="005171D2">
        <w:t xml:space="preserve"> </w:t>
      </w:r>
      <w:r w:rsidR="007E4454" w:rsidRPr="005171D2">
        <w:t xml:space="preserve">(iii) the relaxation of </w:t>
      </w:r>
      <w:r w:rsidRPr="005171D2">
        <w:t xml:space="preserve">the way </w:t>
      </w:r>
      <w:r w:rsidR="007B5EDD" w:rsidRPr="005171D2">
        <w:t>certificates</w:t>
      </w:r>
      <w:r w:rsidRPr="005171D2">
        <w:t xml:space="preserve"> had to be made</w:t>
      </w:r>
      <w:r w:rsidR="007B5EDD" w:rsidRPr="005171D2">
        <w:t>;</w:t>
      </w:r>
      <w:r w:rsidRPr="005171D2">
        <w:t xml:space="preserve"> and </w:t>
      </w:r>
      <w:r w:rsidR="007E4454" w:rsidRPr="005171D2">
        <w:t xml:space="preserve">(iv) the encouragement of </w:t>
      </w:r>
      <w:r w:rsidRPr="005171D2">
        <w:t>the use of approved exporter status. Members interested in learning more about these measures could consult the relevant notifications made to the Trade Facilitation Committee or the COVID</w:t>
      </w:r>
      <w:r w:rsidR="001D65F3">
        <w:noBreakHyphen/>
      </w:r>
      <w:r w:rsidRPr="005171D2">
        <w:t>19</w:t>
      </w:r>
      <w:r w:rsidR="0053747C" w:rsidRPr="005171D2">
        <w:t> </w:t>
      </w:r>
      <w:r w:rsidRPr="005171D2">
        <w:t>pages of the WTO</w:t>
      </w:r>
      <w:r w:rsidR="0053747C" w:rsidRPr="005171D2">
        <w:t> </w:t>
      </w:r>
      <w:r w:rsidRPr="005171D2">
        <w:t>website.</w:t>
      </w:r>
    </w:p>
    <w:p w14:paraId="4EBC9470" w14:textId="14AD24E9" w:rsidR="007341DA" w:rsidRPr="005171D2" w:rsidRDefault="007341DA" w:rsidP="007341DA">
      <w:pPr>
        <w:pStyle w:val="BodyText"/>
      </w:pPr>
      <w:r w:rsidRPr="005171D2">
        <w:t xml:space="preserve">The </w:t>
      </w:r>
      <w:r w:rsidRPr="005171D2">
        <w:rPr>
          <w:u w:val="single"/>
        </w:rPr>
        <w:t>European Union</w:t>
      </w:r>
      <w:r w:rsidRPr="005171D2">
        <w:t xml:space="preserve"> confirmed that the EUROPA</w:t>
      </w:r>
      <w:r w:rsidR="0053747C" w:rsidRPr="005171D2">
        <w:t> </w:t>
      </w:r>
      <w:r w:rsidRPr="005171D2">
        <w:t>site contained some information on measures taken in the context of the COVID-19</w:t>
      </w:r>
      <w:r w:rsidR="0053747C" w:rsidRPr="005171D2">
        <w:t> </w:t>
      </w:r>
      <w:r w:rsidRPr="005171D2">
        <w:t>pandemic</w:t>
      </w:r>
      <w:r w:rsidR="00480A76" w:rsidRPr="005171D2">
        <w:t>, and that some</w:t>
      </w:r>
      <w:r w:rsidRPr="005171D2">
        <w:t xml:space="preserve"> of </w:t>
      </w:r>
      <w:r w:rsidR="00480A76" w:rsidRPr="005171D2">
        <w:t xml:space="preserve">those </w:t>
      </w:r>
      <w:r w:rsidRPr="005171D2">
        <w:t>measures concerned proofs of origin. He noted that it could be difficult</w:t>
      </w:r>
      <w:r w:rsidR="00BD43DD" w:rsidRPr="005171D2">
        <w:t xml:space="preserve"> during the pandemic</w:t>
      </w:r>
      <w:r w:rsidRPr="005171D2">
        <w:t xml:space="preserve"> to go to customs offices and obtain signed, original certificates. For this reason, the EU had decided to accept copies of original documents</w:t>
      </w:r>
      <w:r w:rsidR="00BD43DD" w:rsidRPr="005171D2">
        <w:t>, as well as</w:t>
      </w:r>
      <w:r w:rsidRPr="005171D2">
        <w:t xml:space="preserve"> electronic versions. Such an arrangement was implemented on a strictly reciprocal basis (that is, with states </w:t>
      </w:r>
      <w:r w:rsidR="002A71F7" w:rsidRPr="005171D2">
        <w:t xml:space="preserve">that </w:t>
      </w:r>
      <w:r w:rsidRPr="005171D2">
        <w:t>implemented the same measures on a mutual basis).</w:t>
      </w:r>
      <w:r w:rsidR="00630F81" w:rsidRPr="005171D2">
        <w:t xml:space="preserve"> </w:t>
      </w:r>
      <w:r w:rsidRPr="005171D2">
        <w:t xml:space="preserve">Furthermore, he confirmed that a wider use of the </w:t>
      </w:r>
      <w:r w:rsidR="002A71F7" w:rsidRPr="005171D2">
        <w:t xml:space="preserve">authorized </w:t>
      </w:r>
      <w:r w:rsidRPr="005171D2">
        <w:t>exporter status could facilitate trade</w:t>
      </w:r>
      <w:r w:rsidR="002A71F7" w:rsidRPr="005171D2">
        <w:t>,</w:t>
      </w:r>
      <w:r w:rsidRPr="005171D2">
        <w:t xml:space="preserve"> because operators </w:t>
      </w:r>
      <w:r w:rsidR="002A71F7" w:rsidRPr="005171D2">
        <w:t xml:space="preserve">enjoying </w:t>
      </w:r>
      <w:r w:rsidRPr="005171D2">
        <w:t>that status would</w:t>
      </w:r>
      <w:r w:rsidR="00D600D2" w:rsidRPr="005171D2">
        <w:t xml:space="preserve"> not</w:t>
      </w:r>
      <w:r w:rsidRPr="005171D2">
        <w:t xml:space="preserve"> need to go through customs authorities to obtain signed certificates of origin. In this sense, the REX</w:t>
      </w:r>
      <w:r w:rsidR="0053747C" w:rsidRPr="005171D2">
        <w:t> </w:t>
      </w:r>
      <w:r w:rsidRPr="005171D2">
        <w:t xml:space="preserve">system had also </w:t>
      </w:r>
      <w:r w:rsidR="002A71F7" w:rsidRPr="005171D2">
        <w:t xml:space="preserve">proven itself </w:t>
      </w:r>
      <w:r w:rsidRPr="005171D2">
        <w:t>to be useful during the pandemic</w:t>
      </w:r>
      <w:r w:rsidR="002A71F7" w:rsidRPr="005171D2">
        <w:t>,</w:t>
      </w:r>
      <w:r w:rsidRPr="005171D2">
        <w:t xml:space="preserve"> because registered exporters could rely </w:t>
      </w:r>
      <w:r w:rsidR="002A71F7" w:rsidRPr="005171D2">
        <w:t>up</w:t>
      </w:r>
      <w:r w:rsidRPr="005171D2">
        <w:t xml:space="preserve">on self-certification </w:t>
      </w:r>
      <w:r w:rsidR="007B5EDD" w:rsidRPr="005171D2">
        <w:t>and</w:t>
      </w:r>
      <w:r w:rsidRPr="005171D2">
        <w:t xml:space="preserve"> preserve their preferential market access.</w:t>
      </w:r>
    </w:p>
    <w:p w14:paraId="33976840" w14:textId="65F9A162" w:rsidR="007341DA" w:rsidRPr="005171D2" w:rsidRDefault="007341DA" w:rsidP="007341DA">
      <w:pPr>
        <w:pStyle w:val="BodyText"/>
      </w:pPr>
      <w:r w:rsidRPr="005171D2">
        <w:t xml:space="preserve">The representative of </w:t>
      </w:r>
      <w:r w:rsidRPr="005171D2">
        <w:rPr>
          <w:u w:val="single"/>
        </w:rPr>
        <w:t>Canada</w:t>
      </w:r>
      <w:r w:rsidRPr="005171D2">
        <w:t xml:space="preserve"> stated that her government had </w:t>
      </w:r>
      <w:r w:rsidR="00420E1A" w:rsidRPr="005171D2">
        <w:t xml:space="preserve">also </w:t>
      </w:r>
      <w:r w:rsidRPr="005171D2">
        <w:t xml:space="preserve">implemented facilitative measures </w:t>
      </w:r>
      <w:r w:rsidR="00420E1A" w:rsidRPr="005171D2">
        <w:t>in response</w:t>
      </w:r>
      <w:r w:rsidRPr="005171D2">
        <w:t xml:space="preserve"> to the COVID-19</w:t>
      </w:r>
      <w:r w:rsidR="0053747C" w:rsidRPr="005171D2">
        <w:t> </w:t>
      </w:r>
      <w:r w:rsidRPr="005171D2">
        <w:t>crisis and to ensure that rules of origin were not a barrier to trade. For example, Canada did not require a certificate of origin at the time of importation. Several</w:t>
      </w:r>
      <w:r w:rsidR="001D65F3">
        <w:t> </w:t>
      </w:r>
      <w:r w:rsidRPr="005171D2">
        <w:t>other market access measures had been implemented, including the elimination of customs duties on medical supplies. Document</w:t>
      </w:r>
      <w:r w:rsidR="0053747C" w:rsidRPr="005171D2">
        <w:t> </w:t>
      </w:r>
      <w:r w:rsidRPr="005171D2">
        <w:t>G/MA/W/153 contained a description of such measures.</w:t>
      </w:r>
    </w:p>
    <w:p w14:paraId="528737BD" w14:textId="7A32F989" w:rsidR="007341DA" w:rsidRPr="005171D2" w:rsidRDefault="00420E1A" w:rsidP="007341DA">
      <w:pPr>
        <w:pStyle w:val="BodyText"/>
      </w:pPr>
      <w:r w:rsidRPr="005171D2">
        <w:t>The</w:t>
      </w:r>
      <w:r w:rsidR="007341DA" w:rsidRPr="005171D2">
        <w:t xml:space="preserve"> representative of </w:t>
      </w:r>
      <w:r w:rsidR="007341DA" w:rsidRPr="005171D2">
        <w:rPr>
          <w:u w:val="single"/>
        </w:rPr>
        <w:t>India</w:t>
      </w:r>
      <w:r w:rsidR="007341DA" w:rsidRPr="005171D2">
        <w:t xml:space="preserve"> brought to the notice of the Committee that his government had </w:t>
      </w:r>
      <w:r w:rsidRPr="005171D2">
        <w:t xml:space="preserve">likewise </w:t>
      </w:r>
      <w:r w:rsidR="007341DA" w:rsidRPr="005171D2">
        <w:t>taken trade facilitative measures during the COVID-19</w:t>
      </w:r>
      <w:r w:rsidR="0053747C" w:rsidRPr="005171D2">
        <w:t> </w:t>
      </w:r>
      <w:r w:rsidR="007341DA" w:rsidRPr="005171D2">
        <w:t>crisis. Details of these measures had been notified to the Committee on Trade Facilitation in document</w:t>
      </w:r>
      <w:r w:rsidR="0053747C" w:rsidRPr="005171D2">
        <w:t> </w:t>
      </w:r>
      <w:r w:rsidR="007341DA" w:rsidRPr="005171D2">
        <w:t xml:space="preserve">G/TFA/W/26. Of </w:t>
      </w:r>
      <w:proofErr w:type="gramStart"/>
      <w:r w:rsidR="007341DA" w:rsidRPr="005171D2">
        <w:t>particular relevance</w:t>
      </w:r>
      <w:proofErr w:type="gramEnd"/>
      <w:r w:rsidR="007341DA" w:rsidRPr="005171D2">
        <w:t xml:space="preserve"> </w:t>
      </w:r>
      <w:r w:rsidRPr="005171D2">
        <w:t xml:space="preserve">to </w:t>
      </w:r>
      <w:r w:rsidR="007341DA" w:rsidRPr="005171D2">
        <w:t xml:space="preserve">the work of the CRO was the fact that India had temporarily allowed for the provisional clearance of goods under preferences without the production of an original certificate of origin. On the export side, India had also </w:t>
      </w:r>
      <w:r w:rsidRPr="005171D2">
        <w:t xml:space="preserve">begun to issue </w:t>
      </w:r>
      <w:r w:rsidR="007341DA" w:rsidRPr="005171D2">
        <w:t>electronic certificates of origin for exports. He requested that this notification be taken into consideration</w:t>
      </w:r>
      <w:r w:rsidRPr="005171D2">
        <w:t xml:space="preserve"> in future updates</w:t>
      </w:r>
      <w:r w:rsidR="007341DA" w:rsidRPr="005171D2">
        <w:t>.</w:t>
      </w:r>
    </w:p>
    <w:p w14:paraId="28723B5B" w14:textId="109BF7E1" w:rsidR="007341DA" w:rsidRPr="005171D2" w:rsidRDefault="007341DA" w:rsidP="007341DA">
      <w:pPr>
        <w:pStyle w:val="BodyText"/>
      </w:pPr>
      <w:r w:rsidRPr="005171D2">
        <w:t xml:space="preserve">The </w:t>
      </w:r>
      <w:r w:rsidRPr="005171D2">
        <w:rPr>
          <w:u w:val="single"/>
        </w:rPr>
        <w:t>Russian Federation</w:t>
      </w:r>
      <w:r w:rsidRPr="005171D2">
        <w:t xml:space="preserve"> confirmed that</w:t>
      </w:r>
      <w:r w:rsidR="007B5EDD" w:rsidRPr="005171D2">
        <w:t xml:space="preserve"> </w:t>
      </w:r>
      <w:r w:rsidRPr="005171D2">
        <w:t xml:space="preserve">her authorities allowed the importation of goods without regional certificates being submitted at the date of customs clearance. Operators could submit the relevant documents </w:t>
      </w:r>
      <w:proofErr w:type="gramStart"/>
      <w:r w:rsidRPr="005171D2">
        <w:t xml:space="preserve">at a later </w:t>
      </w:r>
      <w:r w:rsidR="00C04B7D" w:rsidRPr="005171D2">
        <w:t>date</w:t>
      </w:r>
      <w:proofErr w:type="gramEnd"/>
      <w:r w:rsidRPr="005171D2">
        <w:t>, but not later than six</w:t>
      </w:r>
      <w:r w:rsidR="0053747C" w:rsidRPr="005171D2">
        <w:t> </w:t>
      </w:r>
      <w:r w:rsidRPr="005171D2">
        <w:t>months from the date of customs clearance</w:t>
      </w:r>
      <w:r w:rsidR="00C04B7D" w:rsidRPr="005171D2">
        <w:t>,</w:t>
      </w:r>
      <w:r w:rsidRPr="005171D2">
        <w:t xml:space="preserve"> to preserve</w:t>
      </w:r>
      <w:r w:rsidR="00C04B7D" w:rsidRPr="005171D2">
        <w:t xml:space="preserve"> their</w:t>
      </w:r>
      <w:r w:rsidRPr="005171D2">
        <w:t xml:space="preserve"> tariff preferences under the EAEU</w:t>
      </w:r>
      <w:r w:rsidR="0053747C" w:rsidRPr="005171D2">
        <w:t> </w:t>
      </w:r>
      <w:r w:rsidRPr="005171D2">
        <w:t>scheme.</w:t>
      </w:r>
    </w:p>
    <w:p w14:paraId="37C6FBC1" w14:textId="5A27C0AF" w:rsidR="004F0C58" w:rsidRPr="005171D2" w:rsidRDefault="00DF7A7B" w:rsidP="00D6189E">
      <w:pPr>
        <w:pStyle w:val="BodyText"/>
      </w:pPr>
      <w:r w:rsidRPr="005171D2">
        <w:t xml:space="preserve">The Committee </w:t>
      </w:r>
      <w:r w:rsidR="00D57D32" w:rsidRPr="005171D2">
        <w:rPr>
          <w:u w:val="single"/>
        </w:rPr>
        <w:t>took note</w:t>
      </w:r>
      <w:r w:rsidR="00D57D32" w:rsidRPr="005171D2">
        <w:t xml:space="preserve"> of the report and statements made.</w:t>
      </w:r>
    </w:p>
    <w:p w14:paraId="67B4E8D0" w14:textId="77777777" w:rsidR="00410DCC" w:rsidRPr="005171D2" w:rsidRDefault="00D15DF4" w:rsidP="00D561F7">
      <w:pPr>
        <w:pStyle w:val="Heading1"/>
      </w:pPr>
      <w:bookmarkStart w:id="26" w:name="_Toc63067730"/>
      <w:r w:rsidRPr="005171D2">
        <w:lastRenderedPageBreak/>
        <w:t>"UNITED STATES: REVISED ORIGIN MARKING REQUIREMENT FOR GOODS PRODUCED IN HONG KONG" – STATEMENT BY HONG KONG, CHINA</w:t>
      </w:r>
      <w:bookmarkEnd w:id="26"/>
    </w:p>
    <w:p w14:paraId="432ED05C" w14:textId="288173EE" w:rsidR="00906E5D" w:rsidRPr="005171D2" w:rsidRDefault="00906E5D" w:rsidP="00906E5D">
      <w:pPr>
        <w:pStyle w:val="BodyText"/>
      </w:pPr>
      <w:r w:rsidRPr="005171D2">
        <w:t xml:space="preserve">The representative of </w:t>
      </w:r>
      <w:r w:rsidRPr="005171D2">
        <w:rPr>
          <w:u w:val="single"/>
        </w:rPr>
        <w:t>Hong Kong, China</w:t>
      </w:r>
      <w:r w:rsidRPr="005171D2">
        <w:t xml:space="preserve"> informed the Committee that, on 11</w:t>
      </w:r>
      <w:r w:rsidR="0053747C" w:rsidRPr="005171D2">
        <w:t> </w:t>
      </w:r>
      <w:r w:rsidRPr="005171D2">
        <w:t>August</w:t>
      </w:r>
      <w:r w:rsidR="0053747C" w:rsidRPr="005171D2">
        <w:t> </w:t>
      </w:r>
      <w:r w:rsidRPr="005171D2">
        <w:t>2020, the US</w:t>
      </w:r>
      <w:r w:rsidR="0053747C" w:rsidRPr="005171D2">
        <w:t> </w:t>
      </w:r>
      <w:r w:rsidRPr="005171D2">
        <w:t>Customs and Border Protection (USCBP) had announced a revised origin marking requirement. Under the new requirement, goods produced in Hong Kong and imported to the US could no longer be marked "Hong Kong" as their origin but had to be marked "China" instead for purposes of Section</w:t>
      </w:r>
      <w:r w:rsidR="0053747C" w:rsidRPr="005171D2">
        <w:t> </w:t>
      </w:r>
      <w:r w:rsidRPr="005171D2">
        <w:t xml:space="preserve">304 of the Tariff Act of 1930, 19 U.S.C. § 1304. The revised origin marking requirement had come into effect </w:t>
      </w:r>
      <w:r w:rsidR="007A4421" w:rsidRPr="005171D2">
        <w:t xml:space="preserve">on </w:t>
      </w:r>
      <w:r w:rsidRPr="005171D2">
        <w:t>10</w:t>
      </w:r>
      <w:r w:rsidR="0053747C" w:rsidRPr="005171D2">
        <w:t> </w:t>
      </w:r>
      <w:r w:rsidRPr="005171D2">
        <w:t>November</w:t>
      </w:r>
      <w:r w:rsidR="0053747C" w:rsidRPr="005171D2">
        <w:t> </w:t>
      </w:r>
      <w:r w:rsidRPr="005171D2">
        <w:t>2020. Her delegation strongly objected to this revised origin marking requirement and requested that it be withdrawn immediately. By unilaterally and arbitrarily dictating the name of the place of production or the identification to be shown on Hong Kong products, the US had disregarded the obvious fact that Hong Kong was a separate customs territory</w:t>
      </w:r>
      <w:r w:rsidR="007A4421" w:rsidRPr="005171D2">
        <w:t>,</w:t>
      </w:r>
      <w:r w:rsidRPr="005171D2">
        <w:t xml:space="preserve"> with its own trade policies and origin rules</w:t>
      </w:r>
      <w:r w:rsidR="007A4421" w:rsidRPr="005171D2">
        <w:t>,</w:t>
      </w:r>
      <w:r w:rsidRPr="005171D2">
        <w:t xml:space="preserve"> as well as being a full </w:t>
      </w:r>
      <w:r w:rsidR="007A4421" w:rsidRPr="005171D2">
        <w:t xml:space="preserve">Member </w:t>
      </w:r>
      <w:r w:rsidRPr="005171D2">
        <w:t>of the WTO. The</w:t>
      </w:r>
      <w:r w:rsidR="001D65F3">
        <w:t> </w:t>
      </w:r>
      <w:r w:rsidRPr="005171D2">
        <w:t>US</w:t>
      </w:r>
      <w:r w:rsidR="007A4421" w:rsidRPr="005171D2">
        <w:t> </w:t>
      </w:r>
      <w:r w:rsidRPr="005171D2">
        <w:t>requirement had also resulted in difficulties and an additional burden to the business communities of both sides</w:t>
      </w:r>
      <w:r w:rsidR="007A4421" w:rsidRPr="005171D2">
        <w:t>,</w:t>
      </w:r>
      <w:r w:rsidRPr="005171D2">
        <w:t xml:space="preserve"> as well as confusion to consumers in the US. Hong Kong, China was concerned that the US</w:t>
      </w:r>
      <w:r w:rsidR="007A4421" w:rsidRPr="005171D2">
        <w:t> </w:t>
      </w:r>
      <w:r w:rsidRPr="005171D2">
        <w:t>measure was inconsistent with the US' obligations under multiple provisions of the WTO</w:t>
      </w:r>
      <w:r w:rsidR="0053747C" w:rsidRPr="005171D2">
        <w:t> </w:t>
      </w:r>
      <w:r w:rsidR="007A4421" w:rsidRPr="005171D2">
        <w:t>Agreements</w:t>
      </w:r>
      <w:r w:rsidRPr="005171D2">
        <w:t>, including the rules set forth in the Agreement on Rules of Origin (ARO)</w:t>
      </w:r>
      <w:r w:rsidR="007A4421" w:rsidRPr="005171D2">
        <w:t>,</w:t>
      </w:r>
      <w:r w:rsidRPr="005171D2">
        <w:t xml:space="preserve"> which aim</w:t>
      </w:r>
      <w:r w:rsidR="007A4421" w:rsidRPr="005171D2">
        <w:t>ed</w:t>
      </w:r>
      <w:r w:rsidRPr="005171D2">
        <w:t xml:space="preserve"> to ensure that WTO</w:t>
      </w:r>
      <w:r w:rsidR="0053747C" w:rsidRPr="005171D2">
        <w:t> </w:t>
      </w:r>
      <w:r w:rsidRPr="005171D2">
        <w:t xml:space="preserve">Members' rules of origin </w:t>
      </w:r>
      <w:r w:rsidR="007A4421" w:rsidRPr="005171D2">
        <w:t xml:space="preserve">did </w:t>
      </w:r>
      <w:r w:rsidRPr="005171D2">
        <w:t>not create unnecessary obstacles to trade. In particular, with respect to the ARO, the US</w:t>
      </w:r>
      <w:r w:rsidR="007A4421" w:rsidRPr="005171D2">
        <w:t> </w:t>
      </w:r>
      <w:r w:rsidRPr="005171D2">
        <w:t xml:space="preserve">measure was inconsistent with, </w:t>
      </w:r>
      <w:r w:rsidRPr="005171D2">
        <w:rPr>
          <w:i/>
          <w:iCs/>
        </w:rPr>
        <w:t>inter alia</w:t>
      </w:r>
      <w:r w:rsidRPr="005171D2">
        <w:t>, the following provisions: first, Article</w:t>
      </w:r>
      <w:r w:rsidR="0053747C" w:rsidRPr="005171D2">
        <w:t> </w:t>
      </w:r>
      <w:r w:rsidRPr="005171D2">
        <w:t>2(c), because the US required the fulfilment of a certain condition not related to manufacturing or processing, as a prerequisite for the determination of the origin of goods produced in Hong Kong</w:t>
      </w:r>
      <w:r w:rsidR="001D65F3">
        <w:t>, China</w:t>
      </w:r>
      <w:r w:rsidR="007A4421" w:rsidRPr="005171D2">
        <w:t>; second</w:t>
      </w:r>
      <w:r w:rsidRPr="005171D2">
        <w:t>, Article</w:t>
      </w:r>
      <w:r w:rsidR="0053747C" w:rsidRPr="005171D2">
        <w:t> </w:t>
      </w:r>
      <w:r w:rsidRPr="005171D2">
        <w:t>2(d)</w:t>
      </w:r>
      <w:r w:rsidR="007A4421" w:rsidRPr="005171D2">
        <w:t>,</w:t>
      </w:r>
      <w:r w:rsidRPr="005171D2">
        <w:t xml:space="preserve"> because the US</w:t>
      </w:r>
      <w:r w:rsidR="007A4421" w:rsidRPr="005171D2">
        <w:t> </w:t>
      </w:r>
      <w:r w:rsidRPr="005171D2">
        <w:t>discriminated between Hong</w:t>
      </w:r>
      <w:r w:rsidR="001D65F3">
        <w:t> </w:t>
      </w:r>
      <w:r w:rsidRPr="005171D2">
        <w:t>Kong, China and other WTO</w:t>
      </w:r>
      <w:r w:rsidR="0053747C" w:rsidRPr="005171D2">
        <w:t> </w:t>
      </w:r>
      <w:r w:rsidRPr="005171D2">
        <w:t>Members in respect of the rules of origin that it applied to imports</w:t>
      </w:r>
      <w:r w:rsidR="007A4421" w:rsidRPr="005171D2">
        <w:t>; and third</w:t>
      </w:r>
      <w:r w:rsidRPr="005171D2">
        <w:t>, Article</w:t>
      </w:r>
      <w:r w:rsidR="0053747C" w:rsidRPr="005171D2">
        <w:t> </w:t>
      </w:r>
      <w:r w:rsidRPr="005171D2">
        <w:t>2(e)</w:t>
      </w:r>
      <w:r w:rsidR="007A4421" w:rsidRPr="005171D2">
        <w:t>,</w:t>
      </w:r>
      <w:r w:rsidRPr="005171D2">
        <w:t xml:space="preserve"> because the US did not administer its rules of origin in a consistent, uniform, impartial</w:t>
      </w:r>
      <w:r w:rsidR="007A4421" w:rsidRPr="005171D2">
        <w:t>,</w:t>
      </w:r>
      <w:r w:rsidRPr="005171D2">
        <w:t xml:space="preserve"> and reasonable manner. Over the past months, her delegation had been trying to resolve the matter with the US through bilateral engagement, but to no avail. The clear and strong objection raised at the October</w:t>
      </w:r>
      <w:r w:rsidR="0053747C" w:rsidRPr="005171D2">
        <w:t> </w:t>
      </w:r>
      <w:r w:rsidRPr="005171D2">
        <w:t>meetings of the General Council, the Committee on Trade Facilitation, and the Committee on Technical Barriers to Trade</w:t>
      </w:r>
      <w:r w:rsidR="007A4421" w:rsidRPr="005171D2">
        <w:t>,</w:t>
      </w:r>
      <w:r w:rsidRPr="005171D2">
        <w:t xml:space="preserve"> had also not </w:t>
      </w:r>
      <w:r w:rsidR="007A4421" w:rsidRPr="005171D2">
        <w:t xml:space="preserve">resulted in </w:t>
      </w:r>
      <w:r w:rsidRPr="005171D2">
        <w:t xml:space="preserve">any concrete response. </w:t>
      </w:r>
      <w:r w:rsidR="007A4421" w:rsidRPr="005171D2">
        <w:t>Consequently</w:t>
      </w:r>
      <w:r w:rsidRPr="005171D2">
        <w:t>, on 30</w:t>
      </w:r>
      <w:r w:rsidR="001D65F3">
        <w:t xml:space="preserve"> </w:t>
      </w:r>
      <w:r w:rsidRPr="005171D2">
        <w:t>October, her government had requested consultations with the US</w:t>
      </w:r>
      <w:r w:rsidR="007A4421" w:rsidRPr="005171D2">
        <w:t>,</w:t>
      </w:r>
      <w:r w:rsidRPr="005171D2">
        <w:t xml:space="preserve"> in accordance with the rules and procedures of the WTO</w:t>
      </w:r>
      <w:r w:rsidR="007A4421" w:rsidRPr="005171D2">
        <w:t> </w:t>
      </w:r>
      <w:r w:rsidRPr="005171D2">
        <w:t>dispute settlement mechanism and the relevant provisions of the WTO</w:t>
      </w:r>
      <w:r w:rsidR="0053747C" w:rsidRPr="005171D2">
        <w:t> </w:t>
      </w:r>
      <w:r w:rsidR="007A4421" w:rsidRPr="005171D2">
        <w:t xml:space="preserve">Agreements, </w:t>
      </w:r>
      <w:r w:rsidRPr="005171D2">
        <w:t xml:space="preserve">with a view to resolving the matter through bilateral efforts. </w:t>
      </w:r>
      <w:r w:rsidR="007A4421" w:rsidRPr="005171D2">
        <w:t xml:space="preserve">In conclusion, she noted that </w:t>
      </w:r>
      <w:r w:rsidRPr="005171D2">
        <w:t>Hong Kong, China</w:t>
      </w:r>
      <w:r w:rsidR="007A4421" w:rsidRPr="005171D2">
        <w:t xml:space="preserve"> </w:t>
      </w:r>
      <w:r w:rsidRPr="005171D2">
        <w:t>was a staunch supporter of the rules-based multilateral trading system</w:t>
      </w:r>
      <w:r w:rsidR="007A4421" w:rsidRPr="005171D2">
        <w:t xml:space="preserve">; it </w:t>
      </w:r>
      <w:r w:rsidRPr="005171D2">
        <w:t>took the rights and obligations of the WTO seriously and expected all WTO</w:t>
      </w:r>
      <w:r w:rsidR="0053747C" w:rsidRPr="005171D2">
        <w:t> </w:t>
      </w:r>
      <w:r w:rsidRPr="005171D2">
        <w:t xml:space="preserve">Members </w:t>
      </w:r>
      <w:r w:rsidR="007A4421" w:rsidRPr="005171D2">
        <w:t xml:space="preserve">likewise </w:t>
      </w:r>
      <w:r w:rsidRPr="005171D2">
        <w:t xml:space="preserve">to respect </w:t>
      </w:r>
      <w:r w:rsidR="007A4421" w:rsidRPr="005171D2">
        <w:t xml:space="preserve">the </w:t>
      </w:r>
      <w:r w:rsidRPr="005171D2">
        <w:t>WTO</w:t>
      </w:r>
      <w:r w:rsidR="0053747C" w:rsidRPr="005171D2">
        <w:t> </w:t>
      </w:r>
      <w:r w:rsidRPr="005171D2">
        <w:t xml:space="preserve">rules and </w:t>
      </w:r>
      <w:r w:rsidR="007A4421" w:rsidRPr="005171D2">
        <w:t xml:space="preserve">to </w:t>
      </w:r>
      <w:r w:rsidRPr="005171D2">
        <w:t xml:space="preserve">honour their </w:t>
      </w:r>
      <w:r w:rsidR="007A4421" w:rsidRPr="005171D2">
        <w:t>WTO </w:t>
      </w:r>
      <w:r w:rsidRPr="005171D2">
        <w:t xml:space="preserve">commitments. She again </w:t>
      </w:r>
      <w:r w:rsidR="007A4421" w:rsidRPr="005171D2">
        <w:t xml:space="preserve">urged </w:t>
      </w:r>
      <w:r w:rsidRPr="005171D2">
        <w:t xml:space="preserve">the US immediately </w:t>
      </w:r>
      <w:r w:rsidR="007A4421" w:rsidRPr="005171D2">
        <w:t xml:space="preserve">to withdraw </w:t>
      </w:r>
      <w:r w:rsidRPr="005171D2">
        <w:t>its revised origin marking requirement on Hong Kong products.</w:t>
      </w:r>
    </w:p>
    <w:p w14:paraId="75FC21E0" w14:textId="496A8F33" w:rsidR="00906E5D" w:rsidRPr="005171D2" w:rsidRDefault="00906E5D" w:rsidP="00906E5D">
      <w:pPr>
        <w:pStyle w:val="BodyText"/>
      </w:pPr>
      <w:r w:rsidRPr="005171D2">
        <w:t xml:space="preserve">The </w:t>
      </w:r>
      <w:r w:rsidRPr="005171D2">
        <w:rPr>
          <w:u w:val="single"/>
        </w:rPr>
        <w:t>United States</w:t>
      </w:r>
      <w:r w:rsidRPr="005171D2">
        <w:t xml:space="preserve"> delegation confirmed that, on 30</w:t>
      </w:r>
      <w:r w:rsidR="001D65F3">
        <w:t xml:space="preserve"> </w:t>
      </w:r>
      <w:r w:rsidRPr="005171D2">
        <w:t>October</w:t>
      </w:r>
      <w:r w:rsidR="001D65F3">
        <w:t xml:space="preserve"> </w:t>
      </w:r>
      <w:r w:rsidRPr="005171D2">
        <w:t>2020, Hong Kong, China had requested consultations under the Dispute Settlement Understanding regarding what it characterized as "certain measures affecting marks of origin". The United States had replied to that request on 9</w:t>
      </w:r>
      <w:r w:rsidR="0053747C" w:rsidRPr="005171D2">
        <w:t> </w:t>
      </w:r>
      <w:r w:rsidRPr="005171D2">
        <w:t>November</w:t>
      </w:r>
      <w:r w:rsidR="0053747C" w:rsidRPr="005171D2">
        <w:t> </w:t>
      </w:r>
      <w:r w:rsidRPr="005171D2">
        <w:t>2020. As had been reflected in the U</w:t>
      </w:r>
      <w:r w:rsidR="00D600D2" w:rsidRPr="005171D2">
        <w:t>S</w:t>
      </w:r>
      <w:r w:rsidRPr="005171D2">
        <w:t xml:space="preserve"> response, the President had determined that the situation in Hong Kong, China was a threat to the national security of the United States. Without</w:t>
      </w:r>
      <w:r w:rsidR="001D65F3">
        <w:t> </w:t>
      </w:r>
      <w:r w:rsidRPr="005171D2">
        <w:t>prejudice to whether the consultations request raised issues of national security not susceptible to review or capable of resolution by the WTO</w:t>
      </w:r>
      <w:r w:rsidR="0053747C" w:rsidRPr="005171D2">
        <w:t> </w:t>
      </w:r>
      <w:r w:rsidRPr="005171D2">
        <w:t>dispute settlement</w:t>
      </w:r>
      <w:r w:rsidR="006B578A" w:rsidRPr="005171D2">
        <w:t xml:space="preserve"> mechanism</w:t>
      </w:r>
      <w:r w:rsidRPr="005171D2">
        <w:t xml:space="preserve">, her delegation had accepted the request to </w:t>
      </w:r>
      <w:proofErr w:type="gramStart"/>
      <w:r w:rsidRPr="005171D2">
        <w:t>enter into</w:t>
      </w:r>
      <w:proofErr w:type="gramEnd"/>
      <w:r w:rsidRPr="005171D2">
        <w:t xml:space="preserve"> consultations. As such, her delegation did not understand why Hong Kong, China was raising this issue in this Committee.</w:t>
      </w:r>
    </w:p>
    <w:p w14:paraId="193E022B" w14:textId="52BE1E54" w:rsidR="005E3D82" w:rsidRPr="005171D2" w:rsidRDefault="00906E5D" w:rsidP="00906E5D">
      <w:pPr>
        <w:pStyle w:val="BodyText"/>
      </w:pPr>
      <w:r w:rsidRPr="005171D2">
        <w:t xml:space="preserve">The Committee </w:t>
      </w:r>
      <w:r w:rsidRPr="005171D2">
        <w:rPr>
          <w:u w:val="single"/>
        </w:rPr>
        <w:t>took note</w:t>
      </w:r>
      <w:r w:rsidRPr="005171D2">
        <w:t xml:space="preserve"> of the statements made.</w:t>
      </w:r>
    </w:p>
    <w:p w14:paraId="7AE5E384" w14:textId="77777777" w:rsidR="00600119" w:rsidRPr="005171D2" w:rsidRDefault="00D15DF4" w:rsidP="00D561F7">
      <w:pPr>
        <w:pStyle w:val="Heading1"/>
      </w:pPr>
      <w:bookmarkStart w:id="27" w:name="_Toc63067731"/>
      <w:r w:rsidRPr="005171D2">
        <w:t>TWENTY-SIXTH ANNUAL REVIEW OF THE IMPLEMENTATION AND OPERATION OF THE AGREEMENT ON RULES OF ORIGIN (G/RO/W/199)</w:t>
      </w:r>
      <w:bookmarkEnd w:id="27"/>
    </w:p>
    <w:p w14:paraId="4B120170" w14:textId="492B9774" w:rsidR="00704214" w:rsidRPr="005171D2" w:rsidRDefault="00704214" w:rsidP="00704214">
      <w:pPr>
        <w:pStyle w:val="BodyText"/>
      </w:pPr>
      <w:r w:rsidRPr="005171D2">
        <w:t xml:space="preserve">The </w:t>
      </w:r>
      <w:r w:rsidRPr="005171D2">
        <w:rPr>
          <w:u w:val="single"/>
        </w:rPr>
        <w:t>Chairperson</w:t>
      </w:r>
      <w:r w:rsidRPr="005171D2">
        <w:t xml:space="preserve"> recalled that Article</w:t>
      </w:r>
      <w:r w:rsidR="0053747C" w:rsidRPr="005171D2">
        <w:t> </w:t>
      </w:r>
      <w:r w:rsidRPr="005171D2">
        <w:t>6.1 of the Agreement on Rules of Origin stated that "the Committee shall review annually the implementation and operation" of this Agreement and "annually inform the Council for Trade in Goods of developments". To help the Committee conduct this review, the Secretariat had prepared a background note describing the activities of the Committee under Parts</w:t>
      </w:r>
      <w:r w:rsidR="0053747C" w:rsidRPr="005171D2">
        <w:t> </w:t>
      </w:r>
      <w:r w:rsidRPr="005171D2">
        <w:t>II and III of the Agreement (G/RO/W/199).</w:t>
      </w:r>
    </w:p>
    <w:p w14:paraId="0CCDF6C3" w14:textId="6CBE0755" w:rsidR="00704214" w:rsidRPr="005171D2" w:rsidRDefault="00704214" w:rsidP="00704214">
      <w:pPr>
        <w:pStyle w:val="BodyText"/>
      </w:pPr>
      <w:r w:rsidRPr="005171D2">
        <w:t xml:space="preserve">The representative of the </w:t>
      </w:r>
      <w:r w:rsidRPr="005171D2">
        <w:rPr>
          <w:u w:val="single"/>
        </w:rPr>
        <w:t>United States</w:t>
      </w:r>
      <w:r w:rsidRPr="005171D2">
        <w:t xml:space="preserve"> requested a written procedure </w:t>
      </w:r>
      <w:r w:rsidR="00A430A3" w:rsidRPr="005171D2">
        <w:t xml:space="preserve">for Members </w:t>
      </w:r>
      <w:r w:rsidRPr="005171D2">
        <w:t xml:space="preserve">to review the text of this report and proposed revisions, </w:t>
      </w:r>
      <w:proofErr w:type="gramStart"/>
      <w:r w:rsidRPr="005171D2">
        <w:t>in light of</w:t>
      </w:r>
      <w:proofErr w:type="gramEnd"/>
      <w:r w:rsidRPr="005171D2">
        <w:t xml:space="preserve"> this meeting, before the report was finalized and approved. Her delegation expected changes to be made to the following paragraphs: Paragraph</w:t>
      </w:r>
      <w:r w:rsidR="0053747C" w:rsidRPr="005171D2">
        <w:t> </w:t>
      </w:r>
      <w:r w:rsidRPr="005171D2">
        <w:t xml:space="preserve">10.1 (which indicated that there were no disputes with respect to the Rules of Origin </w:t>
      </w:r>
      <w:r w:rsidRPr="005171D2">
        <w:lastRenderedPageBreak/>
        <w:t>Agreement); and Paragraph</w:t>
      </w:r>
      <w:r w:rsidR="0053747C" w:rsidRPr="005171D2">
        <w:t> </w:t>
      </w:r>
      <w:r w:rsidRPr="005171D2">
        <w:t xml:space="preserve">12.1 (to indicate that the </w:t>
      </w:r>
      <w:r w:rsidR="00D600D2" w:rsidRPr="005171D2">
        <w:t>Council for Trade in Goods (</w:t>
      </w:r>
      <w:r w:rsidRPr="005171D2">
        <w:t>CTG</w:t>
      </w:r>
      <w:r w:rsidR="00D600D2" w:rsidRPr="005171D2">
        <w:t>)</w:t>
      </w:r>
      <w:r w:rsidRPr="005171D2">
        <w:t xml:space="preserve"> Report was not in fact adopted during the meeting</w:t>
      </w:r>
      <w:r w:rsidR="00503279" w:rsidRPr="005171D2">
        <w:t>,</w:t>
      </w:r>
      <w:r w:rsidRPr="005171D2">
        <w:t xml:space="preserve"> but through written procedures).</w:t>
      </w:r>
    </w:p>
    <w:p w14:paraId="54805ED8" w14:textId="512C48AE" w:rsidR="00704214" w:rsidRPr="005171D2" w:rsidRDefault="00F373D9" w:rsidP="00704214">
      <w:pPr>
        <w:pStyle w:val="BodyText"/>
      </w:pPr>
      <w:r w:rsidRPr="005171D2">
        <w:t>The</w:t>
      </w:r>
      <w:r w:rsidR="00704214" w:rsidRPr="005171D2">
        <w:t xml:space="preserve"> representative of </w:t>
      </w:r>
      <w:r w:rsidR="00704214" w:rsidRPr="005171D2">
        <w:rPr>
          <w:u w:val="single"/>
        </w:rPr>
        <w:t>Hong Kong, China</w:t>
      </w:r>
      <w:r w:rsidR="00704214" w:rsidRPr="005171D2">
        <w:t xml:space="preserve"> also asked for paragraph</w:t>
      </w:r>
      <w:r w:rsidR="0053747C" w:rsidRPr="005171D2">
        <w:t> </w:t>
      </w:r>
      <w:r w:rsidR="00704214" w:rsidRPr="005171D2">
        <w:t xml:space="preserve">10 of the report to be updated </w:t>
      </w:r>
      <w:proofErr w:type="gramStart"/>
      <w:r w:rsidR="00704214" w:rsidRPr="005171D2">
        <w:t>in light of</w:t>
      </w:r>
      <w:proofErr w:type="gramEnd"/>
      <w:r w:rsidR="00704214" w:rsidRPr="005171D2">
        <w:t xml:space="preserve"> the discussions held during the meeting.</w:t>
      </w:r>
    </w:p>
    <w:p w14:paraId="6DE6D59F" w14:textId="7252F785" w:rsidR="007B5EDD" w:rsidRPr="005171D2" w:rsidRDefault="00503279" w:rsidP="007B5EDD">
      <w:pPr>
        <w:pStyle w:val="BodyText"/>
      </w:pPr>
      <w:r w:rsidRPr="005171D2">
        <w:t>The</w:t>
      </w:r>
      <w:r w:rsidR="007B5EDD" w:rsidRPr="005171D2">
        <w:t xml:space="preserve"> </w:t>
      </w:r>
      <w:r w:rsidR="007B5EDD" w:rsidRPr="005171D2">
        <w:rPr>
          <w:u w:val="single"/>
        </w:rPr>
        <w:t>Chairperson</w:t>
      </w:r>
      <w:r w:rsidR="007B5EDD" w:rsidRPr="005171D2">
        <w:t xml:space="preserve"> proposed</w:t>
      </w:r>
      <w:r w:rsidRPr="005171D2">
        <w:t xml:space="preserve">, </w:t>
      </w:r>
      <w:proofErr w:type="gramStart"/>
      <w:r w:rsidRPr="005171D2">
        <w:t>in light of</w:t>
      </w:r>
      <w:proofErr w:type="gramEnd"/>
      <w:r w:rsidRPr="005171D2">
        <w:t xml:space="preserve"> Members' comments,</w:t>
      </w:r>
      <w:r w:rsidR="007B5EDD" w:rsidRPr="005171D2">
        <w:t xml:space="preserve"> that the Committee </w:t>
      </w:r>
      <w:r w:rsidRPr="005171D2">
        <w:t xml:space="preserve">request </w:t>
      </w:r>
      <w:r w:rsidR="007B5EDD" w:rsidRPr="005171D2">
        <w:t xml:space="preserve">the Secretariat to revise the draft report </w:t>
      </w:r>
      <w:r w:rsidR="006011FB" w:rsidRPr="005171D2">
        <w:t xml:space="preserve">before circulating it </w:t>
      </w:r>
      <w:r w:rsidR="007B5EDD" w:rsidRPr="005171D2">
        <w:t>to Members. If no objections were received by the Secretariat within a prescribed time</w:t>
      </w:r>
      <w:r w:rsidR="00340567" w:rsidRPr="005171D2">
        <w:noBreakHyphen/>
      </w:r>
      <w:r w:rsidR="007B5EDD" w:rsidRPr="005171D2">
        <w:t>frame, he would deem that the report had been adopted and that the Committee had concluded its 26</w:t>
      </w:r>
      <w:r w:rsidR="007B5EDD" w:rsidRPr="005171D2">
        <w:rPr>
          <w:vertAlign w:val="superscript"/>
        </w:rPr>
        <w:t>th</w:t>
      </w:r>
      <w:r w:rsidR="006011FB" w:rsidRPr="005171D2">
        <w:t> </w:t>
      </w:r>
      <w:r w:rsidR="007B5EDD" w:rsidRPr="005171D2">
        <w:t>Annual Review of the implementation of the Agreement.</w:t>
      </w:r>
    </w:p>
    <w:p w14:paraId="60562C1F" w14:textId="799D769B" w:rsidR="00600119" w:rsidRPr="005171D2" w:rsidRDefault="00704214" w:rsidP="00704214">
      <w:pPr>
        <w:pStyle w:val="BodyText"/>
      </w:pPr>
      <w:r w:rsidRPr="005171D2">
        <w:t xml:space="preserve">It was so </w:t>
      </w:r>
      <w:r w:rsidRPr="005171D2">
        <w:rPr>
          <w:u w:val="single"/>
        </w:rPr>
        <w:t>agreed</w:t>
      </w:r>
      <w:r w:rsidR="00491DE3" w:rsidRPr="005171D2">
        <w:t>.</w:t>
      </w:r>
    </w:p>
    <w:p w14:paraId="28DC0C99" w14:textId="6A89DF44" w:rsidR="00704214" w:rsidRPr="005171D2" w:rsidRDefault="00704214" w:rsidP="00704214">
      <w:pPr>
        <w:pStyle w:val="BodyText"/>
      </w:pPr>
      <w:r w:rsidRPr="005171D2">
        <w:t>The report was</w:t>
      </w:r>
      <w:r w:rsidR="007B5EDD" w:rsidRPr="005171D2">
        <w:t xml:space="preserve"> </w:t>
      </w:r>
      <w:r w:rsidR="007B5EDD" w:rsidRPr="005171D2">
        <w:rPr>
          <w:u w:val="single"/>
        </w:rPr>
        <w:t>revised</w:t>
      </w:r>
      <w:r w:rsidR="007B5EDD" w:rsidRPr="005171D2">
        <w:t xml:space="preserve"> and</w:t>
      </w:r>
      <w:r w:rsidRPr="005171D2">
        <w:t xml:space="preserve"> </w:t>
      </w:r>
      <w:r w:rsidRPr="005171D2">
        <w:rPr>
          <w:u w:val="single"/>
        </w:rPr>
        <w:t>adopted</w:t>
      </w:r>
      <w:r w:rsidRPr="005171D2">
        <w:t xml:space="preserve"> through written procedures on 20</w:t>
      </w:r>
      <w:r w:rsidR="001D65F3">
        <w:t xml:space="preserve"> </w:t>
      </w:r>
      <w:r w:rsidRPr="005171D2">
        <w:t>November</w:t>
      </w:r>
      <w:r w:rsidR="001D65F3">
        <w:t xml:space="preserve"> </w:t>
      </w:r>
      <w:r w:rsidRPr="005171D2">
        <w:t>2020 (G/RO/92).</w:t>
      </w:r>
    </w:p>
    <w:p w14:paraId="64E79420" w14:textId="77777777" w:rsidR="000850E5" w:rsidRPr="005171D2" w:rsidRDefault="00D15DF4" w:rsidP="00D561F7">
      <w:pPr>
        <w:pStyle w:val="Heading1"/>
      </w:pPr>
      <w:bookmarkStart w:id="28" w:name="_Toc63067732"/>
      <w:r w:rsidRPr="005171D2">
        <w:t>DRAFT REPORT (2020) OF THE CRO TO THE COUNCIL FOR TRADE IN GOODS (G/RO/W/200)</w:t>
      </w:r>
      <w:bookmarkEnd w:id="28"/>
    </w:p>
    <w:p w14:paraId="14874B98" w14:textId="63AC6683" w:rsidR="00D81CE7" w:rsidRPr="005171D2" w:rsidRDefault="006011FB" w:rsidP="00D81CE7">
      <w:pPr>
        <w:pStyle w:val="BodyText"/>
      </w:pPr>
      <w:r w:rsidRPr="005171D2">
        <w:t>The</w:t>
      </w:r>
      <w:r w:rsidR="00D81CE7" w:rsidRPr="005171D2">
        <w:t xml:space="preserve"> </w:t>
      </w:r>
      <w:r w:rsidR="00D81CE7" w:rsidRPr="005171D2">
        <w:rPr>
          <w:u w:val="single"/>
        </w:rPr>
        <w:t>Chairperson</w:t>
      </w:r>
      <w:r w:rsidR="00D81CE7" w:rsidRPr="005171D2">
        <w:t xml:space="preserve"> explained</w:t>
      </w:r>
      <w:r w:rsidR="007B5EDD" w:rsidRPr="005171D2">
        <w:t xml:space="preserve"> that</w:t>
      </w:r>
      <w:r w:rsidR="00D81CE7" w:rsidRPr="005171D2">
        <w:t xml:space="preserve"> the Committee was required to report </w:t>
      </w:r>
      <w:r w:rsidR="007B5EDD" w:rsidRPr="005171D2">
        <w:t>on its activities to</w:t>
      </w:r>
      <w:r w:rsidR="00D81CE7" w:rsidRPr="005171D2">
        <w:t xml:space="preserve"> the Council for Trade in Goods. </w:t>
      </w:r>
      <w:r w:rsidRPr="005171D2">
        <w:t xml:space="preserve">To this end, the </w:t>
      </w:r>
      <w:r w:rsidR="007B5EDD" w:rsidRPr="005171D2">
        <w:t>Secretariat had prepared d</w:t>
      </w:r>
      <w:r w:rsidR="00D81CE7" w:rsidRPr="005171D2">
        <w:t>ocument</w:t>
      </w:r>
      <w:r w:rsidR="0053747C" w:rsidRPr="005171D2">
        <w:t> </w:t>
      </w:r>
      <w:r w:rsidR="00D81CE7" w:rsidRPr="005171D2">
        <w:t>G/RO/W/200 for Members</w:t>
      </w:r>
      <w:r w:rsidRPr="005171D2">
        <w:t>'</w:t>
      </w:r>
      <w:r w:rsidR="00D81CE7" w:rsidRPr="005171D2">
        <w:t xml:space="preserve"> consideration.</w:t>
      </w:r>
    </w:p>
    <w:p w14:paraId="256BBB7F" w14:textId="67E59989" w:rsidR="00D81CE7" w:rsidRPr="005171D2" w:rsidRDefault="00D81CE7" w:rsidP="00D81CE7">
      <w:pPr>
        <w:pStyle w:val="BodyText"/>
      </w:pPr>
      <w:r w:rsidRPr="005171D2">
        <w:t xml:space="preserve">The representative of the </w:t>
      </w:r>
      <w:r w:rsidRPr="005171D2">
        <w:rPr>
          <w:u w:val="single"/>
        </w:rPr>
        <w:t>United States</w:t>
      </w:r>
      <w:r w:rsidRPr="005171D2">
        <w:t xml:space="preserve"> informed Members that it had notified the Secretariat </w:t>
      </w:r>
      <w:r w:rsidR="006011FB" w:rsidRPr="005171D2">
        <w:t xml:space="preserve">of </w:t>
      </w:r>
      <w:r w:rsidRPr="005171D2">
        <w:t>changes</w:t>
      </w:r>
      <w:r w:rsidR="006011FB" w:rsidRPr="005171D2">
        <w:t xml:space="preserve"> to be made</w:t>
      </w:r>
      <w:r w:rsidRPr="005171D2">
        <w:t xml:space="preserve"> to paragraph</w:t>
      </w:r>
      <w:r w:rsidR="0053747C" w:rsidRPr="005171D2">
        <w:t> </w:t>
      </w:r>
      <w:r w:rsidRPr="005171D2">
        <w:t xml:space="preserve">8 of the draft report. As a result, her delegation requested a written procedure to review the text of this report and </w:t>
      </w:r>
      <w:r w:rsidR="006011FB" w:rsidRPr="005171D2">
        <w:t xml:space="preserve">to </w:t>
      </w:r>
      <w:r w:rsidRPr="005171D2">
        <w:t>propose revisions to the Membership before the report was finalized and approved.</w:t>
      </w:r>
    </w:p>
    <w:p w14:paraId="6178C2CB" w14:textId="6E4016D3" w:rsidR="00D81CE7" w:rsidRPr="005171D2" w:rsidRDefault="00D81CE7" w:rsidP="00D81CE7">
      <w:pPr>
        <w:pStyle w:val="BodyText"/>
      </w:pPr>
      <w:r w:rsidRPr="005171D2">
        <w:t xml:space="preserve">The </w:t>
      </w:r>
      <w:r w:rsidRPr="005171D2">
        <w:rPr>
          <w:u w:val="single"/>
        </w:rPr>
        <w:t>Chairperson</w:t>
      </w:r>
      <w:r w:rsidRPr="005171D2">
        <w:t xml:space="preserve"> therefore proposed to </w:t>
      </w:r>
      <w:r w:rsidR="006011FB" w:rsidRPr="005171D2">
        <w:t xml:space="preserve">request </w:t>
      </w:r>
      <w:r w:rsidRPr="005171D2">
        <w:t xml:space="preserve">the Secretariat to revise the report </w:t>
      </w:r>
      <w:proofErr w:type="gramStart"/>
      <w:r w:rsidRPr="005171D2">
        <w:t>in light of</w:t>
      </w:r>
      <w:proofErr w:type="gramEnd"/>
      <w:r w:rsidRPr="005171D2">
        <w:t xml:space="preserve"> the comments made during the meeting and </w:t>
      </w:r>
      <w:r w:rsidR="006011FB" w:rsidRPr="005171D2">
        <w:t xml:space="preserve">to </w:t>
      </w:r>
      <w:r w:rsidRPr="005171D2">
        <w:t>circulate it</w:t>
      </w:r>
      <w:r w:rsidR="007B5EDD" w:rsidRPr="005171D2">
        <w:t xml:space="preserve"> to Members</w:t>
      </w:r>
      <w:r w:rsidRPr="005171D2">
        <w:t>. If no objections were received within a given time</w:t>
      </w:r>
      <w:r w:rsidR="00340567" w:rsidRPr="005171D2">
        <w:noBreakHyphen/>
      </w:r>
      <w:r w:rsidRPr="005171D2">
        <w:t>frame, the report would be deemed to</w:t>
      </w:r>
      <w:r w:rsidR="006011FB" w:rsidRPr="005171D2">
        <w:t xml:space="preserve"> have</w:t>
      </w:r>
      <w:r w:rsidRPr="005171D2">
        <w:t xml:space="preserve"> be</w:t>
      </w:r>
      <w:r w:rsidR="006011FB" w:rsidRPr="005171D2">
        <w:t>en</w:t>
      </w:r>
      <w:r w:rsidRPr="005171D2">
        <w:t xml:space="preserve"> adopted.</w:t>
      </w:r>
    </w:p>
    <w:p w14:paraId="232A7AED" w14:textId="559B159E" w:rsidR="000850E5" w:rsidRPr="005171D2" w:rsidRDefault="00D81CE7" w:rsidP="00ED5C63">
      <w:pPr>
        <w:pStyle w:val="BodyText"/>
      </w:pPr>
      <w:r w:rsidRPr="005171D2">
        <w:t xml:space="preserve">It was so </w:t>
      </w:r>
      <w:r w:rsidRPr="005171D2">
        <w:rPr>
          <w:u w:val="single"/>
        </w:rPr>
        <w:t>agreed.</w:t>
      </w:r>
    </w:p>
    <w:p w14:paraId="458DC6A9" w14:textId="19983BF0" w:rsidR="00D81CE7" w:rsidRPr="005171D2" w:rsidRDefault="00D81CE7" w:rsidP="00D81CE7">
      <w:pPr>
        <w:pStyle w:val="BodyText"/>
      </w:pPr>
      <w:r w:rsidRPr="005171D2">
        <w:t>The report was</w:t>
      </w:r>
      <w:r w:rsidR="007B5EDD" w:rsidRPr="005171D2">
        <w:t xml:space="preserve"> </w:t>
      </w:r>
      <w:r w:rsidR="007B5EDD" w:rsidRPr="005171D2">
        <w:rPr>
          <w:u w:val="single"/>
        </w:rPr>
        <w:t>revise</w:t>
      </w:r>
      <w:r w:rsidR="00454A66" w:rsidRPr="005171D2">
        <w:rPr>
          <w:u w:val="single"/>
        </w:rPr>
        <w:t>d</w:t>
      </w:r>
      <w:r w:rsidR="007B5EDD" w:rsidRPr="005171D2">
        <w:t xml:space="preserve"> and</w:t>
      </w:r>
      <w:r w:rsidRPr="005171D2">
        <w:t xml:space="preserve"> </w:t>
      </w:r>
      <w:r w:rsidRPr="005171D2">
        <w:rPr>
          <w:u w:val="single"/>
        </w:rPr>
        <w:t>adopted</w:t>
      </w:r>
      <w:r w:rsidRPr="005171D2">
        <w:t xml:space="preserve"> through written procedures on 20</w:t>
      </w:r>
      <w:r w:rsidR="0053747C" w:rsidRPr="005171D2">
        <w:t> </w:t>
      </w:r>
      <w:r w:rsidRPr="005171D2">
        <w:t>November</w:t>
      </w:r>
      <w:r w:rsidR="0053747C" w:rsidRPr="005171D2">
        <w:t> </w:t>
      </w:r>
      <w:r w:rsidRPr="005171D2">
        <w:t>2020 (G/L/1378).</w:t>
      </w:r>
    </w:p>
    <w:p w14:paraId="2FBA8DC5" w14:textId="77777777" w:rsidR="004F0C58" w:rsidRPr="005171D2" w:rsidRDefault="004F0C58" w:rsidP="00C859D0">
      <w:pPr>
        <w:pStyle w:val="Heading1"/>
      </w:pPr>
      <w:bookmarkStart w:id="29" w:name="_Toc39610319"/>
      <w:bookmarkStart w:id="30" w:name="_Toc63067733"/>
      <w:r w:rsidRPr="005171D2">
        <w:t>OTHER BUSINESS</w:t>
      </w:r>
      <w:bookmarkEnd w:id="29"/>
      <w:bookmarkEnd w:id="30"/>
    </w:p>
    <w:p w14:paraId="221F2ACE" w14:textId="63C83657" w:rsidR="002020EB" w:rsidRPr="005171D2" w:rsidRDefault="002020EB" w:rsidP="002020EB">
      <w:pPr>
        <w:pStyle w:val="BodyText"/>
      </w:pPr>
      <w:r w:rsidRPr="005171D2">
        <w:t xml:space="preserve">The </w:t>
      </w:r>
      <w:r w:rsidRPr="005171D2">
        <w:rPr>
          <w:u w:val="single"/>
        </w:rPr>
        <w:t>Chairperson</w:t>
      </w:r>
      <w:r w:rsidRPr="005171D2">
        <w:t xml:space="preserve"> informed Members that China and the EU had </w:t>
      </w:r>
      <w:r w:rsidR="00621392" w:rsidRPr="005171D2">
        <w:t xml:space="preserve">each </w:t>
      </w:r>
      <w:r w:rsidRPr="005171D2">
        <w:t>requested to make a statement under "</w:t>
      </w:r>
      <w:r w:rsidR="00DA7539" w:rsidRPr="005171D2">
        <w:t>Other Business</w:t>
      </w:r>
      <w:r w:rsidRPr="005171D2">
        <w:t>"</w:t>
      </w:r>
      <w:r w:rsidR="00DA7539" w:rsidRPr="005171D2">
        <w:t>.</w:t>
      </w:r>
    </w:p>
    <w:p w14:paraId="22DD96D6" w14:textId="02ABD348" w:rsidR="00D15DF4" w:rsidRPr="005171D2" w:rsidRDefault="00D81CE7" w:rsidP="008905A6">
      <w:pPr>
        <w:pStyle w:val="Heading2"/>
        <w:numPr>
          <w:ilvl w:val="1"/>
          <w:numId w:val="44"/>
        </w:numPr>
      </w:pPr>
      <w:bookmarkStart w:id="31" w:name="_Toc63067734"/>
      <w:r w:rsidRPr="005171D2">
        <w:t xml:space="preserve">China – Update on a </w:t>
      </w:r>
      <w:r w:rsidR="008905A6" w:rsidRPr="005171D2">
        <w:t xml:space="preserve">New System </w:t>
      </w:r>
      <w:r w:rsidRPr="005171D2">
        <w:t xml:space="preserve">for </w:t>
      </w:r>
      <w:r w:rsidR="008905A6" w:rsidRPr="005171D2">
        <w:t xml:space="preserve">Issuing </w:t>
      </w:r>
      <w:r w:rsidRPr="005171D2">
        <w:t xml:space="preserve">and </w:t>
      </w:r>
      <w:r w:rsidR="008905A6" w:rsidRPr="005171D2">
        <w:t xml:space="preserve">Printing Certificates </w:t>
      </w:r>
      <w:r w:rsidRPr="005171D2">
        <w:t xml:space="preserve">of </w:t>
      </w:r>
      <w:r w:rsidR="008905A6" w:rsidRPr="005171D2">
        <w:t>Preferential Origin</w:t>
      </w:r>
      <w:bookmarkEnd w:id="31"/>
    </w:p>
    <w:p w14:paraId="29F0422C" w14:textId="3FEB49C3" w:rsidR="00D15DF4" w:rsidRPr="005171D2" w:rsidRDefault="00CA22F3" w:rsidP="00D15DF4">
      <w:pPr>
        <w:pStyle w:val="BodyText"/>
      </w:pPr>
      <w:r w:rsidRPr="005171D2">
        <w:t xml:space="preserve">The representative of </w:t>
      </w:r>
      <w:r w:rsidRPr="005171D2">
        <w:rPr>
          <w:u w:val="single"/>
        </w:rPr>
        <w:t>China</w:t>
      </w:r>
      <w:r w:rsidRPr="005171D2">
        <w:t xml:space="preserve"> updated the Committee on China's recently launched "System for Issuing and Printing Certificates of Origin for Preferential Tariff Treatment". The system, implemented by </w:t>
      </w:r>
      <w:r w:rsidR="008905A6" w:rsidRPr="005171D2">
        <w:t xml:space="preserve">China </w:t>
      </w:r>
      <w:r w:rsidRPr="005171D2">
        <w:t>Customs on 10</w:t>
      </w:r>
      <w:r w:rsidR="001D65F3">
        <w:t xml:space="preserve"> </w:t>
      </w:r>
      <w:r w:rsidRPr="005171D2">
        <w:t>September</w:t>
      </w:r>
      <w:r w:rsidR="001D65F3">
        <w:t xml:space="preserve"> </w:t>
      </w:r>
      <w:r w:rsidRPr="005171D2">
        <w:t xml:space="preserve">2020, was an effort to further promote the implementation of special preferential tariff treatment measures for LDCs. The system allowed to issue certificates of origin online and was being piloted for imports from </w:t>
      </w:r>
      <w:r w:rsidR="001D65F3">
        <w:t>Niger;</w:t>
      </w:r>
      <w:r w:rsidRPr="005171D2">
        <w:t xml:space="preserve"> </w:t>
      </w:r>
      <w:r w:rsidR="001D65F3">
        <w:t>Ethiopia;</w:t>
      </w:r>
      <w:r w:rsidRPr="005171D2">
        <w:t xml:space="preserve"> and Mozambique. Competent authorities in the exporting beneficiary country could directly log </w:t>
      </w:r>
      <w:r w:rsidR="008905A6" w:rsidRPr="005171D2">
        <w:t xml:space="preserve">onto </w:t>
      </w:r>
      <w:r w:rsidRPr="005171D2">
        <w:t>the system through the Internet to issue a preferential certificate of origin. The system would automatically save the electronic information and send it to Chinese Customs for clearance management. Through this system, the certificate data and import declaration data were automatically compared, thereby facilitating operations, preventing origin fraud</w:t>
      </w:r>
      <w:r w:rsidR="008905A6" w:rsidRPr="005171D2">
        <w:t>,</w:t>
      </w:r>
      <w:r w:rsidRPr="005171D2">
        <w:t xml:space="preserve"> and improving customs efficiency. During a transition period, the system allowed, in addition, for printing blank certificates of origin. For the next step, based on the experience of the trial operation of the system, China Customs would consider launching the online Issuing System for other beneficiary countries. He concluded by explaining that the system would effectively promote the implementation of the Nairobi Ministerial Decisions.</w:t>
      </w:r>
    </w:p>
    <w:p w14:paraId="01274ED5" w14:textId="40150DA4" w:rsidR="00D15DF4" w:rsidRPr="005171D2" w:rsidRDefault="00D15DF4" w:rsidP="00D15DF4">
      <w:pPr>
        <w:pStyle w:val="Heading2"/>
      </w:pPr>
      <w:bookmarkStart w:id="32" w:name="_Toc63067735"/>
      <w:r w:rsidRPr="005171D2">
        <w:lastRenderedPageBreak/>
        <w:t>EU</w:t>
      </w:r>
      <w:r w:rsidR="00017D59" w:rsidRPr="005171D2">
        <w:t>'s Access2Markets Portal and Rules of Origin Self-Assessment (ROSA)</w:t>
      </w:r>
      <w:bookmarkEnd w:id="32"/>
    </w:p>
    <w:p w14:paraId="5E88FA2D" w14:textId="0C5EAD2A" w:rsidR="00017D59" w:rsidRPr="005171D2" w:rsidRDefault="00017D59" w:rsidP="00017D59">
      <w:pPr>
        <w:pStyle w:val="BodyText"/>
      </w:pPr>
      <w:r w:rsidRPr="005171D2">
        <w:t xml:space="preserve">The representative of the </w:t>
      </w:r>
      <w:r w:rsidRPr="005171D2">
        <w:rPr>
          <w:u w:val="single"/>
        </w:rPr>
        <w:t>European Union</w:t>
      </w:r>
      <w:r w:rsidRPr="005171D2">
        <w:t xml:space="preserve"> updated the Committee on the EU</w:t>
      </w:r>
      <w:r w:rsidR="001D65F3">
        <w:t>'</w:t>
      </w:r>
      <w:r w:rsidRPr="005171D2">
        <w:t>s new "Access2Markets Portal" which had been launched on 13</w:t>
      </w:r>
      <w:r w:rsidR="0053747C" w:rsidRPr="005171D2">
        <w:t> </w:t>
      </w:r>
      <w:r w:rsidRPr="005171D2">
        <w:t>October</w:t>
      </w:r>
      <w:r w:rsidR="0053747C" w:rsidRPr="005171D2">
        <w:t> </w:t>
      </w:r>
      <w:r w:rsidRPr="005171D2">
        <w:t xml:space="preserve">2020. </w:t>
      </w:r>
      <w:r w:rsidR="00952B94" w:rsidRPr="005171D2">
        <w:t xml:space="preserve">She explained that the </w:t>
      </w:r>
      <w:r w:rsidRPr="005171D2">
        <w:t>Portal was a very practical tool and guide for European companies on how to export from</w:t>
      </w:r>
      <w:r w:rsidR="00952B94" w:rsidRPr="005171D2">
        <w:t>,</w:t>
      </w:r>
      <w:r w:rsidRPr="005171D2">
        <w:t xml:space="preserve"> and how to import into</w:t>
      </w:r>
      <w:r w:rsidR="00952B94" w:rsidRPr="005171D2">
        <w:t>,</w:t>
      </w:r>
      <w:r w:rsidRPr="005171D2">
        <w:t xml:space="preserve"> the EU. It consolidated two</w:t>
      </w:r>
      <w:r w:rsidR="00952B94" w:rsidRPr="005171D2">
        <w:t> </w:t>
      </w:r>
      <w:r w:rsidRPr="005171D2">
        <w:t xml:space="preserve">very successful </w:t>
      </w:r>
      <w:r w:rsidR="00952B94" w:rsidRPr="005171D2">
        <w:t>EU </w:t>
      </w:r>
      <w:r w:rsidRPr="005171D2">
        <w:t xml:space="preserve">databases (the Trade Helpdesk and the Market Access Database) and had been developed in response to feedback and requests from stakeholders. It responded to the need </w:t>
      </w:r>
      <w:r w:rsidR="00952B94" w:rsidRPr="005171D2">
        <w:t xml:space="preserve">of </w:t>
      </w:r>
      <w:r w:rsidRPr="005171D2">
        <w:t>operators to access user</w:t>
      </w:r>
      <w:r w:rsidR="00952B94" w:rsidRPr="005171D2">
        <w:noBreakHyphen/>
      </w:r>
      <w:r w:rsidRPr="005171D2">
        <w:t xml:space="preserve">friendly and clear information </w:t>
      </w:r>
      <w:proofErr w:type="gramStart"/>
      <w:r w:rsidRPr="005171D2">
        <w:t>in order to</w:t>
      </w:r>
      <w:proofErr w:type="gramEnd"/>
      <w:r w:rsidRPr="005171D2">
        <w:t xml:space="preserve"> seize opportunities created through the EU's trade agreements. Hence, the Portal translated the </w:t>
      </w:r>
      <w:r w:rsidR="00AD4FD8" w:rsidRPr="005171D2">
        <w:t>often-complex</w:t>
      </w:r>
      <w:r w:rsidRPr="005171D2">
        <w:t xml:space="preserve"> legal terminology of free trade agreements into a user</w:t>
      </w:r>
      <w:r w:rsidR="00D600D2" w:rsidRPr="005171D2">
        <w:t>-</w:t>
      </w:r>
      <w:r w:rsidRPr="005171D2">
        <w:t xml:space="preserve">friendly and more accessible format. The Portal was easily searchable and provided specific information concerning trade-related regulations, such as tariffs, rules of origin, and internal taxes. In addition, it provided access to a database containing data </w:t>
      </w:r>
      <w:r w:rsidR="00952B94" w:rsidRPr="005171D2">
        <w:t xml:space="preserve">on </w:t>
      </w:r>
      <w:r w:rsidRPr="005171D2">
        <w:t>exports from the EU to over 120</w:t>
      </w:r>
      <w:r w:rsidR="0053747C" w:rsidRPr="005171D2">
        <w:t> </w:t>
      </w:r>
      <w:r w:rsidRPr="005171D2">
        <w:t xml:space="preserve">export markets, and included information about import tariffs, </w:t>
      </w:r>
      <w:r w:rsidR="00952B94" w:rsidRPr="005171D2">
        <w:t xml:space="preserve">and </w:t>
      </w:r>
      <w:r w:rsidRPr="005171D2">
        <w:t>internal taxes</w:t>
      </w:r>
      <w:r w:rsidR="00952B94" w:rsidRPr="005171D2">
        <w:t>,</w:t>
      </w:r>
      <w:r w:rsidRPr="005171D2">
        <w:t xml:space="preserve"> as well as a practical overview of formalities and procedures to be respected by exporters. The </w:t>
      </w:r>
      <w:r w:rsidR="00C43206" w:rsidRPr="005171D2">
        <w:t>P</w:t>
      </w:r>
      <w:r w:rsidRPr="005171D2">
        <w:t xml:space="preserve">ortal also offered a database with trade statistics on import and export volumes. The section </w:t>
      </w:r>
      <w:r w:rsidR="00BA1C5A" w:rsidRPr="005171D2">
        <w:t xml:space="preserve">relating </w:t>
      </w:r>
      <w:r w:rsidRPr="005171D2">
        <w:t xml:space="preserve">to rules of origin was well designed and very informative. It contained summaries of the most important provisions </w:t>
      </w:r>
      <w:r w:rsidR="00BA1C5A" w:rsidRPr="005171D2">
        <w:t xml:space="preserve">relating </w:t>
      </w:r>
      <w:r w:rsidRPr="005171D2">
        <w:t>to the origin protocols of every EU</w:t>
      </w:r>
      <w:r w:rsidR="0053747C" w:rsidRPr="005171D2">
        <w:t> </w:t>
      </w:r>
      <w:r w:rsidRPr="005171D2">
        <w:t xml:space="preserve">free trade agreement. It described specific requirements </w:t>
      </w:r>
      <w:proofErr w:type="gramStart"/>
      <w:r w:rsidRPr="005171D2">
        <w:t>and also</w:t>
      </w:r>
      <w:proofErr w:type="gramEnd"/>
      <w:r w:rsidRPr="005171D2">
        <w:t xml:space="preserve"> included an interactive and searchable database of terminology, definitions</w:t>
      </w:r>
      <w:r w:rsidR="00BA1C5A" w:rsidRPr="005171D2">
        <w:t>,</w:t>
      </w:r>
      <w:r w:rsidRPr="005171D2">
        <w:t xml:space="preserve"> and explanations. It</w:t>
      </w:r>
      <w:r w:rsidR="00B87C95">
        <w:t> </w:t>
      </w:r>
      <w:r w:rsidRPr="005171D2">
        <w:t>included direct links to the applicable provisions</w:t>
      </w:r>
      <w:r w:rsidR="00BA1C5A" w:rsidRPr="005171D2">
        <w:t>,</w:t>
      </w:r>
      <w:r w:rsidRPr="005171D2">
        <w:t xml:space="preserve"> including guidance documents developed over time. In this respect, an innovative feature</w:t>
      </w:r>
      <w:r w:rsidR="00BA1C5A" w:rsidRPr="005171D2">
        <w:t>,</w:t>
      </w:r>
      <w:r w:rsidRPr="005171D2">
        <w:t xml:space="preserve"> which complemented the Portal</w:t>
      </w:r>
      <w:r w:rsidR="00BA1C5A" w:rsidRPr="005171D2">
        <w:t>,</w:t>
      </w:r>
      <w:r w:rsidRPr="005171D2">
        <w:t xml:space="preserve"> was an interactive, self-assessment tool to check compliance with origin requirements. The Rules of Origin Self</w:t>
      </w:r>
      <w:r w:rsidR="00B87C95">
        <w:noBreakHyphen/>
      </w:r>
      <w:r w:rsidRPr="005171D2">
        <w:t xml:space="preserve">Assessment (ROSA) tool already </w:t>
      </w:r>
      <w:r w:rsidR="00BA1C5A" w:rsidRPr="005171D2">
        <w:t xml:space="preserve">covered </w:t>
      </w:r>
      <w:r w:rsidRPr="005171D2">
        <w:t>the requirements of the EU</w:t>
      </w:r>
      <w:r w:rsidR="0053747C" w:rsidRPr="005171D2">
        <w:t> </w:t>
      </w:r>
      <w:r w:rsidR="00707C66" w:rsidRPr="005171D2">
        <w:t>RTA</w:t>
      </w:r>
      <w:r w:rsidRPr="005171D2">
        <w:t xml:space="preserve">s with </w:t>
      </w:r>
      <w:r w:rsidR="005171D2" w:rsidRPr="005171D2">
        <w:t xml:space="preserve">Canada, </w:t>
      </w:r>
      <w:r w:rsidRPr="005171D2">
        <w:t>Japan</w:t>
      </w:r>
      <w:r w:rsidR="00BA1C5A" w:rsidRPr="005171D2">
        <w:t xml:space="preserve">, </w:t>
      </w:r>
      <w:r w:rsidR="00340567" w:rsidRPr="005171D2">
        <w:t xml:space="preserve">the Republic of </w:t>
      </w:r>
      <w:r w:rsidRPr="005171D2">
        <w:t>Korea</w:t>
      </w:r>
      <w:r w:rsidR="00BA1C5A" w:rsidRPr="005171D2">
        <w:t xml:space="preserve">, </w:t>
      </w:r>
      <w:r w:rsidRPr="005171D2">
        <w:t>and Canada. Information about the agreements with Central America</w:t>
      </w:r>
      <w:r w:rsidR="00BA1C5A" w:rsidRPr="005171D2">
        <w:t xml:space="preserve">, </w:t>
      </w:r>
      <w:r w:rsidRPr="005171D2">
        <w:t>Colombia</w:t>
      </w:r>
      <w:r w:rsidR="00BA1C5A" w:rsidRPr="005171D2">
        <w:t>, Peru,</w:t>
      </w:r>
      <w:r w:rsidRPr="005171D2">
        <w:t xml:space="preserve"> </w:t>
      </w:r>
      <w:proofErr w:type="gramStart"/>
      <w:r w:rsidRPr="005171D2">
        <w:t>Ecuador</w:t>
      </w:r>
      <w:proofErr w:type="gramEnd"/>
      <w:r w:rsidRPr="005171D2">
        <w:t xml:space="preserve"> </w:t>
      </w:r>
      <w:r w:rsidR="005171D2" w:rsidRPr="005171D2">
        <w:t xml:space="preserve">and Viet Nam </w:t>
      </w:r>
      <w:r w:rsidRPr="005171D2">
        <w:t>would be available before the end of the year</w:t>
      </w:r>
      <w:r w:rsidR="00BA1C5A" w:rsidRPr="005171D2">
        <w:t>,</w:t>
      </w:r>
      <w:r w:rsidRPr="005171D2">
        <w:t xml:space="preserve"> and others would follow</w:t>
      </w:r>
      <w:r w:rsidR="00BA1C5A" w:rsidRPr="005171D2">
        <w:t>,</w:t>
      </w:r>
      <w:r w:rsidRPr="005171D2">
        <w:t xml:space="preserve"> until all the EU's </w:t>
      </w:r>
      <w:r w:rsidR="00707C66" w:rsidRPr="005171D2">
        <w:t>RTA</w:t>
      </w:r>
      <w:r w:rsidRPr="005171D2">
        <w:t>s had been covered. ROSA was not only a source of information</w:t>
      </w:r>
      <w:r w:rsidR="00BA1C5A" w:rsidRPr="005171D2">
        <w:t xml:space="preserve">, </w:t>
      </w:r>
      <w:r w:rsidR="00B87C95">
        <w:t>i</w:t>
      </w:r>
      <w:r w:rsidRPr="005171D2">
        <w:t xml:space="preserve">t was </w:t>
      </w:r>
      <w:r w:rsidR="00BA1C5A" w:rsidRPr="005171D2">
        <w:t xml:space="preserve">also </w:t>
      </w:r>
      <w:r w:rsidRPr="005171D2">
        <w:t>an interactive guide and checklist for exporters</w:t>
      </w:r>
      <w:r w:rsidR="00BA1C5A" w:rsidRPr="005171D2">
        <w:t>,</w:t>
      </w:r>
      <w:r w:rsidRPr="005171D2">
        <w:t xml:space="preserve"> </w:t>
      </w:r>
      <w:r w:rsidR="00BA1C5A" w:rsidRPr="005171D2">
        <w:t xml:space="preserve">which </w:t>
      </w:r>
      <w:r w:rsidRPr="005171D2">
        <w:t>was product specific</w:t>
      </w:r>
      <w:r w:rsidR="00BA1C5A" w:rsidRPr="005171D2">
        <w:t>,</w:t>
      </w:r>
      <w:r w:rsidRPr="005171D2">
        <w:t xml:space="preserve"> and covered not only the rules, but also procedures</w:t>
      </w:r>
      <w:r w:rsidR="00BA1C5A" w:rsidRPr="005171D2">
        <w:t>,</w:t>
      </w:r>
      <w:r w:rsidRPr="005171D2">
        <w:t xml:space="preserve"> and any available </w:t>
      </w:r>
      <w:r w:rsidR="00BA1C5A" w:rsidRPr="005171D2">
        <w:t xml:space="preserve">flexibilities </w:t>
      </w:r>
      <w:r w:rsidRPr="005171D2">
        <w:t>(</w:t>
      </w:r>
      <w:r w:rsidR="00BA1C5A" w:rsidRPr="005171D2">
        <w:t xml:space="preserve">for example, </w:t>
      </w:r>
      <w:r w:rsidRPr="005171D2">
        <w:t>tolerance). Finally, ROSA also allowed operators to compare and check product</w:t>
      </w:r>
      <w:r w:rsidR="00BA1C5A" w:rsidRPr="005171D2">
        <w:noBreakHyphen/>
      </w:r>
      <w:r w:rsidRPr="005171D2">
        <w:t xml:space="preserve">specific rules of origin under different </w:t>
      </w:r>
      <w:r w:rsidR="00707C66" w:rsidRPr="005171D2">
        <w:t>RTA</w:t>
      </w:r>
      <w:r w:rsidRPr="005171D2">
        <w:t xml:space="preserve">s, </w:t>
      </w:r>
      <w:proofErr w:type="gramStart"/>
      <w:r w:rsidRPr="005171D2">
        <w:t>in order to</w:t>
      </w:r>
      <w:proofErr w:type="gramEnd"/>
      <w:r w:rsidRPr="005171D2">
        <w:t xml:space="preserve"> know which preferential markets their products could access. As such, it was an important pillar of the EU's efforts to support small and </w:t>
      </w:r>
      <w:r w:rsidR="00BA1C5A" w:rsidRPr="005171D2">
        <w:t>medium</w:t>
      </w:r>
      <w:r w:rsidR="00BA1C5A" w:rsidRPr="005171D2">
        <w:noBreakHyphen/>
      </w:r>
      <w:r w:rsidRPr="005171D2">
        <w:t>sized enterprises.</w:t>
      </w:r>
    </w:p>
    <w:p w14:paraId="1452C148" w14:textId="73EBA0C8" w:rsidR="00017D59" w:rsidRPr="005171D2" w:rsidRDefault="00017D59" w:rsidP="00017D59">
      <w:pPr>
        <w:pStyle w:val="BodyText"/>
      </w:pPr>
      <w:r w:rsidRPr="005171D2">
        <w:t xml:space="preserve">The </w:t>
      </w:r>
      <w:r w:rsidRPr="005171D2">
        <w:rPr>
          <w:u w:val="single"/>
        </w:rPr>
        <w:t>Chairperson</w:t>
      </w:r>
      <w:r w:rsidRPr="005171D2">
        <w:t xml:space="preserve"> noted that there were no further requests under "</w:t>
      </w:r>
      <w:r w:rsidR="008905A6" w:rsidRPr="005171D2">
        <w:t>Other Business</w:t>
      </w:r>
      <w:r w:rsidRPr="005171D2">
        <w:t>". Before</w:t>
      </w:r>
      <w:r w:rsidR="00B87C95">
        <w:t> </w:t>
      </w:r>
      <w:r w:rsidRPr="005171D2">
        <w:t>concluding the meeting, he reminded Members that two</w:t>
      </w:r>
      <w:r w:rsidR="00162FFC" w:rsidRPr="005171D2">
        <w:t> </w:t>
      </w:r>
      <w:r w:rsidR="008905A6" w:rsidRPr="005171D2">
        <w:t xml:space="preserve">dates </w:t>
      </w:r>
      <w:r w:rsidRPr="005171D2">
        <w:t xml:space="preserve">had been identified for the </w:t>
      </w:r>
      <w:r w:rsidR="008905A6" w:rsidRPr="005171D2">
        <w:t xml:space="preserve">Committee's </w:t>
      </w:r>
      <w:r w:rsidRPr="005171D2">
        <w:t>formal meetings in 2021: 20</w:t>
      </w:r>
      <w:r w:rsidR="003A5B67" w:rsidRPr="005171D2">
        <w:t> </w:t>
      </w:r>
      <w:r w:rsidRPr="005171D2">
        <w:t>May and 14</w:t>
      </w:r>
      <w:r w:rsidR="003A5B67" w:rsidRPr="005171D2">
        <w:t> </w:t>
      </w:r>
      <w:r w:rsidRPr="005171D2">
        <w:t>October.</w:t>
      </w:r>
    </w:p>
    <w:bookmarkEnd w:id="3"/>
    <w:bookmarkEnd w:id="4"/>
    <w:p w14:paraId="16577360" w14:textId="24E21013" w:rsidR="007141CF" w:rsidRPr="005171D2" w:rsidRDefault="004F0C58" w:rsidP="001A0E24">
      <w:pPr>
        <w:jc w:val="center"/>
        <w:rPr>
          <w:lang w:eastAsia="en-GB"/>
        </w:rPr>
      </w:pPr>
      <w:r w:rsidRPr="005171D2">
        <w:rPr>
          <w:b/>
          <w:lang w:eastAsia="en-GB"/>
        </w:rPr>
        <w:t>__________</w:t>
      </w:r>
    </w:p>
    <w:sectPr w:rsidR="007141CF" w:rsidRPr="005171D2" w:rsidSect="001A0E24">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410A" w14:textId="77777777" w:rsidR="005171D2" w:rsidRDefault="005171D2" w:rsidP="00ED54E0">
      <w:r>
        <w:separator/>
      </w:r>
    </w:p>
  </w:endnote>
  <w:endnote w:type="continuationSeparator" w:id="0">
    <w:p w14:paraId="787B623C" w14:textId="77777777" w:rsidR="005171D2" w:rsidRDefault="005171D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4C80" w14:textId="17EFF618" w:rsidR="005171D2" w:rsidRPr="004368E5" w:rsidRDefault="005171D2" w:rsidP="004368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718D" w14:textId="77E0059C" w:rsidR="005171D2" w:rsidRPr="004368E5" w:rsidRDefault="005171D2" w:rsidP="004368E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E1DD" w14:textId="77777777" w:rsidR="005171D2" w:rsidRDefault="005171D2" w:rsidP="00ED54E0">
      <w:r>
        <w:separator/>
      </w:r>
    </w:p>
  </w:footnote>
  <w:footnote w:type="continuationSeparator" w:id="0">
    <w:p w14:paraId="6ADA4866" w14:textId="77777777" w:rsidR="005171D2" w:rsidRDefault="005171D2" w:rsidP="00ED54E0">
      <w:r>
        <w:continuationSeparator/>
      </w:r>
    </w:p>
  </w:footnote>
  <w:footnote w:id="1">
    <w:p w14:paraId="2AE0C35D" w14:textId="7CAAE167" w:rsidR="005171D2" w:rsidRDefault="005171D2" w:rsidP="004F0C58">
      <w:pPr>
        <w:pStyle w:val="FootnoteText"/>
      </w:pPr>
      <w:r w:rsidRPr="00345861">
        <w:rPr>
          <w:rStyle w:val="FootnoteReference"/>
        </w:rPr>
        <w:footnoteRef/>
      </w:r>
      <w:r w:rsidRPr="00345861">
        <w:t xml:space="preserve"> The agenda of the meeting was circulated in document WTO/AIR/RO/12.</w:t>
      </w:r>
    </w:p>
  </w:footnote>
  <w:footnote w:id="2">
    <w:p w14:paraId="76A7882B" w14:textId="4CB80608" w:rsidR="005171D2" w:rsidRDefault="005171D2" w:rsidP="008E3034">
      <w:pPr>
        <w:pStyle w:val="FootnoteText"/>
      </w:pPr>
      <w:r>
        <w:rPr>
          <w:rStyle w:val="FootnoteReference"/>
        </w:rPr>
        <w:footnoteRef/>
      </w:r>
      <w:r>
        <w:t xml:space="preserve"> See: </w:t>
      </w:r>
      <w:hyperlink r:id="rId1" w:history="1">
        <w:r w:rsidRPr="00C70CD2">
          <w:rPr>
            <w:rStyle w:val="Hyperlink"/>
          </w:rPr>
          <w:t>https://www.wto.org/english/news_e/news19_e/roi_17oct19_e.htm</w:t>
        </w:r>
      </w:hyperlink>
    </w:p>
  </w:footnote>
  <w:footnote w:id="3">
    <w:p w14:paraId="438E3382" w14:textId="291440B4" w:rsidR="005171D2" w:rsidRDefault="005171D2">
      <w:pPr>
        <w:pStyle w:val="FootnoteText"/>
      </w:pPr>
      <w:r>
        <w:rPr>
          <w:rStyle w:val="FootnoteReference"/>
        </w:rPr>
        <w:footnoteRef/>
      </w:r>
      <w:r>
        <w:t xml:space="preserve"> The course is available on the WTO's eLearning portal: </w:t>
      </w:r>
      <w:hyperlink r:id="rId2" w:history="1">
        <w:r w:rsidRPr="00B00512">
          <w:rPr>
            <w:rStyle w:val="Hyperlink"/>
          </w:rPr>
          <w:t>https://wtolearning.csod.com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4769" w14:textId="77777777" w:rsidR="005171D2" w:rsidRPr="004368E5" w:rsidRDefault="005171D2" w:rsidP="004368E5">
    <w:pPr>
      <w:pStyle w:val="Header"/>
      <w:pBdr>
        <w:bottom w:val="single" w:sz="4" w:space="1" w:color="auto"/>
      </w:pBdr>
      <w:tabs>
        <w:tab w:val="clear" w:pos="4513"/>
        <w:tab w:val="clear" w:pos="9027"/>
      </w:tabs>
      <w:jc w:val="center"/>
    </w:pPr>
    <w:r w:rsidRPr="004368E5">
      <w:t>G/RO/M/75</w:t>
    </w:r>
  </w:p>
  <w:p w14:paraId="7CF96375" w14:textId="77777777" w:rsidR="005171D2" w:rsidRPr="004368E5" w:rsidRDefault="005171D2" w:rsidP="004368E5">
    <w:pPr>
      <w:pStyle w:val="Header"/>
      <w:pBdr>
        <w:bottom w:val="single" w:sz="4" w:space="1" w:color="auto"/>
      </w:pBdr>
      <w:tabs>
        <w:tab w:val="clear" w:pos="4513"/>
        <w:tab w:val="clear" w:pos="9027"/>
      </w:tabs>
      <w:jc w:val="center"/>
    </w:pPr>
  </w:p>
  <w:p w14:paraId="453EDCBD" w14:textId="61FB33A6" w:rsidR="005171D2" w:rsidRPr="004368E5" w:rsidRDefault="005171D2" w:rsidP="004368E5">
    <w:pPr>
      <w:pStyle w:val="Header"/>
      <w:pBdr>
        <w:bottom w:val="single" w:sz="4" w:space="1" w:color="auto"/>
      </w:pBdr>
      <w:tabs>
        <w:tab w:val="clear" w:pos="4513"/>
        <w:tab w:val="clear" w:pos="9027"/>
      </w:tabs>
      <w:jc w:val="center"/>
    </w:pPr>
    <w:r w:rsidRPr="004368E5">
      <w:t xml:space="preserve">- </w:t>
    </w:r>
    <w:r w:rsidRPr="004368E5">
      <w:fldChar w:fldCharType="begin"/>
    </w:r>
    <w:r w:rsidRPr="004368E5">
      <w:instrText xml:space="preserve"> PAGE </w:instrText>
    </w:r>
    <w:r w:rsidRPr="004368E5">
      <w:fldChar w:fldCharType="separate"/>
    </w:r>
    <w:r w:rsidRPr="004368E5">
      <w:rPr>
        <w:noProof/>
      </w:rPr>
      <w:t>2</w:t>
    </w:r>
    <w:r w:rsidRPr="004368E5">
      <w:fldChar w:fldCharType="end"/>
    </w:r>
    <w:r w:rsidRPr="004368E5">
      <w:t xml:space="preserve"> -</w:t>
    </w:r>
  </w:p>
  <w:p w14:paraId="63EB726D" w14:textId="0519AE42" w:rsidR="005171D2" w:rsidRPr="004368E5" w:rsidRDefault="005171D2" w:rsidP="004368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1578" w14:textId="77777777" w:rsidR="005171D2" w:rsidRPr="004368E5" w:rsidRDefault="005171D2" w:rsidP="004368E5">
    <w:pPr>
      <w:pStyle w:val="Header"/>
      <w:pBdr>
        <w:bottom w:val="single" w:sz="4" w:space="1" w:color="auto"/>
      </w:pBdr>
      <w:tabs>
        <w:tab w:val="clear" w:pos="4513"/>
        <w:tab w:val="clear" w:pos="9027"/>
      </w:tabs>
      <w:jc w:val="center"/>
    </w:pPr>
    <w:r w:rsidRPr="004368E5">
      <w:t>G/RO/M/75</w:t>
    </w:r>
  </w:p>
  <w:p w14:paraId="1F185FA3" w14:textId="77777777" w:rsidR="005171D2" w:rsidRPr="004368E5" w:rsidRDefault="005171D2" w:rsidP="004368E5">
    <w:pPr>
      <w:pStyle w:val="Header"/>
      <w:pBdr>
        <w:bottom w:val="single" w:sz="4" w:space="1" w:color="auto"/>
      </w:pBdr>
      <w:tabs>
        <w:tab w:val="clear" w:pos="4513"/>
        <w:tab w:val="clear" w:pos="9027"/>
      </w:tabs>
      <w:jc w:val="center"/>
    </w:pPr>
  </w:p>
  <w:p w14:paraId="584E3D58" w14:textId="10E793A8" w:rsidR="005171D2" w:rsidRPr="004368E5" w:rsidRDefault="005171D2" w:rsidP="004368E5">
    <w:pPr>
      <w:pStyle w:val="Header"/>
      <w:pBdr>
        <w:bottom w:val="single" w:sz="4" w:space="1" w:color="auto"/>
      </w:pBdr>
      <w:tabs>
        <w:tab w:val="clear" w:pos="4513"/>
        <w:tab w:val="clear" w:pos="9027"/>
      </w:tabs>
      <w:jc w:val="center"/>
    </w:pPr>
    <w:r w:rsidRPr="004368E5">
      <w:t xml:space="preserve">- </w:t>
    </w:r>
    <w:r w:rsidRPr="004368E5">
      <w:fldChar w:fldCharType="begin"/>
    </w:r>
    <w:r w:rsidRPr="004368E5">
      <w:instrText xml:space="preserve"> PAGE </w:instrText>
    </w:r>
    <w:r w:rsidRPr="004368E5">
      <w:fldChar w:fldCharType="separate"/>
    </w:r>
    <w:r w:rsidRPr="004368E5">
      <w:rPr>
        <w:noProof/>
      </w:rPr>
      <w:t>19</w:t>
    </w:r>
    <w:r w:rsidRPr="004368E5">
      <w:fldChar w:fldCharType="end"/>
    </w:r>
    <w:r w:rsidRPr="004368E5">
      <w:t xml:space="preserve"> -</w:t>
    </w:r>
  </w:p>
  <w:p w14:paraId="25B45EE8" w14:textId="6BC0A386" w:rsidR="005171D2" w:rsidRPr="004368E5" w:rsidRDefault="005171D2" w:rsidP="004368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71D2" w:rsidRPr="00182B84" w14:paraId="22A5DF75" w14:textId="77777777" w:rsidTr="00544326">
      <w:trPr>
        <w:trHeight w:val="240"/>
        <w:jc w:val="center"/>
      </w:trPr>
      <w:tc>
        <w:tcPr>
          <w:tcW w:w="3794" w:type="dxa"/>
          <w:shd w:val="clear" w:color="auto" w:fill="FFFFFF"/>
          <w:tcMar>
            <w:left w:w="108" w:type="dxa"/>
            <w:right w:w="108" w:type="dxa"/>
          </w:tcMar>
          <w:vAlign w:val="center"/>
        </w:tcPr>
        <w:p w14:paraId="63A59C11" w14:textId="77777777" w:rsidR="005171D2" w:rsidRPr="00182B84" w:rsidRDefault="005171D2" w:rsidP="005E3D11">
          <w:pPr>
            <w:rPr>
              <w:noProof/>
              <w:lang w:eastAsia="en-GB"/>
            </w:rPr>
          </w:pPr>
          <w:bookmarkStart w:id="33" w:name="bmkRestricted" w:colFirst="1" w:colLast="1"/>
        </w:p>
      </w:tc>
      <w:tc>
        <w:tcPr>
          <w:tcW w:w="5448" w:type="dxa"/>
          <w:gridSpan w:val="2"/>
          <w:shd w:val="clear" w:color="auto" w:fill="FFFFFF"/>
          <w:tcMar>
            <w:left w:w="108" w:type="dxa"/>
            <w:right w:w="108" w:type="dxa"/>
          </w:tcMar>
          <w:vAlign w:val="center"/>
        </w:tcPr>
        <w:p w14:paraId="6361311C" w14:textId="0C080985" w:rsidR="005171D2" w:rsidRPr="00182B84" w:rsidRDefault="005171D2" w:rsidP="005E3D11">
          <w:pPr>
            <w:jc w:val="right"/>
            <w:rPr>
              <w:b/>
              <w:color w:val="FF0000"/>
              <w:szCs w:val="16"/>
            </w:rPr>
          </w:pPr>
          <w:r>
            <w:rPr>
              <w:b/>
              <w:color w:val="FF0000"/>
              <w:szCs w:val="16"/>
            </w:rPr>
            <w:t>RESTRICTED</w:t>
          </w:r>
        </w:p>
      </w:tc>
    </w:tr>
    <w:bookmarkEnd w:id="33"/>
    <w:tr w:rsidR="005171D2" w:rsidRPr="00182B84" w14:paraId="3210C219" w14:textId="77777777" w:rsidTr="00544326">
      <w:trPr>
        <w:trHeight w:val="213"/>
        <w:jc w:val="center"/>
      </w:trPr>
      <w:tc>
        <w:tcPr>
          <w:tcW w:w="3794" w:type="dxa"/>
          <w:vMerge w:val="restart"/>
          <w:shd w:val="clear" w:color="auto" w:fill="FFFFFF"/>
          <w:tcMar>
            <w:left w:w="0" w:type="dxa"/>
            <w:right w:w="0" w:type="dxa"/>
          </w:tcMar>
        </w:tcPr>
        <w:p w14:paraId="507A4EA4" w14:textId="77777777" w:rsidR="005171D2" w:rsidRPr="00182B84" w:rsidRDefault="005171D2" w:rsidP="005E3D11">
          <w:pPr>
            <w:jc w:val="left"/>
          </w:pPr>
          <w:r w:rsidRPr="00182B84">
            <w:rPr>
              <w:noProof/>
              <w:lang w:val="en-US"/>
            </w:rPr>
            <w:drawing>
              <wp:inline distT="0" distB="0" distL="0" distR="0" wp14:anchorId="406C1FBF" wp14:editId="0F0AC2D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27B9D3" w14:textId="77777777" w:rsidR="005171D2" w:rsidRPr="00182B84" w:rsidRDefault="005171D2" w:rsidP="005E3D11">
          <w:pPr>
            <w:jc w:val="right"/>
            <w:rPr>
              <w:b/>
              <w:szCs w:val="16"/>
            </w:rPr>
          </w:pPr>
        </w:p>
      </w:tc>
    </w:tr>
    <w:tr w:rsidR="005171D2" w:rsidRPr="00182B84" w14:paraId="19DF9F72" w14:textId="77777777" w:rsidTr="00544326">
      <w:trPr>
        <w:trHeight w:val="868"/>
        <w:jc w:val="center"/>
      </w:trPr>
      <w:tc>
        <w:tcPr>
          <w:tcW w:w="3794" w:type="dxa"/>
          <w:vMerge/>
          <w:shd w:val="clear" w:color="auto" w:fill="FFFFFF"/>
          <w:tcMar>
            <w:left w:w="108" w:type="dxa"/>
            <w:right w:w="108" w:type="dxa"/>
          </w:tcMar>
        </w:tcPr>
        <w:p w14:paraId="47F30908" w14:textId="77777777" w:rsidR="005171D2" w:rsidRPr="00182B84" w:rsidRDefault="005171D2" w:rsidP="005E3D11">
          <w:pPr>
            <w:jc w:val="left"/>
            <w:rPr>
              <w:noProof/>
              <w:lang w:eastAsia="en-GB"/>
            </w:rPr>
          </w:pPr>
        </w:p>
      </w:tc>
      <w:tc>
        <w:tcPr>
          <w:tcW w:w="5448" w:type="dxa"/>
          <w:gridSpan w:val="2"/>
          <w:shd w:val="clear" w:color="auto" w:fill="FFFFFF"/>
          <w:tcMar>
            <w:left w:w="108" w:type="dxa"/>
            <w:right w:w="108" w:type="dxa"/>
          </w:tcMar>
        </w:tcPr>
        <w:p w14:paraId="2300AB3B" w14:textId="77777777" w:rsidR="005171D2" w:rsidRDefault="005171D2" w:rsidP="005E3D11">
          <w:pPr>
            <w:jc w:val="right"/>
            <w:rPr>
              <w:b/>
              <w:szCs w:val="16"/>
            </w:rPr>
          </w:pPr>
          <w:bookmarkStart w:id="34" w:name="bmkSymbols"/>
          <w:r>
            <w:rPr>
              <w:b/>
              <w:szCs w:val="16"/>
            </w:rPr>
            <w:t>G/RO/M/75</w:t>
          </w:r>
        </w:p>
        <w:bookmarkEnd w:id="34"/>
        <w:p w14:paraId="266C0A9B" w14:textId="1B5EE840" w:rsidR="005171D2" w:rsidRPr="00182B84" w:rsidRDefault="005171D2" w:rsidP="005E3D11">
          <w:pPr>
            <w:jc w:val="right"/>
            <w:rPr>
              <w:b/>
              <w:szCs w:val="16"/>
            </w:rPr>
          </w:pPr>
        </w:p>
      </w:tc>
    </w:tr>
    <w:tr w:rsidR="005171D2" w:rsidRPr="00182B84" w14:paraId="1FD88CE8" w14:textId="77777777" w:rsidTr="00544326">
      <w:trPr>
        <w:trHeight w:val="240"/>
        <w:jc w:val="center"/>
      </w:trPr>
      <w:tc>
        <w:tcPr>
          <w:tcW w:w="3794" w:type="dxa"/>
          <w:vMerge/>
          <w:shd w:val="clear" w:color="auto" w:fill="FFFFFF"/>
          <w:tcMar>
            <w:left w:w="108" w:type="dxa"/>
            <w:right w:w="108" w:type="dxa"/>
          </w:tcMar>
          <w:vAlign w:val="center"/>
        </w:tcPr>
        <w:p w14:paraId="32F4A8AA" w14:textId="77777777" w:rsidR="005171D2" w:rsidRPr="00182B84" w:rsidRDefault="005171D2" w:rsidP="005E3D11"/>
      </w:tc>
      <w:tc>
        <w:tcPr>
          <w:tcW w:w="5448" w:type="dxa"/>
          <w:gridSpan w:val="2"/>
          <w:shd w:val="clear" w:color="auto" w:fill="FFFFFF"/>
          <w:tcMar>
            <w:left w:w="108" w:type="dxa"/>
            <w:right w:w="108" w:type="dxa"/>
          </w:tcMar>
          <w:vAlign w:val="center"/>
        </w:tcPr>
        <w:p w14:paraId="6EF749D6" w14:textId="5CBD91E2" w:rsidR="005171D2" w:rsidRPr="00345861" w:rsidRDefault="00D225AC" w:rsidP="005E3D11">
          <w:pPr>
            <w:jc w:val="right"/>
            <w:rPr>
              <w:szCs w:val="16"/>
              <w:highlight w:val="yellow"/>
            </w:rPr>
          </w:pPr>
          <w:r>
            <w:rPr>
              <w:szCs w:val="16"/>
            </w:rPr>
            <w:t>1</w:t>
          </w:r>
          <w:r w:rsidR="005171D2" w:rsidRPr="00B87C95">
            <w:rPr>
              <w:szCs w:val="16"/>
            </w:rPr>
            <w:t xml:space="preserve"> </w:t>
          </w:r>
          <w:r>
            <w:rPr>
              <w:szCs w:val="16"/>
            </w:rPr>
            <w:t>February</w:t>
          </w:r>
          <w:r w:rsidR="005171D2" w:rsidRPr="00B87C95">
            <w:rPr>
              <w:szCs w:val="16"/>
            </w:rPr>
            <w:t xml:space="preserve"> 202</w:t>
          </w:r>
          <w:r>
            <w:rPr>
              <w:szCs w:val="16"/>
            </w:rPr>
            <w:t>1</w:t>
          </w:r>
        </w:p>
      </w:tc>
    </w:tr>
    <w:tr w:rsidR="005171D2" w:rsidRPr="00182B84" w14:paraId="211FAD0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A264FD" w14:textId="384C07F0" w:rsidR="005171D2" w:rsidRPr="00182B84" w:rsidRDefault="005171D2" w:rsidP="005E3D11">
          <w:pPr>
            <w:jc w:val="left"/>
            <w:rPr>
              <w:b/>
            </w:rPr>
          </w:pPr>
          <w:bookmarkStart w:id="35" w:name="bmkSerial" w:colFirst="0" w:colLast="0"/>
          <w:r w:rsidRPr="00182B84">
            <w:rPr>
              <w:color w:val="FF0000"/>
              <w:szCs w:val="16"/>
            </w:rPr>
            <w:t>(</w:t>
          </w:r>
          <w:r>
            <w:rPr>
              <w:color w:val="FF0000"/>
              <w:szCs w:val="16"/>
            </w:rPr>
            <w:t>21</w:t>
          </w:r>
          <w:r w:rsidRPr="00182B84">
            <w:rPr>
              <w:color w:val="FF0000"/>
              <w:szCs w:val="16"/>
            </w:rPr>
            <w:t>-</w:t>
          </w:r>
          <w:r>
            <w:rPr>
              <w:color w:val="FF0000"/>
              <w:szCs w:val="16"/>
            </w:rPr>
            <w:t>0</w:t>
          </w:r>
          <w:r w:rsidR="00D40D4A">
            <w:rPr>
              <w:color w:val="FF0000"/>
              <w:szCs w:val="16"/>
            </w:rPr>
            <w:t>832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E092D67" w14:textId="77777777" w:rsidR="005171D2" w:rsidRPr="00182B84" w:rsidRDefault="005171D2" w:rsidP="005E3D11">
          <w:pPr>
            <w:jc w:val="right"/>
            <w:rPr>
              <w:szCs w:val="16"/>
            </w:rPr>
          </w:pPr>
          <w:bookmarkStart w:id="3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36"/>
        </w:p>
      </w:tc>
    </w:tr>
    <w:tr w:rsidR="005171D2" w:rsidRPr="00182B84" w14:paraId="61E2141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3E7D06" w14:textId="6E497E84" w:rsidR="005171D2" w:rsidRPr="00182B84" w:rsidRDefault="005171D2" w:rsidP="005E3D11">
          <w:pPr>
            <w:jc w:val="left"/>
            <w:rPr>
              <w:sz w:val="14"/>
              <w:szCs w:val="16"/>
            </w:rPr>
          </w:pPr>
          <w:bookmarkStart w:id="37" w:name="bmkCommittee"/>
          <w:bookmarkStart w:id="38" w:name="bmkLanguage" w:colFirst="1" w:colLast="1"/>
          <w:bookmarkEnd w:id="35"/>
          <w:r>
            <w:rPr>
              <w:b/>
            </w:rPr>
            <w:t>Committee on Rules of Origin</w:t>
          </w:r>
          <w:bookmarkEnd w:id="37"/>
        </w:p>
      </w:tc>
      <w:tc>
        <w:tcPr>
          <w:tcW w:w="3325" w:type="dxa"/>
          <w:tcBorders>
            <w:top w:val="single" w:sz="4" w:space="0" w:color="auto"/>
          </w:tcBorders>
          <w:tcMar>
            <w:top w:w="113" w:type="dxa"/>
            <w:left w:w="108" w:type="dxa"/>
            <w:bottom w:w="57" w:type="dxa"/>
            <w:right w:w="108" w:type="dxa"/>
          </w:tcMar>
          <w:vAlign w:val="center"/>
        </w:tcPr>
        <w:p w14:paraId="134F3CF4" w14:textId="33A978DF" w:rsidR="005171D2" w:rsidRPr="00182B84" w:rsidRDefault="005171D2" w:rsidP="005E3D11">
          <w:pPr>
            <w:jc w:val="right"/>
            <w:rPr>
              <w:bCs/>
              <w:szCs w:val="18"/>
            </w:rPr>
          </w:pPr>
          <w:r>
            <w:rPr>
              <w:szCs w:val="18"/>
            </w:rPr>
            <w:t xml:space="preserve"> </w:t>
          </w:r>
        </w:p>
      </w:tc>
    </w:tr>
    <w:bookmarkEnd w:id="38"/>
  </w:tbl>
  <w:p w14:paraId="392979B7" w14:textId="77777777" w:rsidR="005171D2" w:rsidRDefault="00517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1EF64C9A"/>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b/>
        <w:bCs w:val="0"/>
        <w:i w:val="0"/>
        <w:iCs w:val="0"/>
        <w:caps w:val="0"/>
        <w:smallCaps w:val="0"/>
        <w:strike w:val="0"/>
        <w:dstrike w:val="0"/>
        <w:outline w:val="0"/>
        <w:shadow w:val="0"/>
        <w:emboss w:val="0"/>
        <w:imprint w:val="0"/>
        <w:noProof w:val="0"/>
        <w:vanish w:val="0"/>
        <w:color w:val="00628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 w:numId="10">
    <w:abstractNumId w:val="6"/>
  </w:num>
  <w:num w:numId="11">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58"/>
    <w:rsid w:val="00011D83"/>
    <w:rsid w:val="0001422B"/>
    <w:rsid w:val="000161D2"/>
    <w:rsid w:val="00017D59"/>
    <w:rsid w:val="00021B85"/>
    <w:rsid w:val="000272F6"/>
    <w:rsid w:val="00035A79"/>
    <w:rsid w:val="00036500"/>
    <w:rsid w:val="00037AC4"/>
    <w:rsid w:val="000423BF"/>
    <w:rsid w:val="0004503C"/>
    <w:rsid w:val="00047F95"/>
    <w:rsid w:val="000609B1"/>
    <w:rsid w:val="00075F23"/>
    <w:rsid w:val="000813B0"/>
    <w:rsid w:val="00081F71"/>
    <w:rsid w:val="00083C2E"/>
    <w:rsid w:val="00084BFA"/>
    <w:rsid w:val="000850E5"/>
    <w:rsid w:val="000A4945"/>
    <w:rsid w:val="000B31E1"/>
    <w:rsid w:val="000C0423"/>
    <w:rsid w:val="000C5CFA"/>
    <w:rsid w:val="000E11A3"/>
    <w:rsid w:val="000E2C84"/>
    <w:rsid w:val="000E5AD6"/>
    <w:rsid w:val="001074EF"/>
    <w:rsid w:val="001078AC"/>
    <w:rsid w:val="0011207A"/>
    <w:rsid w:val="00112596"/>
    <w:rsid w:val="001129BE"/>
    <w:rsid w:val="0011356B"/>
    <w:rsid w:val="001178A6"/>
    <w:rsid w:val="0012011B"/>
    <w:rsid w:val="00120D01"/>
    <w:rsid w:val="00121C94"/>
    <w:rsid w:val="00126659"/>
    <w:rsid w:val="0013337F"/>
    <w:rsid w:val="00152620"/>
    <w:rsid w:val="001626AC"/>
    <w:rsid w:val="00162FFC"/>
    <w:rsid w:val="00163A48"/>
    <w:rsid w:val="001658AC"/>
    <w:rsid w:val="00165C37"/>
    <w:rsid w:val="00165E3E"/>
    <w:rsid w:val="00166A21"/>
    <w:rsid w:val="001674D6"/>
    <w:rsid w:val="00173E2A"/>
    <w:rsid w:val="00182A33"/>
    <w:rsid w:val="00182B84"/>
    <w:rsid w:val="00183903"/>
    <w:rsid w:val="001904E9"/>
    <w:rsid w:val="00191F20"/>
    <w:rsid w:val="00193F20"/>
    <w:rsid w:val="001A0E24"/>
    <w:rsid w:val="001A1E56"/>
    <w:rsid w:val="001B1DD4"/>
    <w:rsid w:val="001B6B9E"/>
    <w:rsid w:val="001C3956"/>
    <w:rsid w:val="001C6C7C"/>
    <w:rsid w:val="001D65F3"/>
    <w:rsid w:val="001D7ECE"/>
    <w:rsid w:val="001E2902"/>
    <w:rsid w:val="001E291F"/>
    <w:rsid w:val="001F20F0"/>
    <w:rsid w:val="002020EB"/>
    <w:rsid w:val="0021030A"/>
    <w:rsid w:val="002107AA"/>
    <w:rsid w:val="002169E8"/>
    <w:rsid w:val="0022298A"/>
    <w:rsid w:val="00227867"/>
    <w:rsid w:val="00233408"/>
    <w:rsid w:val="00235C2B"/>
    <w:rsid w:val="00246917"/>
    <w:rsid w:val="00254B32"/>
    <w:rsid w:val="00261ABB"/>
    <w:rsid w:val="0026487B"/>
    <w:rsid w:val="00265B5A"/>
    <w:rsid w:val="00267D7B"/>
    <w:rsid w:val="002703AE"/>
    <w:rsid w:val="0027067B"/>
    <w:rsid w:val="00281032"/>
    <w:rsid w:val="00282C65"/>
    <w:rsid w:val="002860D2"/>
    <w:rsid w:val="00286D2E"/>
    <w:rsid w:val="002908E7"/>
    <w:rsid w:val="002943AD"/>
    <w:rsid w:val="002A389D"/>
    <w:rsid w:val="002A71F7"/>
    <w:rsid w:val="002B3526"/>
    <w:rsid w:val="002B4572"/>
    <w:rsid w:val="002B5F02"/>
    <w:rsid w:val="002C1BD0"/>
    <w:rsid w:val="002C3976"/>
    <w:rsid w:val="002C3C14"/>
    <w:rsid w:val="002C564F"/>
    <w:rsid w:val="002D181B"/>
    <w:rsid w:val="002D7AA9"/>
    <w:rsid w:val="002E1347"/>
    <w:rsid w:val="002E4720"/>
    <w:rsid w:val="002F0362"/>
    <w:rsid w:val="002F2F30"/>
    <w:rsid w:val="002F3273"/>
    <w:rsid w:val="0030235A"/>
    <w:rsid w:val="003140BD"/>
    <w:rsid w:val="003156C6"/>
    <w:rsid w:val="00321CA1"/>
    <w:rsid w:val="00325FDF"/>
    <w:rsid w:val="00326C9B"/>
    <w:rsid w:val="003350F1"/>
    <w:rsid w:val="00340567"/>
    <w:rsid w:val="00342929"/>
    <w:rsid w:val="00345861"/>
    <w:rsid w:val="003458B5"/>
    <w:rsid w:val="003464A3"/>
    <w:rsid w:val="00350413"/>
    <w:rsid w:val="00354337"/>
    <w:rsid w:val="003562A6"/>
    <w:rsid w:val="003572B4"/>
    <w:rsid w:val="0036211E"/>
    <w:rsid w:val="00363815"/>
    <w:rsid w:val="003644B5"/>
    <w:rsid w:val="00372204"/>
    <w:rsid w:val="00377DA6"/>
    <w:rsid w:val="00381DE7"/>
    <w:rsid w:val="0038226E"/>
    <w:rsid w:val="003828A7"/>
    <w:rsid w:val="00382FD6"/>
    <w:rsid w:val="0039151E"/>
    <w:rsid w:val="003936A8"/>
    <w:rsid w:val="00393C77"/>
    <w:rsid w:val="003A23B7"/>
    <w:rsid w:val="003A5B67"/>
    <w:rsid w:val="003B67D0"/>
    <w:rsid w:val="003D244C"/>
    <w:rsid w:val="003D389E"/>
    <w:rsid w:val="003D592D"/>
    <w:rsid w:val="003E0275"/>
    <w:rsid w:val="003E61AF"/>
    <w:rsid w:val="003E6505"/>
    <w:rsid w:val="003F26C8"/>
    <w:rsid w:val="003F7731"/>
    <w:rsid w:val="00401CCD"/>
    <w:rsid w:val="00401D32"/>
    <w:rsid w:val="0040526B"/>
    <w:rsid w:val="00406351"/>
    <w:rsid w:val="00406686"/>
    <w:rsid w:val="00410DCC"/>
    <w:rsid w:val="00411E73"/>
    <w:rsid w:val="00414EE0"/>
    <w:rsid w:val="00420E1A"/>
    <w:rsid w:val="004268CC"/>
    <w:rsid w:val="004272FD"/>
    <w:rsid w:val="00427DA3"/>
    <w:rsid w:val="0043096B"/>
    <w:rsid w:val="00431E2B"/>
    <w:rsid w:val="0043201E"/>
    <w:rsid w:val="0043649D"/>
    <w:rsid w:val="004368E5"/>
    <w:rsid w:val="0044505B"/>
    <w:rsid w:val="0044771F"/>
    <w:rsid w:val="004523CD"/>
    <w:rsid w:val="00454A66"/>
    <w:rsid w:val="0045649D"/>
    <w:rsid w:val="00462D82"/>
    <w:rsid w:val="00467032"/>
    <w:rsid w:val="0046754A"/>
    <w:rsid w:val="00477338"/>
    <w:rsid w:val="00480A76"/>
    <w:rsid w:val="004811EC"/>
    <w:rsid w:val="00481B06"/>
    <w:rsid w:val="00484B29"/>
    <w:rsid w:val="00485775"/>
    <w:rsid w:val="00487CE9"/>
    <w:rsid w:val="00491A50"/>
    <w:rsid w:val="00491DE3"/>
    <w:rsid w:val="004935C7"/>
    <w:rsid w:val="00496ABA"/>
    <w:rsid w:val="004B081C"/>
    <w:rsid w:val="004B5329"/>
    <w:rsid w:val="004C3585"/>
    <w:rsid w:val="004E1753"/>
    <w:rsid w:val="004E5E5C"/>
    <w:rsid w:val="004F0C58"/>
    <w:rsid w:val="004F203A"/>
    <w:rsid w:val="004F6322"/>
    <w:rsid w:val="004F7260"/>
    <w:rsid w:val="00500D20"/>
    <w:rsid w:val="00501E58"/>
    <w:rsid w:val="00503279"/>
    <w:rsid w:val="0050427A"/>
    <w:rsid w:val="00504D3C"/>
    <w:rsid w:val="00505080"/>
    <w:rsid w:val="00506B1B"/>
    <w:rsid w:val="0051204C"/>
    <w:rsid w:val="00514343"/>
    <w:rsid w:val="005171D2"/>
    <w:rsid w:val="005216C7"/>
    <w:rsid w:val="00523AB6"/>
    <w:rsid w:val="0053206C"/>
    <w:rsid w:val="005336B8"/>
    <w:rsid w:val="0053747C"/>
    <w:rsid w:val="00544326"/>
    <w:rsid w:val="00547B5F"/>
    <w:rsid w:val="00550459"/>
    <w:rsid w:val="00550587"/>
    <w:rsid w:val="00551701"/>
    <w:rsid w:val="00554697"/>
    <w:rsid w:val="00561DFC"/>
    <w:rsid w:val="00570118"/>
    <w:rsid w:val="0057069F"/>
    <w:rsid w:val="0058379A"/>
    <w:rsid w:val="0059408F"/>
    <w:rsid w:val="0059601E"/>
    <w:rsid w:val="005A1306"/>
    <w:rsid w:val="005A1A22"/>
    <w:rsid w:val="005A3E6C"/>
    <w:rsid w:val="005A6178"/>
    <w:rsid w:val="005A6A89"/>
    <w:rsid w:val="005B04B9"/>
    <w:rsid w:val="005B13F7"/>
    <w:rsid w:val="005B2EBF"/>
    <w:rsid w:val="005B5163"/>
    <w:rsid w:val="005B68C7"/>
    <w:rsid w:val="005B7054"/>
    <w:rsid w:val="005C5790"/>
    <w:rsid w:val="005C7E04"/>
    <w:rsid w:val="005D50AB"/>
    <w:rsid w:val="005D5981"/>
    <w:rsid w:val="005D7DA2"/>
    <w:rsid w:val="005D7EAF"/>
    <w:rsid w:val="005E3D11"/>
    <w:rsid w:val="005E3D82"/>
    <w:rsid w:val="005E515C"/>
    <w:rsid w:val="005E7853"/>
    <w:rsid w:val="005F30CB"/>
    <w:rsid w:val="00600119"/>
    <w:rsid w:val="006011FB"/>
    <w:rsid w:val="00602F02"/>
    <w:rsid w:val="00612644"/>
    <w:rsid w:val="006152BF"/>
    <w:rsid w:val="00620251"/>
    <w:rsid w:val="00621392"/>
    <w:rsid w:val="006222C2"/>
    <w:rsid w:val="00623EE8"/>
    <w:rsid w:val="0062555D"/>
    <w:rsid w:val="00630F81"/>
    <w:rsid w:val="00632E13"/>
    <w:rsid w:val="006343AC"/>
    <w:rsid w:val="006361DB"/>
    <w:rsid w:val="00644EF5"/>
    <w:rsid w:val="00645357"/>
    <w:rsid w:val="00645A85"/>
    <w:rsid w:val="00646110"/>
    <w:rsid w:val="00650038"/>
    <w:rsid w:val="00654B1F"/>
    <w:rsid w:val="00662112"/>
    <w:rsid w:val="00664694"/>
    <w:rsid w:val="006722BA"/>
    <w:rsid w:val="0067274B"/>
    <w:rsid w:val="00674CAE"/>
    <w:rsid w:val="00674CCD"/>
    <w:rsid w:val="00675FAA"/>
    <w:rsid w:val="00686AE0"/>
    <w:rsid w:val="00687EF0"/>
    <w:rsid w:val="006906D2"/>
    <w:rsid w:val="006A01C0"/>
    <w:rsid w:val="006A111A"/>
    <w:rsid w:val="006A5F73"/>
    <w:rsid w:val="006B578A"/>
    <w:rsid w:val="006B7879"/>
    <w:rsid w:val="006B7F08"/>
    <w:rsid w:val="006C16A1"/>
    <w:rsid w:val="006C44FA"/>
    <w:rsid w:val="006C5B28"/>
    <w:rsid w:val="006E4B1E"/>
    <w:rsid w:val="006E66CF"/>
    <w:rsid w:val="006E7A28"/>
    <w:rsid w:val="006F23DB"/>
    <w:rsid w:val="006F3BE7"/>
    <w:rsid w:val="006F48D3"/>
    <w:rsid w:val="006F5826"/>
    <w:rsid w:val="00700181"/>
    <w:rsid w:val="007010BF"/>
    <w:rsid w:val="00703094"/>
    <w:rsid w:val="00704214"/>
    <w:rsid w:val="007059B0"/>
    <w:rsid w:val="007061B2"/>
    <w:rsid w:val="00707C66"/>
    <w:rsid w:val="0071166D"/>
    <w:rsid w:val="007141CF"/>
    <w:rsid w:val="00715A1D"/>
    <w:rsid w:val="00721DCF"/>
    <w:rsid w:val="00730A9D"/>
    <w:rsid w:val="00731B3B"/>
    <w:rsid w:val="007341DA"/>
    <w:rsid w:val="00741891"/>
    <w:rsid w:val="00743012"/>
    <w:rsid w:val="00745146"/>
    <w:rsid w:val="00751763"/>
    <w:rsid w:val="00751B53"/>
    <w:rsid w:val="00751C05"/>
    <w:rsid w:val="00756F2F"/>
    <w:rsid w:val="007577E3"/>
    <w:rsid w:val="0076051A"/>
    <w:rsid w:val="00760DB3"/>
    <w:rsid w:val="007616FD"/>
    <w:rsid w:val="0076539E"/>
    <w:rsid w:val="0076753C"/>
    <w:rsid w:val="007729B4"/>
    <w:rsid w:val="00773010"/>
    <w:rsid w:val="00773927"/>
    <w:rsid w:val="00777E40"/>
    <w:rsid w:val="0078561F"/>
    <w:rsid w:val="00796E63"/>
    <w:rsid w:val="007A1B60"/>
    <w:rsid w:val="007A1B76"/>
    <w:rsid w:val="007A30E7"/>
    <w:rsid w:val="007A4421"/>
    <w:rsid w:val="007A6A8F"/>
    <w:rsid w:val="007A7ED6"/>
    <w:rsid w:val="007B3998"/>
    <w:rsid w:val="007B4A3B"/>
    <w:rsid w:val="007B5CF8"/>
    <w:rsid w:val="007B5EDD"/>
    <w:rsid w:val="007C0BDF"/>
    <w:rsid w:val="007C5BFC"/>
    <w:rsid w:val="007E4454"/>
    <w:rsid w:val="007E5287"/>
    <w:rsid w:val="007E59B4"/>
    <w:rsid w:val="007E6507"/>
    <w:rsid w:val="007F26BC"/>
    <w:rsid w:val="007F2B8E"/>
    <w:rsid w:val="007F32D1"/>
    <w:rsid w:val="007F5D7C"/>
    <w:rsid w:val="007F7308"/>
    <w:rsid w:val="008004BF"/>
    <w:rsid w:val="00807247"/>
    <w:rsid w:val="00821A49"/>
    <w:rsid w:val="00822183"/>
    <w:rsid w:val="008277FA"/>
    <w:rsid w:val="00830C3D"/>
    <w:rsid w:val="00840C2B"/>
    <w:rsid w:val="00842C67"/>
    <w:rsid w:val="008447F8"/>
    <w:rsid w:val="00847C24"/>
    <w:rsid w:val="008549EC"/>
    <w:rsid w:val="008554CB"/>
    <w:rsid w:val="008561C6"/>
    <w:rsid w:val="008573DC"/>
    <w:rsid w:val="00860519"/>
    <w:rsid w:val="00865CE0"/>
    <w:rsid w:val="00871219"/>
    <w:rsid w:val="008736BD"/>
    <w:rsid w:val="008739FD"/>
    <w:rsid w:val="00881447"/>
    <w:rsid w:val="0088316D"/>
    <w:rsid w:val="00884EBB"/>
    <w:rsid w:val="008869DE"/>
    <w:rsid w:val="008905A6"/>
    <w:rsid w:val="00890608"/>
    <w:rsid w:val="00893E85"/>
    <w:rsid w:val="008A0800"/>
    <w:rsid w:val="008A2211"/>
    <w:rsid w:val="008A2C7E"/>
    <w:rsid w:val="008B3E59"/>
    <w:rsid w:val="008B5067"/>
    <w:rsid w:val="008C0CCA"/>
    <w:rsid w:val="008C1FD0"/>
    <w:rsid w:val="008C723F"/>
    <w:rsid w:val="008D1D1D"/>
    <w:rsid w:val="008D346E"/>
    <w:rsid w:val="008D505B"/>
    <w:rsid w:val="008E3034"/>
    <w:rsid w:val="008E372C"/>
    <w:rsid w:val="008E44EA"/>
    <w:rsid w:val="008E6532"/>
    <w:rsid w:val="008E7968"/>
    <w:rsid w:val="008E79B3"/>
    <w:rsid w:val="008F767F"/>
    <w:rsid w:val="00903C62"/>
    <w:rsid w:val="00906D5B"/>
    <w:rsid w:val="00906D84"/>
    <w:rsid w:val="00906E5D"/>
    <w:rsid w:val="00912D8B"/>
    <w:rsid w:val="00913CD9"/>
    <w:rsid w:val="00914E26"/>
    <w:rsid w:val="00916FDB"/>
    <w:rsid w:val="00917F9E"/>
    <w:rsid w:val="00920DA4"/>
    <w:rsid w:val="00926D6F"/>
    <w:rsid w:val="00934EB1"/>
    <w:rsid w:val="00951CC6"/>
    <w:rsid w:val="00952B94"/>
    <w:rsid w:val="00962526"/>
    <w:rsid w:val="0096427D"/>
    <w:rsid w:val="009706F7"/>
    <w:rsid w:val="00971F35"/>
    <w:rsid w:val="009736CD"/>
    <w:rsid w:val="0097501C"/>
    <w:rsid w:val="00975922"/>
    <w:rsid w:val="009817D1"/>
    <w:rsid w:val="0098374B"/>
    <w:rsid w:val="0099055F"/>
    <w:rsid w:val="00992A9B"/>
    <w:rsid w:val="00995241"/>
    <w:rsid w:val="009A4273"/>
    <w:rsid w:val="009A65EA"/>
    <w:rsid w:val="009A6F54"/>
    <w:rsid w:val="009A7661"/>
    <w:rsid w:val="009B0268"/>
    <w:rsid w:val="009B13BC"/>
    <w:rsid w:val="009B3318"/>
    <w:rsid w:val="009C02EF"/>
    <w:rsid w:val="009C5B38"/>
    <w:rsid w:val="009D2CF9"/>
    <w:rsid w:val="009D3685"/>
    <w:rsid w:val="009D3A63"/>
    <w:rsid w:val="009D3C19"/>
    <w:rsid w:val="009D6990"/>
    <w:rsid w:val="009D7447"/>
    <w:rsid w:val="009E6A4A"/>
    <w:rsid w:val="009E6C23"/>
    <w:rsid w:val="009E6F37"/>
    <w:rsid w:val="009F1C06"/>
    <w:rsid w:val="009F2187"/>
    <w:rsid w:val="009F4EC7"/>
    <w:rsid w:val="009F76D3"/>
    <w:rsid w:val="009F7910"/>
    <w:rsid w:val="00A01A7C"/>
    <w:rsid w:val="00A04CD8"/>
    <w:rsid w:val="00A42C44"/>
    <w:rsid w:val="00A430A3"/>
    <w:rsid w:val="00A4453A"/>
    <w:rsid w:val="00A558D2"/>
    <w:rsid w:val="00A5612D"/>
    <w:rsid w:val="00A6057A"/>
    <w:rsid w:val="00A662D1"/>
    <w:rsid w:val="00A67BD7"/>
    <w:rsid w:val="00A73B1E"/>
    <w:rsid w:val="00A74017"/>
    <w:rsid w:val="00A961F7"/>
    <w:rsid w:val="00AA332C"/>
    <w:rsid w:val="00AA7D1D"/>
    <w:rsid w:val="00AB4906"/>
    <w:rsid w:val="00AB51B0"/>
    <w:rsid w:val="00AC116B"/>
    <w:rsid w:val="00AC16D7"/>
    <w:rsid w:val="00AC27F8"/>
    <w:rsid w:val="00AD4C72"/>
    <w:rsid w:val="00AD4E12"/>
    <w:rsid w:val="00AD4FD8"/>
    <w:rsid w:val="00AE2AEE"/>
    <w:rsid w:val="00AE6450"/>
    <w:rsid w:val="00AE75D1"/>
    <w:rsid w:val="00AE76DA"/>
    <w:rsid w:val="00AF49FC"/>
    <w:rsid w:val="00AF5354"/>
    <w:rsid w:val="00B00276"/>
    <w:rsid w:val="00B12404"/>
    <w:rsid w:val="00B230EC"/>
    <w:rsid w:val="00B33BF0"/>
    <w:rsid w:val="00B33EBE"/>
    <w:rsid w:val="00B46930"/>
    <w:rsid w:val="00B52738"/>
    <w:rsid w:val="00B541FD"/>
    <w:rsid w:val="00B56547"/>
    <w:rsid w:val="00B56EDC"/>
    <w:rsid w:val="00B603E9"/>
    <w:rsid w:val="00B60F9E"/>
    <w:rsid w:val="00B70014"/>
    <w:rsid w:val="00B73FE3"/>
    <w:rsid w:val="00B8307D"/>
    <w:rsid w:val="00B8651D"/>
    <w:rsid w:val="00B86700"/>
    <w:rsid w:val="00B87C95"/>
    <w:rsid w:val="00B9195C"/>
    <w:rsid w:val="00B94D54"/>
    <w:rsid w:val="00B969FA"/>
    <w:rsid w:val="00BA1C5A"/>
    <w:rsid w:val="00BA482E"/>
    <w:rsid w:val="00BA62A4"/>
    <w:rsid w:val="00BB1A18"/>
    <w:rsid w:val="00BB1F84"/>
    <w:rsid w:val="00BB7447"/>
    <w:rsid w:val="00BC2476"/>
    <w:rsid w:val="00BC4EE3"/>
    <w:rsid w:val="00BC6B01"/>
    <w:rsid w:val="00BD134C"/>
    <w:rsid w:val="00BD43DD"/>
    <w:rsid w:val="00BD53B0"/>
    <w:rsid w:val="00BD62E7"/>
    <w:rsid w:val="00BE18A5"/>
    <w:rsid w:val="00BE5468"/>
    <w:rsid w:val="00BF2467"/>
    <w:rsid w:val="00C0479D"/>
    <w:rsid w:val="00C04B7D"/>
    <w:rsid w:val="00C10106"/>
    <w:rsid w:val="00C11EAC"/>
    <w:rsid w:val="00C13CCA"/>
    <w:rsid w:val="00C15F6D"/>
    <w:rsid w:val="00C164F7"/>
    <w:rsid w:val="00C236E8"/>
    <w:rsid w:val="00C27620"/>
    <w:rsid w:val="00C305D7"/>
    <w:rsid w:val="00C30F2A"/>
    <w:rsid w:val="00C40075"/>
    <w:rsid w:val="00C43206"/>
    <w:rsid w:val="00C43456"/>
    <w:rsid w:val="00C44EC2"/>
    <w:rsid w:val="00C53F67"/>
    <w:rsid w:val="00C62CEF"/>
    <w:rsid w:val="00C647F9"/>
    <w:rsid w:val="00C64A9F"/>
    <w:rsid w:val="00C65C0C"/>
    <w:rsid w:val="00C70E45"/>
    <w:rsid w:val="00C71E5E"/>
    <w:rsid w:val="00C77BDC"/>
    <w:rsid w:val="00C808FC"/>
    <w:rsid w:val="00C859D0"/>
    <w:rsid w:val="00C85E08"/>
    <w:rsid w:val="00C9111C"/>
    <w:rsid w:val="00C97E03"/>
    <w:rsid w:val="00CA22F3"/>
    <w:rsid w:val="00CC0015"/>
    <w:rsid w:val="00CC1C0C"/>
    <w:rsid w:val="00CC3476"/>
    <w:rsid w:val="00CC3935"/>
    <w:rsid w:val="00CD09C1"/>
    <w:rsid w:val="00CD11ED"/>
    <w:rsid w:val="00CD23E9"/>
    <w:rsid w:val="00CD7D97"/>
    <w:rsid w:val="00CE0C85"/>
    <w:rsid w:val="00CE17FA"/>
    <w:rsid w:val="00CE3EE6"/>
    <w:rsid w:val="00CE4BA1"/>
    <w:rsid w:val="00CE7F36"/>
    <w:rsid w:val="00CF1C70"/>
    <w:rsid w:val="00D000C7"/>
    <w:rsid w:val="00D054D0"/>
    <w:rsid w:val="00D0685C"/>
    <w:rsid w:val="00D11AF0"/>
    <w:rsid w:val="00D15DF4"/>
    <w:rsid w:val="00D221B8"/>
    <w:rsid w:val="00D225AC"/>
    <w:rsid w:val="00D24899"/>
    <w:rsid w:val="00D3049D"/>
    <w:rsid w:val="00D366BD"/>
    <w:rsid w:val="00D40277"/>
    <w:rsid w:val="00D40D4A"/>
    <w:rsid w:val="00D44D68"/>
    <w:rsid w:val="00D4515B"/>
    <w:rsid w:val="00D45BA0"/>
    <w:rsid w:val="00D52A9D"/>
    <w:rsid w:val="00D54EC3"/>
    <w:rsid w:val="00D55AAD"/>
    <w:rsid w:val="00D561F7"/>
    <w:rsid w:val="00D57D32"/>
    <w:rsid w:val="00D600D2"/>
    <w:rsid w:val="00D6189E"/>
    <w:rsid w:val="00D632BB"/>
    <w:rsid w:val="00D73428"/>
    <w:rsid w:val="00D7404D"/>
    <w:rsid w:val="00D747AE"/>
    <w:rsid w:val="00D756A6"/>
    <w:rsid w:val="00D81CE7"/>
    <w:rsid w:val="00D82641"/>
    <w:rsid w:val="00D90840"/>
    <w:rsid w:val="00D90923"/>
    <w:rsid w:val="00D9226C"/>
    <w:rsid w:val="00D9634F"/>
    <w:rsid w:val="00DA0737"/>
    <w:rsid w:val="00DA20BD"/>
    <w:rsid w:val="00DA6D05"/>
    <w:rsid w:val="00DA7539"/>
    <w:rsid w:val="00DC5EB2"/>
    <w:rsid w:val="00DD1FE0"/>
    <w:rsid w:val="00DD337D"/>
    <w:rsid w:val="00DD576D"/>
    <w:rsid w:val="00DE0332"/>
    <w:rsid w:val="00DE4994"/>
    <w:rsid w:val="00DE50DB"/>
    <w:rsid w:val="00DE7FC3"/>
    <w:rsid w:val="00DE7FE5"/>
    <w:rsid w:val="00DF1035"/>
    <w:rsid w:val="00DF4AFA"/>
    <w:rsid w:val="00DF6010"/>
    <w:rsid w:val="00DF6AE1"/>
    <w:rsid w:val="00DF7A7B"/>
    <w:rsid w:val="00E005CD"/>
    <w:rsid w:val="00E03D08"/>
    <w:rsid w:val="00E05343"/>
    <w:rsid w:val="00E10A80"/>
    <w:rsid w:val="00E17DEE"/>
    <w:rsid w:val="00E23BE0"/>
    <w:rsid w:val="00E25F9A"/>
    <w:rsid w:val="00E27BE5"/>
    <w:rsid w:val="00E27C0D"/>
    <w:rsid w:val="00E30EC2"/>
    <w:rsid w:val="00E33D61"/>
    <w:rsid w:val="00E4265B"/>
    <w:rsid w:val="00E46FD5"/>
    <w:rsid w:val="00E4711F"/>
    <w:rsid w:val="00E53F92"/>
    <w:rsid w:val="00E54159"/>
    <w:rsid w:val="00E544BB"/>
    <w:rsid w:val="00E56545"/>
    <w:rsid w:val="00E65051"/>
    <w:rsid w:val="00E658CE"/>
    <w:rsid w:val="00E72642"/>
    <w:rsid w:val="00E77318"/>
    <w:rsid w:val="00E8434C"/>
    <w:rsid w:val="00E93F9D"/>
    <w:rsid w:val="00E96112"/>
    <w:rsid w:val="00EA3A37"/>
    <w:rsid w:val="00EA5D4F"/>
    <w:rsid w:val="00EA5EC2"/>
    <w:rsid w:val="00EB0BC7"/>
    <w:rsid w:val="00EB6C56"/>
    <w:rsid w:val="00EB6CF1"/>
    <w:rsid w:val="00EC2ABC"/>
    <w:rsid w:val="00EC31F1"/>
    <w:rsid w:val="00EC3987"/>
    <w:rsid w:val="00ED0162"/>
    <w:rsid w:val="00ED1D47"/>
    <w:rsid w:val="00ED3B02"/>
    <w:rsid w:val="00ED54E0"/>
    <w:rsid w:val="00ED5C63"/>
    <w:rsid w:val="00ED74EE"/>
    <w:rsid w:val="00EE5F4F"/>
    <w:rsid w:val="00EF2A7F"/>
    <w:rsid w:val="00EF2CDD"/>
    <w:rsid w:val="00EF2FCE"/>
    <w:rsid w:val="00EF6A97"/>
    <w:rsid w:val="00F04A9D"/>
    <w:rsid w:val="00F07BB6"/>
    <w:rsid w:val="00F11B84"/>
    <w:rsid w:val="00F13F0C"/>
    <w:rsid w:val="00F15FD2"/>
    <w:rsid w:val="00F23903"/>
    <w:rsid w:val="00F25C34"/>
    <w:rsid w:val="00F32397"/>
    <w:rsid w:val="00F373D9"/>
    <w:rsid w:val="00F40595"/>
    <w:rsid w:val="00F5220A"/>
    <w:rsid w:val="00F531C9"/>
    <w:rsid w:val="00F538B9"/>
    <w:rsid w:val="00F54014"/>
    <w:rsid w:val="00F546C4"/>
    <w:rsid w:val="00F566AD"/>
    <w:rsid w:val="00F569BB"/>
    <w:rsid w:val="00F60222"/>
    <w:rsid w:val="00F60480"/>
    <w:rsid w:val="00F65934"/>
    <w:rsid w:val="00F84CEA"/>
    <w:rsid w:val="00F91FC5"/>
    <w:rsid w:val="00F932D9"/>
    <w:rsid w:val="00F97DB9"/>
    <w:rsid w:val="00FA549F"/>
    <w:rsid w:val="00FA5EBC"/>
    <w:rsid w:val="00FB60F4"/>
    <w:rsid w:val="00FC05EA"/>
    <w:rsid w:val="00FC1FD0"/>
    <w:rsid w:val="00FC52BA"/>
    <w:rsid w:val="00FD224A"/>
    <w:rsid w:val="00FD2B7A"/>
    <w:rsid w:val="00FD7C82"/>
    <w:rsid w:val="00FE3202"/>
    <w:rsid w:val="00FF36B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D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5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10"/>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10"/>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10"/>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10"/>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10"/>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10"/>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10"/>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10"/>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10"/>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E17DEE"/>
    <w:pPr>
      <w:tabs>
        <w:tab w:val="right" w:leader="dot" w:pos="9027"/>
      </w:tabs>
      <w:spacing w:before="120" w:after="120"/>
      <w:ind w:right="11"/>
      <w:jc w:val="left"/>
    </w:pPr>
    <w:rPr>
      <w:rFonts w:eastAsia="Calibri" w:cs="Times New Roman"/>
      <w:b/>
      <w:caps/>
      <w:szCs w:val="18"/>
      <w:lang w:eastAsia="en-GB"/>
    </w:rPr>
  </w:style>
  <w:style w:type="paragraph" w:styleId="TOC2">
    <w:name w:val="toc 2"/>
    <w:basedOn w:val="Normal"/>
    <w:next w:val="Normal"/>
    <w:autoRedefine/>
    <w:uiPriority w:val="39"/>
    <w:rsid w:val="00E17DEE"/>
    <w:pPr>
      <w:tabs>
        <w:tab w:val="right" w:leader="dot" w:pos="9027"/>
      </w:tabs>
      <w:spacing w:before="120" w:after="120"/>
      <w:ind w:right="-46"/>
      <w:jc w:val="left"/>
    </w:pPr>
    <w:rPr>
      <w:rFonts w:eastAsia="Calibri" w:cs="Times New Roman"/>
      <w:szCs w:val="18"/>
      <w:lang w:eastAsia="en-GB"/>
    </w:rPr>
  </w:style>
  <w:style w:type="paragraph" w:styleId="TOC3">
    <w:name w:val="toc 3"/>
    <w:basedOn w:val="Normal"/>
    <w:next w:val="Normal"/>
    <w:autoRedefine/>
    <w:uiPriority w:val="39"/>
    <w:rsid w:val="0076051A"/>
    <w:pPr>
      <w:tabs>
        <w:tab w:val="right" w:leader="dot" w:pos="9027"/>
      </w:tabs>
      <w:spacing w:before="120" w:after="120"/>
      <w:ind w:right="1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7F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02244">
      <w:bodyDiv w:val="1"/>
      <w:marLeft w:val="0"/>
      <w:marRight w:val="0"/>
      <w:marTop w:val="0"/>
      <w:marBottom w:val="0"/>
      <w:divBdr>
        <w:top w:val="none" w:sz="0" w:space="0" w:color="auto"/>
        <w:left w:val="none" w:sz="0" w:space="0" w:color="auto"/>
        <w:bottom w:val="none" w:sz="0" w:space="0" w:color="auto"/>
        <w:right w:val="none" w:sz="0" w:space="0" w:color="auto"/>
      </w:divBdr>
    </w:div>
    <w:div w:id="377356990">
      <w:bodyDiv w:val="1"/>
      <w:marLeft w:val="0"/>
      <w:marRight w:val="0"/>
      <w:marTop w:val="0"/>
      <w:marBottom w:val="0"/>
      <w:divBdr>
        <w:top w:val="none" w:sz="0" w:space="0" w:color="auto"/>
        <w:left w:val="none" w:sz="0" w:space="0" w:color="auto"/>
        <w:bottom w:val="none" w:sz="0" w:space="0" w:color="auto"/>
        <w:right w:val="none" w:sz="0" w:space="0" w:color="auto"/>
      </w:divBdr>
    </w:div>
    <w:div w:id="385109034">
      <w:bodyDiv w:val="1"/>
      <w:marLeft w:val="0"/>
      <w:marRight w:val="0"/>
      <w:marTop w:val="0"/>
      <w:marBottom w:val="0"/>
      <w:divBdr>
        <w:top w:val="none" w:sz="0" w:space="0" w:color="auto"/>
        <w:left w:val="none" w:sz="0" w:space="0" w:color="auto"/>
        <w:bottom w:val="none" w:sz="0" w:space="0" w:color="auto"/>
        <w:right w:val="none" w:sz="0" w:space="0" w:color="auto"/>
      </w:divBdr>
    </w:div>
    <w:div w:id="470169077">
      <w:bodyDiv w:val="1"/>
      <w:marLeft w:val="0"/>
      <w:marRight w:val="0"/>
      <w:marTop w:val="0"/>
      <w:marBottom w:val="0"/>
      <w:divBdr>
        <w:top w:val="none" w:sz="0" w:space="0" w:color="auto"/>
        <w:left w:val="none" w:sz="0" w:space="0" w:color="auto"/>
        <w:bottom w:val="none" w:sz="0" w:space="0" w:color="auto"/>
        <w:right w:val="none" w:sz="0" w:space="0" w:color="auto"/>
      </w:divBdr>
    </w:div>
    <w:div w:id="516162529">
      <w:bodyDiv w:val="1"/>
      <w:marLeft w:val="0"/>
      <w:marRight w:val="0"/>
      <w:marTop w:val="0"/>
      <w:marBottom w:val="0"/>
      <w:divBdr>
        <w:top w:val="none" w:sz="0" w:space="0" w:color="auto"/>
        <w:left w:val="none" w:sz="0" w:space="0" w:color="auto"/>
        <w:bottom w:val="none" w:sz="0" w:space="0" w:color="auto"/>
        <w:right w:val="none" w:sz="0" w:space="0" w:color="auto"/>
      </w:divBdr>
    </w:div>
    <w:div w:id="737702633">
      <w:bodyDiv w:val="1"/>
      <w:marLeft w:val="0"/>
      <w:marRight w:val="0"/>
      <w:marTop w:val="0"/>
      <w:marBottom w:val="0"/>
      <w:divBdr>
        <w:top w:val="none" w:sz="0" w:space="0" w:color="auto"/>
        <w:left w:val="none" w:sz="0" w:space="0" w:color="auto"/>
        <w:bottom w:val="none" w:sz="0" w:space="0" w:color="auto"/>
        <w:right w:val="none" w:sz="0" w:space="0" w:color="auto"/>
      </w:divBdr>
    </w:div>
    <w:div w:id="801734043">
      <w:bodyDiv w:val="1"/>
      <w:marLeft w:val="0"/>
      <w:marRight w:val="0"/>
      <w:marTop w:val="0"/>
      <w:marBottom w:val="0"/>
      <w:divBdr>
        <w:top w:val="none" w:sz="0" w:space="0" w:color="auto"/>
        <w:left w:val="none" w:sz="0" w:space="0" w:color="auto"/>
        <w:bottom w:val="none" w:sz="0" w:space="0" w:color="auto"/>
        <w:right w:val="none" w:sz="0" w:space="0" w:color="auto"/>
      </w:divBdr>
    </w:div>
    <w:div w:id="813524273">
      <w:bodyDiv w:val="1"/>
      <w:marLeft w:val="0"/>
      <w:marRight w:val="0"/>
      <w:marTop w:val="0"/>
      <w:marBottom w:val="0"/>
      <w:divBdr>
        <w:top w:val="none" w:sz="0" w:space="0" w:color="auto"/>
        <w:left w:val="none" w:sz="0" w:space="0" w:color="auto"/>
        <w:bottom w:val="none" w:sz="0" w:space="0" w:color="auto"/>
        <w:right w:val="none" w:sz="0" w:space="0" w:color="auto"/>
      </w:divBdr>
      <w:divsChild>
        <w:div w:id="1321470361">
          <w:marLeft w:val="360"/>
          <w:marRight w:val="0"/>
          <w:marTop w:val="120"/>
          <w:marBottom w:val="120"/>
          <w:divBdr>
            <w:top w:val="none" w:sz="0" w:space="0" w:color="auto"/>
            <w:left w:val="none" w:sz="0" w:space="0" w:color="auto"/>
            <w:bottom w:val="none" w:sz="0" w:space="0" w:color="auto"/>
            <w:right w:val="none" w:sz="0" w:space="0" w:color="auto"/>
          </w:divBdr>
        </w:div>
        <w:div w:id="741680803">
          <w:marLeft w:val="360"/>
          <w:marRight w:val="0"/>
          <w:marTop w:val="120"/>
          <w:marBottom w:val="120"/>
          <w:divBdr>
            <w:top w:val="none" w:sz="0" w:space="0" w:color="auto"/>
            <w:left w:val="none" w:sz="0" w:space="0" w:color="auto"/>
            <w:bottom w:val="none" w:sz="0" w:space="0" w:color="auto"/>
            <w:right w:val="none" w:sz="0" w:space="0" w:color="auto"/>
          </w:divBdr>
        </w:div>
        <w:div w:id="1435132103">
          <w:marLeft w:val="360"/>
          <w:marRight w:val="0"/>
          <w:marTop w:val="120"/>
          <w:marBottom w:val="120"/>
          <w:divBdr>
            <w:top w:val="none" w:sz="0" w:space="0" w:color="auto"/>
            <w:left w:val="none" w:sz="0" w:space="0" w:color="auto"/>
            <w:bottom w:val="none" w:sz="0" w:space="0" w:color="auto"/>
            <w:right w:val="none" w:sz="0" w:space="0" w:color="auto"/>
          </w:divBdr>
        </w:div>
        <w:div w:id="1749115717">
          <w:marLeft w:val="360"/>
          <w:marRight w:val="0"/>
          <w:marTop w:val="120"/>
          <w:marBottom w:val="120"/>
          <w:divBdr>
            <w:top w:val="none" w:sz="0" w:space="0" w:color="auto"/>
            <w:left w:val="none" w:sz="0" w:space="0" w:color="auto"/>
            <w:bottom w:val="none" w:sz="0" w:space="0" w:color="auto"/>
            <w:right w:val="none" w:sz="0" w:space="0" w:color="auto"/>
          </w:divBdr>
        </w:div>
        <w:div w:id="2124305467">
          <w:marLeft w:val="360"/>
          <w:marRight w:val="0"/>
          <w:marTop w:val="120"/>
          <w:marBottom w:val="120"/>
          <w:divBdr>
            <w:top w:val="none" w:sz="0" w:space="0" w:color="auto"/>
            <w:left w:val="none" w:sz="0" w:space="0" w:color="auto"/>
            <w:bottom w:val="none" w:sz="0" w:space="0" w:color="auto"/>
            <w:right w:val="none" w:sz="0" w:space="0" w:color="auto"/>
          </w:divBdr>
        </w:div>
        <w:div w:id="1043287370">
          <w:marLeft w:val="360"/>
          <w:marRight w:val="0"/>
          <w:marTop w:val="120"/>
          <w:marBottom w:val="120"/>
          <w:divBdr>
            <w:top w:val="none" w:sz="0" w:space="0" w:color="auto"/>
            <w:left w:val="none" w:sz="0" w:space="0" w:color="auto"/>
            <w:bottom w:val="none" w:sz="0" w:space="0" w:color="auto"/>
            <w:right w:val="none" w:sz="0" w:space="0" w:color="auto"/>
          </w:divBdr>
        </w:div>
        <w:div w:id="1145053330">
          <w:marLeft w:val="360"/>
          <w:marRight w:val="0"/>
          <w:marTop w:val="120"/>
          <w:marBottom w:val="120"/>
          <w:divBdr>
            <w:top w:val="none" w:sz="0" w:space="0" w:color="auto"/>
            <w:left w:val="none" w:sz="0" w:space="0" w:color="auto"/>
            <w:bottom w:val="none" w:sz="0" w:space="0" w:color="auto"/>
            <w:right w:val="none" w:sz="0" w:space="0" w:color="auto"/>
          </w:divBdr>
        </w:div>
        <w:div w:id="125046608">
          <w:marLeft w:val="360"/>
          <w:marRight w:val="0"/>
          <w:marTop w:val="120"/>
          <w:marBottom w:val="120"/>
          <w:divBdr>
            <w:top w:val="none" w:sz="0" w:space="0" w:color="auto"/>
            <w:left w:val="none" w:sz="0" w:space="0" w:color="auto"/>
            <w:bottom w:val="none" w:sz="0" w:space="0" w:color="auto"/>
            <w:right w:val="none" w:sz="0" w:space="0" w:color="auto"/>
          </w:divBdr>
        </w:div>
        <w:div w:id="56588379">
          <w:marLeft w:val="360"/>
          <w:marRight w:val="0"/>
          <w:marTop w:val="120"/>
          <w:marBottom w:val="120"/>
          <w:divBdr>
            <w:top w:val="none" w:sz="0" w:space="0" w:color="auto"/>
            <w:left w:val="none" w:sz="0" w:space="0" w:color="auto"/>
            <w:bottom w:val="none" w:sz="0" w:space="0" w:color="auto"/>
            <w:right w:val="none" w:sz="0" w:space="0" w:color="auto"/>
          </w:divBdr>
        </w:div>
        <w:div w:id="1617788551">
          <w:marLeft w:val="360"/>
          <w:marRight w:val="0"/>
          <w:marTop w:val="120"/>
          <w:marBottom w:val="120"/>
          <w:divBdr>
            <w:top w:val="none" w:sz="0" w:space="0" w:color="auto"/>
            <w:left w:val="none" w:sz="0" w:space="0" w:color="auto"/>
            <w:bottom w:val="none" w:sz="0" w:space="0" w:color="auto"/>
            <w:right w:val="none" w:sz="0" w:space="0" w:color="auto"/>
          </w:divBdr>
        </w:div>
        <w:div w:id="1114595119">
          <w:marLeft w:val="360"/>
          <w:marRight w:val="0"/>
          <w:marTop w:val="120"/>
          <w:marBottom w:val="120"/>
          <w:divBdr>
            <w:top w:val="none" w:sz="0" w:space="0" w:color="auto"/>
            <w:left w:val="none" w:sz="0" w:space="0" w:color="auto"/>
            <w:bottom w:val="none" w:sz="0" w:space="0" w:color="auto"/>
            <w:right w:val="none" w:sz="0" w:space="0" w:color="auto"/>
          </w:divBdr>
        </w:div>
        <w:div w:id="367533194">
          <w:marLeft w:val="360"/>
          <w:marRight w:val="0"/>
          <w:marTop w:val="120"/>
          <w:marBottom w:val="120"/>
          <w:divBdr>
            <w:top w:val="none" w:sz="0" w:space="0" w:color="auto"/>
            <w:left w:val="none" w:sz="0" w:space="0" w:color="auto"/>
            <w:bottom w:val="none" w:sz="0" w:space="0" w:color="auto"/>
            <w:right w:val="none" w:sz="0" w:space="0" w:color="auto"/>
          </w:divBdr>
        </w:div>
        <w:div w:id="633221562">
          <w:marLeft w:val="360"/>
          <w:marRight w:val="0"/>
          <w:marTop w:val="120"/>
          <w:marBottom w:val="120"/>
          <w:divBdr>
            <w:top w:val="none" w:sz="0" w:space="0" w:color="auto"/>
            <w:left w:val="none" w:sz="0" w:space="0" w:color="auto"/>
            <w:bottom w:val="none" w:sz="0" w:space="0" w:color="auto"/>
            <w:right w:val="none" w:sz="0" w:space="0" w:color="auto"/>
          </w:divBdr>
        </w:div>
      </w:divsChild>
    </w:div>
    <w:div w:id="1187526071">
      <w:bodyDiv w:val="1"/>
      <w:marLeft w:val="0"/>
      <w:marRight w:val="0"/>
      <w:marTop w:val="0"/>
      <w:marBottom w:val="0"/>
      <w:divBdr>
        <w:top w:val="none" w:sz="0" w:space="0" w:color="auto"/>
        <w:left w:val="none" w:sz="0" w:space="0" w:color="auto"/>
        <w:bottom w:val="none" w:sz="0" w:space="0" w:color="auto"/>
        <w:right w:val="none" w:sz="0" w:space="0" w:color="auto"/>
      </w:divBdr>
    </w:div>
    <w:div w:id="1525367085">
      <w:bodyDiv w:val="1"/>
      <w:marLeft w:val="0"/>
      <w:marRight w:val="0"/>
      <w:marTop w:val="0"/>
      <w:marBottom w:val="0"/>
      <w:divBdr>
        <w:top w:val="none" w:sz="0" w:space="0" w:color="auto"/>
        <w:left w:val="none" w:sz="0" w:space="0" w:color="auto"/>
        <w:bottom w:val="none" w:sz="0" w:space="0" w:color="auto"/>
        <w:right w:val="none" w:sz="0" w:space="0" w:color="auto"/>
      </w:divBdr>
    </w:div>
    <w:div w:id="1656955966">
      <w:bodyDiv w:val="1"/>
      <w:marLeft w:val="0"/>
      <w:marRight w:val="0"/>
      <w:marTop w:val="0"/>
      <w:marBottom w:val="0"/>
      <w:divBdr>
        <w:top w:val="none" w:sz="0" w:space="0" w:color="auto"/>
        <w:left w:val="none" w:sz="0" w:space="0" w:color="auto"/>
        <w:bottom w:val="none" w:sz="0" w:space="0" w:color="auto"/>
        <w:right w:val="none" w:sz="0" w:space="0" w:color="auto"/>
      </w:divBdr>
      <w:divsChild>
        <w:div w:id="1430353654">
          <w:marLeft w:val="360"/>
          <w:marRight w:val="0"/>
          <w:marTop w:val="120"/>
          <w:marBottom w:val="120"/>
          <w:divBdr>
            <w:top w:val="none" w:sz="0" w:space="0" w:color="auto"/>
            <w:left w:val="none" w:sz="0" w:space="0" w:color="auto"/>
            <w:bottom w:val="none" w:sz="0" w:space="0" w:color="auto"/>
            <w:right w:val="none" w:sz="0" w:space="0" w:color="auto"/>
          </w:divBdr>
        </w:div>
        <w:div w:id="61368568">
          <w:marLeft w:val="360"/>
          <w:marRight w:val="0"/>
          <w:marTop w:val="120"/>
          <w:marBottom w:val="120"/>
          <w:divBdr>
            <w:top w:val="none" w:sz="0" w:space="0" w:color="auto"/>
            <w:left w:val="none" w:sz="0" w:space="0" w:color="auto"/>
            <w:bottom w:val="none" w:sz="0" w:space="0" w:color="auto"/>
            <w:right w:val="none" w:sz="0" w:space="0" w:color="auto"/>
          </w:divBdr>
        </w:div>
        <w:div w:id="1213151087">
          <w:marLeft w:val="360"/>
          <w:marRight w:val="0"/>
          <w:marTop w:val="120"/>
          <w:marBottom w:val="120"/>
          <w:divBdr>
            <w:top w:val="none" w:sz="0" w:space="0" w:color="auto"/>
            <w:left w:val="none" w:sz="0" w:space="0" w:color="auto"/>
            <w:bottom w:val="none" w:sz="0" w:space="0" w:color="auto"/>
            <w:right w:val="none" w:sz="0" w:space="0" w:color="auto"/>
          </w:divBdr>
        </w:div>
        <w:div w:id="2031762966">
          <w:marLeft w:val="360"/>
          <w:marRight w:val="0"/>
          <w:marTop w:val="120"/>
          <w:marBottom w:val="120"/>
          <w:divBdr>
            <w:top w:val="none" w:sz="0" w:space="0" w:color="auto"/>
            <w:left w:val="none" w:sz="0" w:space="0" w:color="auto"/>
            <w:bottom w:val="none" w:sz="0" w:space="0" w:color="auto"/>
            <w:right w:val="none" w:sz="0" w:space="0" w:color="auto"/>
          </w:divBdr>
        </w:div>
        <w:div w:id="2065057388">
          <w:marLeft w:val="360"/>
          <w:marRight w:val="0"/>
          <w:marTop w:val="120"/>
          <w:marBottom w:val="120"/>
          <w:divBdr>
            <w:top w:val="none" w:sz="0" w:space="0" w:color="auto"/>
            <w:left w:val="none" w:sz="0" w:space="0" w:color="auto"/>
            <w:bottom w:val="none" w:sz="0" w:space="0" w:color="auto"/>
            <w:right w:val="none" w:sz="0" w:space="0" w:color="auto"/>
          </w:divBdr>
        </w:div>
        <w:div w:id="717125304">
          <w:marLeft w:val="360"/>
          <w:marRight w:val="0"/>
          <w:marTop w:val="120"/>
          <w:marBottom w:val="120"/>
          <w:divBdr>
            <w:top w:val="none" w:sz="0" w:space="0" w:color="auto"/>
            <w:left w:val="none" w:sz="0" w:space="0" w:color="auto"/>
            <w:bottom w:val="none" w:sz="0" w:space="0" w:color="auto"/>
            <w:right w:val="none" w:sz="0" w:space="0" w:color="auto"/>
          </w:divBdr>
        </w:div>
        <w:div w:id="1737047814">
          <w:marLeft w:val="360"/>
          <w:marRight w:val="0"/>
          <w:marTop w:val="120"/>
          <w:marBottom w:val="120"/>
          <w:divBdr>
            <w:top w:val="none" w:sz="0" w:space="0" w:color="auto"/>
            <w:left w:val="none" w:sz="0" w:space="0" w:color="auto"/>
            <w:bottom w:val="none" w:sz="0" w:space="0" w:color="auto"/>
            <w:right w:val="none" w:sz="0" w:space="0" w:color="auto"/>
          </w:divBdr>
        </w:div>
      </w:divsChild>
    </w:div>
    <w:div w:id="1733310086">
      <w:bodyDiv w:val="1"/>
      <w:marLeft w:val="0"/>
      <w:marRight w:val="0"/>
      <w:marTop w:val="0"/>
      <w:marBottom w:val="0"/>
      <w:divBdr>
        <w:top w:val="none" w:sz="0" w:space="0" w:color="auto"/>
        <w:left w:val="none" w:sz="0" w:space="0" w:color="auto"/>
        <w:bottom w:val="none" w:sz="0" w:space="0" w:color="auto"/>
        <w:right w:val="none" w:sz="0" w:space="0" w:color="auto"/>
      </w:divBdr>
    </w:div>
    <w:div w:id="178758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findrulesoforigi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tolearning.csod.com" TargetMode="External"/><Relationship Id="rId1" Type="http://schemas.openxmlformats.org/officeDocument/2006/relationships/hyperlink" Target="https://www.wto.org/english/news_e/news19_e/roi_17oct19_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2D2C-F6FA-449D-8B4C-8AD07A6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19</Pages>
  <Words>13012</Words>
  <Characters>71951</Characters>
  <Application>Microsoft Office Word</Application>
  <DocSecurity>0</DocSecurity>
  <Lines>967</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2021-01-20T10:33:00Z</dcterms:created>
  <dcterms:modified xsi:type="dcterms:W3CDTF">2021-02-01T10:02:00Z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G/RO/M/75</vt:lpwstr>
  </property>
  <property fmtid="{D5CDD505-2E9C-101B-9397-08002B2CF9AE}" pid="3" name="TitusGUID">
    <vt:lpwstr>f5ac42c7-9f20-4727-8689-baefa117c451</vt:lpwstr>
  </property>
  <property fmtid="{D5CDD505-2E9C-101B-9397-08002B2CF9AE}" pid="4" name="WTOCLASSIFICATION">
    <vt:lpwstr>WTO OFFICIAL</vt:lpwstr>
  </property>
</Properties>
</file>