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F8E0" w14:textId="06E8ECFD" w:rsidR="00847550" w:rsidRPr="00EB0B81" w:rsidRDefault="00847550" w:rsidP="00847550">
      <w:pPr>
        <w:pStyle w:val="Title"/>
      </w:pPr>
      <w:bookmarkStart w:id="0" w:name="_GoBack"/>
      <w:bookmarkEnd w:id="0"/>
      <w:r w:rsidRPr="00EB0B81">
        <w:t>notification under article 5 and paragraph 4 of</w:t>
      </w:r>
    </w:p>
    <w:p w14:paraId="53EA7EB8" w14:textId="77777777" w:rsidR="00847550" w:rsidRPr="00EB0B81" w:rsidRDefault="00847550" w:rsidP="00847550">
      <w:pPr>
        <w:pStyle w:val="Title"/>
      </w:pPr>
      <w:r w:rsidRPr="00EB0B81">
        <w:t>annex ii to the agreement on rules of origin</w:t>
      </w:r>
    </w:p>
    <w:p w14:paraId="660C2E69" w14:textId="77777777" w:rsidR="00847550" w:rsidRPr="00EB0B81" w:rsidRDefault="00847550" w:rsidP="00847550">
      <w:pPr>
        <w:pStyle w:val="Title2"/>
      </w:pPr>
      <w:r w:rsidRPr="00EB0B81">
        <w:t>non-preferential and preferential rules of origin</w:t>
      </w:r>
    </w:p>
    <w:p w14:paraId="7C5D5C9D" w14:textId="77777777" w:rsidR="00847550" w:rsidRPr="00954152" w:rsidRDefault="00847550" w:rsidP="0055195C">
      <w:pPr>
        <w:pStyle w:val="BodyText"/>
        <w:numPr>
          <w:ilvl w:val="6"/>
          <w:numId w:val="7"/>
        </w:numPr>
        <w:tabs>
          <w:tab w:val="clear" w:pos="926"/>
          <w:tab w:val="num" w:pos="567"/>
        </w:tabs>
        <w:ind w:left="0" w:firstLine="0"/>
      </w:pPr>
      <w:r w:rsidRPr="00954152">
        <w:rPr>
          <w:szCs w:val="23"/>
        </w:rPr>
        <w:t xml:space="preserve">According to Article 5.1 of the Agreement on Rules of Origin, each Member shall provide to the Secretariat, within 90 days after the date of entry into force of the WTO Agreement for it, its rules of origin, judicial decisions, and administrative rulings of general application relating to rules of origin in effect on that date. If, by inadvertence, a rule of origin has not been provided, the Member concerned shall provide it immediately after this fact becomes known. Article 5.2 of the Agreement stipulates, moreover, that during the period referred to in Article 2, Members introducing modifications, other than </w:t>
      </w:r>
      <w:r w:rsidRPr="00954152">
        <w:rPr>
          <w:i/>
          <w:iCs/>
          <w:szCs w:val="23"/>
        </w:rPr>
        <w:t>de minimis</w:t>
      </w:r>
      <w:r w:rsidRPr="00954152">
        <w:rPr>
          <w:szCs w:val="23"/>
        </w:rPr>
        <w:t xml:space="preserve"> modifications, to their rules of origin or introducing new rules of origin, shall publish a notice to that effect at least 60 days before the entry into force of the modified or new rule in such a manner as to enable interested parties to become acquainted with the intention to modify a rule of origin or to introduce a new rule of origin, unless exceptional circumstances arise or threaten to arise for a Member.</w:t>
      </w:r>
    </w:p>
    <w:p w14:paraId="24B6F783" w14:textId="77777777" w:rsidR="00847550" w:rsidRPr="00954152" w:rsidRDefault="00847550" w:rsidP="0055195C">
      <w:pPr>
        <w:pStyle w:val="BodyText"/>
        <w:numPr>
          <w:ilvl w:val="6"/>
          <w:numId w:val="7"/>
        </w:numPr>
        <w:tabs>
          <w:tab w:val="clear" w:pos="926"/>
          <w:tab w:val="num" w:pos="567"/>
        </w:tabs>
        <w:ind w:left="0" w:firstLine="0"/>
      </w:pPr>
      <w:r w:rsidRPr="00954152">
        <w:t xml:space="preserve">Furthermore, paragraph 4 of Annex II to the Agreement on Rules of Origin envisages that Members shall </w:t>
      </w:r>
      <w:r w:rsidRPr="00847550">
        <w:rPr>
          <w:szCs w:val="23"/>
        </w:rPr>
        <w:t>promptly</w:t>
      </w:r>
      <w:r w:rsidRPr="00954152">
        <w:t xml:space="preserve"> provide to the Secretariat their existing or new preferential rules of origin, including a listing of the preferential arrangements to which they apply, judicial decisions, and administrative rulings of general application relating to their preferential rules of origin. In this respect, the Committee on Rules of Origin (CRO) further agreed that notifications made to the Committee on Regional Trade Agreements (CRTA) or the Committee on Trade and Development (CTD) could also suffice to discharge Members' notification obligations under the Agreement on Rules of Origin (G/RO/M/59). As a result, the Committee agreed that notifications which had been initially received by the CRTA or the CTD should also be circulated by the Secretariat to the CRO. Information regarding such notifications, including related to preferential rules of origin, can also be obtained through the WTO database on regional trade agreements (</w:t>
      </w:r>
      <w:hyperlink r:id="rId8" w:history="1">
        <w:r>
          <w:rPr>
            <w:rStyle w:val="Hyperlink"/>
            <w:szCs w:val="23"/>
          </w:rPr>
          <w:t>http://rtais.wto.org</w:t>
        </w:r>
      </w:hyperlink>
      <w:r w:rsidRPr="00954152">
        <w:t>) or the WTO</w:t>
      </w:r>
      <w:r>
        <w:t> </w:t>
      </w:r>
      <w:r w:rsidRPr="00954152">
        <w:t>database on preferential trade agreements (</w:t>
      </w:r>
      <w:hyperlink r:id="rId9" w:history="1">
        <w:r>
          <w:rPr>
            <w:rStyle w:val="Hyperlink"/>
            <w:szCs w:val="23"/>
          </w:rPr>
          <w:t>http://ptadb.wto.org</w:t>
        </w:r>
      </w:hyperlink>
      <w:r w:rsidRPr="00954152">
        <w:t>).</w:t>
      </w:r>
    </w:p>
    <w:p w14:paraId="1A421577" w14:textId="740648DB" w:rsidR="00847550" w:rsidRPr="00954152" w:rsidRDefault="00067E33" w:rsidP="0055195C">
      <w:pPr>
        <w:pStyle w:val="BodyText"/>
        <w:numPr>
          <w:ilvl w:val="6"/>
          <w:numId w:val="7"/>
        </w:numPr>
        <w:tabs>
          <w:tab w:val="clear" w:pos="926"/>
          <w:tab w:val="num" w:pos="567"/>
        </w:tabs>
        <w:ind w:left="0" w:firstLine="0"/>
      </w:pPr>
      <w:r w:rsidRPr="00954152">
        <w:rPr>
          <w:szCs w:val="23"/>
        </w:rPr>
        <w:t>In accordance with these rules, the following notification has been received</w:t>
      </w:r>
      <w:r w:rsidR="0055195C">
        <w:rPr>
          <w:rStyle w:val="FootnoteReference"/>
          <w:szCs w:val="23"/>
        </w:rPr>
        <w:footnoteReference w:id="1"/>
      </w:r>
      <w:r>
        <w:rPr>
          <w:szCs w:val="23"/>
        </w:rPr>
        <w:t>:</w:t>
      </w:r>
    </w:p>
    <w:p w14:paraId="743E2489" w14:textId="77777777" w:rsidR="00847550" w:rsidRPr="00954152" w:rsidRDefault="00847550" w:rsidP="00847550">
      <w:pPr>
        <w:spacing w:after="240"/>
        <w:rPr>
          <w:b/>
          <w:szCs w:val="23"/>
        </w:rPr>
      </w:pPr>
      <w:r>
        <w:rPr>
          <w:b/>
          <w:szCs w:val="23"/>
        </w:rPr>
        <w:t>NORTH MACEDONIA</w:t>
      </w:r>
    </w:p>
    <w:p w14:paraId="0F0C7F5A" w14:textId="77777777" w:rsidR="00847550" w:rsidRPr="00954152" w:rsidRDefault="00847550" w:rsidP="00847550">
      <w:pPr>
        <w:pStyle w:val="Caption"/>
        <w:rPr>
          <w:szCs w:val="23"/>
        </w:rPr>
      </w:pPr>
      <w:r w:rsidRPr="00954152">
        <w:rPr>
          <w:szCs w:val="23"/>
        </w:rPr>
        <w:t xml:space="preserve">A. </w:t>
      </w:r>
      <w:r w:rsidRPr="00954152">
        <w:rPr>
          <w:szCs w:val="23"/>
        </w:rPr>
        <w:tab/>
        <w:t>NON-PREFERENTIAL RULES OF ORIGIN</w:t>
      </w:r>
    </w:p>
    <w:p w14:paraId="6D7E629B" w14:textId="77777777" w:rsidR="00847550" w:rsidRPr="00847550" w:rsidRDefault="00847550" w:rsidP="00847550">
      <w:pPr>
        <w:pStyle w:val="BodyText"/>
        <w:numPr>
          <w:ilvl w:val="0"/>
          <w:numId w:val="0"/>
        </w:numPr>
        <w:ind w:left="567" w:hanging="567"/>
        <w:rPr>
          <w:specVanish/>
        </w:rPr>
      </w:pPr>
      <w:r>
        <w:t>-</w:t>
      </w:r>
      <w:r>
        <w:tab/>
      </w:r>
      <w:r w:rsidRPr="00847550">
        <w:t>Articles 21-25 of the Customs Law (Official Gazette Nos. 39/2005; 4/2008; 62/2009; 117/2009; 35/2010; 48/2010; 158/2010; 44/2011; 53/2011; 11/2012; 171/2012; 187/2013; 180/2014; 15/2015; 129/2015; 154/2015; 192/2015; 23/2016; 144/2018).</w:t>
      </w:r>
    </w:p>
    <w:p w14:paraId="2499B604" w14:textId="77777777" w:rsidR="00847550" w:rsidRPr="00847550" w:rsidRDefault="00847550" w:rsidP="00847550">
      <w:pPr>
        <w:pStyle w:val="BodyText"/>
        <w:numPr>
          <w:ilvl w:val="0"/>
          <w:numId w:val="0"/>
        </w:numPr>
        <w:ind w:left="567" w:hanging="567"/>
        <w:rPr>
          <w:specVanish/>
        </w:rPr>
      </w:pPr>
      <w:r w:rsidRPr="00847550">
        <w:t xml:space="preserve">- </w:t>
      </w:r>
      <w:r>
        <w:tab/>
      </w:r>
      <w:r w:rsidRPr="00847550">
        <w:t>Articles 11-30 of the Decree on implementation of the Customs Law (Official Gazette Nos. 66/2005</w:t>
      </w:r>
      <w:r>
        <w:t>;</w:t>
      </w:r>
      <w:r w:rsidRPr="00847550">
        <w:t xml:space="preserve"> 73/2006</w:t>
      </w:r>
      <w:r>
        <w:t>;</w:t>
      </w:r>
      <w:r w:rsidRPr="00847550">
        <w:t xml:space="preserve"> 40/2007</w:t>
      </w:r>
      <w:r>
        <w:t>;</w:t>
      </w:r>
      <w:r w:rsidRPr="00847550">
        <w:t xml:space="preserve"> 62/2007</w:t>
      </w:r>
      <w:r>
        <w:t>;</w:t>
      </w:r>
      <w:r w:rsidRPr="00847550">
        <w:t xml:space="preserve"> 42/2009</w:t>
      </w:r>
      <w:r>
        <w:t>;</w:t>
      </w:r>
      <w:r w:rsidRPr="00847550">
        <w:t xml:space="preserve"> 48/2009</w:t>
      </w:r>
      <w:r>
        <w:t>;</w:t>
      </w:r>
      <w:r w:rsidRPr="00847550">
        <w:t xml:space="preserve"> 38/2010</w:t>
      </w:r>
      <w:r>
        <w:t>;</w:t>
      </w:r>
      <w:r w:rsidRPr="00847550">
        <w:t xml:space="preserve"> 46/2010</w:t>
      </w:r>
      <w:r>
        <w:t>;</w:t>
      </w:r>
      <w:r w:rsidRPr="00847550">
        <w:t xml:space="preserve"> 61/2010</w:t>
      </w:r>
      <w:r>
        <w:t>;</w:t>
      </w:r>
      <w:r w:rsidRPr="00847550">
        <w:t xml:space="preserve"> 141/2011</w:t>
      </w:r>
      <w:r>
        <w:t>;</w:t>
      </w:r>
      <w:r w:rsidRPr="00847550">
        <w:t xml:space="preserve"> 147/2011</w:t>
      </w:r>
      <w:r>
        <w:t>;</w:t>
      </w:r>
      <w:r w:rsidRPr="00847550">
        <w:t xml:space="preserve"> 158/2011</w:t>
      </w:r>
      <w:r>
        <w:t>;</w:t>
      </w:r>
      <w:r w:rsidRPr="00847550">
        <w:t xml:space="preserve"> 14/2012</w:t>
      </w:r>
      <w:r>
        <w:t>;</w:t>
      </w:r>
      <w:r w:rsidRPr="00847550">
        <w:t xml:space="preserve"> 2/2013</w:t>
      </w:r>
      <w:r>
        <w:t>;</w:t>
      </w:r>
      <w:r w:rsidRPr="00847550">
        <w:t xml:space="preserve"> 92/2013</w:t>
      </w:r>
      <w:r>
        <w:t>;</w:t>
      </w:r>
      <w:r w:rsidRPr="00847550">
        <w:t xml:space="preserve"> 177/2013</w:t>
      </w:r>
      <w:r>
        <w:t>;</w:t>
      </w:r>
      <w:r w:rsidRPr="00847550">
        <w:t xml:space="preserve"> 62/2015</w:t>
      </w:r>
      <w:r>
        <w:t>;</w:t>
      </w:r>
      <w:r w:rsidRPr="00847550">
        <w:t xml:space="preserve"> 111/2015</w:t>
      </w:r>
      <w:r>
        <w:t>;</w:t>
      </w:r>
      <w:r w:rsidRPr="00847550">
        <w:t xml:space="preserve"> 215/2015</w:t>
      </w:r>
      <w:r>
        <w:t>;</w:t>
      </w:r>
      <w:r w:rsidRPr="00847550">
        <w:t xml:space="preserve"> 192/2016</w:t>
      </w:r>
      <w:r>
        <w:t>;</w:t>
      </w:r>
      <w:r w:rsidRPr="00847550">
        <w:t xml:space="preserve"> 21/2017</w:t>
      </w:r>
      <w:r>
        <w:t>;</w:t>
      </w:r>
      <w:r w:rsidRPr="00847550">
        <w:t xml:space="preserve"> 181/2017</w:t>
      </w:r>
      <w:r>
        <w:t>;</w:t>
      </w:r>
      <w:r w:rsidRPr="00847550">
        <w:t xml:space="preserve"> 233/2018; 199/2019).</w:t>
      </w:r>
    </w:p>
    <w:p w14:paraId="37E88BE6" w14:textId="677A068B" w:rsidR="00847550" w:rsidRPr="00847550" w:rsidRDefault="007E7E65" w:rsidP="00847550">
      <w:pPr>
        <w:pStyle w:val="BodyText"/>
        <w:numPr>
          <w:ilvl w:val="0"/>
          <w:numId w:val="0"/>
        </w:numPr>
      </w:pPr>
      <w:r w:rsidRPr="00847550">
        <w:t xml:space="preserve">English and Macedonian versions of the following documents regulating non-preferential rules </w:t>
      </w:r>
      <w:r>
        <w:t>can be found o</w:t>
      </w:r>
      <w:r w:rsidR="00847550" w:rsidRPr="00847550">
        <w:t xml:space="preserve">n the webpage of </w:t>
      </w:r>
      <w:r w:rsidR="00462D09">
        <w:t xml:space="preserve">the </w:t>
      </w:r>
      <w:r w:rsidR="00847550" w:rsidRPr="00847550">
        <w:t>Customs Administration of the Republic of North Macedonia:</w:t>
      </w:r>
    </w:p>
    <w:p w14:paraId="6F4BC53A" w14:textId="77777777" w:rsidR="00462D09" w:rsidRDefault="00847550" w:rsidP="000B5FA1">
      <w:pPr>
        <w:pStyle w:val="BodyText"/>
        <w:keepNext/>
        <w:numPr>
          <w:ilvl w:val="0"/>
          <w:numId w:val="0"/>
        </w:numPr>
      </w:pPr>
      <w:r w:rsidRPr="00847550">
        <w:lastRenderedPageBreak/>
        <w:t>The link to the Customs Law is:</w:t>
      </w:r>
      <w:r w:rsidR="00462D09">
        <w:t xml:space="preserve"> </w:t>
      </w:r>
    </w:p>
    <w:p w14:paraId="48DA37A2" w14:textId="77777777" w:rsidR="00847550" w:rsidRPr="00847550" w:rsidRDefault="00462D09" w:rsidP="00462D09">
      <w:pPr>
        <w:pStyle w:val="BodyText"/>
        <w:numPr>
          <w:ilvl w:val="0"/>
          <w:numId w:val="0"/>
        </w:numPr>
        <w:ind w:left="567" w:hanging="567"/>
        <w:jc w:val="left"/>
      </w:pPr>
      <w:r>
        <w:t>-</w:t>
      </w:r>
      <w:r>
        <w:tab/>
        <w:t>I</w:t>
      </w:r>
      <w:r w:rsidR="00847550" w:rsidRPr="00847550">
        <w:t>n Macedonian</w:t>
      </w:r>
      <w:r w:rsidR="000B5FA1">
        <w:t>,</w:t>
      </w:r>
      <w:r w:rsidR="00847550" w:rsidRPr="00847550">
        <w:t xml:space="preserve"> </w:t>
      </w:r>
      <w:r w:rsidRPr="00847550">
        <w:t xml:space="preserve">in </w:t>
      </w:r>
      <w:r>
        <w:t xml:space="preserve">the section </w:t>
      </w:r>
      <w:r w:rsidR="000B5FA1">
        <w:t>"</w:t>
      </w:r>
      <w:r w:rsidR="00847550" w:rsidRPr="00847550">
        <w:t>ЦАРИНСКИ ЗАКОН</w:t>
      </w:r>
      <w:r w:rsidR="000B5FA1">
        <w:t>"</w:t>
      </w:r>
      <w:r>
        <w:t xml:space="preserve"> - </w:t>
      </w:r>
      <w:hyperlink r:id="rId10" w:history="1">
        <w:r w:rsidR="00847550" w:rsidRPr="00462D09">
          <w:rPr>
            <w:rStyle w:val="Hyperlink"/>
          </w:rPr>
          <w:t>http://www.customs.gov.mk/index.php/mk/za-nas-mk/carinska-regulativa/carinski-zakon</w:t>
        </w:r>
      </w:hyperlink>
      <w:r>
        <w:t>; and</w:t>
      </w:r>
    </w:p>
    <w:p w14:paraId="76951B8A" w14:textId="77777777" w:rsidR="00847550" w:rsidRPr="00847550" w:rsidRDefault="00462D09" w:rsidP="00462D09">
      <w:pPr>
        <w:pStyle w:val="BodyText"/>
        <w:numPr>
          <w:ilvl w:val="0"/>
          <w:numId w:val="0"/>
        </w:numPr>
        <w:ind w:left="567" w:hanging="567"/>
        <w:jc w:val="left"/>
      </w:pPr>
      <w:r>
        <w:t>-</w:t>
      </w:r>
      <w:r>
        <w:tab/>
        <w:t>I</w:t>
      </w:r>
      <w:r w:rsidR="00847550" w:rsidRPr="00847550">
        <w:t>n English</w:t>
      </w:r>
      <w:r w:rsidR="000B5FA1">
        <w:t>,</w:t>
      </w:r>
      <w:r w:rsidR="00847550" w:rsidRPr="00847550">
        <w:t xml:space="preserve"> </w:t>
      </w:r>
      <w:r w:rsidRPr="00847550">
        <w:t xml:space="preserve">in </w:t>
      </w:r>
      <w:r>
        <w:t xml:space="preserve">the section </w:t>
      </w:r>
      <w:r w:rsidR="000B5FA1">
        <w:t>"</w:t>
      </w:r>
      <w:r w:rsidR="00847550" w:rsidRPr="00847550">
        <w:t>CUSTOMS LAW</w:t>
      </w:r>
      <w:r w:rsidR="000B5FA1">
        <w:t>"</w:t>
      </w:r>
      <w:r>
        <w:t xml:space="preserve"> - </w:t>
      </w:r>
      <w:hyperlink r:id="rId11" w:history="1">
        <w:r w:rsidR="00847550" w:rsidRPr="00462D09">
          <w:rPr>
            <w:rStyle w:val="Hyperlink"/>
          </w:rPr>
          <w:t>http://www.customs.gov.mk/index.php/en/about-us-en/customs-regulations/customs-law</w:t>
        </w:r>
      </w:hyperlink>
      <w:r>
        <w:t>.</w:t>
      </w:r>
    </w:p>
    <w:p w14:paraId="514E673B" w14:textId="77777777" w:rsidR="00847550" w:rsidRPr="00847550" w:rsidRDefault="00847550" w:rsidP="00847550">
      <w:pPr>
        <w:pStyle w:val="BodyText"/>
        <w:numPr>
          <w:ilvl w:val="0"/>
          <w:numId w:val="0"/>
        </w:numPr>
      </w:pPr>
      <w:r w:rsidRPr="00847550">
        <w:t>The link to the Decree on implementation of the Customs Law:</w:t>
      </w:r>
    </w:p>
    <w:p w14:paraId="47DB2411" w14:textId="77777777" w:rsidR="00847550" w:rsidRPr="00847550" w:rsidRDefault="00462D09" w:rsidP="00462D09">
      <w:pPr>
        <w:pStyle w:val="BodyText"/>
        <w:numPr>
          <w:ilvl w:val="0"/>
          <w:numId w:val="0"/>
        </w:numPr>
        <w:ind w:left="567" w:hanging="567"/>
        <w:jc w:val="left"/>
      </w:pPr>
      <w:r>
        <w:t>-</w:t>
      </w:r>
      <w:r>
        <w:tab/>
        <w:t>I</w:t>
      </w:r>
      <w:r w:rsidR="00847550" w:rsidRPr="00847550">
        <w:t>n Macedonian</w:t>
      </w:r>
      <w:r w:rsidR="000B5FA1">
        <w:t>,</w:t>
      </w:r>
      <w:r w:rsidR="00847550" w:rsidRPr="00847550">
        <w:t xml:space="preserve"> </w:t>
      </w:r>
      <w:r w:rsidRPr="00847550">
        <w:t xml:space="preserve">in </w:t>
      </w:r>
      <w:r>
        <w:t xml:space="preserve">the section </w:t>
      </w:r>
      <w:r w:rsidR="000B5FA1">
        <w:t>"</w:t>
      </w:r>
      <w:r w:rsidR="00847550" w:rsidRPr="00847550">
        <w:t>УРЕДБИ</w:t>
      </w:r>
      <w:r w:rsidR="000B5FA1">
        <w:t>"</w:t>
      </w:r>
      <w:r>
        <w:t xml:space="preserve"> - </w:t>
      </w:r>
      <w:hyperlink r:id="rId12" w:history="1">
        <w:r w:rsidR="00847550" w:rsidRPr="00462D09">
          <w:rPr>
            <w:rStyle w:val="Hyperlink"/>
          </w:rPr>
          <w:t>http://www.customs.gov.mk/index.php/mk/za-nas-mk/carinska-regulativa/carinski-zakon</w:t>
        </w:r>
      </w:hyperlink>
      <w:r>
        <w:t>; and</w:t>
      </w:r>
    </w:p>
    <w:p w14:paraId="3D036DA7" w14:textId="77777777" w:rsidR="00847550" w:rsidRPr="00847550" w:rsidRDefault="00462D09" w:rsidP="000B5FA1">
      <w:pPr>
        <w:pStyle w:val="BodyText"/>
        <w:numPr>
          <w:ilvl w:val="0"/>
          <w:numId w:val="0"/>
        </w:numPr>
        <w:ind w:left="567" w:hanging="567"/>
        <w:jc w:val="left"/>
      </w:pPr>
      <w:r>
        <w:t>-</w:t>
      </w:r>
      <w:r>
        <w:tab/>
      </w:r>
      <w:hyperlink r:id="rId13" w:history="1">
        <w:r>
          <w:t>In</w:t>
        </w:r>
      </w:hyperlink>
      <w:r w:rsidR="00847550" w:rsidRPr="00847550">
        <w:t xml:space="preserve"> English</w:t>
      </w:r>
      <w:r w:rsidR="000B5FA1">
        <w:t>,</w:t>
      </w:r>
      <w:r w:rsidR="00847550" w:rsidRPr="00847550">
        <w:t xml:space="preserve"> in </w:t>
      </w:r>
      <w:r>
        <w:t xml:space="preserve">the section </w:t>
      </w:r>
      <w:r w:rsidR="000B5FA1">
        <w:t>"</w:t>
      </w:r>
      <w:r>
        <w:t>B</w:t>
      </w:r>
      <w:r w:rsidR="00847550" w:rsidRPr="00847550">
        <w:t>Y LAWS</w:t>
      </w:r>
      <w:r w:rsidR="000B5FA1">
        <w:t>"</w:t>
      </w:r>
      <w:r>
        <w:t xml:space="preserve"> - </w:t>
      </w:r>
      <w:hyperlink r:id="rId14" w:history="1">
        <w:r w:rsidR="00847550" w:rsidRPr="00462D09">
          <w:rPr>
            <w:rStyle w:val="Hyperlink"/>
          </w:rPr>
          <w:t>http://www.customs.gov.mk/index.php/en/about-us-en/customs-regulations/customs-law</w:t>
        </w:r>
      </w:hyperlink>
      <w:r w:rsidR="000B5FA1">
        <w:t>.</w:t>
      </w:r>
    </w:p>
    <w:p w14:paraId="47927277" w14:textId="77777777" w:rsidR="00847550" w:rsidRPr="00954152" w:rsidRDefault="00847550" w:rsidP="00847550">
      <w:pPr>
        <w:pStyle w:val="Caption"/>
        <w:rPr>
          <w:szCs w:val="23"/>
        </w:rPr>
      </w:pPr>
      <w:r w:rsidRPr="00954152">
        <w:rPr>
          <w:szCs w:val="23"/>
        </w:rPr>
        <w:t xml:space="preserve">B. </w:t>
      </w:r>
      <w:r w:rsidRPr="00954152">
        <w:rPr>
          <w:szCs w:val="23"/>
        </w:rPr>
        <w:tab/>
        <w:t>PREFERENTIAL RULES OF ORIGIN</w:t>
      </w:r>
    </w:p>
    <w:p w14:paraId="583E0E0E" w14:textId="77777777" w:rsidR="000B5FA1" w:rsidRPr="000B5FA1" w:rsidRDefault="000B5FA1" w:rsidP="000B5FA1">
      <w:pPr>
        <w:pStyle w:val="BodyText"/>
        <w:numPr>
          <w:ilvl w:val="0"/>
          <w:numId w:val="0"/>
        </w:numPr>
        <w:ind w:left="567" w:hanging="567"/>
        <w:rPr>
          <w:specVanish/>
        </w:rPr>
      </w:pPr>
      <w:r w:rsidRPr="000B5FA1">
        <w:t>-</w:t>
      </w:r>
      <w:r>
        <w:tab/>
      </w:r>
      <w:r w:rsidRPr="000B5FA1">
        <w:t>Article 26 of the Customs Law (Official Gazette Nos. 39/2005; 4/2008; 62/2009; 117/2009; 35/2010; 48/2010; 158/2010; 44/2011; 53/2011; 11/2012; 171/2012; 187/2013; 180/2014; 15/2015; 129/2015; 154/2015; 192/2015; 23/2016; 144/2018).</w:t>
      </w:r>
    </w:p>
    <w:p w14:paraId="5FAE0C38" w14:textId="77777777" w:rsidR="000B5FA1" w:rsidRPr="000B5FA1" w:rsidRDefault="000B5FA1" w:rsidP="000B5FA1">
      <w:pPr>
        <w:pStyle w:val="BodyText"/>
        <w:numPr>
          <w:ilvl w:val="0"/>
          <w:numId w:val="0"/>
        </w:numPr>
        <w:ind w:left="567" w:hanging="567"/>
        <w:rPr>
          <w:specVanish/>
        </w:rPr>
      </w:pPr>
      <w:r w:rsidRPr="000B5FA1">
        <w:t>-</w:t>
      </w:r>
      <w:r>
        <w:tab/>
      </w:r>
      <w:r w:rsidRPr="000B5FA1">
        <w:t>Articles 31-36 of the Decree on implementation of the Customs Law (Official Gazette Nos. 66/2005</w:t>
      </w:r>
      <w:r>
        <w:t>;</w:t>
      </w:r>
      <w:r w:rsidRPr="000B5FA1">
        <w:t xml:space="preserve"> 73/2006</w:t>
      </w:r>
      <w:r>
        <w:t>;</w:t>
      </w:r>
      <w:r w:rsidRPr="000B5FA1">
        <w:t xml:space="preserve"> 40/2007</w:t>
      </w:r>
      <w:r>
        <w:t>;</w:t>
      </w:r>
      <w:r w:rsidRPr="000B5FA1">
        <w:t xml:space="preserve"> 62/2007</w:t>
      </w:r>
      <w:r>
        <w:t>;</w:t>
      </w:r>
      <w:r w:rsidRPr="000B5FA1">
        <w:t xml:space="preserve"> 42/2009</w:t>
      </w:r>
      <w:r>
        <w:t>;</w:t>
      </w:r>
      <w:r w:rsidRPr="000B5FA1">
        <w:t xml:space="preserve"> 48/2009</w:t>
      </w:r>
      <w:r>
        <w:t>;</w:t>
      </w:r>
      <w:r w:rsidRPr="000B5FA1">
        <w:t xml:space="preserve"> 38/2010</w:t>
      </w:r>
      <w:r>
        <w:t>;</w:t>
      </w:r>
      <w:r w:rsidRPr="000B5FA1">
        <w:t xml:space="preserve"> 46/2010</w:t>
      </w:r>
      <w:r>
        <w:t>;</w:t>
      </w:r>
      <w:r w:rsidRPr="000B5FA1">
        <w:t xml:space="preserve"> 61/2010</w:t>
      </w:r>
      <w:r>
        <w:t>;</w:t>
      </w:r>
      <w:r w:rsidRPr="000B5FA1">
        <w:t xml:space="preserve"> 141/2011</w:t>
      </w:r>
      <w:r>
        <w:t>;</w:t>
      </w:r>
      <w:r w:rsidRPr="000B5FA1">
        <w:t xml:space="preserve"> 147/2011</w:t>
      </w:r>
      <w:r>
        <w:t>;</w:t>
      </w:r>
      <w:r w:rsidRPr="000B5FA1">
        <w:t xml:space="preserve"> 158/2011</w:t>
      </w:r>
      <w:r>
        <w:t>;</w:t>
      </w:r>
      <w:r w:rsidRPr="000B5FA1">
        <w:t xml:space="preserve"> 14/2012</w:t>
      </w:r>
      <w:r>
        <w:t>;</w:t>
      </w:r>
      <w:r w:rsidRPr="000B5FA1">
        <w:t xml:space="preserve"> 2/2013</w:t>
      </w:r>
      <w:r>
        <w:t>;</w:t>
      </w:r>
      <w:r w:rsidRPr="000B5FA1">
        <w:t xml:space="preserve"> 92/2013</w:t>
      </w:r>
      <w:r>
        <w:t>;</w:t>
      </w:r>
      <w:r w:rsidRPr="000B5FA1">
        <w:t xml:space="preserve"> 177/2013</w:t>
      </w:r>
      <w:r>
        <w:t>;</w:t>
      </w:r>
      <w:r w:rsidRPr="000B5FA1">
        <w:t xml:space="preserve"> 62/2015</w:t>
      </w:r>
      <w:r>
        <w:t>;</w:t>
      </w:r>
      <w:r w:rsidRPr="000B5FA1">
        <w:t xml:space="preserve"> 111/2015</w:t>
      </w:r>
      <w:r>
        <w:t>;</w:t>
      </w:r>
      <w:r w:rsidRPr="000B5FA1">
        <w:t xml:space="preserve"> 215/2015</w:t>
      </w:r>
      <w:r>
        <w:t>;</w:t>
      </w:r>
      <w:r w:rsidRPr="000B5FA1">
        <w:t xml:space="preserve"> 192/2016</w:t>
      </w:r>
      <w:r>
        <w:t>;</w:t>
      </w:r>
      <w:r w:rsidRPr="000B5FA1">
        <w:t xml:space="preserve"> 21/2017</w:t>
      </w:r>
      <w:r>
        <w:t>;</w:t>
      </w:r>
      <w:r w:rsidRPr="000B5FA1">
        <w:t xml:space="preserve"> 181/2017</w:t>
      </w:r>
      <w:r>
        <w:t>;</w:t>
      </w:r>
      <w:r w:rsidRPr="000B5FA1">
        <w:t xml:space="preserve"> 233/2018; 199/2019).</w:t>
      </w:r>
    </w:p>
    <w:p w14:paraId="3317B815" w14:textId="77777777" w:rsidR="000B5FA1" w:rsidRPr="000B5FA1" w:rsidRDefault="000B5FA1" w:rsidP="000B5FA1">
      <w:pPr>
        <w:pStyle w:val="BodyText"/>
        <w:numPr>
          <w:ilvl w:val="0"/>
          <w:numId w:val="0"/>
        </w:numPr>
        <w:rPr>
          <w:specVanish/>
        </w:rPr>
      </w:pPr>
      <w:r w:rsidRPr="000B5FA1">
        <w:t>-</w:t>
      </w:r>
      <w:r>
        <w:tab/>
      </w:r>
      <w:r w:rsidRPr="000B5FA1">
        <w:t xml:space="preserve">List of protocols of origin in </w:t>
      </w:r>
      <w:r>
        <w:t>F</w:t>
      </w:r>
      <w:r w:rsidRPr="000B5FA1">
        <w:t xml:space="preserve">ree </w:t>
      </w:r>
      <w:r>
        <w:t>T</w:t>
      </w:r>
      <w:r w:rsidRPr="000B5FA1">
        <w:t xml:space="preserve">rade </w:t>
      </w:r>
      <w:r>
        <w:t>A</w:t>
      </w:r>
      <w:r w:rsidRPr="000B5FA1">
        <w:t>greement.</w:t>
      </w:r>
    </w:p>
    <w:p w14:paraId="2FFDBB25" w14:textId="1BB07155" w:rsidR="000B5FA1" w:rsidRPr="000B5FA1" w:rsidRDefault="007E7E65" w:rsidP="000B5FA1">
      <w:pPr>
        <w:pStyle w:val="BodyText"/>
        <w:numPr>
          <w:ilvl w:val="0"/>
          <w:numId w:val="0"/>
        </w:numPr>
      </w:pPr>
      <w:r>
        <w:t>The l</w:t>
      </w:r>
      <w:r w:rsidRPr="000B5FA1">
        <w:t xml:space="preserve">ist of protocols of origin in </w:t>
      </w:r>
      <w:r>
        <w:t>f</w:t>
      </w:r>
      <w:r w:rsidRPr="000B5FA1">
        <w:t xml:space="preserve">ree </w:t>
      </w:r>
      <w:r>
        <w:t>t</w:t>
      </w:r>
      <w:r w:rsidRPr="000B5FA1">
        <w:t>rade agreement</w:t>
      </w:r>
      <w:r>
        <w:t>s</w:t>
      </w:r>
      <w:r w:rsidRPr="000B5FA1">
        <w:t xml:space="preserve"> </w:t>
      </w:r>
      <w:r>
        <w:t>can be found o</w:t>
      </w:r>
      <w:r w:rsidR="000B5FA1" w:rsidRPr="000B5FA1">
        <w:t xml:space="preserve">n the webpage of </w:t>
      </w:r>
      <w:r w:rsidR="000B5FA1">
        <w:t xml:space="preserve">the </w:t>
      </w:r>
      <w:r w:rsidR="000B5FA1" w:rsidRPr="000B5FA1">
        <w:t xml:space="preserve">Customs Administration of the Republic of North Macedonia </w:t>
      </w:r>
      <w:r>
        <w:t xml:space="preserve">in </w:t>
      </w:r>
      <w:r w:rsidR="000B5FA1" w:rsidRPr="000B5FA1">
        <w:t xml:space="preserve">the following link: </w:t>
      </w:r>
      <w:hyperlink r:id="rId15" w:history="1">
        <w:r w:rsidR="000B5FA1" w:rsidRPr="003062C0">
          <w:rPr>
            <w:rStyle w:val="Hyperlink"/>
          </w:rPr>
          <w:t>http://www.customs.gov.mk/index.php/mk/biznis-zaednica-mk/presmetka-na-davacki-mk/poteklo-mk/1304-poteklo-spogodbi-mk</w:t>
        </w:r>
      </w:hyperlink>
      <w:r w:rsidR="003062C0" w:rsidRPr="000B5FA1">
        <w:t>.</w:t>
      </w:r>
    </w:p>
    <w:p w14:paraId="34015927" w14:textId="77777777" w:rsidR="000B5FA1" w:rsidRPr="000B5FA1" w:rsidRDefault="000B5FA1" w:rsidP="000B5FA1">
      <w:pPr>
        <w:pStyle w:val="BodyText"/>
        <w:numPr>
          <w:ilvl w:val="0"/>
          <w:numId w:val="0"/>
        </w:numPr>
      </w:pPr>
      <w:r w:rsidRPr="000B5FA1">
        <w:t xml:space="preserve">The </w:t>
      </w:r>
      <w:r w:rsidR="003062C0">
        <w:t>P</w:t>
      </w:r>
      <w:r w:rsidRPr="000B5FA1">
        <w:t xml:space="preserve">referential </w:t>
      </w:r>
      <w:r w:rsidR="003062C0">
        <w:t>T</w:t>
      </w:r>
      <w:r w:rsidRPr="000B5FA1">
        <w:t xml:space="preserve">rade </w:t>
      </w:r>
      <w:r w:rsidR="003062C0">
        <w:t>A</w:t>
      </w:r>
      <w:r w:rsidRPr="000B5FA1">
        <w:t>greements are published in the following Official Journals of North Macedonia and notified in WTO to the Committee on Regional Trade Agreements:</w:t>
      </w:r>
    </w:p>
    <w:p w14:paraId="32C5F76C" w14:textId="77777777" w:rsidR="000B5FA1" w:rsidRPr="000B5FA1" w:rsidRDefault="003062C0" w:rsidP="003062C0">
      <w:pPr>
        <w:pStyle w:val="BodyText"/>
        <w:numPr>
          <w:ilvl w:val="0"/>
          <w:numId w:val="0"/>
        </w:numPr>
        <w:spacing w:after="0"/>
        <w:ind w:left="567" w:hanging="567"/>
      </w:pPr>
      <w:r>
        <w:t>-</w:t>
      </w:r>
      <w:r>
        <w:tab/>
        <w:t>B</w:t>
      </w:r>
      <w:r w:rsidR="000B5FA1" w:rsidRPr="000B5FA1">
        <w:t>ilateral Free Trade Agreement with Republic of Turkey (OJ No. 83/1999, amended rules of origin No</w:t>
      </w:r>
      <w:r>
        <w:t>s</w:t>
      </w:r>
      <w:r w:rsidR="000B5FA1" w:rsidRPr="000B5FA1">
        <w:t>.</w:t>
      </w:r>
      <w:r>
        <w:t xml:space="preserve"> </w:t>
      </w:r>
      <w:r w:rsidR="000B5FA1" w:rsidRPr="000B5FA1">
        <w:t>68/2007</w:t>
      </w:r>
      <w:r>
        <w:t>;</w:t>
      </w:r>
      <w:r w:rsidR="000B5FA1" w:rsidRPr="000B5FA1">
        <w:t xml:space="preserve"> 25/2009</w:t>
      </w:r>
      <w:r>
        <w:t>;</w:t>
      </w:r>
      <w:r w:rsidR="000B5FA1" w:rsidRPr="000B5FA1">
        <w:t xml:space="preserve"> and 84/2018) and notified under document</w:t>
      </w:r>
      <w:r>
        <w:rPr>
          <w:rStyle w:val="FootnoteReference"/>
        </w:rPr>
        <w:footnoteReference w:id="2"/>
      </w:r>
      <w:r>
        <w:t>;</w:t>
      </w:r>
    </w:p>
    <w:p w14:paraId="6FB1C44C" w14:textId="77777777" w:rsidR="000B5FA1" w:rsidRPr="000B5FA1" w:rsidRDefault="003062C0" w:rsidP="003062C0">
      <w:pPr>
        <w:pStyle w:val="BodyText"/>
        <w:numPr>
          <w:ilvl w:val="0"/>
          <w:numId w:val="0"/>
        </w:numPr>
        <w:spacing w:after="0"/>
      </w:pPr>
      <w:r>
        <w:t>-</w:t>
      </w:r>
      <w:r>
        <w:tab/>
        <w:t>B</w:t>
      </w:r>
      <w:r w:rsidR="000B5FA1" w:rsidRPr="000B5FA1">
        <w:t>ilateral Free Trade Agreement with Ukraine (OJ No. 53/2001) and notified under document</w:t>
      </w:r>
      <w:r>
        <w:rPr>
          <w:rStyle w:val="FootnoteReference"/>
        </w:rPr>
        <w:footnoteReference w:id="3"/>
      </w:r>
      <w:r>
        <w:t>;</w:t>
      </w:r>
    </w:p>
    <w:p w14:paraId="11C47E30" w14:textId="77777777" w:rsidR="000B5FA1" w:rsidRPr="000B5FA1" w:rsidRDefault="003062C0" w:rsidP="003062C0">
      <w:pPr>
        <w:pStyle w:val="BodyText"/>
        <w:numPr>
          <w:ilvl w:val="0"/>
          <w:numId w:val="0"/>
        </w:numPr>
        <w:spacing w:after="0"/>
        <w:ind w:left="567" w:hanging="567"/>
      </w:pPr>
      <w:r>
        <w:t>-</w:t>
      </w:r>
      <w:r>
        <w:tab/>
      </w:r>
      <w:r w:rsidR="000B5FA1" w:rsidRPr="000B5FA1">
        <w:t>Stabilization and Association Agreement with EU (OJ No. 28/2001, amended No</w:t>
      </w:r>
      <w:r w:rsidR="0055195C">
        <w:t>s</w:t>
      </w:r>
      <w:r w:rsidR="000B5FA1" w:rsidRPr="000B5FA1">
        <w:t>. 49/2005</w:t>
      </w:r>
      <w:r w:rsidR="0055195C">
        <w:t>;</w:t>
      </w:r>
      <w:r w:rsidR="000B5FA1" w:rsidRPr="000B5FA1">
        <w:t xml:space="preserve"> 119/2008</w:t>
      </w:r>
      <w:r w:rsidR="0055195C">
        <w:t xml:space="preserve">; </w:t>
      </w:r>
      <w:r w:rsidR="000B5FA1" w:rsidRPr="000B5FA1">
        <w:t>25/2016</w:t>
      </w:r>
      <w:r w:rsidR="0055195C">
        <w:t>;</w:t>
      </w:r>
      <w:r w:rsidR="000B5FA1" w:rsidRPr="000B5FA1">
        <w:t xml:space="preserve"> and 71/2016) and notified under document</w:t>
      </w:r>
      <w:r>
        <w:rPr>
          <w:rStyle w:val="FootnoteReference"/>
        </w:rPr>
        <w:footnoteReference w:id="4"/>
      </w:r>
      <w:r>
        <w:t>;</w:t>
      </w:r>
    </w:p>
    <w:p w14:paraId="3A29C48A" w14:textId="77777777" w:rsidR="000B5FA1" w:rsidRPr="000B5FA1" w:rsidRDefault="003062C0" w:rsidP="003062C0">
      <w:pPr>
        <w:pStyle w:val="BodyText"/>
        <w:numPr>
          <w:ilvl w:val="0"/>
          <w:numId w:val="0"/>
        </w:numPr>
        <w:spacing w:after="0"/>
        <w:ind w:left="567" w:hanging="567"/>
      </w:pPr>
      <w:r>
        <w:t>-</w:t>
      </w:r>
      <w:r>
        <w:tab/>
      </w:r>
      <w:r w:rsidR="0055195C">
        <w:t>M</w:t>
      </w:r>
      <w:r w:rsidR="000B5FA1" w:rsidRPr="000B5FA1">
        <w:t>ultilateral Free Trade Agreement with EFTA States (OJ No. 89/2001, amended No</w:t>
      </w:r>
      <w:r w:rsidR="0055195C">
        <w:t>s</w:t>
      </w:r>
      <w:r w:rsidR="000B5FA1" w:rsidRPr="000B5FA1">
        <w:t>. 62/2003 and 163/2009) and notified under document</w:t>
      </w:r>
      <w:r>
        <w:rPr>
          <w:rStyle w:val="FootnoteReference"/>
        </w:rPr>
        <w:footnoteReference w:id="5"/>
      </w:r>
      <w:r>
        <w:t>; and</w:t>
      </w:r>
      <w:r w:rsidR="000B5FA1" w:rsidRPr="000B5FA1">
        <w:t xml:space="preserve"> </w:t>
      </w:r>
    </w:p>
    <w:p w14:paraId="6F65B873" w14:textId="77777777" w:rsidR="000B5FA1" w:rsidRPr="000B5FA1" w:rsidRDefault="003062C0" w:rsidP="003062C0">
      <w:pPr>
        <w:pStyle w:val="BodyText"/>
        <w:numPr>
          <w:ilvl w:val="0"/>
          <w:numId w:val="0"/>
        </w:numPr>
        <w:ind w:left="567" w:hanging="567"/>
      </w:pPr>
      <w:r>
        <w:t>-</w:t>
      </w:r>
      <w:r>
        <w:tab/>
      </w:r>
      <w:r w:rsidR="000B5FA1" w:rsidRPr="000B5FA1">
        <w:t>CEFTA Agreement between Western Balkan countries (OJ No. 69/2007, amended No</w:t>
      </w:r>
      <w:r w:rsidR="0055195C">
        <w:t>s</w:t>
      </w:r>
      <w:r w:rsidR="000B5FA1" w:rsidRPr="000B5FA1">
        <w:t>.</w:t>
      </w:r>
      <w:r w:rsidR="0055195C">
        <w:t> </w:t>
      </w:r>
      <w:r w:rsidR="000B5FA1" w:rsidRPr="000B5FA1">
        <w:t>117/2011 and 130/2015) and notified under document</w:t>
      </w:r>
      <w:r>
        <w:rPr>
          <w:rStyle w:val="FootnoteReference"/>
        </w:rPr>
        <w:footnoteReference w:id="6"/>
      </w:r>
      <w:r>
        <w:t>.</w:t>
      </w:r>
    </w:p>
    <w:p w14:paraId="2C61F735" w14:textId="77777777" w:rsidR="0055195C" w:rsidRPr="0055195C" w:rsidRDefault="0055195C" w:rsidP="0055195C">
      <w:pPr>
        <w:jc w:val="center"/>
      </w:pPr>
      <w:r>
        <w:rPr>
          <w:b/>
        </w:rPr>
        <w:t>__________</w:t>
      </w:r>
    </w:p>
    <w:sectPr w:rsidR="0055195C" w:rsidRPr="0055195C" w:rsidSect="00760DB3">
      <w:headerReference w:type="even" r:id="rId16"/>
      <w:headerReference w:type="default" r:id="rId17"/>
      <w:footerReference w:type="even" r:id="rId18"/>
      <w:footerReference w:type="default" r:id="rId19"/>
      <w:head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CBAA3" w14:textId="77777777" w:rsidR="00821AA2" w:rsidRDefault="00821AA2" w:rsidP="00ED54E0">
      <w:r>
        <w:separator/>
      </w:r>
    </w:p>
  </w:endnote>
  <w:endnote w:type="continuationSeparator" w:id="0">
    <w:p w14:paraId="66CA995D" w14:textId="77777777" w:rsidR="00821AA2" w:rsidRDefault="00821AA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EAF7" w14:textId="77777777" w:rsidR="00544326" w:rsidRPr="00847550" w:rsidRDefault="00847550" w:rsidP="0084755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67E5" w14:textId="77777777" w:rsidR="00544326" w:rsidRPr="00847550" w:rsidRDefault="00847550" w:rsidP="0084755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0360" w14:textId="77777777" w:rsidR="00821AA2" w:rsidRDefault="00821AA2" w:rsidP="00ED54E0">
      <w:r>
        <w:separator/>
      </w:r>
    </w:p>
  </w:footnote>
  <w:footnote w:type="continuationSeparator" w:id="0">
    <w:p w14:paraId="4F62A24E" w14:textId="77777777" w:rsidR="00821AA2" w:rsidRDefault="00821AA2" w:rsidP="00ED54E0">
      <w:r>
        <w:continuationSeparator/>
      </w:r>
    </w:p>
  </w:footnote>
  <w:footnote w:id="1">
    <w:p w14:paraId="5108DD7A" w14:textId="4EC121CA" w:rsidR="0055195C" w:rsidRPr="0055195C" w:rsidRDefault="0055195C">
      <w:pPr>
        <w:pStyle w:val="FootnoteText"/>
      </w:pPr>
      <w:r>
        <w:rPr>
          <w:rStyle w:val="FootnoteReference"/>
        </w:rPr>
        <w:footnoteRef/>
      </w:r>
      <w:r w:rsidRPr="0055195C">
        <w:t xml:space="preserve"> </w:t>
      </w:r>
      <w:r w:rsidR="00067E33">
        <w:t xml:space="preserve">The legislation in this notification </w:t>
      </w:r>
      <w:r w:rsidRPr="0055195C">
        <w:t>replaces the</w:t>
      </w:r>
      <w:r>
        <w:t xml:space="preserve"> information </w:t>
      </w:r>
      <w:r w:rsidR="00067E33">
        <w:t xml:space="preserve">previously notified </w:t>
      </w:r>
      <w:r>
        <w:t>in G/RO/N/45.</w:t>
      </w:r>
    </w:p>
  </w:footnote>
  <w:footnote w:id="2">
    <w:p w14:paraId="5C2581C9" w14:textId="77777777" w:rsidR="003062C0" w:rsidRPr="0015227C" w:rsidRDefault="003062C0">
      <w:pPr>
        <w:pStyle w:val="FootnoteText"/>
        <w:rPr>
          <w:lang w:val="pt-BR"/>
        </w:rPr>
      </w:pPr>
      <w:r>
        <w:rPr>
          <w:rStyle w:val="FootnoteReference"/>
        </w:rPr>
        <w:footnoteRef/>
      </w:r>
      <w:r w:rsidRPr="0015227C">
        <w:rPr>
          <w:lang w:val="pt-BR"/>
        </w:rPr>
        <w:t xml:space="preserve"> WT/REG115/N/1.</w:t>
      </w:r>
    </w:p>
  </w:footnote>
  <w:footnote w:id="3">
    <w:p w14:paraId="25F0EE83" w14:textId="77777777" w:rsidR="003062C0" w:rsidRPr="0015227C" w:rsidRDefault="003062C0">
      <w:pPr>
        <w:pStyle w:val="FootnoteText"/>
        <w:rPr>
          <w:lang w:val="pt-BR"/>
        </w:rPr>
      </w:pPr>
      <w:r>
        <w:rPr>
          <w:rStyle w:val="FootnoteReference"/>
        </w:rPr>
        <w:footnoteRef/>
      </w:r>
      <w:r w:rsidRPr="0015227C">
        <w:rPr>
          <w:lang w:val="pt-BR"/>
        </w:rPr>
        <w:t xml:space="preserve"> WT/REG248/N/1.</w:t>
      </w:r>
    </w:p>
  </w:footnote>
  <w:footnote w:id="4">
    <w:p w14:paraId="26FAE00C" w14:textId="77777777" w:rsidR="003062C0" w:rsidRPr="0015227C" w:rsidRDefault="003062C0">
      <w:pPr>
        <w:pStyle w:val="FootnoteText"/>
        <w:rPr>
          <w:lang w:val="pt-BR"/>
        </w:rPr>
      </w:pPr>
      <w:r>
        <w:rPr>
          <w:rStyle w:val="FootnoteReference"/>
        </w:rPr>
        <w:footnoteRef/>
      </w:r>
      <w:r w:rsidRPr="0015227C">
        <w:rPr>
          <w:lang w:val="pt-BR"/>
        </w:rPr>
        <w:t xml:space="preserve"> WT/REG129/N/1.</w:t>
      </w:r>
    </w:p>
  </w:footnote>
  <w:footnote w:id="5">
    <w:p w14:paraId="0171F8A4" w14:textId="77777777" w:rsidR="003062C0" w:rsidRPr="0015227C" w:rsidRDefault="003062C0">
      <w:pPr>
        <w:pStyle w:val="FootnoteText"/>
        <w:rPr>
          <w:lang w:val="pt-BR"/>
        </w:rPr>
      </w:pPr>
      <w:r>
        <w:rPr>
          <w:rStyle w:val="FootnoteReference"/>
        </w:rPr>
        <w:footnoteRef/>
      </w:r>
      <w:r w:rsidRPr="0015227C">
        <w:rPr>
          <w:lang w:val="pt-BR"/>
        </w:rPr>
        <w:t xml:space="preserve"> WT/REG117/N/1.</w:t>
      </w:r>
    </w:p>
  </w:footnote>
  <w:footnote w:id="6">
    <w:p w14:paraId="0C5C5B9C" w14:textId="77777777" w:rsidR="003062C0" w:rsidRDefault="003062C0">
      <w:pPr>
        <w:pStyle w:val="FootnoteText"/>
      </w:pPr>
      <w:r>
        <w:rPr>
          <w:rStyle w:val="FootnoteReference"/>
        </w:rPr>
        <w:footnoteRef/>
      </w:r>
      <w:r>
        <w:t xml:space="preserve"> WT/REG233/N/1/Rev.1.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9061" w14:textId="77777777" w:rsidR="00847550" w:rsidRPr="00847550" w:rsidRDefault="00847550" w:rsidP="00847550">
    <w:pPr>
      <w:pStyle w:val="Header"/>
      <w:pBdr>
        <w:bottom w:val="single" w:sz="4" w:space="1" w:color="auto"/>
      </w:pBdr>
      <w:tabs>
        <w:tab w:val="clear" w:pos="4513"/>
        <w:tab w:val="clear" w:pos="9027"/>
      </w:tabs>
      <w:jc w:val="center"/>
    </w:pPr>
    <w:r w:rsidRPr="00847550">
      <w:t>G/RO/N/197</w:t>
    </w:r>
  </w:p>
  <w:p w14:paraId="45C7C80F" w14:textId="77777777" w:rsidR="00847550" w:rsidRPr="00847550" w:rsidRDefault="00847550" w:rsidP="00847550">
    <w:pPr>
      <w:pStyle w:val="Header"/>
      <w:pBdr>
        <w:bottom w:val="single" w:sz="4" w:space="1" w:color="auto"/>
      </w:pBdr>
      <w:tabs>
        <w:tab w:val="clear" w:pos="4513"/>
        <w:tab w:val="clear" w:pos="9027"/>
      </w:tabs>
      <w:jc w:val="center"/>
    </w:pPr>
  </w:p>
  <w:p w14:paraId="1C52B3BB" w14:textId="77777777" w:rsidR="00847550" w:rsidRPr="00847550" w:rsidRDefault="00847550" w:rsidP="00847550">
    <w:pPr>
      <w:pStyle w:val="Header"/>
      <w:pBdr>
        <w:bottom w:val="single" w:sz="4" w:space="1" w:color="auto"/>
      </w:pBdr>
      <w:tabs>
        <w:tab w:val="clear" w:pos="4513"/>
        <w:tab w:val="clear" w:pos="9027"/>
      </w:tabs>
      <w:jc w:val="center"/>
    </w:pPr>
    <w:r w:rsidRPr="00847550">
      <w:t xml:space="preserve">- </w:t>
    </w:r>
    <w:r w:rsidRPr="00847550">
      <w:fldChar w:fldCharType="begin"/>
    </w:r>
    <w:r w:rsidRPr="00847550">
      <w:instrText xml:space="preserve"> PAGE </w:instrText>
    </w:r>
    <w:r w:rsidRPr="00847550">
      <w:fldChar w:fldCharType="separate"/>
    </w:r>
    <w:r w:rsidRPr="00847550">
      <w:rPr>
        <w:noProof/>
      </w:rPr>
      <w:t>1</w:t>
    </w:r>
    <w:r w:rsidRPr="00847550">
      <w:fldChar w:fldCharType="end"/>
    </w:r>
    <w:r w:rsidRPr="00847550">
      <w:t xml:space="preserve"> -</w:t>
    </w:r>
  </w:p>
  <w:p w14:paraId="2BC5BCF7" w14:textId="77777777" w:rsidR="00544326" w:rsidRPr="00847550" w:rsidRDefault="00544326" w:rsidP="0084755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1D57" w14:textId="77777777" w:rsidR="00847550" w:rsidRPr="00847550" w:rsidRDefault="00847550" w:rsidP="00847550">
    <w:pPr>
      <w:pStyle w:val="Header"/>
      <w:pBdr>
        <w:bottom w:val="single" w:sz="4" w:space="1" w:color="auto"/>
      </w:pBdr>
      <w:tabs>
        <w:tab w:val="clear" w:pos="4513"/>
        <w:tab w:val="clear" w:pos="9027"/>
      </w:tabs>
      <w:jc w:val="center"/>
    </w:pPr>
    <w:r w:rsidRPr="00847550">
      <w:t>G/RO/N/197</w:t>
    </w:r>
  </w:p>
  <w:p w14:paraId="1A309C54" w14:textId="77777777" w:rsidR="00847550" w:rsidRPr="00847550" w:rsidRDefault="00847550" w:rsidP="00847550">
    <w:pPr>
      <w:pStyle w:val="Header"/>
      <w:pBdr>
        <w:bottom w:val="single" w:sz="4" w:space="1" w:color="auto"/>
      </w:pBdr>
      <w:tabs>
        <w:tab w:val="clear" w:pos="4513"/>
        <w:tab w:val="clear" w:pos="9027"/>
      </w:tabs>
      <w:jc w:val="center"/>
    </w:pPr>
  </w:p>
  <w:p w14:paraId="55E9F098" w14:textId="77777777" w:rsidR="00847550" w:rsidRPr="00847550" w:rsidRDefault="00847550" w:rsidP="00847550">
    <w:pPr>
      <w:pStyle w:val="Header"/>
      <w:pBdr>
        <w:bottom w:val="single" w:sz="4" w:space="1" w:color="auto"/>
      </w:pBdr>
      <w:tabs>
        <w:tab w:val="clear" w:pos="4513"/>
        <w:tab w:val="clear" w:pos="9027"/>
      </w:tabs>
      <w:jc w:val="center"/>
    </w:pPr>
    <w:r w:rsidRPr="00847550">
      <w:t xml:space="preserve">- </w:t>
    </w:r>
    <w:r w:rsidRPr="00847550">
      <w:fldChar w:fldCharType="begin"/>
    </w:r>
    <w:r w:rsidRPr="00847550">
      <w:instrText xml:space="preserve"> PAGE </w:instrText>
    </w:r>
    <w:r w:rsidRPr="00847550">
      <w:fldChar w:fldCharType="separate"/>
    </w:r>
    <w:r w:rsidRPr="00847550">
      <w:rPr>
        <w:noProof/>
      </w:rPr>
      <w:t>1</w:t>
    </w:r>
    <w:r w:rsidRPr="00847550">
      <w:fldChar w:fldCharType="end"/>
    </w:r>
    <w:r w:rsidRPr="00847550">
      <w:t xml:space="preserve"> -</w:t>
    </w:r>
  </w:p>
  <w:p w14:paraId="0ABFEC43" w14:textId="77777777" w:rsidR="00544326" w:rsidRPr="00847550" w:rsidRDefault="00544326" w:rsidP="0084755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1402BF79" w14:textId="77777777" w:rsidTr="00544326">
      <w:trPr>
        <w:trHeight w:val="240"/>
        <w:jc w:val="center"/>
      </w:trPr>
      <w:tc>
        <w:tcPr>
          <w:tcW w:w="3794" w:type="dxa"/>
          <w:shd w:val="clear" w:color="auto" w:fill="FFFFFF"/>
          <w:tcMar>
            <w:left w:w="108" w:type="dxa"/>
            <w:right w:w="108" w:type="dxa"/>
          </w:tcMar>
          <w:vAlign w:val="center"/>
        </w:tcPr>
        <w:p w14:paraId="29A21AC8"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4AEA27B9" w14:textId="77777777" w:rsidR="00ED54E0" w:rsidRPr="00182B84" w:rsidRDefault="00ED54E0" w:rsidP="00425DC5">
          <w:pPr>
            <w:jc w:val="right"/>
            <w:rPr>
              <w:b/>
              <w:color w:val="FF0000"/>
              <w:szCs w:val="16"/>
            </w:rPr>
          </w:pPr>
        </w:p>
      </w:tc>
    </w:tr>
    <w:bookmarkEnd w:id="1"/>
    <w:tr w:rsidR="00ED54E0" w:rsidRPr="00182B84" w14:paraId="514245B0" w14:textId="77777777" w:rsidTr="00544326">
      <w:trPr>
        <w:trHeight w:val="213"/>
        <w:jc w:val="center"/>
      </w:trPr>
      <w:tc>
        <w:tcPr>
          <w:tcW w:w="3794" w:type="dxa"/>
          <w:vMerge w:val="restart"/>
          <w:shd w:val="clear" w:color="auto" w:fill="FFFFFF"/>
          <w:tcMar>
            <w:left w:w="0" w:type="dxa"/>
            <w:right w:w="0" w:type="dxa"/>
          </w:tcMar>
        </w:tcPr>
        <w:p w14:paraId="48784193" w14:textId="77777777" w:rsidR="00ED54E0" w:rsidRPr="00182B84" w:rsidRDefault="00ED54E0" w:rsidP="00425DC5">
          <w:pPr>
            <w:jc w:val="left"/>
          </w:pPr>
          <w:r w:rsidRPr="00182B84">
            <w:rPr>
              <w:noProof/>
              <w:lang w:val="en-US"/>
            </w:rPr>
            <w:drawing>
              <wp:inline distT="0" distB="0" distL="0" distR="0" wp14:anchorId="656398DB" wp14:editId="38EC01AB">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787C38" w14:textId="77777777" w:rsidR="00ED54E0" w:rsidRPr="00182B84" w:rsidRDefault="00ED54E0" w:rsidP="00425DC5">
          <w:pPr>
            <w:jc w:val="right"/>
            <w:rPr>
              <w:b/>
              <w:szCs w:val="16"/>
            </w:rPr>
          </w:pPr>
        </w:p>
      </w:tc>
    </w:tr>
    <w:tr w:rsidR="00ED54E0" w:rsidRPr="00182B84" w14:paraId="5AFC2DE0" w14:textId="77777777" w:rsidTr="00544326">
      <w:trPr>
        <w:trHeight w:val="868"/>
        <w:jc w:val="center"/>
      </w:trPr>
      <w:tc>
        <w:tcPr>
          <w:tcW w:w="3794" w:type="dxa"/>
          <w:vMerge/>
          <w:shd w:val="clear" w:color="auto" w:fill="FFFFFF"/>
          <w:tcMar>
            <w:left w:w="108" w:type="dxa"/>
            <w:right w:w="108" w:type="dxa"/>
          </w:tcMar>
        </w:tcPr>
        <w:p w14:paraId="7678468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F35AD55" w14:textId="77777777" w:rsidR="00847550" w:rsidRDefault="00847550" w:rsidP="00425DC5">
          <w:pPr>
            <w:jc w:val="right"/>
            <w:rPr>
              <w:b/>
              <w:szCs w:val="16"/>
            </w:rPr>
          </w:pPr>
          <w:bookmarkStart w:id="2" w:name="bmkSymbols"/>
          <w:r>
            <w:rPr>
              <w:b/>
              <w:szCs w:val="16"/>
            </w:rPr>
            <w:t>G/RO/N/197</w:t>
          </w:r>
        </w:p>
        <w:bookmarkEnd w:id="2"/>
        <w:p w14:paraId="49479A6D" w14:textId="77777777" w:rsidR="00ED54E0" w:rsidRPr="00182B84" w:rsidRDefault="00ED54E0" w:rsidP="00425DC5">
          <w:pPr>
            <w:jc w:val="right"/>
            <w:rPr>
              <w:b/>
              <w:szCs w:val="16"/>
            </w:rPr>
          </w:pPr>
        </w:p>
      </w:tc>
    </w:tr>
    <w:tr w:rsidR="00ED54E0" w:rsidRPr="00182B84" w14:paraId="0A056473" w14:textId="77777777" w:rsidTr="00544326">
      <w:trPr>
        <w:trHeight w:val="240"/>
        <w:jc w:val="center"/>
      </w:trPr>
      <w:tc>
        <w:tcPr>
          <w:tcW w:w="3794" w:type="dxa"/>
          <w:vMerge/>
          <w:shd w:val="clear" w:color="auto" w:fill="FFFFFF"/>
          <w:tcMar>
            <w:left w:w="108" w:type="dxa"/>
            <w:right w:w="108" w:type="dxa"/>
          </w:tcMar>
          <w:vAlign w:val="center"/>
        </w:tcPr>
        <w:p w14:paraId="1778C1E5" w14:textId="77777777" w:rsidR="00ED54E0" w:rsidRPr="00182B84" w:rsidRDefault="00ED54E0" w:rsidP="00425DC5"/>
      </w:tc>
      <w:tc>
        <w:tcPr>
          <w:tcW w:w="5448" w:type="dxa"/>
          <w:gridSpan w:val="2"/>
          <w:shd w:val="clear" w:color="auto" w:fill="FFFFFF"/>
          <w:tcMar>
            <w:left w:w="108" w:type="dxa"/>
            <w:right w:w="108" w:type="dxa"/>
          </w:tcMar>
          <w:vAlign w:val="center"/>
        </w:tcPr>
        <w:p w14:paraId="0EB327AA" w14:textId="77097FDC" w:rsidR="00ED54E0" w:rsidRPr="00182B84" w:rsidRDefault="00002C5B" w:rsidP="00425DC5">
          <w:pPr>
            <w:jc w:val="right"/>
            <w:rPr>
              <w:szCs w:val="16"/>
            </w:rPr>
          </w:pPr>
          <w:r>
            <w:rPr>
              <w:szCs w:val="16"/>
            </w:rPr>
            <w:t>1</w:t>
          </w:r>
          <w:r w:rsidR="0015227C">
            <w:rPr>
              <w:szCs w:val="16"/>
            </w:rPr>
            <w:t>6</w:t>
          </w:r>
          <w:r w:rsidR="00847550">
            <w:rPr>
              <w:szCs w:val="16"/>
            </w:rPr>
            <w:t xml:space="preserve"> April 2020</w:t>
          </w:r>
        </w:p>
      </w:tc>
    </w:tr>
    <w:tr w:rsidR="00ED54E0" w:rsidRPr="00182B84" w14:paraId="5841E5D2"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EB5264" w14:textId="444ABE7B" w:rsidR="00ED54E0" w:rsidRPr="00182B84" w:rsidRDefault="00ED54E0" w:rsidP="00425DC5">
          <w:pPr>
            <w:jc w:val="left"/>
            <w:rPr>
              <w:b/>
            </w:rPr>
          </w:pPr>
          <w:bookmarkStart w:id="3" w:name="bmkSerial" w:colFirst="0" w:colLast="0"/>
          <w:r w:rsidRPr="00182B84">
            <w:rPr>
              <w:color w:val="FF0000"/>
              <w:szCs w:val="16"/>
            </w:rPr>
            <w:t>(</w:t>
          </w:r>
          <w:r w:rsidR="0015227C">
            <w:rPr>
              <w:color w:val="FF0000"/>
              <w:szCs w:val="16"/>
            </w:rPr>
            <w:t>2</w:t>
          </w:r>
          <w:r w:rsidRPr="00182B84">
            <w:rPr>
              <w:color w:val="FF0000"/>
              <w:szCs w:val="16"/>
            </w:rPr>
            <w:t>0-</w:t>
          </w:r>
          <w:r w:rsidR="0015227C">
            <w:rPr>
              <w:color w:val="FF0000"/>
              <w:szCs w:val="16"/>
            </w:rPr>
            <w:t>2975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DC48C29"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036BBF5C"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1A9CD3" w14:textId="77777777" w:rsidR="00ED54E0" w:rsidRPr="00182B84" w:rsidRDefault="00847550" w:rsidP="00425DC5">
          <w:pPr>
            <w:jc w:val="left"/>
            <w:rPr>
              <w:sz w:val="14"/>
              <w:szCs w:val="16"/>
            </w:rPr>
          </w:pPr>
          <w:bookmarkStart w:id="5" w:name="bmkCommittee"/>
          <w:bookmarkStart w:id="6" w:name="bmkLanguage" w:colFirst="1" w:colLast="1"/>
          <w:bookmarkEnd w:id="3"/>
          <w:r>
            <w:rPr>
              <w:b/>
            </w:rPr>
            <w:t>Committee on Rules of Origin</w:t>
          </w:r>
          <w:bookmarkEnd w:id="5"/>
        </w:p>
      </w:tc>
      <w:tc>
        <w:tcPr>
          <w:tcW w:w="3325" w:type="dxa"/>
          <w:tcBorders>
            <w:top w:val="single" w:sz="4" w:space="0" w:color="auto"/>
          </w:tcBorders>
          <w:tcMar>
            <w:top w:w="113" w:type="dxa"/>
            <w:left w:w="108" w:type="dxa"/>
            <w:bottom w:w="57" w:type="dxa"/>
            <w:right w:w="108" w:type="dxa"/>
          </w:tcMar>
          <w:vAlign w:val="center"/>
        </w:tcPr>
        <w:p w14:paraId="5EFF4E4D" w14:textId="77777777" w:rsidR="00ED54E0" w:rsidRPr="00182B84" w:rsidRDefault="00847550" w:rsidP="00425DC5">
          <w:pPr>
            <w:jc w:val="right"/>
            <w:rPr>
              <w:bCs/>
              <w:szCs w:val="18"/>
            </w:rPr>
          </w:pPr>
          <w:r>
            <w:rPr>
              <w:szCs w:val="18"/>
            </w:rPr>
            <w:t>Original: English</w:t>
          </w:r>
        </w:p>
      </w:tc>
    </w:tr>
    <w:bookmarkEnd w:id="6"/>
  </w:tbl>
  <w:p w14:paraId="5798E8AA"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 w15:restartNumberingAfterBreak="0">
    <w:nsid w:val="57454AB1"/>
    <w:multiLevelType w:val="multilevel"/>
    <w:tmpl w:val="075A666C"/>
    <w:numStyleLink w:val="LegalHeadings"/>
  </w:abstractNum>
  <w:abstractNum w:abstractNumId="7"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8"/>
  </w:num>
  <w:num w:numId="5">
    <w:abstractNumId w:val="4"/>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50"/>
    <w:rsid w:val="00002C5B"/>
    <w:rsid w:val="000272F6"/>
    <w:rsid w:val="00037AC4"/>
    <w:rsid w:val="000423BF"/>
    <w:rsid w:val="00067E33"/>
    <w:rsid w:val="000A4945"/>
    <w:rsid w:val="000B31E1"/>
    <w:rsid w:val="000B5FA1"/>
    <w:rsid w:val="0011356B"/>
    <w:rsid w:val="0013337F"/>
    <w:rsid w:val="0015227C"/>
    <w:rsid w:val="00182B84"/>
    <w:rsid w:val="001E291F"/>
    <w:rsid w:val="00233408"/>
    <w:rsid w:val="0027067B"/>
    <w:rsid w:val="003062C0"/>
    <w:rsid w:val="003156C6"/>
    <w:rsid w:val="003572B4"/>
    <w:rsid w:val="00462D09"/>
    <w:rsid w:val="00467032"/>
    <w:rsid w:val="0046754A"/>
    <w:rsid w:val="004F203A"/>
    <w:rsid w:val="005336B8"/>
    <w:rsid w:val="00544326"/>
    <w:rsid w:val="00547B5F"/>
    <w:rsid w:val="0055195C"/>
    <w:rsid w:val="00594D48"/>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B5B73"/>
    <w:rsid w:val="007E6507"/>
    <w:rsid w:val="007E7E65"/>
    <w:rsid w:val="007F2B8E"/>
    <w:rsid w:val="007F32D1"/>
    <w:rsid w:val="00807247"/>
    <w:rsid w:val="00821AA2"/>
    <w:rsid w:val="00840C2B"/>
    <w:rsid w:val="00847550"/>
    <w:rsid w:val="008739FD"/>
    <w:rsid w:val="00893E85"/>
    <w:rsid w:val="008D2E15"/>
    <w:rsid w:val="008E372C"/>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A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550"/>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HeaderTXT">
    <w:name w:val="Header TXT"/>
    <w:basedOn w:val="Normal"/>
    <w:link w:val="HeaderTXTChar"/>
    <w:qFormat/>
    <w:rsid w:val="00847550"/>
    <w:pPr>
      <w:suppressAutoHyphens/>
      <w:jc w:val="center"/>
    </w:pPr>
    <w:rPr>
      <w:rFonts w:ascii="StobiSerif Regular" w:eastAsia="Times New Roman" w:hAnsi="StobiSerif Regular" w:cs="Times New Roman"/>
      <w:sz w:val="24"/>
      <w:szCs w:val="24"/>
      <w:lang w:val="mk-MK" w:eastAsia="en-GB"/>
    </w:rPr>
  </w:style>
  <w:style w:type="character" w:customStyle="1" w:styleId="HeaderTXTChar">
    <w:name w:val="Header TXT Char"/>
    <w:basedOn w:val="DefaultParagraphFont"/>
    <w:link w:val="HeaderTXT"/>
    <w:rsid w:val="00847550"/>
    <w:rPr>
      <w:rFonts w:ascii="StobiSerif Regular" w:eastAsia="Times New Roman" w:hAnsi="StobiSerif Regular" w:cs="Times New Roman"/>
      <w:sz w:val="24"/>
      <w:szCs w:val="24"/>
      <w:lang w:val="mk-MK" w:eastAsia="en-GB"/>
    </w:rPr>
  </w:style>
  <w:style w:type="character" w:customStyle="1" w:styleId="clszakonnaslov2">
    <w:name w:val="clszakonnaslov2"/>
    <w:basedOn w:val="DefaultParagraphFont"/>
    <w:rsid w:val="00847550"/>
    <w:rPr>
      <w:rFonts w:ascii="Trebuchet MS" w:hAnsi="Trebuchet MS" w:hint="default"/>
      <w:b/>
      <w:bCs/>
      <w:caps/>
      <w:vanish w:val="0"/>
      <w:webHidden w:val="0"/>
      <w:color w:val="000000"/>
      <w:sz w:val="20"/>
      <w:szCs w:val="20"/>
      <w:specVanish w:val="0"/>
    </w:rPr>
  </w:style>
  <w:style w:type="character" w:styleId="UnresolvedMention">
    <w:name w:val="Unresolved Mention"/>
    <w:basedOn w:val="DefaultParagraphFont"/>
    <w:uiPriority w:val="99"/>
    <w:semiHidden/>
    <w:unhideWhenUsed/>
    <w:rsid w:val="0046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tais.wto.org/" TargetMode="External"/><Relationship Id="rId13" Type="http://schemas.openxmlformats.org/officeDocument/2006/relationships/hyperlink" Target="http://www.customs.gov.mk/images/documents/zakoni/carinski-zakon/20191001UredbaSproveduvanjeCZ.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ustoms.gov.mk/index.php/mk/za-nas-mk/carinska-regulativa/carinski-zak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stoms.gov.mk/index.php/en/about-us-en/customs-regulations/customs-law%20" TargetMode="External"/><Relationship Id="rId5" Type="http://schemas.openxmlformats.org/officeDocument/2006/relationships/webSettings" Target="webSettings.xml"/><Relationship Id="rId15" Type="http://schemas.openxmlformats.org/officeDocument/2006/relationships/hyperlink" Target="http://www.customs.gov.mk/index.php/mk/biznis-zaednica-mk/presmetka-na-davacki-mk/poteklo-mk/1304-poteklo-spogodbi-mk" TargetMode="External"/><Relationship Id="rId10" Type="http://schemas.openxmlformats.org/officeDocument/2006/relationships/hyperlink" Target="http://www.customs.gov.mk/index.php/mk/za-nas-mk/carinska-regulativa/carinski-zakon%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tadb.wto.org/" TargetMode="External"/><Relationship Id="rId14" Type="http://schemas.openxmlformats.org/officeDocument/2006/relationships/hyperlink" Target="http://www.customs.gov.mk/index.php/en/about-us-en/customs-regulations/customs-law"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169A-17B3-4BEA-A0A1-D5F8319D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3</TotalTime>
  <Pages>2</Pages>
  <Words>785</Words>
  <Characters>4833</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2020-04-08T09:41:00Z</dcterms:created>
  <dcterms:modified xsi:type="dcterms:W3CDTF">2020-04-16T14:51:00Z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G/RO/N/197</vt:lpwstr>
  </property>
  <property fmtid="{D5CDD505-2E9C-101B-9397-08002B2CF9AE}" pid="3" name="TitusGUID">
    <vt:lpwstr>091b222c-66f7-470d-8653-92e9a9e0e0a4</vt:lpwstr>
  </property>
  <property fmtid="{D5CDD505-2E9C-101B-9397-08002B2CF9AE}" pid="4" name="WTOCLASSIFICATION">
    <vt:lpwstr>WTO OFFICIAL</vt:lpwstr>
  </property>
</Properties>
</file>