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E81F1" w14:textId="797287EF" w:rsidR="006077EA" w:rsidRPr="009A1A93" w:rsidRDefault="006077EA" w:rsidP="006077EA">
      <w:pPr>
        <w:pStyle w:val="Title"/>
        <w:rPr>
          <w:caps w:val="0"/>
          <w:kern w:val="0"/>
        </w:rPr>
      </w:pPr>
      <w:r w:rsidRPr="009A1A93">
        <w:rPr>
          <w:caps w:val="0"/>
          <w:kern w:val="0"/>
        </w:rPr>
        <w:t>NOTIFICATION UNDER PARAGRAPH 4 OF ANNEX II</w:t>
      </w:r>
      <w:r w:rsidRPr="009A1A93">
        <w:rPr>
          <w:caps w:val="0"/>
          <w:kern w:val="0"/>
        </w:rPr>
        <w:br/>
        <w:t>OF THE AGREEMENT ON RULES OF ORIGIN</w:t>
      </w:r>
    </w:p>
    <w:p w14:paraId="4CCBD7D6" w14:textId="77777777" w:rsidR="006077EA" w:rsidRPr="009A1A93" w:rsidRDefault="006077EA" w:rsidP="006077EA">
      <w:pPr>
        <w:pStyle w:val="Title2"/>
        <w:rPr>
          <w:caps w:val="0"/>
        </w:rPr>
      </w:pPr>
      <w:r w:rsidRPr="009A1A93">
        <w:rPr>
          <w:caps w:val="0"/>
        </w:rPr>
        <w:t>PREFERENTIAL RULES OF ORIGIN</w:t>
      </w:r>
    </w:p>
    <w:p w14:paraId="43240C0D" w14:textId="77777777" w:rsidR="006077EA" w:rsidRPr="009A1A93" w:rsidRDefault="006077EA" w:rsidP="006077EA">
      <w:pPr>
        <w:pStyle w:val="BodyText"/>
        <w:numPr>
          <w:ilvl w:val="6"/>
          <w:numId w:val="13"/>
        </w:numPr>
        <w:tabs>
          <w:tab w:val="clear" w:pos="926"/>
          <w:tab w:val="num" w:pos="567"/>
        </w:tabs>
        <w:ind w:left="0" w:firstLine="0"/>
      </w:pPr>
      <w:r w:rsidRPr="009A1A93">
        <w:t>Paragraph 4 of Annex II to the Agreement on Rules of Origin envisages that Members shall provide to the Secretariat as soon as possible their existing or new preferential rules of origin, including a listing of the preferential arrangements to which they apply, judicial decisions, and administrative rulings of general application relating to their preferential rules of origin. Lists of information received and available within the Secretariat shall be circulated to Members by the Secretariat under the G/RO/N/ series.</w:t>
      </w:r>
    </w:p>
    <w:p w14:paraId="58EF2A5C" w14:textId="77777777" w:rsidR="006077EA" w:rsidRPr="009A1A93" w:rsidRDefault="006077EA" w:rsidP="006077EA">
      <w:pPr>
        <w:pStyle w:val="BodyText"/>
        <w:numPr>
          <w:ilvl w:val="6"/>
          <w:numId w:val="13"/>
        </w:numPr>
        <w:tabs>
          <w:tab w:val="clear" w:pos="926"/>
          <w:tab w:val="num" w:pos="567"/>
        </w:tabs>
        <w:ind w:left="0" w:firstLine="0"/>
      </w:pPr>
      <w:r w:rsidRPr="009A1A93">
        <w:rPr>
          <w:color w:val="000000"/>
        </w:rPr>
        <w:t>The Committee on Rules of Origin further agreed that, with respect to preferential rules of origin, notifications made to the Committee on Regional Trade Agreements (CRTA) or to the Committee on Trade and Development (CTD) could also suffice to discharge their notification obligations under the Agreement on Rules of Origin (G/RO/M/59). As a result, the Committee agreed that notifications which had initially been received by the CRTA or the CTD should also be circulated by the Secretariat to the CRO. The information regarding such notifications, including related to preferential rules of origin, can, in addition, be retrieved through the WTO database of regional trade agreements (</w:t>
      </w:r>
      <w:hyperlink r:id="rId7" w:history="1">
        <w:r w:rsidRPr="009A1A93">
          <w:rPr>
            <w:rStyle w:val="Hyperlink"/>
          </w:rPr>
          <w:t>http://rtais.wto.org</w:t>
        </w:r>
      </w:hyperlink>
      <w:r w:rsidRPr="009A1A93">
        <w:t>) or in the WTO database of preferential trade agreements (</w:t>
      </w:r>
      <w:hyperlink r:id="rId8" w:history="1">
        <w:r w:rsidRPr="009A1A93">
          <w:rPr>
            <w:rStyle w:val="Hyperlink"/>
          </w:rPr>
          <w:t>http://ptadb.wto.org</w:t>
        </w:r>
      </w:hyperlink>
      <w:r w:rsidRPr="009A1A93">
        <w:t>).</w:t>
      </w:r>
    </w:p>
    <w:p w14:paraId="6A38EAE1" w14:textId="77777777" w:rsidR="006077EA" w:rsidRPr="009A1A93" w:rsidRDefault="006077EA" w:rsidP="006077EA">
      <w:pPr>
        <w:pStyle w:val="BodyText"/>
        <w:numPr>
          <w:ilvl w:val="6"/>
          <w:numId w:val="13"/>
        </w:numPr>
        <w:tabs>
          <w:tab w:val="clear" w:pos="926"/>
          <w:tab w:val="num" w:pos="567"/>
        </w:tabs>
        <w:ind w:left="0" w:firstLine="0"/>
      </w:pPr>
      <w:r w:rsidRPr="009A1A93">
        <w:rPr>
          <w:color w:val="000000"/>
        </w:rPr>
        <w:t>Accordingly, the following notification has been received</w:t>
      </w:r>
      <w:r w:rsidRPr="009A1A93">
        <w:t>:</w:t>
      </w:r>
    </w:p>
    <w:p w14:paraId="2497A350" w14:textId="1163C4B2" w:rsidR="006077EA" w:rsidRPr="009A1A93" w:rsidRDefault="00150375" w:rsidP="00D02F97">
      <w:pPr>
        <w:pStyle w:val="ListNumber3"/>
        <w:numPr>
          <w:ilvl w:val="0"/>
          <w:numId w:val="0"/>
        </w:numPr>
        <w:spacing w:after="240"/>
        <w:contextualSpacing w:val="0"/>
        <w:rPr>
          <w:b/>
          <w:bCs/>
        </w:rPr>
      </w:pPr>
      <w:r w:rsidRPr="009A1A93">
        <w:rPr>
          <w:b/>
          <w:bCs/>
        </w:rPr>
        <w:t xml:space="preserve">FREE TRADE AGREEMENT BETWEEN THE </w:t>
      </w:r>
      <w:r w:rsidR="009A1A93" w:rsidRPr="009A1A93">
        <w:rPr>
          <w:b/>
          <w:bCs/>
        </w:rPr>
        <w:t>EU AND CENTRAL AMER</w:t>
      </w:r>
      <w:r w:rsidR="00ED0F78">
        <w:rPr>
          <w:b/>
          <w:bCs/>
        </w:rPr>
        <w:t>IC</w:t>
      </w:r>
      <w:r w:rsidR="009A1A93" w:rsidRPr="009A1A93">
        <w:rPr>
          <w:b/>
          <w:bCs/>
        </w:rPr>
        <w:t>A (COSTA RICA; EL SALVADOR; GUATEMALA; HONDURAS; NICARAGUA; AND PANAMA)</w:t>
      </w:r>
      <w:r w:rsidR="006077EA" w:rsidRPr="009A1A93">
        <w:rPr>
          <w:rStyle w:val="FootnoteReference"/>
          <w:b/>
          <w:bCs/>
        </w:rPr>
        <w:footnoteReference w:id="1"/>
      </w:r>
    </w:p>
    <w:p w14:paraId="6B8FCFE3" w14:textId="523013F1" w:rsidR="008359FB" w:rsidRPr="009A1A93" w:rsidRDefault="008359FB" w:rsidP="008359FB">
      <w:pPr>
        <w:pStyle w:val="SummaryHeader"/>
      </w:pPr>
      <w:r w:rsidRPr="009A1A93">
        <w:t xml:space="preserve">A. </w:t>
      </w:r>
      <w:r w:rsidRPr="009A1A93">
        <w:tab/>
        <w:t>PREFERENTIAL RULES OF ORIGIN</w:t>
      </w:r>
    </w:p>
    <w:p w14:paraId="68610B47" w14:textId="12F3510E" w:rsidR="006077EA" w:rsidRPr="009A1A93" w:rsidRDefault="006077EA" w:rsidP="006077EA">
      <w:pPr>
        <w:tabs>
          <w:tab w:val="left" w:pos="720"/>
        </w:tabs>
        <w:spacing w:after="240"/>
        <w:jc w:val="left"/>
      </w:pPr>
      <w:r w:rsidRPr="009A1A93">
        <w:t>The texts of the Agreement can be found in the following internet link</w:t>
      </w:r>
      <w:r w:rsidR="00F81CB9" w:rsidRPr="009A1A93">
        <w:t>s</w:t>
      </w:r>
      <w:r w:rsidRPr="009A1A93">
        <w:t>:</w:t>
      </w:r>
    </w:p>
    <w:p w14:paraId="0DCCA719" w14:textId="14F79EA9" w:rsidR="009A1A93" w:rsidRPr="00BC2E5B" w:rsidRDefault="009A1A93" w:rsidP="009A1A93">
      <w:pPr>
        <w:spacing w:after="240"/>
        <w:rPr>
          <w:lang w:val="es-ES"/>
        </w:rPr>
      </w:pPr>
      <w:r w:rsidRPr="00BC2E5B">
        <w:rPr>
          <w:szCs w:val="18"/>
          <w:lang w:val="es-ES"/>
        </w:rPr>
        <w:t>European Union:</w:t>
      </w:r>
      <w:r w:rsidRPr="00BC2E5B">
        <w:rPr>
          <w:szCs w:val="18"/>
          <w:lang w:val="es-ES"/>
        </w:rPr>
        <w:tab/>
      </w:r>
      <w:hyperlink r:id="rId9" w:history="1">
        <w:r w:rsidRPr="00BC2E5B">
          <w:rPr>
            <w:rStyle w:val="Hyperlink"/>
            <w:lang w:val="es-ES"/>
          </w:rPr>
          <w:t>https://eur-lex.europa.eu/legal-content/EN/ALL/?uri=CELEX:22012A1215(01)</w:t>
        </w:r>
      </w:hyperlink>
      <w:r w:rsidRPr="00BC2E5B">
        <w:rPr>
          <w:lang w:val="es-ES"/>
        </w:rPr>
        <w:t>;</w:t>
      </w:r>
    </w:p>
    <w:p w14:paraId="6A8E1FC0" w14:textId="109938BE" w:rsidR="009A1A93" w:rsidRPr="00BC2E5B" w:rsidRDefault="009A1A93" w:rsidP="009A1A93">
      <w:pPr>
        <w:spacing w:after="240"/>
        <w:rPr>
          <w:rStyle w:val="Hyperlink"/>
          <w:lang w:val="es-ES"/>
        </w:rPr>
      </w:pPr>
      <w:r w:rsidRPr="00BC2E5B">
        <w:rPr>
          <w:szCs w:val="18"/>
          <w:lang w:val="es-ES"/>
        </w:rPr>
        <w:t>Costa Rica:</w:t>
      </w:r>
      <w:r w:rsidRPr="00BC2E5B">
        <w:rPr>
          <w:szCs w:val="18"/>
          <w:lang w:val="es-ES"/>
        </w:rPr>
        <w:tab/>
      </w:r>
      <w:r w:rsidRPr="00BC2E5B">
        <w:rPr>
          <w:szCs w:val="18"/>
          <w:lang w:val="es-ES"/>
        </w:rPr>
        <w:tab/>
      </w:r>
      <w:hyperlink r:id="rId10" w:history="1">
        <w:r w:rsidRPr="00BC2E5B">
          <w:rPr>
            <w:rStyle w:val="Hyperlink"/>
            <w:lang w:val="es-ES"/>
          </w:rPr>
          <w:t>https://www.comex.go.cr/tratados/aacue/</w:t>
        </w:r>
      </w:hyperlink>
      <w:r w:rsidRPr="00BC2E5B">
        <w:rPr>
          <w:lang w:val="es-ES"/>
        </w:rPr>
        <w:t>;</w:t>
      </w:r>
    </w:p>
    <w:p w14:paraId="645A4735" w14:textId="2EC09E44" w:rsidR="009A1A93" w:rsidRPr="00BC2E5B" w:rsidRDefault="009A1A93" w:rsidP="009A1A93">
      <w:pPr>
        <w:spacing w:after="240"/>
        <w:rPr>
          <w:rStyle w:val="Hyperlink"/>
          <w:lang w:val="es-ES"/>
        </w:rPr>
      </w:pPr>
      <w:r w:rsidRPr="00BC2E5B">
        <w:rPr>
          <w:szCs w:val="18"/>
          <w:lang w:val="es-ES"/>
        </w:rPr>
        <w:t>El Salvador:</w:t>
      </w:r>
      <w:r w:rsidRPr="00BC2E5B">
        <w:rPr>
          <w:szCs w:val="18"/>
          <w:lang w:val="es-ES"/>
        </w:rPr>
        <w:tab/>
      </w:r>
      <w:r w:rsidRPr="00BC2E5B">
        <w:rPr>
          <w:szCs w:val="18"/>
          <w:lang w:val="es-ES"/>
        </w:rPr>
        <w:tab/>
      </w:r>
      <w:hyperlink r:id="rId11" w:history="1">
        <w:r w:rsidRPr="00BC2E5B">
          <w:rPr>
            <w:rStyle w:val="Hyperlink"/>
            <w:szCs w:val="18"/>
            <w:lang w:val="es-ES"/>
          </w:rPr>
          <w:t>http://infotrade.minec.gob.sv/ue/</w:t>
        </w:r>
      </w:hyperlink>
      <w:r w:rsidRPr="00BC2E5B">
        <w:rPr>
          <w:lang w:val="es-ES"/>
        </w:rPr>
        <w:t>;</w:t>
      </w:r>
    </w:p>
    <w:p w14:paraId="74688D3B" w14:textId="6AD1F4CB" w:rsidR="009A1A93" w:rsidRPr="00BC2E5B" w:rsidRDefault="009A1A93" w:rsidP="009A1A93">
      <w:pPr>
        <w:spacing w:after="240"/>
        <w:rPr>
          <w:lang w:val="es-ES"/>
        </w:rPr>
      </w:pPr>
      <w:r w:rsidRPr="00BC2E5B">
        <w:rPr>
          <w:szCs w:val="18"/>
          <w:lang w:val="es-ES"/>
        </w:rPr>
        <w:t>Guatemala:</w:t>
      </w:r>
      <w:r w:rsidRPr="00BC2E5B">
        <w:rPr>
          <w:szCs w:val="18"/>
          <w:lang w:val="es-ES"/>
        </w:rPr>
        <w:tab/>
      </w:r>
      <w:r w:rsidRPr="00BC2E5B">
        <w:rPr>
          <w:szCs w:val="18"/>
          <w:lang w:val="es-ES"/>
        </w:rPr>
        <w:tab/>
      </w:r>
      <w:hyperlink r:id="rId12" w:history="1">
        <w:r w:rsidRPr="00BC2E5B">
          <w:rPr>
            <w:rStyle w:val="Hyperlink"/>
            <w:lang w:val="es-ES"/>
          </w:rPr>
          <w:t>https://www.mineco.gob.gt/node/538</w:t>
        </w:r>
      </w:hyperlink>
      <w:r w:rsidRPr="00BC2E5B">
        <w:rPr>
          <w:lang w:val="es-ES"/>
        </w:rPr>
        <w:t>;</w:t>
      </w:r>
    </w:p>
    <w:p w14:paraId="75E6B4B9" w14:textId="57641AAF" w:rsidR="009A1A93" w:rsidRPr="00BC2E5B" w:rsidRDefault="009A1A93" w:rsidP="009A1A93">
      <w:pPr>
        <w:spacing w:after="240"/>
        <w:rPr>
          <w:rStyle w:val="Hyperlink"/>
          <w:szCs w:val="18"/>
          <w:lang w:val="es-ES"/>
        </w:rPr>
      </w:pPr>
      <w:r w:rsidRPr="00BC2E5B">
        <w:rPr>
          <w:szCs w:val="18"/>
          <w:lang w:val="es-ES"/>
        </w:rPr>
        <w:t>Honduras:</w:t>
      </w:r>
      <w:r w:rsidRPr="00BC2E5B">
        <w:rPr>
          <w:szCs w:val="18"/>
          <w:lang w:val="es-ES"/>
        </w:rPr>
        <w:tab/>
      </w:r>
      <w:r w:rsidRPr="00BC2E5B">
        <w:rPr>
          <w:szCs w:val="18"/>
          <w:lang w:val="es-ES"/>
        </w:rPr>
        <w:tab/>
      </w:r>
      <w:hyperlink r:id="rId13" w:history="1">
        <w:r w:rsidRPr="00BC2E5B">
          <w:rPr>
            <w:rStyle w:val="Hyperlink"/>
            <w:szCs w:val="18"/>
            <w:lang w:val="es-ES"/>
          </w:rPr>
          <w:t>https://sde.gob.hn/wp-content/uploads/2017/08/01-Acuerdo-1.pdf</w:t>
        </w:r>
      </w:hyperlink>
      <w:r w:rsidRPr="00BC2E5B">
        <w:rPr>
          <w:lang w:val="es-ES"/>
        </w:rPr>
        <w:t>;</w:t>
      </w:r>
    </w:p>
    <w:p w14:paraId="497E7A77" w14:textId="77777777" w:rsidR="009A1A93" w:rsidRPr="00BC2E5B" w:rsidRDefault="009A1A93" w:rsidP="009A1A93">
      <w:pPr>
        <w:spacing w:after="240"/>
        <w:ind w:left="1701" w:hanging="1701"/>
        <w:rPr>
          <w:lang w:val="es-ES"/>
        </w:rPr>
      </w:pPr>
      <w:r w:rsidRPr="00BC2E5B">
        <w:rPr>
          <w:szCs w:val="18"/>
          <w:lang w:val="es-ES"/>
        </w:rPr>
        <w:t xml:space="preserve">Nicaragua: </w:t>
      </w:r>
      <w:r w:rsidRPr="00BC2E5B">
        <w:rPr>
          <w:szCs w:val="18"/>
          <w:lang w:val="es-ES"/>
        </w:rPr>
        <w:tab/>
      </w:r>
      <w:r w:rsidRPr="00BC2E5B">
        <w:rPr>
          <w:szCs w:val="18"/>
          <w:lang w:val="es-ES"/>
        </w:rPr>
        <w:tab/>
      </w:r>
      <w:hyperlink r:id="rId14" w:history="1">
        <w:r w:rsidRPr="00BC2E5B">
          <w:rPr>
            <w:rStyle w:val="Hyperlink"/>
            <w:szCs w:val="18"/>
            <w:lang w:val="es-ES"/>
          </w:rPr>
          <w:t>https://www.mific.gob.ni/Comercio-Exterior/Negociaciones-Comerciales/Acuerdos-Comerciales-Internacionales-Vigentes/Uni%C3%B3n-Europea?folderId=371&amp;view=gridview&amp;pageSize=2147483647</w:t>
        </w:r>
      </w:hyperlink>
      <w:r w:rsidRPr="00BC2E5B">
        <w:rPr>
          <w:lang w:val="es-ES"/>
        </w:rPr>
        <w:t>; and</w:t>
      </w:r>
    </w:p>
    <w:p w14:paraId="13D9632C" w14:textId="61AF9D3B" w:rsidR="00456372" w:rsidRPr="00BC2E5B" w:rsidRDefault="009A1A93" w:rsidP="009A1A93">
      <w:pPr>
        <w:spacing w:after="240"/>
        <w:ind w:left="1701" w:hanging="1701"/>
        <w:rPr>
          <w:b/>
          <w:lang w:val="es-ES"/>
        </w:rPr>
      </w:pPr>
      <w:r w:rsidRPr="00BC2E5B">
        <w:rPr>
          <w:szCs w:val="18"/>
          <w:lang w:val="es-ES"/>
        </w:rPr>
        <w:lastRenderedPageBreak/>
        <w:t>Panama:</w:t>
      </w:r>
      <w:r w:rsidRPr="00BC2E5B">
        <w:rPr>
          <w:szCs w:val="18"/>
          <w:lang w:val="es-ES"/>
        </w:rPr>
        <w:tab/>
      </w:r>
      <w:hyperlink r:id="rId15" w:history="1">
        <w:r w:rsidRPr="00BC2E5B">
          <w:rPr>
            <w:rStyle w:val="Hyperlink"/>
            <w:lang w:val="es-ES"/>
          </w:rPr>
          <w:t>https://mici.gob.pa/tratados-comerciales-vigentes/acuerdo-de-asociacion-entre-centroamerica-y-la-union-europea-ada</w:t>
        </w:r>
      </w:hyperlink>
      <w:r w:rsidRPr="00BC2E5B">
        <w:rPr>
          <w:rStyle w:val="Hyperlink"/>
          <w:lang w:val="es-ES"/>
        </w:rPr>
        <w:t>.</w:t>
      </w:r>
    </w:p>
    <w:p w14:paraId="5D83EE0B" w14:textId="3A0957A2" w:rsidR="009A1A93" w:rsidRPr="009A1A93" w:rsidRDefault="009A1A93" w:rsidP="009A1A93">
      <w:pPr>
        <w:ind w:left="1701" w:hanging="1701"/>
        <w:jc w:val="center"/>
      </w:pPr>
      <w:r>
        <w:rPr>
          <w:b/>
        </w:rPr>
        <w:t>__________</w:t>
      </w:r>
    </w:p>
    <w:sectPr w:rsidR="009A1A93" w:rsidRPr="009A1A93" w:rsidSect="000E0666">
      <w:headerReference w:type="even" r:id="rId16"/>
      <w:headerReference w:type="default" r:id="rId17"/>
      <w:footerReference w:type="even" r:id="rId18"/>
      <w:footerReference w:type="default" r:id="rId19"/>
      <w:head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883B1" w14:textId="77777777" w:rsidR="006077EA" w:rsidRDefault="006077EA" w:rsidP="00ED54E0">
      <w:r>
        <w:separator/>
      </w:r>
    </w:p>
  </w:endnote>
  <w:endnote w:type="continuationSeparator" w:id="0">
    <w:p w14:paraId="5C18DC19" w14:textId="77777777" w:rsidR="006077EA" w:rsidRDefault="006077EA"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510E8" w14:textId="1F2C2CDB" w:rsidR="00544326" w:rsidRPr="000E0666" w:rsidRDefault="000E0666" w:rsidP="000E066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0932D" w14:textId="3E0BEEBB" w:rsidR="00544326" w:rsidRPr="000E0666" w:rsidRDefault="000E0666" w:rsidP="000E0666">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DA4C9" w14:textId="77777777" w:rsidR="006077EA" w:rsidRDefault="006077EA" w:rsidP="00ED54E0">
      <w:r>
        <w:separator/>
      </w:r>
    </w:p>
  </w:footnote>
  <w:footnote w:type="continuationSeparator" w:id="0">
    <w:p w14:paraId="4A0CD223" w14:textId="77777777" w:rsidR="006077EA" w:rsidRDefault="006077EA" w:rsidP="00ED54E0">
      <w:r>
        <w:continuationSeparator/>
      </w:r>
    </w:p>
  </w:footnote>
  <w:footnote w:id="1">
    <w:p w14:paraId="0BFF1070" w14:textId="0E33B1FA" w:rsidR="006077EA" w:rsidRDefault="006077EA" w:rsidP="006077EA">
      <w:pPr>
        <w:pStyle w:val="FootnoteText"/>
      </w:pPr>
      <w:r>
        <w:rPr>
          <w:rStyle w:val="FootnoteReference"/>
        </w:rPr>
        <w:footnoteRef/>
      </w:r>
      <w:r>
        <w:t xml:space="preserve"> </w:t>
      </w:r>
      <w:r w:rsidRPr="000C66A1">
        <w:t>Originally notified to the Committee on Regional Trade Agreements (CRTA) and circulated in document</w:t>
      </w:r>
      <w:r>
        <w:t> </w:t>
      </w:r>
      <w:r w:rsidRPr="000C66A1">
        <w:t>WT/REG</w:t>
      </w:r>
      <w:r w:rsidR="00BC2E5B">
        <w:t>332</w:t>
      </w:r>
      <w:r w:rsidRPr="000C66A1">
        <w:t>/N/</w:t>
      </w:r>
      <w:r w:rsidR="00226FDC">
        <w:t>1</w:t>
      </w:r>
      <w:r w:rsidR="00BC2E5B">
        <w:t>/Add.1</w:t>
      </w:r>
      <w:r w:rsidR="005D0042">
        <w:t xml:space="preserve"> </w:t>
      </w:r>
      <w:r w:rsidRPr="000C66A1">
        <w:t xml:space="preserve">of </w:t>
      </w:r>
      <w:r w:rsidR="00BC2E5B">
        <w:t>23</w:t>
      </w:r>
      <w:r w:rsidRPr="000C66A1">
        <w:t xml:space="preserve"> </w:t>
      </w:r>
      <w:r w:rsidR="00BC2E5B">
        <w:t>March</w:t>
      </w:r>
      <w:r w:rsidRPr="000C66A1">
        <w:t xml:space="preserve"> 20</w:t>
      </w:r>
      <w:r w:rsidR="00226FDC">
        <w:t>2</w:t>
      </w:r>
      <w:r w:rsidR="00532032">
        <w:t>1</w:t>
      </w:r>
      <w:r w:rsidRPr="000C66A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7B558" w14:textId="77777777" w:rsidR="000E0666" w:rsidRPr="000E0666" w:rsidRDefault="000E0666" w:rsidP="000E0666">
    <w:pPr>
      <w:pStyle w:val="Header"/>
      <w:pBdr>
        <w:bottom w:val="single" w:sz="4" w:space="1" w:color="auto"/>
      </w:pBdr>
      <w:tabs>
        <w:tab w:val="clear" w:pos="4513"/>
        <w:tab w:val="clear" w:pos="9027"/>
      </w:tabs>
      <w:jc w:val="center"/>
    </w:pPr>
    <w:r w:rsidRPr="000E0666">
      <w:t>G/RO/N/222</w:t>
    </w:r>
  </w:p>
  <w:p w14:paraId="6815A4B2" w14:textId="77777777" w:rsidR="000E0666" w:rsidRPr="000E0666" w:rsidRDefault="000E0666" w:rsidP="000E0666">
    <w:pPr>
      <w:pStyle w:val="Header"/>
      <w:pBdr>
        <w:bottom w:val="single" w:sz="4" w:space="1" w:color="auto"/>
      </w:pBdr>
      <w:tabs>
        <w:tab w:val="clear" w:pos="4513"/>
        <w:tab w:val="clear" w:pos="9027"/>
      </w:tabs>
      <w:jc w:val="center"/>
    </w:pPr>
  </w:p>
  <w:p w14:paraId="5A351487" w14:textId="4A34D67F" w:rsidR="000E0666" w:rsidRPr="000E0666" w:rsidRDefault="000E0666" w:rsidP="000E0666">
    <w:pPr>
      <w:pStyle w:val="Header"/>
      <w:pBdr>
        <w:bottom w:val="single" w:sz="4" w:space="1" w:color="auto"/>
      </w:pBdr>
      <w:tabs>
        <w:tab w:val="clear" w:pos="4513"/>
        <w:tab w:val="clear" w:pos="9027"/>
      </w:tabs>
      <w:jc w:val="center"/>
    </w:pPr>
    <w:r w:rsidRPr="000E0666">
      <w:t xml:space="preserve">- </w:t>
    </w:r>
    <w:r w:rsidRPr="000E0666">
      <w:fldChar w:fldCharType="begin"/>
    </w:r>
    <w:r w:rsidRPr="000E0666">
      <w:instrText xml:space="preserve"> PAGE </w:instrText>
    </w:r>
    <w:r w:rsidRPr="000E0666">
      <w:fldChar w:fldCharType="separate"/>
    </w:r>
    <w:r w:rsidRPr="000E0666">
      <w:rPr>
        <w:noProof/>
      </w:rPr>
      <w:t>2</w:t>
    </w:r>
    <w:r w:rsidRPr="000E0666">
      <w:fldChar w:fldCharType="end"/>
    </w:r>
    <w:r w:rsidRPr="000E0666">
      <w:t xml:space="preserve"> -</w:t>
    </w:r>
  </w:p>
  <w:p w14:paraId="4810C79E" w14:textId="1C99FABE" w:rsidR="00544326" w:rsidRPr="000E0666" w:rsidRDefault="00544326" w:rsidP="000E066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8C54B" w14:textId="77777777" w:rsidR="000E0666" w:rsidRPr="000E0666" w:rsidRDefault="000E0666" w:rsidP="000E0666">
    <w:pPr>
      <w:pStyle w:val="Header"/>
      <w:pBdr>
        <w:bottom w:val="single" w:sz="4" w:space="1" w:color="auto"/>
      </w:pBdr>
      <w:tabs>
        <w:tab w:val="clear" w:pos="4513"/>
        <w:tab w:val="clear" w:pos="9027"/>
      </w:tabs>
      <w:jc w:val="center"/>
    </w:pPr>
    <w:r w:rsidRPr="000E0666">
      <w:t>G/RO/N/222</w:t>
    </w:r>
  </w:p>
  <w:p w14:paraId="28A35253" w14:textId="77777777" w:rsidR="000E0666" w:rsidRPr="000E0666" w:rsidRDefault="000E0666" w:rsidP="000E0666">
    <w:pPr>
      <w:pStyle w:val="Header"/>
      <w:pBdr>
        <w:bottom w:val="single" w:sz="4" w:space="1" w:color="auto"/>
      </w:pBdr>
      <w:tabs>
        <w:tab w:val="clear" w:pos="4513"/>
        <w:tab w:val="clear" w:pos="9027"/>
      </w:tabs>
      <w:jc w:val="center"/>
    </w:pPr>
  </w:p>
  <w:p w14:paraId="2A685AF0" w14:textId="2EA5C5D5" w:rsidR="000E0666" w:rsidRPr="000E0666" w:rsidRDefault="000E0666" w:rsidP="000E0666">
    <w:pPr>
      <w:pStyle w:val="Header"/>
      <w:pBdr>
        <w:bottom w:val="single" w:sz="4" w:space="1" w:color="auto"/>
      </w:pBdr>
      <w:tabs>
        <w:tab w:val="clear" w:pos="4513"/>
        <w:tab w:val="clear" w:pos="9027"/>
      </w:tabs>
      <w:jc w:val="center"/>
    </w:pPr>
    <w:r w:rsidRPr="000E0666">
      <w:t xml:space="preserve">- </w:t>
    </w:r>
    <w:r w:rsidRPr="000E0666">
      <w:fldChar w:fldCharType="begin"/>
    </w:r>
    <w:r w:rsidRPr="000E0666">
      <w:instrText xml:space="preserve"> PAGE </w:instrText>
    </w:r>
    <w:r w:rsidRPr="000E0666">
      <w:fldChar w:fldCharType="separate"/>
    </w:r>
    <w:r w:rsidRPr="000E0666">
      <w:rPr>
        <w:noProof/>
      </w:rPr>
      <w:t>2</w:t>
    </w:r>
    <w:r w:rsidRPr="000E0666">
      <w:fldChar w:fldCharType="end"/>
    </w:r>
    <w:r w:rsidRPr="000E0666">
      <w:t xml:space="preserve"> -</w:t>
    </w:r>
  </w:p>
  <w:p w14:paraId="6E885C99" w14:textId="7CC19B1B" w:rsidR="00544326" w:rsidRPr="000E0666" w:rsidRDefault="00544326" w:rsidP="000E066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188CA9CF" w14:textId="77777777" w:rsidTr="00544326">
      <w:trPr>
        <w:trHeight w:val="240"/>
        <w:jc w:val="center"/>
      </w:trPr>
      <w:tc>
        <w:tcPr>
          <w:tcW w:w="3794" w:type="dxa"/>
          <w:shd w:val="clear" w:color="auto" w:fill="FFFFFF"/>
          <w:tcMar>
            <w:left w:w="108" w:type="dxa"/>
            <w:right w:w="108" w:type="dxa"/>
          </w:tcMar>
          <w:vAlign w:val="center"/>
        </w:tcPr>
        <w:p w14:paraId="7EF9C1FC" w14:textId="77777777" w:rsidR="00ED54E0" w:rsidRPr="00182B84" w:rsidRDefault="00ED54E0" w:rsidP="003037CE">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4E93D62F" w14:textId="36E466B0" w:rsidR="00ED54E0" w:rsidRPr="00182B84" w:rsidRDefault="000E0666" w:rsidP="003037CE">
          <w:pPr>
            <w:jc w:val="right"/>
            <w:rPr>
              <w:b/>
              <w:color w:val="FF0000"/>
              <w:szCs w:val="16"/>
            </w:rPr>
          </w:pPr>
          <w:r>
            <w:rPr>
              <w:b/>
              <w:color w:val="FF0000"/>
              <w:szCs w:val="16"/>
            </w:rPr>
            <w:t xml:space="preserve"> </w:t>
          </w:r>
        </w:p>
      </w:tc>
    </w:tr>
    <w:bookmarkEnd w:id="0"/>
    <w:tr w:rsidR="00ED54E0" w:rsidRPr="00182B84" w14:paraId="1E7E0CD4" w14:textId="77777777" w:rsidTr="00544326">
      <w:trPr>
        <w:trHeight w:val="213"/>
        <w:jc w:val="center"/>
      </w:trPr>
      <w:tc>
        <w:tcPr>
          <w:tcW w:w="3794" w:type="dxa"/>
          <w:vMerge w:val="restart"/>
          <w:shd w:val="clear" w:color="auto" w:fill="FFFFFF"/>
          <w:tcMar>
            <w:left w:w="0" w:type="dxa"/>
            <w:right w:w="0" w:type="dxa"/>
          </w:tcMar>
        </w:tcPr>
        <w:p w14:paraId="675B30C8" w14:textId="77777777" w:rsidR="00ED54E0" w:rsidRPr="00182B84" w:rsidRDefault="00ED54E0" w:rsidP="003037CE">
          <w:pPr>
            <w:jc w:val="left"/>
          </w:pPr>
          <w:r w:rsidRPr="00182B84">
            <w:rPr>
              <w:noProof/>
              <w:lang w:val="en-US"/>
            </w:rPr>
            <w:drawing>
              <wp:inline distT="0" distB="0" distL="0" distR="0" wp14:anchorId="57F3DF79" wp14:editId="41D10D7B">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06B468B" w14:textId="77777777" w:rsidR="00ED54E0" w:rsidRPr="00182B84" w:rsidRDefault="00ED54E0" w:rsidP="003037CE">
          <w:pPr>
            <w:jc w:val="right"/>
            <w:rPr>
              <w:b/>
              <w:szCs w:val="16"/>
            </w:rPr>
          </w:pPr>
        </w:p>
      </w:tc>
    </w:tr>
    <w:tr w:rsidR="00ED54E0" w:rsidRPr="00182B84" w14:paraId="2C61E587" w14:textId="77777777" w:rsidTr="00544326">
      <w:trPr>
        <w:trHeight w:val="868"/>
        <w:jc w:val="center"/>
      </w:trPr>
      <w:tc>
        <w:tcPr>
          <w:tcW w:w="3794" w:type="dxa"/>
          <w:vMerge/>
          <w:shd w:val="clear" w:color="auto" w:fill="FFFFFF"/>
          <w:tcMar>
            <w:left w:w="108" w:type="dxa"/>
            <w:right w:w="108" w:type="dxa"/>
          </w:tcMar>
        </w:tcPr>
        <w:p w14:paraId="64BEDBAF" w14:textId="77777777" w:rsidR="00ED54E0" w:rsidRPr="00182B84" w:rsidRDefault="00ED54E0" w:rsidP="003037CE">
          <w:pPr>
            <w:jc w:val="left"/>
            <w:rPr>
              <w:noProof/>
              <w:lang w:eastAsia="en-GB"/>
            </w:rPr>
          </w:pPr>
        </w:p>
      </w:tc>
      <w:tc>
        <w:tcPr>
          <w:tcW w:w="5448" w:type="dxa"/>
          <w:gridSpan w:val="2"/>
          <w:shd w:val="clear" w:color="auto" w:fill="FFFFFF"/>
          <w:tcMar>
            <w:left w:w="108" w:type="dxa"/>
            <w:right w:w="108" w:type="dxa"/>
          </w:tcMar>
        </w:tcPr>
        <w:p w14:paraId="1B8EE08E" w14:textId="77777777" w:rsidR="000E0666" w:rsidRDefault="000E0666" w:rsidP="003037CE">
          <w:pPr>
            <w:jc w:val="right"/>
            <w:rPr>
              <w:b/>
              <w:szCs w:val="16"/>
            </w:rPr>
          </w:pPr>
          <w:bookmarkStart w:id="1" w:name="bmkSymbols"/>
          <w:r>
            <w:rPr>
              <w:b/>
              <w:szCs w:val="16"/>
            </w:rPr>
            <w:t>G/RO/N/222</w:t>
          </w:r>
        </w:p>
        <w:bookmarkEnd w:id="1"/>
        <w:p w14:paraId="2CF41F4F" w14:textId="3D525B8C" w:rsidR="00ED54E0" w:rsidRPr="00182B84" w:rsidRDefault="00ED54E0" w:rsidP="003037CE">
          <w:pPr>
            <w:jc w:val="right"/>
            <w:rPr>
              <w:b/>
              <w:szCs w:val="16"/>
            </w:rPr>
          </w:pPr>
        </w:p>
      </w:tc>
    </w:tr>
    <w:tr w:rsidR="00ED54E0" w:rsidRPr="00182B84" w14:paraId="045A3762" w14:textId="77777777" w:rsidTr="00544326">
      <w:trPr>
        <w:trHeight w:val="240"/>
        <w:jc w:val="center"/>
      </w:trPr>
      <w:tc>
        <w:tcPr>
          <w:tcW w:w="3794" w:type="dxa"/>
          <w:vMerge/>
          <w:shd w:val="clear" w:color="auto" w:fill="FFFFFF"/>
          <w:tcMar>
            <w:left w:w="108" w:type="dxa"/>
            <w:right w:w="108" w:type="dxa"/>
          </w:tcMar>
          <w:vAlign w:val="center"/>
        </w:tcPr>
        <w:p w14:paraId="42AF3EFD" w14:textId="77777777" w:rsidR="00ED54E0" w:rsidRPr="00182B84" w:rsidRDefault="00ED54E0" w:rsidP="003037CE"/>
      </w:tc>
      <w:tc>
        <w:tcPr>
          <w:tcW w:w="5448" w:type="dxa"/>
          <w:gridSpan w:val="2"/>
          <w:shd w:val="clear" w:color="auto" w:fill="FFFFFF"/>
          <w:tcMar>
            <w:left w:w="108" w:type="dxa"/>
            <w:right w:w="108" w:type="dxa"/>
          </w:tcMar>
          <w:vAlign w:val="center"/>
        </w:tcPr>
        <w:p w14:paraId="58104CAC" w14:textId="2CDF9EDB" w:rsidR="00ED54E0" w:rsidRPr="00182B84" w:rsidRDefault="00CF5CA8" w:rsidP="003037CE">
          <w:pPr>
            <w:jc w:val="right"/>
            <w:rPr>
              <w:szCs w:val="16"/>
            </w:rPr>
          </w:pPr>
          <w:r>
            <w:rPr>
              <w:szCs w:val="16"/>
            </w:rPr>
            <w:t>29</w:t>
          </w:r>
          <w:r w:rsidR="003C7DC2">
            <w:rPr>
              <w:szCs w:val="16"/>
            </w:rPr>
            <w:t xml:space="preserve"> </w:t>
          </w:r>
          <w:r w:rsidR="00531F76">
            <w:rPr>
              <w:szCs w:val="16"/>
            </w:rPr>
            <w:t>April</w:t>
          </w:r>
          <w:r w:rsidR="006077EA">
            <w:rPr>
              <w:szCs w:val="16"/>
            </w:rPr>
            <w:t xml:space="preserve"> 20</w:t>
          </w:r>
          <w:r w:rsidR="00A662F9">
            <w:rPr>
              <w:szCs w:val="16"/>
            </w:rPr>
            <w:t>2</w:t>
          </w:r>
          <w:r w:rsidR="001239C3">
            <w:rPr>
              <w:szCs w:val="16"/>
            </w:rPr>
            <w:t>1</w:t>
          </w:r>
        </w:p>
      </w:tc>
    </w:tr>
    <w:tr w:rsidR="00ED54E0" w:rsidRPr="00182B84" w14:paraId="2DCD93D7"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40B565D" w14:textId="7B648A0B" w:rsidR="00ED54E0" w:rsidRPr="00182B84" w:rsidRDefault="00ED54E0" w:rsidP="003037CE">
          <w:pPr>
            <w:jc w:val="left"/>
            <w:rPr>
              <w:b/>
            </w:rPr>
          </w:pPr>
          <w:bookmarkStart w:id="2" w:name="bmkSerial" w:colFirst="0" w:colLast="0"/>
          <w:r w:rsidRPr="00182B84">
            <w:rPr>
              <w:color w:val="FF0000"/>
              <w:szCs w:val="16"/>
            </w:rPr>
            <w:t>(</w:t>
          </w:r>
          <w:r w:rsidR="0067594E">
            <w:rPr>
              <w:color w:val="FF0000"/>
              <w:szCs w:val="16"/>
            </w:rPr>
            <w:t>21</w:t>
          </w:r>
          <w:r w:rsidR="00EE0ED2">
            <w:rPr>
              <w:color w:val="FF0000"/>
              <w:szCs w:val="16"/>
            </w:rPr>
            <w:t>-</w:t>
          </w:r>
          <w:r w:rsidR="00B0537B">
            <w:rPr>
              <w:color w:val="FF0000"/>
              <w:szCs w:val="16"/>
            </w:rPr>
            <w:t>3679</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11FCE443" w14:textId="77777777" w:rsidR="00ED54E0" w:rsidRPr="00182B84" w:rsidRDefault="00ED54E0" w:rsidP="003037CE">
          <w:pPr>
            <w:jc w:val="right"/>
            <w:rPr>
              <w:szCs w:val="16"/>
            </w:rPr>
          </w:pPr>
          <w:bookmarkStart w:id="3"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3"/>
        </w:p>
      </w:tc>
    </w:tr>
    <w:tr w:rsidR="00ED54E0" w:rsidRPr="00182B84" w14:paraId="296BD229"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2AD6D1B" w14:textId="68DAB951" w:rsidR="00ED54E0" w:rsidRPr="00182B84" w:rsidRDefault="000E0666" w:rsidP="003037CE">
          <w:pPr>
            <w:jc w:val="left"/>
            <w:rPr>
              <w:sz w:val="14"/>
              <w:szCs w:val="16"/>
            </w:rPr>
          </w:pPr>
          <w:bookmarkStart w:id="4" w:name="bmkCommittee"/>
          <w:bookmarkStart w:id="5" w:name="bmkLanguage" w:colFirst="1" w:colLast="1"/>
          <w:bookmarkEnd w:id="2"/>
          <w:r>
            <w:rPr>
              <w:b/>
            </w:rPr>
            <w:t>Committee on Rules of Origin</w:t>
          </w:r>
          <w:bookmarkEnd w:id="4"/>
        </w:p>
      </w:tc>
      <w:tc>
        <w:tcPr>
          <w:tcW w:w="3325" w:type="dxa"/>
          <w:tcBorders>
            <w:top w:val="single" w:sz="4" w:space="0" w:color="auto"/>
          </w:tcBorders>
          <w:tcMar>
            <w:top w:w="113" w:type="dxa"/>
            <w:left w:w="108" w:type="dxa"/>
            <w:bottom w:w="57" w:type="dxa"/>
            <w:right w:w="108" w:type="dxa"/>
          </w:tcMar>
          <w:vAlign w:val="center"/>
        </w:tcPr>
        <w:p w14:paraId="123F8206" w14:textId="0280854A" w:rsidR="00ED54E0" w:rsidRPr="00182B84" w:rsidRDefault="000E0666" w:rsidP="003037CE">
          <w:pPr>
            <w:jc w:val="right"/>
            <w:rPr>
              <w:bCs/>
              <w:szCs w:val="18"/>
            </w:rPr>
          </w:pPr>
          <w:r>
            <w:rPr>
              <w:szCs w:val="18"/>
            </w:rPr>
            <w:t>Original: English</w:t>
          </w:r>
        </w:p>
      </w:tc>
    </w:tr>
    <w:bookmarkEnd w:id="5"/>
  </w:tbl>
  <w:p w14:paraId="286A284B"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removePersonalInformation/>
  <w:removeDateAndTime/>
  <w:attachedTemplate r:id="rId1"/>
  <w:defaultTabStop w:val="567"/>
  <w:hyphenationZone w:val="425"/>
  <w:evenAndOddHeaders/>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7EA"/>
    <w:rsid w:val="000133D4"/>
    <w:rsid w:val="000272F6"/>
    <w:rsid w:val="00037AC4"/>
    <w:rsid w:val="000423BF"/>
    <w:rsid w:val="00057CF1"/>
    <w:rsid w:val="000659B0"/>
    <w:rsid w:val="000A4945"/>
    <w:rsid w:val="000B31E1"/>
    <w:rsid w:val="000B6EEA"/>
    <w:rsid w:val="000E0666"/>
    <w:rsid w:val="000E7768"/>
    <w:rsid w:val="000F2788"/>
    <w:rsid w:val="0011356B"/>
    <w:rsid w:val="001239C3"/>
    <w:rsid w:val="0013337F"/>
    <w:rsid w:val="00150375"/>
    <w:rsid w:val="00170923"/>
    <w:rsid w:val="00182B84"/>
    <w:rsid w:val="001C41DF"/>
    <w:rsid w:val="001E291F"/>
    <w:rsid w:val="001F79F3"/>
    <w:rsid w:val="00225C49"/>
    <w:rsid w:val="00226FDC"/>
    <w:rsid w:val="00233408"/>
    <w:rsid w:val="002466E9"/>
    <w:rsid w:val="0027067B"/>
    <w:rsid w:val="002D3738"/>
    <w:rsid w:val="002E58B4"/>
    <w:rsid w:val="003037CE"/>
    <w:rsid w:val="003156C6"/>
    <w:rsid w:val="00332FD0"/>
    <w:rsid w:val="00341FB5"/>
    <w:rsid w:val="00344692"/>
    <w:rsid w:val="003572B4"/>
    <w:rsid w:val="00371DA9"/>
    <w:rsid w:val="003B5CAB"/>
    <w:rsid w:val="003C7DC2"/>
    <w:rsid w:val="00423E44"/>
    <w:rsid w:val="00456372"/>
    <w:rsid w:val="00466AB4"/>
    <w:rsid w:val="00467032"/>
    <w:rsid w:val="0046754A"/>
    <w:rsid w:val="0049700C"/>
    <w:rsid w:val="004F0833"/>
    <w:rsid w:val="004F203A"/>
    <w:rsid w:val="00523103"/>
    <w:rsid w:val="00531F76"/>
    <w:rsid w:val="00532032"/>
    <w:rsid w:val="005336B8"/>
    <w:rsid w:val="00534BF6"/>
    <w:rsid w:val="00544326"/>
    <w:rsid w:val="00547B5F"/>
    <w:rsid w:val="005A1A22"/>
    <w:rsid w:val="005B04B9"/>
    <w:rsid w:val="005B68C7"/>
    <w:rsid w:val="005B7054"/>
    <w:rsid w:val="005D0042"/>
    <w:rsid w:val="005D5981"/>
    <w:rsid w:val="005D7B4B"/>
    <w:rsid w:val="005F30CB"/>
    <w:rsid w:val="006077EA"/>
    <w:rsid w:val="00612644"/>
    <w:rsid w:val="00614772"/>
    <w:rsid w:val="006275CA"/>
    <w:rsid w:val="00674CCD"/>
    <w:rsid w:val="0067594E"/>
    <w:rsid w:val="006C6DF8"/>
    <w:rsid w:val="006F5826"/>
    <w:rsid w:val="00700181"/>
    <w:rsid w:val="00712EE3"/>
    <w:rsid w:val="00713CBC"/>
    <w:rsid w:val="007141CF"/>
    <w:rsid w:val="00745146"/>
    <w:rsid w:val="007577E3"/>
    <w:rsid w:val="00760DB3"/>
    <w:rsid w:val="00775E51"/>
    <w:rsid w:val="00782ACB"/>
    <w:rsid w:val="00784E00"/>
    <w:rsid w:val="007E6507"/>
    <w:rsid w:val="007F2B8E"/>
    <w:rsid w:val="007F32D1"/>
    <w:rsid w:val="007F580B"/>
    <w:rsid w:val="00807247"/>
    <w:rsid w:val="008359FB"/>
    <w:rsid w:val="00840C2B"/>
    <w:rsid w:val="00867D35"/>
    <w:rsid w:val="008717DF"/>
    <w:rsid w:val="008739FD"/>
    <w:rsid w:val="00893E85"/>
    <w:rsid w:val="008E2658"/>
    <w:rsid w:val="008E372C"/>
    <w:rsid w:val="0090064C"/>
    <w:rsid w:val="00947896"/>
    <w:rsid w:val="0096737D"/>
    <w:rsid w:val="00972956"/>
    <w:rsid w:val="009A1A93"/>
    <w:rsid w:val="009A6F54"/>
    <w:rsid w:val="00A16C25"/>
    <w:rsid w:val="00A443A2"/>
    <w:rsid w:val="00A6057A"/>
    <w:rsid w:val="00A662F9"/>
    <w:rsid w:val="00A70EDB"/>
    <w:rsid w:val="00A73960"/>
    <w:rsid w:val="00A74017"/>
    <w:rsid w:val="00AA332C"/>
    <w:rsid w:val="00AA33F6"/>
    <w:rsid w:val="00AC27F8"/>
    <w:rsid w:val="00AD4C72"/>
    <w:rsid w:val="00AE2AEE"/>
    <w:rsid w:val="00B00276"/>
    <w:rsid w:val="00B0537B"/>
    <w:rsid w:val="00B06D1B"/>
    <w:rsid w:val="00B077FA"/>
    <w:rsid w:val="00B230EC"/>
    <w:rsid w:val="00B27B4B"/>
    <w:rsid w:val="00B4350E"/>
    <w:rsid w:val="00B4513B"/>
    <w:rsid w:val="00B52738"/>
    <w:rsid w:val="00B56EDC"/>
    <w:rsid w:val="00B96550"/>
    <w:rsid w:val="00BA0D51"/>
    <w:rsid w:val="00BB1F84"/>
    <w:rsid w:val="00BC2E5B"/>
    <w:rsid w:val="00BE5468"/>
    <w:rsid w:val="00C11EAC"/>
    <w:rsid w:val="00C15F6D"/>
    <w:rsid w:val="00C305D7"/>
    <w:rsid w:val="00C30F2A"/>
    <w:rsid w:val="00C43456"/>
    <w:rsid w:val="00C65C0C"/>
    <w:rsid w:val="00C737D0"/>
    <w:rsid w:val="00C76E39"/>
    <w:rsid w:val="00C808FC"/>
    <w:rsid w:val="00C80A5A"/>
    <w:rsid w:val="00CB01B8"/>
    <w:rsid w:val="00CC3859"/>
    <w:rsid w:val="00CD7D97"/>
    <w:rsid w:val="00CE388D"/>
    <w:rsid w:val="00CE3EE6"/>
    <w:rsid w:val="00CE4BA1"/>
    <w:rsid w:val="00CF5CA8"/>
    <w:rsid w:val="00D000C7"/>
    <w:rsid w:val="00D02F97"/>
    <w:rsid w:val="00D221B8"/>
    <w:rsid w:val="00D525FD"/>
    <w:rsid w:val="00D52A9D"/>
    <w:rsid w:val="00D55AAD"/>
    <w:rsid w:val="00D747AE"/>
    <w:rsid w:val="00D9226C"/>
    <w:rsid w:val="00DA20BD"/>
    <w:rsid w:val="00DE50DB"/>
    <w:rsid w:val="00DF6AE1"/>
    <w:rsid w:val="00E02C42"/>
    <w:rsid w:val="00E22118"/>
    <w:rsid w:val="00E427DE"/>
    <w:rsid w:val="00E46FD5"/>
    <w:rsid w:val="00E544BB"/>
    <w:rsid w:val="00E56545"/>
    <w:rsid w:val="00EA5D4F"/>
    <w:rsid w:val="00EB3114"/>
    <w:rsid w:val="00EB6C56"/>
    <w:rsid w:val="00ED0F78"/>
    <w:rsid w:val="00ED1D47"/>
    <w:rsid w:val="00ED54E0"/>
    <w:rsid w:val="00EE0ED2"/>
    <w:rsid w:val="00EF78FD"/>
    <w:rsid w:val="00F04A9D"/>
    <w:rsid w:val="00F10177"/>
    <w:rsid w:val="00F160BA"/>
    <w:rsid w:val="00F32397"/>
    <w:rsid w:val="00F40595"/>
    <w:rsid w:val="00F52189"/>
    <w:rsid w:val="00F81CB9"/>
    <w:rsid w:val="00F97139"/>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651D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0"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7EA"/>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styleId="UnresolvedMention">
    <w:name w:val="Unresolved Mention"/>
    <w:basedOn w:val="DefaultParagraphFont"/>
    <w:uiPriority w:val="99"/>
    <w:semiHidden/>
    <w:unhideWhenUsed/>
    <w:rsid w:val="001C41DF"/>
    <w:rPr>
      <w:color w:val="605E5C"/>
      <w:shd w:val="clear" w:color="auto" w:fill="E1DFDD"/>
    </w:rPr>
  </w:style>
  <w:style w:type="paragraph" w:customStyle="1" w:styleId="TableParagraph">
    <w:name w:val="Table Paragraph"/>
    <w:basedOn w:val="Normal"/>
    <w:uiPriority w:val="1"/>
    <w:qFormat/>
    <w:rsid w:val="00D525FD"/>
    <w:pPr>
      <w:widowControl w:val="0"/>
      <w:autoSpaceDE w:val="0"/>
      <w:autoSpaceDN w:val="0"/>
      <w:spacing w:before="118"/>
      <w:ind w:left="801"/>
      <w:jc w:val="left"/>
    </w:pPr>
    <w:rPr>
      <w:rFonts w:ascii="Times New Roman" w:eastAsia="Times New Roman" w:hAnsi="Times New Roman"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9176">
      <w:bodyDiv w:val="1"/>
      <w:marLeft w:val="0"/>
      <w:marRight w:val="0"/>
      <w:marTop w:val="0"/>
      <w:marBottom w:val="0"/>
      <w:divBdr>
        <w:top w:val="none" w:sz="0" w:space="0" w:color="auto"/>
        <w:left w:val="none" w:sz="0" w:space="0" w:color="auto"/>
        <w:bottom w:val="none" w:sz="0" w:space="0" w:color="auto"/>
        <w:right w:val="none" w:sz="0" w:space="0" w:color="auto"/>
      </w:divBdr>
    </w:div>
    <w:div w:id="304743959">
      <w:bodyDiv w:val="1"/>
      <w:marLeft w:val="0"/>
      <w:marRight w:val="0"/>
      <w:marTop w:val="0"/>
      <w:marBottom w:val="0"/>
      <w:divBdr>
        <w:top w:val="none" w:sz="0" w:space="0" w:color="auto"/>
        <w:left w:val="none" w:sz="0" w:space="0" w:color="auto"/>
        <w:bottom w:val="none" w:sz="0" w:space="0" w:color="auto"/>
        <w:right w:val="none" w:sz="0" w:space="0" w:color="auto"/>
      </w:divBdr>
    </w:div>
    <w:div w:id="367800662">
      <w:bodyDiv w:val="1"/>
      <w:marLeft w:val="0"/>
      <w:marRight w:val="0"/>
      <w:marTop w:val="0"/>
      <w:marBottom w:val="0"/>
      <w:divBdr>
        <w:top w:val="none" w:sz="0" w:space="0" w:color="auto"/>
        <w:left w:val="none" w:sz="0" w:space="0" w:color="auto"/>
        <w:bottom w:val="none" w:sz="0" w:space="0" w:color="auto"/>
        <w:right w:val="none" w:sz="0" w:space="0" w:color="auto"/>
      </w:divBdr>
      <w:divsChild>
        <w:div w:id="1821068541">
          <w:marLeft w:val="0"/>
          <w:marRight w:val="0"/>
          <w:marTop w:val="0"/>
          <w:marBottom w:val="0"/>
          <w:divBdr>
            <w:top w:val="none" w:sz="0" w:space="0" w:color="auto"/>
            <w:left w:val="none" w:sz="0" w:space="0" w:color="auto"/>
            <w:bottom w:val="none" w:sz="0" w:space="0" w:color="auto"/>
            <w:right w:val="none" w:sz="0" w:space="0" w:color="auto"/>
          </w:divBdr>
        </w:div>
      </w:divsChild>
    </w:div>
    <w:div w:id="449474819">
      <w:bodyDiv w:val="1"/>
      <w:marLeft w:val="0"/>
      <w:marRight w:val="0"/>
      <w:marTop w:val="0"/>
      <w:marBottom w:val="0"/>
      <w:divBdr>
        <w:top w:val="none" w:sz="0" w:space="0" w:color="auto"/>
        <w:left w:val="none" w:sz="0" w:space="0" w:color="auto"/>
        <w:bottom w:val="none" w:sz="0" w:space="0" w:color="auto"/>
        <w:right w:val="none" w:sz="0" w:space="0" w:color="auto"/>
      </w:divBdr>
    </w:div>
    <w:div w:id="465005870">
      <w:bodyDiv w:val="1"/>
      <w:marLeft w:val="0"/>
      <w:marRight w:val="0"/>
      <w:marTop w:val="0"/>
      <w:marBottom w:val="0"/>
      <w:divBdr>
        <w:top w:val="none" w:sz="0" w:space="0" w:color="auto"/>
        <w:left w:val="none" w:sz="0" w:space="0" w:color="auto"/>
        <w:bottom w:val="none" w:sz="0" w:space="0" w:color="auto"/>
        <w:right w:val="none" w:sz="0" w:space="0" w:color="auto"/>
      </w:divBdr>
    </w:div>
    <w:div w:id="711998278">
      <w:bodyDiv w:val="1"/>
      <w:marLeft w:val="0"/>
      <w:marRight w:val="0"/>
      <w:marTop w:val="0"/>
      <w:marBottom w:val="0"/>
      <w:divBdr>
        <w:top w:val="none" w:sz="0" w:space="0" w:color="auto"/>
        <w:left w:val="none" w:sz="0" w:space="0" w:color="auto"/>
        <w:bottom w:val="none" w:sz="0" w:space="0" w:color="auto"/>
        <w:right w:val="none" w:sz="0" w:space="0" w:color="auto"/>
      </w:divBdr>
    </w:div>
    <w:div w:id="737363653">
      <w:bodyDiv w:val="1"/>
      <w:marLeft w:val="0"/>
      <w:marRight w:val="0"/>
      <w:marTop w:val="0"/>
      <w:marBottom w:val="0"/>
      <w:divBdr>
        <w:top w:val="none" w:sz="0" w:space="0" w:color="auto"/>
        <w:left w:val="none" w:sz="0" w:space="0" w:color="auto"/>
        <w:bottom w:val="none" w:sz="0" w:space="0" w:color="auto"/>
        <w:right w:val="none" w:sz="0" w:space="0" w:color="auto"/>
      </w:divBdr>
    </w:div>
    <w:div w:id="791484191">
      <w:bodyDiv w:val="1"/>
      <w:marLeft w:val="0"/>
      <w:marRight w:val="0"/>
      <w:marTop w:val="0"/>
      <w:marBottom w:val="0"/>
      <w:divBdr>
        <w:top w:val="none" w:sz="0" w:space="0" w:color="auto"/>
        <w:left w:val="none" w:sz="0" w:space="0" w:color="auto"/>
        <w:bottom w:val="none" w:sz="0" w:space="0" w:color="auto"/>
        <w:right w:val="none" w:sz="0" w:space="0" w:color="auto"/>
      </w:divBdr>
    </w:div>
    <w:div w:id="1037851151">
      <w:bodyDiv w:val="1"/>
      <w:marLeft w:val="0"/>
      <w:marRight w:val="0"/>
      <w:marTop w:val="0"/>
      <w:marBottom w:val="0"/>
      <w:divBdr>
        <w:top w:val="none" w:sz="0" w:space="0" w:color="auto"/>
        <w:left w:val="none" w:sz="0" w:space="0" w:color="auto"/>
        <w:bottom w:val="none" w:sz="0" w:space="0" w:color="auto"/>
        <w:right w:val="none" w:sz="0" w:space="0" w:color="auto"/>
      </w:divBdr>
    </w:div>
    <w:div w:id="1144199897">
      <w:bodyDiv w:val="1"/>
      <w:marLeft w:val="0"/>
      <w:marRight w:val="0"/>
      <w:marTop w:val="0"/>
      <w:marBottom w:val="0"/>
      <w:divBdr>
        <w:top w:val="none" w:sz="0" w:space="0" w:color="auto"/>
        <w:left w:val="none" w:sz="0" w:space="0" w:color="auto"/>
        <w:bottom w:val="none" w:sz="0" w:space="0" w:color="auto"/>
        <w:right w:val="none" w:sz="0" w:space="0" w:color="auto"/>
      </w:divBdr>
    </w:div>
    <w:div w:id="1161700468">
      <w:bodyDiv w:val="1"/>
      <w:marLeft w:val="0"/>
      <w:marRight w:val="0"/>
      <w:marTop w:val="0"/>
      <w:marBottom w:val="0"/>
      <w:divBdr>
        <w:top w:val="none" w:sz="0" w:space="0" w:color="auto"/>
        <w:left w:val="none" w:sz="0" w:space="0" w:color="auto"/>
        <w:bottom w:val="none" w:sz="0" w:space="0" w:color="auto"/>
        <w:right w:val="none" w:sz="0" w:space="0" w:color="auto"/>
      </w:divBdr>
    </w:div>
    <w:div w:id="1204949152">
      <w:bodyDiv w:val="1"/>
      <w:marLeft w:val="0"/>
      <w:marRight w:val="0"/>
      <w:marTop w:val="0"/>
      <w:marBottom w:val="0"/>
      <w:divBdr>
        <w:top w:val="none" w:sz="0" w:space="0" w:color="auto"/>
        <w:left w:val="none" w:sz="0" w:space="0" w:color="auto"/>
        <w:bottom w:val="none" w:sz="0" w:space="0" w:color="auto"/>
        <w:right w:val="none" w:sz="0" w:space="0" w:color="auto"/>
      </w:divBdr>
    </w:div>
    <w:div w:id="1314675679">
      <w:bodyDiv w:val="1"/>
      <w:marLeft w:val="0"/>
      <w:marRight w:val="0"/>
      <w:marTop w:val="0"/>
      <w:marBottom w:val="0"/>
      <w:divBdr>
        <w:top w:val="none" w:sz="0" w:space="0" w:color="auto"/>
        <w:left w:val="none" w:sz="0" w:space="0" w:color="auto"/>
        <w:bottom w:val="none" w:sz="0" w:space="0" w:color="auto"/>
        <w:right w:val="none" w:sz="0" w:space="0" w:color="auto"/>
      </w:divBdr>
    </w:div>
    <w:div w:id="1391540227">
      <w:bodyDiv w:val="1"/>
      <w:marLeft w:val="0"/>
      <w:marRight w:val="0"/>
      <w:marTop w:val="0"/>
      <w:marBottom w:val="0"/>
      <w:divBdr>
        <w:top w:val="none" w:sz="0" w:space="0" w:color="auto"/>
        <w:left w:val="none" w:sz="0" w:space="0" w:color="auto"/>
        <w:bottom w:val="none" w:sz="0" w:space="0" w:color="auto"/>
        <w:right w:val="none" w:sz="0" w:space="0" w:color="auto"/>
      </w:divBdr>
    </w:div>
    <w:div w:id="1419669041">
      <w:bodyDiv w:val="1"/>
      <w:marLeft w:val="0"/>
      <w:marRight w:val="0"/>
      <w:marTop w:val="0"/>
      <w:marBottom w:val="0"/>
      <w:divBdr>
        <w:top w:val="none" w:sz="0" w:space="0" w:color="auto"/>
        <w:left w:val="none" w:sz="0" w:space="0" w:color="auto"/>
        <w:bottom w:val="none" w:sz="0" w:space="0" w:color="auto"/>
        <w:right w:val="none" w:sz="0" w:space="0" w:color="auto"/>
      </w:divBdr>
    </w:div>
    <w:div w:id="1431388292">
      <w:bodyDiv w:val="1"/>
      <w:marLeft w:val="0"/>
      <w:marRight w:val="0"/>
      <w:marTop w:val="0"/>
      <w:marBottom w:val="0"/>
      <w:divBdr>
        <w:top w:val="none" w:sz="0" w:space="0" w:color="auto"/>
        <w:left w:val="none" w:sz="0" w:space="0" w:color="auto"/>
        <w:bottom w:val="none" w:sz="0" w:space="0" w:color="auto"/>
        <w:right w:val="none" w:sz="0" w:space="0" w:color="auto"/>
      </w:divBdr>
    </w:div>
    <w:div w:id="1559972851">
      <w:bodyDiv w:val="1"/>
      <w:marLeft w:val="0"/>
      <w:marRight w:val="0"/>
      <w:marTop w:val="0"/>
      <w:marBottom w:val="0"/>
      <w:divBdr>
        <w:top w:val="none" w:sz="0" w:space="0" w:color="auto"/>
        <w:left w:val="none" w:sz="0" w:space="0" w:color="auto"/>
        <w:bottom w:val="none" w:sz="0" w:space="0" w:color="auto"/>
        <w:right w:val="none" w:sz="0" w:space="0" w:color="auto"/>
      </w:divBdr>
    </w:div>
    <w:div w:id="1562445394">
      <w:bodyDiv w:val="1"/>
      <w:marLeft w:val="0"/>
      <w:marRight w:val="0"/>
      <w:marTop w:val="0"/>
      <w:marBottom w:val="0"/>
      <w:divBdr>
        <w:top w:val="none" w:sz="0" w:space="0" w:color="auto"/>
        <w:left w:val="none" w:sz="0" w:space="0" w:color="auto"/>
        <w:bottom w:val="none" w:sz="0" w:space="0" w:color="auto"/>
        <w:right w:val="none" w:sz="0" w:space="0" w:color="auto"/>
      </w:divBdr>
    </w:div>
    <w:div w:id="1592932940">
      <w:bodyDiv w:val="1"/>
      <w:marLeft w:val="0"/>
      <w:marRight w:val="0"/>
      <w:marTop w:val="0"/>
      <w:marBottom w:val="0"/>
      <w:divBdr>
        <w:top w:val="none" w:sz="0" w:space="0" w:color="auto"/>
        <w:left w:val="none" w:sz="0" w:space="0" w:color="auto"/>
        <w:bottom w:val="none" w:sz="0" w:space="0" w:color="auto"/>
        <w:right w:val="none" w:sz="0" w:space="0" w:color="auto"/>
      </w:divBdr>
    </w:div>
    <w:div w:id="1743521977">
      <w:bodyDiv w:val="1"/>
      <w:marLeft w:val="0"/>
      <w:marRight w:val="0"/>
      <w:marTop w:val="0"/>
      <w:marBottom w:val="0"/>
      <w:divBdr>
        <w:top w:val="none" w:sz="0" w:space="0" w:color="auto"/>
        <w:left w:val="none" w:sz="0" w:space="0" w:color="auto"/>
        <w:bottom w:val="none" w:sz="0" w:space="0" w:color="auto"/>
        <w:right w:val="none" w:sz="0" w:space="0" w:color="auto"/>
      </w:divBdr>
    </w:div>
    <w:div w:id="1746757657">
      <w:bodyDiv w:val="1"/>
      <w:marLeft w:val="0"/>
      <w:marRight w:val="0"/>
      <w:marTop w:val="0"/>
      <w:marBottom w:val="0"/>
      <w:divBdr>
        <w:top w:val="none" w:sz="0" w:space="0" w:color="auto"/>
        <w:left w:val="none" w:sz="0" w:space="0" w:color="auto"/>
        <w:bottom w:val="none" w:sz="0" w:space="0" w:color="auto"/>
        <w:right w:val="none" w:sz="0" w:space="0" w:color="auto"/>
      </w:divBdr>
    </w:div>
    <w:div w:id="1853837927">
      <w:bodyDiv w:val="1"/>
      <w:marLeft w:val="0"/>
      <w:marRight w:val="0"/>
      <w:marTop w:val="0"/>
      <w:marBottom w:val="0"/>
      <w:divBdr>
        <w:top w:val="none" w:sz="0" w:space="0" w:color="auto"/>
        <w:left w:val="none" w:sz="0" w:space="0" w:color="auto"/>
        <w:bottom w:val="none" w:sz="0" w:space="0" w:color="auto"/>
        <w:right w:val="none" w:sz="0" w:space="0" w:color="auto"/>
      </w:divBdr>
    </w:div>
    <w:div w:id="1952323932">
      <w:bodyDiv w:val="1"/>
      <w:marLeft w:val="0"/>
      <w:marRight w:val="0"/>
      <w:marTop w:val="0"/>
      <w:marBottom w:val="0"/>
      <w:divBdr>
        <w:top w:val="none" w:sz="0" w:space="0" w:color="auto"/>
        <w:left w:val="none" w:sz="0" w:space="0" w:color="auto"/>
        <w:bottom w:val="none" w:sz="0" w:space="0" w:color="auto"/>
        <w:right w:val="none" w:sz="0" w:space="0" w:color="auto"/>
      </w:divBdr>
    </w:div>
    <w:div w:id="1972250614">
      <w:bodyDiv w:val="1"/>
      <w:marLeft w:val="0"/>
      <w:marRight w:val="0"/>
      <w:marTop w:val="0"/>
      <w:marBottom w:val="0"/>
      <w:divBdr>
        <w:top w:val="none" w:sz="0" w:space="0" w:color="auto"/>
        <w:left w:val="none" w:sz="0" w:space="0" w:color="auto"/>
        <w:bottom w:val="none" w:sz="0" w:space="0" w:color="auto"/>
        <w:right w:val="none" w:sz="0" w:space="0" w:color="auto"/>
      </w:divBdr>
    </w:div>
    <w:div w:id="1980457941">
      <w:bodyDiv w:val="1"/>
      <w:marLeft w:val="0"/>
      <w:marRight w:val="0"/>
      <w:marTop w:val="0"/>
      <w:marBottom w:val="0"/>
      <w:divBdr>
        <w:top w:val="none" w:sz="0" w:space="0" w:color="auto"/>
        <w:left w:val="none" w:sz="0" w:space="0" w:color="auto"/>
        <w:bottom w:val="none" w:sz="0" w:space="0" w:color="auto"/>
        <w:right w:val="none" w:sz="0" w:space="0" w:color="auto"/>
      </w:divBdr>
    </w:div>
    <w:div w:id="2019692402">
      <w:bodyDiv w:val="1"/>
      <w:marLeft w:val="0"/>
      <w:marRight w:val="0"/>
      <w:marTop w:val="0"/>
      <w:marBottom w:val="0"/>
      <w:divBdr>
        <w:top w:val="none" w:sz="0" w:space="0" w:color="auto"/>
        <w:left w:val="none" w:sz="0" w:space="0" w:color="auto"/>
        <w:bottom w:val="none" w:sz="0" w:space="0" w:color="auto"/>
        <w:right w:val="none" w:sz="0" w:space="0" w:color="auto"/>
      </w:divBdr>
    </w:div>
    <w:div w:id="2062971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tadb.wto.org/" TargetMode="External"/><Relationship Id="rId13" Type="http://schemas.openxmlformats.org/officeDocument/2006/relationships/hyperlink" Target="https://sde.gob.hn/wp-content/uploads/2017/08/01-Acuerdo-1.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rtais.wto.org/" TargetMode="External"/><Relationship Id="rId12" Type="http://schemas.openxmlformats.org/officeDocument/2006/relationships/hyperlink" Target="https://www.mineco.gob.gt/node/538"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fotrade.minec.gob.sv/ue/" TargetMode="External"/><Relationship Id="rId5" Type="http://schemas.openxmlformats.org/officeDocument/2006/relationships/footnotes" Target="footnotes.xml"/><Relationship Id="rId15" Type="http://schemas.openxmlformats.org/officeDocument/2006/relationships/hyperlink" Target="https://mici.gob.pa/tratados-comerciales-vigentes/acuerdo-de-asociacion-entre-centroamerica-y-la-union-europea-ada" TargetMode="External"/><Relationship Id="rId10" Type="http://schemas.openxmlformats.org/officeDocument/2006/relationships/hyperlink" Target="https://www.comex.go.cr/tratados/aacu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ur-lex.europa.eu/legal-content/EN/ALL/?uri=CELEX:22012A1215(01)" TargetMode="External"/><Relationship Id="rId14" Type="http://schemas.openxmlformats.org/officeDocument/2006/relationships/hyperlink" Target="https://www.mific.gob.ni/Comercio-Exterior/Negociaciones-Comerciales/Acuerdos-Comerciales-Internacionales-Vigentes/Uni%C3%B3n-Europea?folderId=371&amp;view=gridview&amp;pageSize=2147483647"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448</Words>
  <Characters>2644</Characters>
  <Application>Microsoft Office Word</Application>
  <DocSecurity>0</DocSecurity>
  <Lines>80</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2019-09-18T08:35:00Z</cp:lastPrinted>
  <dcterms:created xsi:type="dcterms:W3CDTF">2021-04-28T14:55:00Z</dcterms:created>
  <dcterms:modified xsi:type="dcterms:W3CDTF">2021-04-30T08:34:00Z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G/RO/N/222</vt:lpwstr>
  </property>
  <property fmtid="{D5CDD505-2E9C-101B-9397-08002B2CF9AE}" pid="3" name="TitusGUID">
    <vt:lpwstr>616b7e9b-35c6-4850-a7de-9f16eb4fe8ac</vt:lpwstr>
  </property>
  <property fmtid="{D5CDD505-2E9C-101B-9397-08002B2CF9AE}" pid="4" name="WTOCLASSIFICATION">
    <vt:lpwstr>WTO OFFICIAL</vt:lpwstr>
  </property>
</Properties>
</file>