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25B62" w14:textId="77777777" w:rsidR="003B5795" w:rsidRPr="00AC76DB" w:rsidRDefault="003B5795" w:rsidP="00BF4F58">
      <w:pPr>
        <w:pStyle w:val="Title"/>
      </w:pPr>
      <w:bookmarkStart w:id="0" w:name="_GoBack"/>
      <w:bookmarkEnd w:id="0"/>
      <w:r w:rsidRPr="00AC76DB">
        <w:t>DRAFT</w:t>
      </w:r>
    </w:p>
    <w:p w14:paraId="65B87E4A" w14:textId="77777777" w:rsidR="009D71EB" w:rsidRPr="002A1E1F" w:rsidRDefault="009D71EB" w:rsidP="00BF4F58">
      <w:pPr>
        <w:pStyle w:val="Title2"/>
        <w:rPr>
          <w:b/>
        </w:rPr>
      </w:pPr>
      <w:r w:rsidRPr="002A1E1F">
        <w:rPr>
          <w:b/>
        </w:rPr>
        <w:t xml:space="preserve">REPORT </w:t>
      </w:r>
      <w:r w:rsidR="00BF4F58" w:rsidRPr="002A1E1F">
        <w:rPr>
          <w:b/>
        </w:rPr>
        <w:t>(201</w:t>
      </w:r>
      <w:r w:rsidR="00A938CF">
        <w:rPr>
          <w:b/>
        </w:rPr>
        <w:t>9</w:t>
      </w:r>
      <w:r w:rsidR="00BF4F58" w:rsidRPr="002A1E1F">
        <w:rPr>
          <w:b/>
        </w:rPr>
        <w:t xml:space="preserve">) </w:t>
      </w:r>
      <w:r w:rsidRPr="002A1E1F">
        <w:rPr>
          <w:b/>
        </w:rPr>
        <w:t>OF THE COMMITTEE ON RULES OF ORIGIN</w:t>
      </w:r>
      <w:r w:rsidR="001F25AF">
        <w:rPr>
          <w:b/>
        </w:rPr>
        <w:t xml:space="preserve"> </w:t>
      </w:r>
      <w:r w:rsidRPr="002A1E1F">
        <w:rPr>
          <w:b/>
        </w:rPr>
        <w:t xml:space="preserve">TO THE </w:t>
      </w:r>
      <w:r w:rsidR="00671309" w:rsidRPr="002A1E1F">
        <w:rPr>
          <w:b/>
        </w:rPr>
        <w:t xml:space="preserve">General COUNCIL </w:t>
      </w:r>
      <w:r w:rsidR="00BF4F58" w:rsidRPr="002A1E1F">
        <w:rPr>
          <w:b/>
        </w:rPr>
        <w:br/>
      </w:r>
      <w:r w:rsidR="00671309" w:rsidRPr="002A1E1F">
        <w:rPr>
          <w:b/>
        </w:rPr>
        <w:t xml:space="preserve">on Preferential Rules of Origin for </w:t>
      </w:r>
      <w:r w:rsidR="00AC76DB" w:rsidRPr="002A1E1F">
        <w:rPr>
          <w:b/>
        </w:rPr>
        <w:t>least developed countries</w:t>
      </w:r>
    </w:p>
    <w:p w14:paraId="71D1C5DB" w14:textId="77777777" w:rsidR="00084ED6" w:rsidRDefault="009D71EB" w:rsidP="00D576A7">
      <w:pPr>
        <w:pStyle w:val="BodyText"/>
        <w:numPr>
          <w:ilvl w:val="0"/>
          <w:numId w:val="16"/>
        </w:numPr>
        <w:tabs>
          <w:tab w:val="clear" w:pos="720"/>
        </w:tabs>
        <w:ind w:left="0" w:firstLine="0"/>
      </w:pPr>
      <w:r>
        <w:rPr>
          <w:rFonts w:hint="eastAsia"/>
        </w:rPr>
        <w:t xml:space="preserve">This report is being submitted </w:t>
      </w:r>
      <w:r w:rsidR="00671309">
        <w:t xml:space="preserve">by the Committee on Rules of Origin (CRO) </w:t>
      </w:r>
      <w:r>
        <w:rPr>
          <w:rFonts w:hint="eastAsia"/>
        </w:rPr>
        <w:t xml:space="preserve">to the </w:t>
      </w:r>
      <w:r w:rsidR="00671309">
        <w:t>General Council</w:t>
      </w:r>
      <w:r>
        <w:t xml:space="preserve"> </w:t>
      </w:r>
      <w:r w:rsidR="00370DF8">
        <w:rPr>
          <w:rFonts w:hint="eastAsia"/>
        </w:rPr>
        <w:t xml:space="preserve">in accordance with </w:t>
      </w:r>
      <w:r>
        <w:rPr>
          <w:rFonts w:hint="eastAsia"/>
        </w:rPr>
        <w:t>the</w:t>
      </w:r>
      <w:r w:rsidR="009F674F">
        <w:t xml:space="preserve"> requirements of </w:t>
      </w:r>
      <w:r w:rsidR="00C6545C">
        <w:t xml:space="preserve">Paragraph 1.10 of the </w:t>
      </w:r>
      <w:r w:rsidR="001B0076">
        <w:t>Ministerial Decision of 7 </w:t>
      </w:r>
      <w:r w:rsidR="00671309">
        <w:t>December 2013 (WT/L/917</w:t>
      </w:r>
      <w:r w:rsidR="005A3EDE">
        <w:t>, the "Bali Ministerial Decision"</w:t>
      </w:r>
      <w:r w:rsidR="00671309">
        <w:t xml:space="preserve">) </w:t>
      </w:r>
      <w:r w:rsidR="009F674F">
        <w:t xml:space="preserve">and of </w:t>
      </w:r>
      <w:r w:rsidR="00C6545C">
        <w:t xml:space="preserve">Paragraph 4.4 of the Ministerial Decision of </w:t>
      </w:r>
      <w:r w:rsidR="001B0076">
        <w:t>15 December </w:t>
      </w:r>
      <w:r w:rsidR="009F674F">
        <w:t>2015 (WT/L/917/Add.1</w:t>
      </w:r>
      <w:r w:rsidR="005A3EDE">
        <w:t>, the "Nairobi Ministerial Decision"</w:t>
      </w:r>
      <w:r w:rsidR="009F674F">
        <w:t xml:space="preserve">) </w:t>
      </w:r>
      <w:r w:rsidR="00671309">
        <w:t>on Preferen</w:t>
      </w:r>
      <w:r w:rsidR="00D32DBF">
        <w:t>tial Rules of Origin for Least Developed C</w:t>
      </w:r>
      <w:r w:rsidR="00671309">
        <w:t>ountries (LDCs).</w:t>
      </w:r>
      <w:r w:rsidR="001B0076">
        <w:t xml:space="preserve"> </w:t>
      </w:r>
      <w:r w:rsidR="00A938CF">
        <w:t>Under these</w:t>
      </w:r>
      <w:r w:rsidR="00417ECF">
        <w:t xml:space="preserve"> </w:t>
      </w:r>
      <w:r w:rsidR="002A1E1F">
        <w:t>provisions</w:t>
      </w:r>
      <w:r w:rsidR="00417ECF">
        <w:t>, t</w:t>
      </w:r>
      <w:r w:rsidR="00417ECF">
        <w:rPr>
          <w:lang w:eastAsia="ko-KR"/>
        </w:rPr>
        <w:t xml:space="preserve">he Committee on Rules of Origin (CRO) "shall annually review the developments in preferential rules of origin applicable to imports from LDCs" and report to the General Council.  </w:t>
      </w:r>
    </w:p>
    <w:p w14:paraId="17A04EC2" w14:textId="77777777" w:rsidR="00E717E5" w:rsidRDefault="00084ED6" w:rsidP="00D576A7">
      <w:pPr>
        <w:pStyle w:val="BodyText"/>
        <w:numPr>
          <w:ilvl w:val="0"/>
          <w:numId w:val="16"/>
        </w:numPr>
        <w:tabs>
          <w:tab w:val="clear" w:pos="720"/>
        </w:tabs>
        <w:ind w:left="0" w:firstLine="0"/>
      </w:pPr>
      <w:r>
        <w:rPr>
          <w:lang w:eastAsia="ko-KR"/>
        </w:rPr>
        <w:t>T</w:t>
      </w:r>
      <w:r w:rsidR="00E717E5">
        <w:rPr>
          <w:lang w:eastAsia="ko-KR"/>
        </w:rPr>
        <w:t xml:space="preserve">he CRO </w:t>
      </w:r>
      <w:r w:rsidR="00417ECF">
        <w:rPr>
          <w:lang w:eastAsia="ko-KR"/>
        </w:rPr>
        <w:t xml:space="preserve">discussed </w:t>
      </w:r>
      <w:r w:rsidR="00A938CF">
        <w:rPr>
          <w:lang w:eastAsia="ko-KR"/>
        </w:rPr>
        <w:t>several matters</w:t>
      </w:r>
      <w:r w:rsidR="002A1E1F">
        <w:rPr>
          <w:lang w:eastAsia="ko-KR"/>
        </w:rPr>
        <w:t xml:space="preserve"> related to </w:t>
      </w:r>
      <w:r w:rsidR="00417ECF">
        <w:rPr>
          <w:lang w:eastAsia="ko-KR"/>
        </w:rPr>
        <w:t>preferential rules of origin for L</w:t>
      </w:r>
      <w:r w:rsidR="00254EDD">
        <w:rPr>
          <w:lang w:eastAsia="ko-KR"/>
        </w:rPr>
        <w:t xml:space="preserve">DCs in </w:t>
      </w:r>
      <w:r w:rsidR="002A1E1F">
        <w:rPr>
          <w:lang w:eastAsia="ko-KR"/>
        </w:rPr>
        <w:t>its two meetings</w:t>
      </w:r>
      <w:r w:rsidR="00254EDD">
        <w:rPr>
          <w:lang w:eastAsia="ko-KR"/>
        </w:rPr>
        <w:t xml:space="preserve"> held in </w:t>
      </w:r>
      <w:r w:rsidR="002A1E1F">
        <w:rPr>
          <w:lang w:eastAsia="ko-KR"/>
        </w:rPr>
        <w:t>201</w:t>
      </w:r>
      <w:r w:rsidR="00A938CF">
        <w:rPr>
          <w:lang w:eastAsia="ko-KR"/>
        </w:rPr>
        <w:t>9 (</w:t>
      </w:r>
      <w:r w:rsidR="00A938CF" w:rsidRPr="00907D47">
        <w:rPr>
          <w:szCs w:val="18"/>
        </w:rPr>
        <w:t>on 15-16 May and on 17-18 October</w:t>
      </w:r>
      <w:r w:rsidR="00A938CF">
        <w:rPr>
          <w:szCs w:val="18"/>
        </w:rPr>
        <w:t>)</w:t>
      </w:r>
      <w:r w:rsidR="00A938CF" w:rsidRPr="00907D47">
        <w:rPr>
          <w:szCs w:val="18"/>
        </w:rPr>
        <w:t xml:space="preserve">. The minutes of these meetings are contained in documents G/RO/M/72 and [G/RO/M/73] respectively. </w:t>
      </w:r>
      <w:r w:rsidR="00A938CF">
        <w:rPr>
          <w:szCs w:val="18"/>
        </w:rPr>
        <w:t xml:space="preserve">As required by the 2013 and 2015 Ministerial Decisions, Members conducted a </w:t>
      </w:r>
      <w:r w:rsidR="00E717E5">
        <w:rPr>
          <w:lang w:eastAsia="ko-KR"/>
        </w:rPr>
        <w:t xml:space="preserve">review of </w:t>
      </w:r>
      <w:r w:rsidR="002A1E1F">
        <w:rPr>
          <w:lang w:eastAsia="ko-KR"/>
        </w:rPr>
        <w:t xml:space="preserve">recent </w:t>
      </w:r>
      <w:r w:rsidR="00E717E5">
        <w:rPr>
          <w:lang w:eastAsia="ko-KR"/>
        </w:rPr>
        <w:t xml:space="preserve">developments </w:t>
      </w:r>
      <w:r w:rsidR="00417ECF">
        <w:rPr>
          <w:lang w:eastAsia="ko-KR"/>
        </w:rPr>
        <w:t>at</w:t>
      </w:r>
      <w:r w:rsidR="00E717E5">
        <w:rPr>
          <w:lang w:eastAsia="ko-KR"/>
        </w:rPr>
        <w:t xml:space="preserve"> </w:t>
      </w:r>
      <w:r w:rsidR="00A938CF">
        <w:rPr>
          <w:lang w:eastAsia="ko-KR"/>
        </w:rPr>
        <w:t xml:space="preserve">the Committee's </w:t>
      </w:r>
      <w:r w:rsidR="00E717E5">
        <w:rPr>
          <w:lang w:eastAsia="ko-KR"/>
        </w:rPr>
        <w:t xml:space="preserve">formal meeting of </w:t>
      </w:r>
      <w:r w:rsidR="00A938CF">
        <w:rPr>
          <w:lang w:eastAsia="ko-KR"/>
        </w:rPr>
        <w:t xml:space="preserve">17 and 18 </w:t>
      </w:r>
      <w:r w:rsidR="00417ECF">
        <w:rPr>
          <w:lang w:eastAsia="ko-KR"/>
        </w:rPr>
        <w:t>October</w:t>
      </w:r>
      <w:r w:rsidR="00E717E5">
        <w:rPr>
          <w:lang w:eastAsia="ko-KR"/>
        </w:rPr>
        <w:t xml:space="preserve"> 201</w:t>
      </w:r>
      <w:r w:rsidR="00A938CF">
        <w:rPr>
          <w:lang w:eastAsia="ko-KR"/>
        </w:rPr>
        <w:t>9</w:t>
      </w:r>
      <w:r w:rsidR="00E717E5">
        <w:rPr>
          <w:lang w:eastAsia="ko-KR"/>
        </w:rPr>
        <w:t>.</w:t>
      </w:r>
      <w:r w:rsidR="003F1792">
        <w:rPr>
          <w:lang w:eastAsia="ko-KR"/>
        </w:rPr>
        <w:t xml:space="preserve"> The following are some of the recent developments Members took note</w:t>
      </w:r>
      <w:r w:rsidR="005C7455">
        <w:rPr>
          <w:lang w:eastAsia="ko-KR"/>
        </w:rPr>
        <w:t xml:space="preserve"> of</w:t>
      </w:r>
      <w:r w:rsidR="003F1792">
        <w:rPr>
          <w:lang w:eastAsia="ko-KR"/>
        </w:rPr>
        <w:t>:</w:t>
      </w:r>
    </w:p>
    <w:p w14:paraId="7BFA270A" w14:textId="77777777" w:rsidR="00A57B87" w:rsidRDefault="005C7455" w:rsidP="00D576A7">
      <w:pPr>
        <w:numPr>
          <w:ilvl w:val="0"/>
          <w:numId w:val="22"/>
        </w:numPr>
        <w:spacing w:after="240"/>
        <w:ind w:left="567" w:hanging="567"/>
        <w:rPr>
          <w:szCs w:val="18"/>
        </w:rPr>
      </w:pPr>
      <w:r>
        <w:rPr>
          <w:szCs w:val="18"/>
        </w:rPr>
        <w:t>On transparency, t</w:t>
      </w:r>
      <w:r w:rsidR="00B74483">
        <w:rPr>
          <w:szCs w:val="18"/>
        </w:rPr>
        <w:t xml:space="preserve">he Committee </w:t>
      </w:r>
      <w:r>
        <w:rPr>
          <w:szCs w:val="18"/>
        </w:rPr>
        <w:t>now has</w:t>
      </w:r>
      <w:r w:rsidR="00B74483">
        <w:rPr>
          <w:szCs w:val="18"/>
        </w:rPr>
        <w:t xml:space="preserve"> excellent coverage and detailed information about preferential rules of origin and origin requirements for LDCs. Practically all preference-granting Members have</w:t>
      </w:r>
      <w:r w:rsidR="00AE12DC">
        <w:rPr>
          <w:szCs w:val="18"/>
        </w:rPr>
        <w:t xml:space="preserve"> </w:t>
      </w:r>
      <w:r w:rsidR="00B74483">
        <w:rPr>
          <w:szCs w:val="18"/>
        </w:rPr>
        <w:t xml:space="preserve">submitted a notification to the Committee using the agreed notification template (G/RO/84). </w:t>
      </w:r>
      <w:r w:rsidR="00A57B87">
        <w:rPr>
          <w:szCs w:val="18"/>
        </w:rPr>
        <w:t xml:space="preserve">The Secretariat had been asked to reach out to those Members with notification gaps and report back to the Committee. As a result, the Secretariat reported </w:t>
      </w:r>
      <w:r>
        <w:rPr>
          <w:szCs w:val="18"/>
        </w:rPr>
        <w:t>as follows</w:t>
      </w:r>
      <w:r w:rsidR="00A57B87">
        <w:rPr>
          <w:szCs w:val="18"/>
        </w:rPr>
        <w:t>:</w:t>
      </w:r>
    </w:p>
    <w:p w14:paraId="46B89E2C" w14:textId="77777777" w:rsidR="00A6355E" w:rsidRDefault="00B74483" w:rsidP="00D576A7">
      <w:pPr>
        <w:numPr>
          <w:ilvl w:val="1"/>
          <w:numId w:val="22"/>
        </w:numPr>
        <w:ind w:left="993" w:hanging="420"/>
        <w:rPr>
          <w:szCs w:val="18"/>
        </w:rPr>
      </w:pPr>
      <w:r>
        <w:rPr>
          <w:szCs w:val="18"/>
        </w:rPr>
        <w:t>Since the last review in 2018, new notifications had been submitted by</w:t>
      </w:r>
      <w:r w:rsidR="00A6355E">
        <w:rPr>
          <w:szCs w:val="18"/>
        </w:rPr>
        <w:t xml:space="preserve"> the </w:t>
      </w:r>
      <w:r w:rsidR="00D576A7">
        <w:rPr>
          <w:szCs w:val="18"/>
        </w:rPr>
        <w:t>Kyrgyz Republic;</w:t>
      </w:r>
      <w:r w:rsidR="00A6355E">
        <w:rPr>
          <w:szCs w:val="18"/>
        </w:rPr>
        <w:t xml:space="preserve"> </w:t>
      </w:r>
      <w:r w:rsidR="00D576A7">
        <w:rPr>
          <w:szCs w:val="18"/>
        </w:rPr>
        <w:t>Montenegro;</w:t>
      </w:r>
      <w:r w:rsidR="00A6355E">
        <w:rPr>
          <w:szCs w:val="18"/>
        </w:rPr>
        <w:t xml:space="preserve"> </w:t>
      </w:r>
      <w:r w:rsidR="00D576A7">
        <w:rPr>
          <w:szCs w:val="18"/>
        </w:rPr>
        <w:t>Tajikistan;</w:t>
      </w:r>
      <w:r w:rsidR="00A6355E">
        <w:rPr>
          <w:szCs w:val="18"/>
        </w:rPr>
        <w:t xml:space="preserve"> and Turkey. </w:t>
      </w:r>
    </w:p>
    <w:p w14:paraId="3398DB6C" w14:textId="77777777" w:rsidR="00B74483" w:rsidRPr="00A6355E" w:rsidRDefault="00A6355E" w:rsidP="00D576A7">
      <w:pPr>
        <w:numPr>
          <w:ilvl w:val="1"/>
          <w:numId w:val="22"/>
        </w:numPr>
        <w:ind w:left="993" w:hanging="420"/>
        <w:rPr>
          <w:szCs w:val="18"/>
        </w:rPr>
      </w:pPr>
      <w:r w:rsidRPr="00A6355E">
        <w:rPr>
          <w:szCs w:val="18"/>
        </w:rPr>
        <w:t xml:space="preserve">As a result, </w:t>
      </w:r>
      <w:r>
        <w:rPr>
          <w:szCs w:val="18"/>
        </w:rPr>
        <w:t>a</w:t>
      </w:r>
      <w:r w:rsidR="00B74483" w:rsidRPr="00A6355E">
        <w:rPr>
          <w:szCs w:val="18"/>
        </w:rPr>
        <w:t xml:space="preserve">ll </w:t>
      </w:r>
      <w:r>
        <w:rPr>
          <w:szCs w:val="18"/>
        </w:rPr>
        <w:t xml:space="preserve">WTO Members who </w:t>
      </w:r>
      <w:r w:rsidR="005C7455">
        <w:rPr>
          <w:szCs w:val="18"/>
        </w:rPr>
        <w:t>grant</w:t>
      </w:r>
      <w:r>
        <w:rPr>
          <w:szCs w:val="18"/>
        </w:rPr>
        <w:t xml:space="preserve"> non-reciprocal trade preferences </w:t>
      </w:r>
      <w:r w:rsidR="005C7455">
        <w:rPr>
          <w:szCs w:val="18"/>
        </w:rPr>
        <w:t xml:space="preserve">to </w:t>
      </w:r>
      <w:r>
        <w:rPr>
          <w:szCs w:val="18"/>
        </w:rPr>
        <w:t>LDCs (a</w:t>
      </w:r>
      <w:r w:rsidR="00D2535A">
        <w:rPr>
          <w:szCs w:val="18"/>
        </w:rPr>
        <w:t> </w:t>
      </w:r>
      <w:r>
        <w:rPr>
          <w:szCs w:val="18"/>
        </w:rPr>
        <w:t xml:space="preserve">"preferential trade arrangement" or PTA) have </w:t>
      </w:r>
      <w:r w:rsidR="00B74483" w:rsidRPr="00A6355E">
        <w:rPr>
          <w:szCs w:val="18"/>
        </w:rPr>
        <w:t>now submitted detailed information concerning their preferential rules of origin to the Committee</w:t>
      </w:r>
      <w:r w:rsidR="005C7455">
        <w:rPr>
          <w:szCs w:val="18"/>
        </w:rPr>
        <w:t xml:space="preserve">. Information was missing only for the PTAs of </w:t>
      </w:r>
      <w:r w:rsidR="00B74483" w:rsidRPr="00A6355E">
        <w:rPr>
          <w:szCs w:val="18"/>
        </w:rPr>
        <w:t>Armenia and Iceland.</w:t>
      </w:r>
    </w:p>
    <w:p w14:paraId="0A26851F" w14:textId="77777777" w:rsidR="00A57B87" w:rsidRDefault="00A57B87" w:rsidP="00D576A7">
      <w:pPr>
        <w:numPr>
          <w:ilvl w:val="1"/>
          <w:numId w:val="22"/>
        </w:numPr>
        <w:ind w:left="993" w:hanging="420"/>
        <w:rPr>
          <w:szCs w:val="18"/>
        </w:rPr>
      </w:pPr>
      <w:r w:rsidRPr="00A6355E">
        <w:rPr>
          <w:szCs w:val="18"/>
        </w:rPr>
        <w:t>The delegation of Iceland informed the Secretariat that new legislation concerning non</w:t>
      </w:r>
      <w:r w:rsidR="00D2535A">
        <w:rPr>
          <w:szCs w:val="18"/>
        </w:rPr>
        <w:noBreakHyphen/>
      </w:r>
      <w:r w:rsidRPr="00A6355E">
        <w:rPr>
          <w:szCs w:val="18"/>
        </w:rPr>
        <w:t xml:space="preserve">reciprocal preferences for LDCs was currently being </w:t>
      </w:r>
      <w:r w:rsidR="005C7455">
        <w:rPr>
          <w:szCs w:val="18"/>
        </w:rPr>
        <w:t>prepared</w:t>
      </w:r>
      <w:r w:rsidRPr="00A6355E">
        <w:rPr>
          <w:szCs w:val="18"/>
        </w:rPr>
        <w:t xml:space="preserve">. </w:t>
      </w:r>
      <w:r w:rsidR="005C7455">
        <w:rPr>
          <w:szCs w:val="18"/>
        </w:rPr>
        <w:t xml:space="preserve">A notification describing the new requirements would be submitted as soon as </w:t>
      </w:r>
      <w:r w:rsidRPr="00A6355E">
        <w:rPr>
          <w:szCs w:val="18"/>
        </w:rPr>
        <w:t>the legislation would be finalized and adopted</w:t>
      </w:r>
      <w:r w:rsidR="005C7455">
        <w:rPr>
          <w:szCs w:val="18"/>
        </w:rPr>
        <w:t>.</w:t>
      </w:r>
    </w:p>
    <w:p w14:paraId="02CDA34C" w14:textId="77777777" w:rsidR="00A6355E" w:rsidRPr="00A6355E" w:rsidRDefault="00A6355E" w:rsidP="00D576A7">
      <w:pPr>
        <w:numPr>
          <w:ilvl w:val="1"/>
          <w:numId w:val="22"/>
        </w:numPr>
        <w:spacing w:after="240"/>
        <w:ind w:left="993" w:hanging="419"/>
        <w:rPr>
          <w:szCs w:val="18"/>
        </w:rPr>
      </w:pPr>
      <w:r>
        <w:rPr>
          <w:szCs w:val="18"/>
        </w:rPr>
        <w:t xml:space="preserve">Revised notifications </w:t>
      </w:r>
      <w:r w:rsidR="005C7455">
        <w:rPr>
          <w:szCs w:val="18"/>
        </w:rPr>
        <w:t>had been</w:t>
      </w:r>
      <w:r>
        <w:rPr>
          <w:szCs w:val="18"/>
        </w:rPr>
        <w:t xml:space="preserve"> submitted by Australia and the Russian Federation.</w:t>
      </w:r>
    </w:p>
    <w:p w14:paraId="25FE5475" w14:textId="77777777" w:rsidR="00A6355E" w:rsidRPr="00A6355E" w:rsidRDefault="00A6355E" w:rsidP="00D576A7">
      <w:pPr>
        <w:numPr>
          <w:ilvl w:val="0"/>
          <w:numId w:val="22"/>
        </w:numPr>
        <w:spacing w:after="240"/>
        <w:ind w:left="567" w:hanging="567"/>
        <w:rPr>
          <w:szCs w:val="18"/>
        </w:rPr>
      </w:pPr>
      <w:r w:rsidRPr="00A6355E">
        <w:rPr>
          <w:szCs w:val="18"/>
        </w:rPr>
        <w:t xml:space="preserve">Progress with respect to preferential tariff and import data had been slower and notification gaps remained for several preference-granting Members. </w:t>
      </w:r>
      <w:r w:rsidR="005C7455">
        <w:rPr>
          <w:szCs w:val="18"/>
        </w:rPr>
        <w:t>No s</w:t>
      </w:r>
      <w:r w:rsidRPr="00A6355E">
        <w:rPr>
          <w:szCs w:val="18"/>
        </w:rPr>
        <w:t xml:space="preserve">tatistics </w:t>
      </w:r>
      <w:r w:rsidR="005C7455">
        <w:rPr>
          <w:szCs w:val="18"/>
        </w:rPr>
        <w:t xml:space="preserve">or only partial statistics were available for the PTAs of </w:t>
      </w:r>
      <w:r w:rsidRPr="00A6355E">
        <w:rPr>
          <w:szCs w:val="18"/>
        </w:rPr>
        <w:t xml:space="preserve">Armenia; </w:t>
      </w:r>
      <w:r w:rsidR="005C7455">
        <w:rPr>
          <w:szCs w:val="18"/>
        </w:rPr>
        <w:t xml:space="preserve">China; </w:t>
      </w:r>
      <w:r w:rsidRPr="00A6355E">
        <w:rPr>
          <w:szCs w:val="18"/>
        </w:rPr>
        <w:t>Iceland; India; Kazakhstan; Kyrgyz Republic; Montenegro; New Zealand; Russian Federation; and Turkey. The Secretariat had reached out t</w:t>
      </w:r>
      <w:r w:rsidR="003A6A66">
        <w:rPr>
          <w:szCs w:val="18"/>
        </w:rPr>
        <w:t>o these delegations and was working closely with some to bridge those statistical gaps. Document G/RO/W/</w:t>
      </w:r>
      <w:r w:rsidR="00D576A7">
        <w:rPr>
          <w:szCs w:val="18"/>
        </w:rPr>
        <w:t>163/</w:t>
      </w:r>
      <w:r w:rsidR="003A6A66">
        <w:rPr>
          <w:szCs w:val="18"/>
        </w:rPr>
        <w:t>Rev.6 contain</w:t>
      </w:r>
      <w:r w:rsidR="005C7455">
        <w:rPr>
          <w:szCs w:val="18"/>
        </w:rPr>
        <w:t>s</w:t>
      </w:r>
      <w:r w:rsidR="003A6A66">
        <w:rPr>
          <w:szCs w:val="18"/>
        </w:rPr>
        <w:t xml:space="preserve"> </w:t>
      </w:r>
      <w:r w:rsidR="00315991">
        <w:rPr>
          <w:szCs w:val="18"/>
        </w:rPr>
        <w:t xml:space="preserve">a </w:t>
      </w:r>
      <w:r w:rsidR="003A6A66">
        <w:rPr>
          <w:szCs w:val="18"/>
        </w:rPr>
        <w:t xml:space="preserve">detailed </w:t>
      </w:r>
      <w:r w:rsidR="00315991">
        <w:rPr>
          <w:szCs w:val="18"/>
        </w:rPr>
        <w:t xml:space="preserve">report </w:t>
      </w:r>
      <w:r w:rsidR="003A6A66">
        <w:rPr>
          <w:szCs w:val="18"/>
        </w:rPr>
        <w:t xml:space="preserve">about the latest </w:t>
      </w:r>
      <w:r w:rsidR="00315991">
        <w:rPr>
          <w:szCs w:val="18"/>
        </w:rPr>
        <w:t>status of information</w:t>
      </w:r>
      <w:r w:rsidR="003A6A66">
        <w:rPr>
          <w:szCs w:val="18"/>
        </w:rPr>
        <w:t xml:space="preserve"> available with the Secretariat.</w:t>
      </w:r>
    </w:p>
    <w:p w14:paraId="28FAC8AD" w14:textId="77777777" w:rsidR="001D2AE2" w:rsidRDefault="003A6A66" w:rsidP="00D576A7">
      <w:pPr>
        <w:pStyle w:val="BodyText"/>
        <w:numPr>
          <w:ilvl w:val="0"/>
          <w:numId w:val="22"/>
        </w:numPr>
        <w:ind w:left="567" w:hanging="567"/>
      </w:pPr>
      <w:r>
        <w:t xml:space="preserve">To facilitate access to origin-related requirements, the Secretariat informed Members about a collaboration </w:t>
      </w:r>
      <w:r w:rsidR="00E647FF">
        <w:t xml:space="preserve">with the International Trade Centre (ITC) </w:t>
      </w:r>
      <w:r>
        <w:t xml:space="preserve">and the World Customs Organization (WCO) for the development of the online </w:t>
      </w:r>
      <w:r w:rsidR="00E647FF">
        <w:t>"Origin Facilitator"</w:t>
      </w:r>
      <w:r>
        <w:t xml:space="preserve"> </w:t>
      </w:r>
      <w:r w:rsidR="00E647FF">
        <w:t>(</w:t>
      </w:r>
      <w:hyperlink r:id="rId8" w:history="1">
        <w:r w:rsidR="00E647FF" w:rsidRPr="00C8645E">
          <w:rPr>
            <w:rStyle w:val="Hyperlink"/>
          </w:rPr>
          <w:t>https://findrulesoforigin.org</w:t>
        </w:r>
      </w:hyperlink>
      <w:r w:rsidR="00E647FF">
        <w:t>)</w:t>
      </w:r>
      <w:r>
        <w:t xml:space="preserve">. </w:t>
      </w:r>
      <w:r w:rsidRPr="003A6A66">
        <w:t xml:space="preserve">The tool allows users to consult and compare origin requirements, at the tariff-line level (origin </w:t>
      </w:r>
      <w:r w:rsidRPr="003A6A66">
        <w:lastRenderedPageBreak/>
        <w:t>criteria, origin certification</w:t>
      </w:r>
      <w:r>
        <w:t xml:space="preserve"> and other related elements</w:t>
      </w:r>
      <w:r w:rsidRPr="003A6A66">
        <w:t xml:space="preserve">). Because </w:t>
      </w:r>
      <w:r w:rsidR="00315991">
        <w:t xml:space="preserve">preferential rules of origin entail compliance with dozens of </w:t>
      </w:r>
      <w:r>
        <w:t>variables</w:t>
      </w:r>
      <w:r w:rsidRPr="003A6A66">
        <w:t xml:space="preserve">, finding a user-friendly way of </w:t>
      </w:r>
      <w:r w:rsidR="00315991">
        <w:t xml:space="preserve">navigating these requirements </w:t>
      </w:r>
      <w:r w:rsidRPr="003A6A66">
        <w:t xml:space="preserve">is a key aspect of </w:t>
      </w:r>
      <w:r w:rsidR="00315991">
        <w:t>facilitating trade</w:t>
      </w:r>
      <w:r w:rsidRPr="003A6A66">
        <w:t xml:space="preserve">. </w:t>
      </w:r>
      <w:r>
        <w:t xml:space="preserve">The Facilitator </w:t>
      </w:r>
      <w:r w:rsidR="00315991">
        <w:t>was</w:t>
      </w:r>
      <w:r>
        <w:t xml:space="preserve"> publicly </w:t>
      </w:r>
      <w:r w:rsidR="00315991">
        <w:t xml:space="preserve">available at </w:t>
      </w:r>
      <w:r>
        <w:t xml:space="preserve">no cost. </w:t>
      </w:r>
      <w:r w:rsidR="00133520">
        <w:t xml:space="preserve">It offered a </w:t>
      </w:r>
      <w:r w:rsidRPr="003A6A66">
        <w:t xml:space="preserve">useful tool for government officials in order to </w:t>
      </w:r>
      <w:r w:rsidR="00315991">
        <w:t xml:space="preserve">identify </w:t>
      </w:r>
      <w:r w:rsidRPr="003A6A66">
        <w:t xml:space="preserve">and compare market access opportunities. </w:t>
      </w:r>
      <w:r w:rsidR="00133520">
        <w:t>I</w:t>
      </w:r>
      <w:r w:rsidR="00AE12DC">
        <w:t>n</w:t>
      </w:r>
      <w:r w:rsidR="00315991">
        <w:t xml:space="preserve"> that sense, it is </w:t>
      </w:r>
      <w:r w:rsidR="00133520">
        <w:t>a</w:t>
      </w:r>
      <w:r w:rsidR="00315991">
        <w:t>n</w:t>
      </w:r>
      <w:r w:rsidR="00133520">
        <w:t xml:space="preserve"> </w:t>
      </w:r>
      <w:r w:rsidR="00315991">
        <w:t xml:space="preserve">initiative aimed at </w:t>
      </w:r>
      <w:r w:rsidRPr="003A6A66">
        <w:t>facilitat</w:t>
      </w:r>
      <w:r w:rsidR="00315991">
        <w:t>ing</w:t>
      </w:r>
      <w:r w:rsidRPr="003A6A66">
        <w:t xml:space="preserve"> exports </w:t>
      </w:r>
      <w:r w:rsidR="00133520">
        <w:t xml:space="preserve">from </w:t>
      </w:r>
      <w:r w:rsidR="00133520" w:rsidRPr="003A6A66">
        <w:t>LDCs</w:t>
      </w:r>
      <w:r w:rsidR="00F12DC7">
        <w:t>.</w:t>
      </w:r>
    </w:p>
    <w:p w14:paraId="37F159DC" w14:textId="77777777" w:rsidR="001D2AE2" w:rsidRDefault="001D2AE2" w:rsidP="00D576A7">
      <w:pPr>
        <w:pStyle w:val="BodyText"/>
        <w:numPr>
          <w:ilvl w:val="0"/>
          <w:numId w:val="22"/>
        </w:numPr>
        <w:ind w:left="567" w:hanging="567"/>
      </w:pPr>
      <w:r>
        <w:t xml:space="preserve">Members also </w:t>
      </w:r>
      <w:r w:rsidR="00133520">
        <w:t>hea</w:t>
      </w:r>
      <w:r w:rsidR="00315991">
        <w:t>r</w:t>
      </w:r>
      <w:r w:rsidR="00133520">
        <w:t>d updates from some preference-granting Members</w:t>
      </w:r>
      <w:r w:rsidR="00315991">
        <w:t xml:space="preserve"> about ongoing efforts to examine current origin practices </w:t>
      </w:r>
      <w:proofErr w:type="gramStart"/>
      <w:r w:rsidR="00315991">
        <w:t>in light of</w:t>
      </w:r>
      <w:proofErr w:type="gramEnd"/>
      <w:r w:rsidR="00315991">
        <w:t xml:space="preserve"> the Ministerial Decisions. </w:t>
      </w:r>
      <w:proofErr w:type="gramStart"/>
      <w:r w:rsidR="00315991">
        <w:t>I</w:t>
      </w:r>
      <w:r w:rsidR="00133520">
        <w:t>n particular</w:t>
      </w:r>
      <w:r w:rsidR="00315991">
        <w:t>,</w:t>
      </w:r>
      <w:r w:rsidR="00133520">
        <w:t xml:space="preserve"> </w:t>
      </w:r>
      <w:r w:rsidR="00315991">
        <w:t>Members</w:t>
      </w:r>
      <w:proofErr w:type="gramEnd"/>
      <w:r w:rsidR="00315991">
        <w:t xml:space="preserve"> hear</w:t>
      </w:r>
      <w:r w:rsidR="00AE12DC">
        <w:t>d</w:t>
      </w:r>
      <w:r w:rsidR="00315991">
        <w:t xml:space="preserve"> an </w:t>
      </w:r>
      <w:r w:rsidR="00133520">
        <w:t xml:space="preserve">update about the </w:t>
      </w:r>
      <w:r>
        <w:t xml:space="preserve">implementation of the self-certification system for registered exporters </w:t>
      </w:r>
      <w:r w:rsidR="00133520">
        <w:t>(</w:t>
      </w:r>
      <w:r w:rsidR="00133520" w:rsidRPr="001D2AE2">
        <w:t>Registered Exporter system</w:t>
      </w:r>
      <w:r w:rsidR="00133520">
        <w:t xml:space="preserve">, REX) </w:t>
      </w:r>
      <w:r>
        <w:t xml:space="preserve">being implemented by the </w:t>
      </w:r>
      <w:r w:rsidR="00D576A7">
        <w:t>European Union;</w:t>
      </w:r>
      <w:r w:rsidR="00133520">
        <w:t xml:space="preserve"> </w:t>
      </w:r>
      <w:r w:rsidR="00D576A7">
        <w:t>Norway;</w:t>
      </w:r>
      <w:r w:rsidR="00133520">
        <w:t xml:space="preserve"> and </w:t>
      </w:r>
      <w:r w:rsidR="00F12DC7">
        <w:t>Switzerland.</w:t>
      </w:r>
    </w:p>
    <w:p w14:paraId="41110B90" w14:textId="77777777" w:rsidR="00E45FDF" w:rsidRDefault="00865131" w:rsidP="00D576A7">
      <w:pPr>
        <w:pStyle w:val="BodyText"/>
        <w:numPr>
          <w:ilvl w:val="0"/>
          <w:numId w:val="22"/>
        </w:numPr>
        <w:ind w:left="567" w:hanging="567"/>
      </w:pPr>
      <w:r>
        <w:t xml:space="preserve">In addition to </w:t>
      </w:r>
      <w:r w:rsidR="00E45FDF">
        <w:t>transparency, Members have also discussed substantive aspects of preference</w:t>
      </w:r>
      <w:r w:rsidR="00D576A7">
        <w:noBreakHyphen/>
      </w:r>
      <w:r w:rsidR="00E45FDF">
        <w:t>granting Members' practices related to origin. The Committee continued its detailed examination of rules of origin based on the change-of-tariff-classification criterion (</w:t>
      </w:r>
      <w:r w:rsidR="00E45FDF" w:rsidRPr="00E45FDF">
        <w:t>Paragraph</w:t>
      </w:r>
      <w:r w:rsidR="00E45FDF">
        <w:t>s</w:t>
      </w:r>
      <w:r w:rsidR="00E45FDF" w:rsidRPr="00E45FDF">
        <w:t xml:space="preserve"> 1.2 and 1.4 of Nairobi Decision</w:t>
      </w:r>
      <w:r w:rsidR="00E45FDF">
        <w:t>). In that context, bilateral meetings between the LDC Group and some preference-granting Members were also held in 2019.</w:t>
      </w:r>
    </w:p>
    <w:p w14:paraId="45F56775" w14:textId="77777777" w:rsidR="007241B5" w:rsidRPr="00546A6D" w:rsidRDefault="00E45FDF" w:rsidP="00D576A7">
      <w:pPr>
        <w:pStyle w:val="BodyText"/>
        <w:numPr>
          <w:ilvl w:val="0"/>
          <w:numId w:val="22"/>
        </w:numPr>
        <w:ind w:left="567" w:hanging="567"/>
      </w:pPr>
      <w:r>
        <w:t xml:space="preserve">Finally, Members have also continued their examination </w:t>
      </w:r>
      <w:r w:rsidR="005C7455">
        <w:t>of the</w:t>
      </w:r>
      <w:r>
        <w:t xml:space="preserve"> utilization </w:t>
      </w:r>
      <w:r w:rsidR="005C7455">
        <w:t xml:space="preserve">of non-reciprocal preferences by LDCs. The </w:t>
      </w:r>
      <w:r w:rsidR="00133520">
        <w:t>Secretariat</w:t>
      </w:r>
      <w:r w:rsidR="005C7455">
        <w:t xml:space="preserve"> ha</w:t>
      </w:r>
      <w:r w:rsidR="00AE12DC">
        <w:t>d</w:t>
      </w:r>
      <w:r w:rsidR="005C7455">
        <w:t xml:space="preserve"> prepared two notes examining the utilization of preferences for agricultural products (G/RO/W/185) and the linkages between preference utilization and direct consignment requirements (G/RO/W/187). In addition, the LDC Group ha</w:t>
      </w:r>
      <w:r w:rsidR="00AE12DC">
        <w:t xml:space="preserve">d </w:t>
      </w:r>
      <w:r w:rsidR="005C7455">
        <w:t xml:space="preserve">conducted </w:t>
      </w:r>
      <w:r w:rsidR="00AE12DC">
        <w:t xml:space="preserve">a </w:t>
      </w:r>
      <w:r w:rsidR="005C7455">
        <w:t>detailed analys</w:t>
      </w:r>
      <w:r w:rsidR="00AE12DC">
        <w:t>i</w:t>
      </w:r>
      <w:r w:rsidR="005C7455">
        <w:t xml:space="preserve">s of preference utilization rates for the PTAs of Switzerland </w:t>
      </w:r>
      <w:r w:rsidR="005C7455" w:rsidRPr="00546A6D">
        <w:t>and of China.</w:t>
      </w:r>
    </w:p>
    <w:p w14:paraId="728ECCAA" w14:textId="77777777" w:rsidR="00D576A7" w:rsidRDefault="00546A6D" w:rsidP="00D576A7">
      <w:pPr>
        <w:pStyle w:val="BodyText"/>
      </w:pPr>
      <w:r w:rsidRPr="00546A6D">
        <w:t>3</w:t>
      </w:r>
      <w:r w:rsidR="00EE042F" w:rsidRPr="00546A6D">
        <w:t>.</w:t>
      </w:r>
      <w:r w:rsidR="00EE042F" w:rsidRPr="00546A6D">
        <w:tab/>
        <w:t>In concluding the annual review, t</w:t>
      </w:r>
      <w:r w:rsidR="002A1E1F" w:rsidRPr="00546A6D">
        <w:t xml:space="preserve">he </w:t>
      </w:r>
      <w:r w:rsidR="00EE042F" w:rsidRPr="00546A6D">
        <w:t xml:space="preserve">Chairperson </w:t>
      </w:r>
      <w:r w:rsidR="002A1E1F" w:rsidRPr="00546A6D">
        <w:t xml:space="preserve">thanked Members for their constructive engagement and proposed that the Committee continue its technical and focused discussion </w:t>
      </w:r>
      <w:r w:rsidR="00EE042F" w:rsidRPr="00546A6D">
        <w:t xml:space="preserve">about </w:t>
      </w:r>
      <w:r w:rsidR="002A1E1F" w:rsidRPr="00546A6D">
        <w:t xml:space="preserve">the implementation </w:t>
      </w:r>
      <w:r w:rsidR="00EE042F" w:rsidRPr="00546A6D">
        <w:t xml:space="preserve">of the Ministerial Decisions </w:t>
      </w:r>
      <w:r w:rsidR="002A1E1F" w:rsidRPr="00546A6D">
        <w:t xml:space="preserve">in order to </w:t>
      </w:r>
      <w:r w:rsidR="00AE12DC">
        <w:t>pursue</w:t>
      </w:r>
      <w:r w:rsidR="002A1E1F" w:rsidRPr="00546A6D">
        <w:t xml:space="preserve"> monitoring </w:t>
      </w:r>
      <w:r w:rsidR="00AE12DC">
        <w:t xml:space="preserve">the </w:t>
      </w:r>
      <w:r w:rsidR="002A1E1F" w:rsidRPr="00546A6D">
        <w:t>progress made in facilitat</w:t>
      </w:r>
      <w:r w:rsidR="00AE12DC">
        <w:t>ing trade</w:t>
      </w:r>
      <w:r w:rsidR="002A1E1F" w:rsidRPr="00546A6D">
        <w:t xml:space="preserve"> for LDCs</w:t>
      </w:r>
      <w:r w:rsidR="00EE042F" w:rsidRPr="00546A6D">
        <w:t>.</w:t>
      </w:r>
      <w:r w:rsidR="00414172">
        <w:rPr>
          <w:lang w:eastAsia="ko-KR"/>
        </w:rPr>
        <w:t xml:space="preserve"> </w:t>
      </w:r>
    </w:p>
    <w:p w14:paraId="6B4E9BCD" w14:textId="77777777" w:rsidR="00D576A7" w:rsidRPr="00D576A7" w:rsidRDefault="00D576A7" w:rsidP="00D576A7">
      <w:pPr>
        <w:jc w:val="center"/>
      </w:pPr>
      <w:r>
        <w:rPr>
          <w:b/>
        </w:rPr>
        <w:t>__________</w:t>
      </w:r>
    </w:p>
    <w:sectPr w:rsidR="00D576A7" w:rsidRPr="00D576A7" w:rsidSect="00D576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6FC05" w14:textId="77777777" w:rsidR="00E87BE6" w:rsidRDefault="00E87BE6" w:rsidP="00ED54E0">
      <w:r>
        <w:separator/>
      </w:r>
    </w:p>
  </w:endnote>
  <w:endnote w:type="continuationSeparator" w:id="0">
    <w:p w14:paraId="6AEB17A5" w14:textId="77777777" w:rsidR="00E87BE6" w:rsidRDefault="00E87BE6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3EF20" w14:textId="77777777" w:rsidR="00544326" w:rsidRPr="00D576A7" w:rsidRDefault="00D576A7" w:rsidP="00D576A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679EF" w14:textId="77777777" w:rsidR="00544326" w:rsidRPr="00D576A7" w:rsidRDefault="00D576A7" w:rsidP="00D576A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C0607" w14:textId="77777777" w:rsidR="00E87BE6" w:rsidRDefault="00E87BE6" w:rsidP="00ED54E0">
      <w:r>
        <w:separator/>
      </w:r>
    </w:p>
  </w:footnote>
  <w:footnote w:type="continuationSeparator" w:id="0">
    <w:p w14:paraId="652A12FB" w14:textId="77777777" w:rsidR="00E87BE6" w:rsidRDefault="00E87BE6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E7DAC" w14:textId="77777777" w:rsidR="00D576A7" w:rsidRPr="00D576A7" w:rsidRDefault="00D576A7" w:rsidP="00D576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576A7">
      <w:t>G/RO/W/188</w:t>
    </w:r>
  </w:p>
  <w:p w14:paraId="0A27FF5D" w14:textId="77777777" w:rsidR="00D576A7" w:rsidRPr="00D576A7" w:rsidRDefault="00D576A7" w:rsidP="00D576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B7C3806" w14:textId="77777777" w:rsidR="00D576A7" w:rsidRPr="00D576A7" w:rsidRDefault="00D576A7" w:rsidP="00D576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576A7">
      <w:t xml:space="preserve">- </w:t>
    </w:r>
    <w:r w:rsidRPr="00D576A7">
      <w:fldChar w:fldCharType="begin"/>
    </w:r>
    <w:r w:rsidRPr="00D576A7">
      <w:instrText xml:space="preserve"> PAGE </w:instrText>
    </w:r>
    <w:r w:rsidRPr="00D576A7">
      <w:fldChar w:fldCharType="separate"/>
    </w:r>
    <w:r w:rsidRPr="00D576A7">
      <w:rPr>
        <w:noProof/>
      </w:rPr>
      <w:t>2</w:t>
    </w:r>
    <w:r w:rsidRPr="00D576A7">
      <w:fldChar w:fldCharType="end"/>
    </w:r>
    <w:r w:rsidRPr="00D576A7">
      <w:t xml:space="preserve"> -</w:t>
    </w:r>
  </w:p>
  <w:p w14:paraId="277E2296" w14:textId="77777777" w:rsidR="00544326" w:rsidRPr="00D576A7" w:rsidRDefault="00544326" w:rsidP="00D576A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46C62" w14:textId="77777777" w:rsidR="00D576A7" w:rsidRPr="00D576A7" w:rsidRDefault="00D576A7" w:rsidP="00D576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576A7">
      <w:t>G/RO/W/188</w:t>
    </w:r>
  </w:p>
  <w:p w14:paraId="778EC849" w14:textId="77777777" w:rsidR="00D576A7" w:rsidRPr="00D576A7" w:rsidRDefault="00D576A7" w:rsidP="00D576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BA68CCF" w14:textId="77777777" w:rsidR="00D576A7" w:rsidRPr="00D576A7" w:rsidRDefault="00D576A7" w:rsidP="00D576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576A7">
      <w:t xml:space="preserve">- </w:t>
    </w:r>
    <w:r w:rsidRPr="00D576A7">
      <w:fldChar w:fldCharType="begin"/>
    </w:r>
    <w:r w:rsidRPr="00D576A7">
      <w:instrText xml:space="preserve"> PAGE </w:instrText>
    </w:r>
    <w:r w:rsidRPr="00D576A7">
      <w:fldChar w:fldCharType="separate"/>
    </w:r>
    <w:r w:rsidRPr="00D576A7">
      <w:rPr>
        <w:noProof/>
      </w:rPr>
      <w:t>2</w:t>
    </w:r>
    <w:r w:rsidRPr="00D576A7">
      <w:fldChar w:fldCharType="end"/>
    </w:r>
    <w:r w:rsidRPr="00D576A7">
      <w:t xml:space="preserve"> -</w:t>
    </w:r>
  </w:p>
  <w:p w14:paraId="7F74B770" w14:textId="77777777" w:rsidR="00544326" w:rsidRPr="00D576A7" w:rsidRDefault="00544326" w:rsidP="00D576A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9D71EB" w14:paraId="357D3FBA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C1138D" w14:textId="77777777" w:rsidR="00ED54E0" w:rsidRPr="009D71EB" w:rsidRDefault="00ED54E0" w:rsidP="00EF5662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17B4BA" w14:textId="77777777" w:rsidR="00ED54E0" w:rsidRPr="009D71EB" w:rsidRDefault="00D576A7" w:rsidP="00EF5662">
          <w:pPr>
            <w:jc w:val="right"/>
            <w:rPr>
              <w:b/>
              <w:color w:val="FF0000"/>
              <w:szCs w:val="16"/>
            </w:rPr>
          </w:pPr>
          <w:bookmarkStart w:id="1" w:name="bmkRestricted"/>
          <w:r>
            <w:rPr>
              <w:b/>
              <w:color w:val="FF0000"/>
              <w:szCs w:val="16"/>
            </w:rPr>
            <w:t>RESTRICTED</w:t>
          </w:r>
          <w:bookmarkEnd w:id="1"/>
        </w:p>
      </w:tc>
    </w:tr>
    <w:tr w:rsidR="00ED54E0" w:rsidRPr="009D71EB" w14:paraId="1EF1BD69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1029BAA" w14:textId="77777777" w:rsidR="00ED54E0" w:rsidRPr="009D71EB" w:rsidRDefault="00EB5A9F" w:rsidP="00EF5662">
          <w:pPr>
            <w:jc w:val="left"/>
          </w:pPr>
          <w:r w:rsidRPr="00722C92">
            <w:rPr>
              <w:noProof/>
              <w:lang w:eastAsia="en-GB"/>
            </w:rPr>
            <w:drawing>
              <wp:inline distT="0" distB="0" distL="0" distR="0" wp14:anchorId="15A3122C" wp14:editId="2BFCDC94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C1A7B1B" w14:textId="77777777" w:rsidR="00ED54E0" w:rsidRPr="009D71EB" w:rsidRDefault="00ED54E0" w:rsidP="00EF5662">
          <w:pPr>
            <w:jc w:val="right"/>
            <w:rPr>
              <w:b/>
              <w:szCs w:val="16"/>
            </w:rPr>
          </w:pPr>
        </w:p>
      </w:tc>
    </w:tr>
    <w:tr w:rsidR="00ED54E0" w:rsidRPr="009D71EB" w14:paraId="27336D3C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AFC2FB3" w14:textId="77777777" w:rsidR="00ED54E0" w:rsidRPr="009D71EB" w:rsidRDefault="00ED54E0" w:rsidP="00EF566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7BEB599" w14:textId="77777777" w:rsidR="00D576A7" w:rsidRDefault="00D576A7" w:rsidP="00EF5662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G/RO/W/188</w:t>
          </w:r>
        </w:p>
        <w:bookmarkEnd w:id="2"/>
        <w:p w14:paraId="6A49AB09" w14:textId="77777777" w:rsidR="00ED54E0" w:rsidRPr="009D71EB" w:rsidRDefault="00ED54E0" w:rsidP="00EF5662">
          <w:pPr>
            <w:jc w:val="right"/>
            <w:rPr>
              <w:b/>
              <w:szCs w:val="16"/>
            </w:rPr>
          </w:pPr>
        </w:p>
      </w:tc>
    </w:tr>
    <w:tr w:rsidR="00ED54E0" w:rsidRPr="009D71EB" w14:paraId="59511F9F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F25F06" w14:textId="77777777" w:rsidR="00ED54E0" w:rsidRPr="009D71EB" w:rsidRDefault="00ED54E0" w:rsidP="00EF566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346D47" w14:textId="77777777" w:rsidR="00ED54E0" w:rsidRPr="009D71EB" w:rsidRDefault="00FE7BD3" w:rsidP="00714218">
          <w:pPr>
            <w:jc w:val="right"/>
            <w:rPr>
              <w:szCs w:val="16"/>
            </w:rPr>
          </w:pPr>
          <w:r>
            <w:rPr>
              <w:szCs w:val="16"/>
            </w:rPr>
            <w:t>4</w:t>
          </w:r>
          <w:r w:rsidR="00A938CF">
            <w:rPr>
              <w:szCs w:val="16"/>
            </w:rPr>
            <w:t xml:space="preserve"> </w:t>
          </w:r>
          <w:r w:rsidR="00A1097D">
            <w:rPr>
              <w:szCs w:val="16"/>
            </w:rPr>
            <w:t xml:space="preserve">October </w:t>
          </w:r>
          <w:r w:rsidR="002A1E1F">
            <w:rPr>
              <w:szCs w:val="16"/>
            </w:rPr>
            <w:t>201</w:t>
          </w:r>
          <w:r w:rsidR="00A938CF">
            <w:rPr>
              <w:szCs w:val="16"/>
            </w:rPr>
            <w:t>9</w:t>
          </w:r>
        </w:p>
      </w:tc>
    </w:tr>
    <w:tr w:rsidR="00ED54E0" w:rsidRPr="009D71EB" w14:paraId="39BCD519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8370702" w14:textId="68D653A7" w:rsidR="00ED54E0" w:rsidRPr="009D71EB" w:rsidRDefault="00ED54E0" w:rsidP="00417ECF">
          <w:pPr>
            <w:jc w:val="left"/>
            <w:rPr>
              <w:b/>
            </w:rPr>
          </w:pPr>
          <w:bookmarkStart w:id="3" w:name="bmkSerial" w:colFirst="0" w:colLast="0"/>
          <w:r w:rsidRPr="009D71EB">
            <w:rPr>
              <w:color w:val="FF0000"/>
              <w:szCs w:val="16"/>
            </w:rPr>
            <w:t>(</w:t>
          </w:r>
          <w:r w:rsidR="007B4274">
            <w:rPr>
              <w:color w:val="FF0000"/>
              <w:szCs w:val="16"/>
            </w:rPr>
            <w:t>1</w:t>
          </w:r>
          <w:r w:rsidR="00A938CF">
            <w:rPr>
              <w:color w:val="FF0000"/>
              <w:szCs w:val="16"/>
            </w:rPr>
            <w:t>9</w:t>
          </w:r>
          <w:r w:rsidR="007B4274">
            <w:rPr>
              <w:color w:val="FF0000"/>
              <w:szCs w:val="16"/>
            </w:rPr>
            <w:t>-</w:t>
          </w:r>
          <w:r w:rsidR="009E408D">
            <w:rPr>
              <w:color w:val="FF0000"/>
              <w:szCs w:val="16"/>
            </w:rPr>
            <w:t>6433</w:t>
          </w:r>
          <w:r w:rsidRPr="009D71EB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2148EF4" w14:textId="77777777" w:rsidR="00ED54E0" w:rsidRPr="009D71EB" w:rsidRDefault="00ED54E0" w:rsidP="00254EDD">
          <w:pPr>
            <w:jc w:val="right"/>
            <w:rPr>
              <w:szCs w:val="16"/>
            </w:rPr>
          </w:pPr>
          <w:bookmarkStart w:id="4" w:name="bmkTotPages"/>
          <w:r w:rsidRPr="009D71EB">
            <w:rPr>
              <w:bCs/>
              <w:szCs w:val="16"/>
            </w:rPr>
            <w:t xml:space="preserve">Page: </w:t>
          </w:r>
          <w:r w:rsidRPr="009D71EB">
            <w:rPr>
              <w:bCs/>
              <w:szCs w:val="16"/>
            </w:rPr>
            <w:fldChar w:fldCharType="begin"/>
          </w:r>
          <w:r w:rsidRPr="009D71EB">
            <w:rPr>
              <w:bCs/>
              <w:szCs w:val="16"/>
            </w:rPr>
            <w:instrText xml:space="preserve"> PAGE  \* Arabic  \* MERGEFORMAT </w:instrText>
          </w:r>
          <w:r w:rsidRPr="009D71EB">
            <w:rPr>
              <w:bCs/>
              <w:szCs w:val="16"/>
            </w:rPr>
            <w:fldChar w:fldCharType="separate"/>
          </w:r>
          <w:r w:rsidR="007B4274">
            <w:rPr>
              <w:bCs/>
              <w:noProof/>
              <w:szCs w:val="16"/>
            </w:rPr>
            <w:t>1</w:t>
          </w:r>
          <w:r w:rsidRPr="009D71EB">
            <w:rPr>
              <w:bCs/>
              <w:szCs w:val="16"/>
            </w:rPr>
            <w:fldChar w:fldCharType="end"/>
          </w:r>
          <w:r w:rsidRPr="009D71EB">
            <w:rPr>
              <w:bCs/>
              <w:szCs w:val="16"/>
            </w:rPr>
            <w:t>/</w:t>
          </w:r>
          <w:bookmarkEnd w:id="4"/>
          <w:r w:rsidR="00254EDD">
            <w:rPr>
              <w:bCs/>
              <w:szCs w:val="16"/>
            </w:rPr>
            <w:t>2</w:t>
          </w:r>
        </w:p>
      </w:tc>
    </w:tr>
    <w:bookmarkEnd w:id="3"/>
    <w:tr w:rsidR="00ED54E0" w:rsidRPr="009D71EB" w14:paraId="5305F09A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C47EB3D" w14:textId="77777777" w:rsidR="00ED54E0" w:rsidRPr="00472FC1" w:rsidRDefault="00472FC1" w:rsidP="00EF5662">
          <w:pPr>
            <w:jc w:val="left"/>
            <w:rPr>
              <w:b/>
              <w:szCs w:val="18"/>
            </w:rPr>
          </w:pPr>
          <w:r w:rsidRPr="00472FC1">
            <w:rPr>
              <w:b/>
              <w:szCs w:val="18"/>
            </w:rPr>
            <w:t>Committee on Rules of Origin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E183DC2" w14:textId="77777777" w:rsidR="00ED54E0" w:rsidRPr="009D71EB" w:rsidRDefault="00D576A7" w:rsidP="00EF5662">
          <w:pPr>
            <w:jc w:val="right"/>
            <w:rPr>
              <w:bCs/>
              <w:szCs w:val="18"/>
            </w:rPr>
          </w:pPr>
          <w:bookmarkStart w:id="5" w:name="bmkLanguage"/>
          <w:r>
            <w:rPr>
              <w:szCs w:val="18"/>
            </w:rPr>
            <w:t xml:space="preserve"> </w:t>
          </w:r>
          <w:bookmarkEnd w:id="5"/>
        </w:p>
      </w:tc>
    </w:tr>
  </w:tbl>
  <w:p w14:paraId="25EC1578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51196"/>
    <w:multiLevelType w:val="hybridMultilevel"/>
    <w:tmpl w:val="A2FC075E"/>
    <w:lvl w:ilvl="0" w:tplc="C610067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F817489"/>
    <w:multiLevelType w:val="hybridMultilevel"/>
    <w:tmpl w:val="2C4A5B86"/>
    <w:lvl w:ilvl="0" w:tplc="253E285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CE3860"/>
    <w:multiLevelType w:val="hybridMultilevel"/>
    <w:tmpl w:val="117AF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D650F"/>
    <w:multiLevelType w:val="hybridMultilevel"/>
    <w:tmpl w:val="9A6462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07D5B"/>
    <w:multiLevelType w:val="hybridMultilevel"/>
    <w:tmpl w:val="C90A1642"/>
    <w:lvl w:ilvl="0" w:tplc="51F46EF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11286"/>
    <w:multiLevelType w:val="hybridMultilevel"/>
    <w:tmpl w:val="876CDEE6"/>
    <w:lvl w:ilvl="0" w:tplc="253E285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6556B"/>
    <w:multiLevelType w:val="hybridMultilevel"/>
    <w:tmpl w:val="407430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DA5FE1"/>
    <w:multiLevelType w:val="hybridMultilevel"/>
    <w:tmpl w:val="1180BCEC"/>
    <w:lvl w:ilvl="0" w:tplc="0809001B">
      <w:start w:val="1"/>
      <w:numFmt w:val="lowerRoman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3C112EC"/>
    <w:multiLevelType w:val="hybridMultilevel"/>
    <w:tmpl w:val="5AB443AE"/>
    <w:lvl w:ilvl="0" w:tplc="C610067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95348F2"/>
    <w:multiLevelType w:val="singleLevel"/>
    <w:tmpl w:val="5FB64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21" w15:restartNumberingAfterBreak="0">
    <w:nsid w:val="57454AB1"/>
    <w:multiLevelType w:val="multilevel"/>
    <w:tmpl w:val="075A666C"/>
    <w:numStyleLink w:val="LegalHeadings"/>
  </w:abstractNum>
  <w:abstractNum w:abstractNumId="22" w15:restartNumberingAfterBreak="0">
    <w:nsid w:val="57551E12"/>
    <w:multiLevelType w:val="multilevel"/>
    <w:tmpl w:val="075A666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23" w15:restartNumberingAfterBreak="0">
    <w:nsid w:val="57C43771"/>
    <w:multiLevelType w:val="hybridMultilevel"/>
    <w:tmpl w:val="1180BCEC"/>
    <w:lvl w:ilvl="0" w:tplc="0809001B">
      <w:start w:val="1"/>
      <w:numFmt w:val="lowerRoman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2"/>
  </w:num>
  <w:num w:numId="7">
    <w:abstractNumId w:val="21"/>
  </w:num>
  <w:num w:numId="8">
    <w:abstractNumId w:val="2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1"/>
  </w:num>
  <w:num w:numId="18">
    <w:abstractNumId w:val="15"/>
  </w:num>
  <w:num w:numId="19">
    <w:abstractNumId w:val="14"/>
  </w:num>
  <w:num w:numId="20">
    <w:abstractNumId w:val="18"/>
  </w:num>
  <w:num w:numId="21">
    <w:abstractNumId w:val="17"/>
  </w:num>
  <w:num w:numId="22">
    <w:abstractNumId w:val="10"/>
  </w:num>
  <w:num w:numId="23">
    <w:abstractNumId w:val="16"/>
  </w:num>
  <w:num w:numId="24">
    <w:abstractNumId w:val="23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567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1EB"/>
    <w:rsid w:val="000272F6"/>
    <w:rsid w:val="00037AC4"/>
    <w:rsid w:val="000423BF"/>
    <w:rsid w:val="00043AA6"/>
    <w:rsid w:val="00060EA0"/>
    <w:rsid w:val="00061ABC"/>
    <w:rsid w:val="0007025F"/>
    <w:rsid w:val="000831B7"/>
    <w:rsid w:val="00084ED6"/>
    <w:rsid w:val="00094EC9"/>
    <w:rsid w:val="00096CAA"/>
    <w:rsid w:val="000A4945"/>
    <w:rsid w:val="000B31E1"/>
    <w:rsid w:val="000D2431"/>
    <w:rsid w:val="000E2555"/>
    <w:rsid w:val="000E534C"/>
    <w:rsid w:val="00106409"/>
    <w:rsid w:val="0011356B"/>
    <w:rsid w:val="001221C6"/>
    <w:rsid w:val="001255D9"/>
    <w:rsid w:val="0013337F"/>
    <w:rsid w:val="00133520"/>
    <w:rsid w:val="0014326E"/>
    <w:rsid w:val="00146011"/>
    <w:rsid w:val="001619BA"/>
    <w:rsid w:val="00182B84"/>
    <w:rsid w:val="00191255"/>
    <w:rsid w:val="00191EEC"/>
    <w:rsid w:val="00193981"/>
    <w:rsid w:val="00194580"/>
    <w:rsid w:val="001A6C30"/>
    <w:rsid w:val="001B0076"/>
    <w:rsid w:val="001C0C5E"/>
    <w:rsid w:val="001D2AE2"/>
    <w:rsid w:val="001D773E"/>
    <w:rsid w:val="001E13DF"/>
    <w:rsid w:val="001E291F"/>
    <w:rsid w:val="001E7BDC"/>
    <w:rsid w:val="001F25AF"/>
    <w:rsid w:val="00233408"/>
    <w:rsid w:val="00240012"/>
    <w:rsid w:val="00242251"/>
    <w:rsid w:val="00254EDD"/>
    <w:rsid w:val="002676A7"/>
    <w:rsid w:val="0027067B"/>
    <w:rsid w:val="00271A5E"/>
    <w:rsid w:val="0027378D"/>
    <w:rsid w:val="00274D9D"/>
    <w:rsid w:val="00276C41"/>
    <w:rsid w:val="00284058"/>
    <w:rsid w:val="00293EB7"/>
    <w:rsid w:val="0029680A"/>
    <w:rsid w:val="002A1E1F"/>
    <w:rsid w:val="002A7E36"/>
    <w:rsid w:val="002C23B4"/>
    <w:rsid w:val="002D2442"/>
    <w:rsid w:val="002D29FE"/>
    <w:rsid w:val="002E0116"/>
    <w:rsid w:val="003071E8"/>
    <w:rsid w:val="00307331"/>
    <w:rsid w:val="0031402F"/>
    <w:rsid w:val="00315201"/>
    <w:rsid w:val="003156C6"/>
    <w:rsid w:val="00315991"/>
    <w:rsid w:val="003310AC"/>
    <w:rsid w:val="003572B4"/>
    <w:rsid w:val="00370DF8"/>
    <w:rsid w:val="00394BFF"/>
    <w:rsid w:val="003A29C5"/>
    <w:rsid w:val="003A3A43"/>
    <w:rsid w:val="003A6A66"/>
    <w:rsid w:val="003B5795"/>
    <w:rsid w:val="003C4AAA"/>
    <w:rsid w:val="003F02D5"/>
    <w:rsid w:val="003F1792"/>
    <w:rsid w:val="003F6B52"/>
    <w:rsid w:val="0040428B"/>
    <w:rsid w:val="00414172"/>
    <w:rsid w:val="00417ECF"/>
    <w:rsid w:val="00421950"/>
    <w:rsid w:val="00444EDA"/>
    <w:rsid w:val="00465162"/>
    <w:rsid w:val="00467032"/>
    <w:rsid w:val="0046754A"/>
    <w:rsid w:val="00472FC1"/>
    <w:rsid w:val="00480766"/>
    <w:rsid w:val="00491186"/>
    <w:rsid w:val="004A1786"/>
    <w:rsid w:val="004B0344"/>
    <w:rsid w:val="004B041A"/>
    <w:rsid w:val="004D1766"/>
    <w:rsid w:val="004E0D53"/>
    <w:rsid w:val="004F203A"/>
    <w:rsid w:val="00500444"/>
    <w:rsid w:val="00507B04"/>
    <w:rsid w:val="005336B8"/>
    <w:rsid w:val="0053668A"/>
    <w:rsid w:val="005433C1"/>
    <w:rsid w:val="00544326"/>
    <w:rsid w:val="005469FD"/>
    <w:rsid w:val="00546A6D"/>
    <w:rsid w:val="00547B5F"/>
    <w:rsid w:val="00553CBF"/>
    <w:rsid w:val="00575567"/>
    <w:rsid w:val="005773D0"/>
    <w:rsid w:val="00597076"/>
    <w:rsid w:val="005A04BB"/>
    <w:rsid w:val="005A3B27"/>
    <w:rsid w:val="005A3EDE"/>
    <w:rsid w:val="005B04B9"/>
    <w:rsid w:val="005B68C7"/>
    <w:rsid w:val="005B7054"/>
    <w:rsid w:val="005C3400"/>
    <w:rsid w:val="005C7455"/>
    <w:rsid w:val="005D224D"/>
    <w:rsid w:val="005D5981"/>
    <w:rsid w:val="005F30CB"/>
    <w:rsid w:val="00612644"/>
    <w:rsid w:val="00617E42"/>
    <w:rsid w:val="00623B07"/>
    <w:rsid w:val="00652F29"/>
    <w:rsid w:val="00664B9E"/>
    <w:rsid w:val="00671309"/>
    <w:rsid w:val="00674CCD"/>
    <w:rsid w:val="00674E06"/>
    <w:rsid w:val="006927AD"/>
    <w:rsid w:val="006B1295"/>
    <w:rsid w:val="006C55C1"/>
    <w:rsid w:val="006D0056"/>
    <w:rsid w:val="006E5943"/>
    <w:rsid w:val="006F5826"/>
    <w:rsid w:val="00700181"/>
    <w:rsid w:val="00704C98"/>
    <w:rsid w:val="007141CF"/>
    <w:rsid w:val="00714218"/>
    <w:rsid w:val="00723269"/>
    <w:rsid w:val="007241B5"/>
    <w:rsid w:val="00736516"/>
    <w:rsid w:val="00745146"/>
    <w:rsid w:val="007577E3"/>
    <w:rsid w:val="00760DB3"/>
    <w:rsid w:val="007636C0"/>
    <w:rsid w:val="00766EEE"/>
    <w:rsid w:val="00784A7C"/>
    <w:rsid w:val="007A71CB"/>
    <w:rsid w:val="007B14C9"/>
    <w:rsid w:val="007B24E8"/>
    <w:rsid w:val="007B4274"/>
    <w:rsid w:val="007C0BEC"/>
    <w:rsid w:val="007C10E7"/>
    <w:rsid w:val="007D6C02"/>
    <w:rsid w:val="007E6507"/>
    <w:rsid w:val="007F2B8E"/>
    <w:rsid w:val="007F2E5B"/>
    <w:rsid w:val="00803DBE"/>
    <w:rsid w:val="00807247"/>
    <w:rsid w:val="00840C2B"/>
    <w:rsid w:val="00844498"/>
    <w:rsid w:val="0085552E"/>
    <w:rsid w:val="00865131"/>
    <w:rsid w:val="008739FD"/>
    <w:rsid w:val="00873B9E"/>
    <w:rsid w:val="00875214"/>
    <w:rsid w:val="0089074C"/>
    <w:rsid w:val="00893E85"/>
    <w:rsid w:val="008A5DB8"/>
    <w:rsid w:val="008B2A9A"/>
    <w:rsid w:val="008C21BF"/>
    <w:rsid w:val="008C6B8C"/>
    <w:rsid w:val="008D062F"/>
    <w:rsid w:val="008E372C"/>
    <w:rsid w:val="008E68A3"/>
    <w:rsid w:val="008E7D52"/>
    <w:rsid w:val="008F14BA"/>
    <w:rsid w:val="00905B48"/>
    <w:rsid w:val="00905DA5"/>
    <w:rsid w:val="0092787C"/>
    <w:rsid w:val="009456C1"/>
    <w:rsid w:val="0095623B"/>
    <w:rsid w:val="00963035"/>
    <w:rsid w:val="009A5AC9"/>
    <w:rsid w:val="009A6F54"/>
    <w:rsid w:val="009D71EB"/>
    <w:rsid w:val="009E3641"/>
    <w:rsid w:val="009E408D"/>
    <w:rsid w:val="009F674F"/>
    <w:rsid w:val="00A1097D"/>
    <w:rsid w:val="00A14610"/>
    <w:rsid w:val="00A1591E"/>
    <w:rsid w:val="00A160F9"/>
    <w:rsid w:val="00A25B67"/>
    <w:rsid w:val="00A35CD5"/>
    <w:rsid w:val="00A50442"/>
    <w:rsid w:val="00A54C57"/>
    <w:rsid w:val="00A57B87"/>
    <w:rsid w:val="00A6057A"/>
    <w:rsid w:val="00A6355E"/>
    <w:rsid w:val="00A729AC"/>
    <w:rsid w:val="00A73D89"/>
    <w:rsid w:val="00A74017"/>
    <w:rsid w:val="00A938CF"/>
    <w:rsid w:val="00AA332C"/>
    <w:rsid w:val="00AB23F2"/>
    <w:rsid w:val="00AB34F6"/>
    <w:rsid w:val="00AC27F8"/>
    <w:rsid w:val="00AC4015"/>
    <w:rsid w:val="00AC76DB"/>
    <w:rsid w:val="00AD4C72"/>
    <w:rsid w:val="00AE12DC"/>
    <w:rsid w:val="00AE2AEE"/>
    <w:rsid w:val="00B00276"/>
    <w:rsid w:val="00B01862"/>
    <w:rsid w:val="00B04FF9"/>
    <w:rsid w:val="00B230EC"/>
    <w:rsid w:val="00B4181F"/>
    <w:rsid w:val="00B51263"/>
    <w:rsid w:val="00B52738"/>
    <w:rsid w:val="00B56EDC"/>
    <w:rsid w:val="00B578AB"/>
    <w:rsid w:val="00B72E01"/>
    <w:rsid w:val="00B73879"/>
    <w:rsid w:val="00B74483"/>
    <w:rsid w:val="00B913C9"/>
    <w:rsid w:val="00BB1F84"/>
    <w:rsid w:val="00BC4B85"/>
    <w:rsid w:val="00BD4043"/>
    <w:rsid w:val="00BE5468"/>
    <w:rsid w:val="00BF4F58"/>
    <w:rsid w:val="00C1064D"/>
    <w:rsid w:val="00C11EAC"/>
    <w:rsid w:val="00C15F6D"/>
    <w:rsid w:val="00C305D7"/>
    <w:rsid w:val="00C30F2A"/>
    <w:rsid w:val="00C43456"/>
    <w:rsid w:val="00C45525"/>
    <w:rsid w:val="00C6545C"/>
    <w:rsid w:val="00C656D6"/>
    <w:rsid w:val="00C65C0C"/>
    <w:rsid w:val="00C808FC"/>
    <w:rsid w:val="00C90A2A"/>
    <w:rsid w:val="00C96821"/>
    <w:rsid w:val="00CA62BC"/>
    <w:rsid w:val="00CB0684"/>
    <w:rsid w:val="00CB553C"/>
    <w:rsid w:val="00CD73E3"/>
    <w:rsid w:val="00CD7D97"/>
    <w:rsid w:val="00CE0EF1"/>
    <w:rsid w:val="00CE1A4B"/>
    <w:rsid w:val="00CE3EE6"/>
    <w:rsid w:val="00CE4BA1"/>
    <w:rsid w:val="00CF66E3"/>
    <w:rsid w:val="00D000C7"/>
    <w:rsid w:val="00D134B7"/>
    <w:rsid w:val="00D16DFB"/>
    <w:rsid w:val="00D221B8"/>
    <w:rsid w:val="00D2535A"/>
    <w:rsid w:val="00D27BC0"/>
    <w:rsid w:val="00D27DEF"/>
    <w:rsid w:val="00D309F7"/>
    <w:rsid w:val="00D32DBF"/>
    <w:rsid w:val="00D52A9D"/>
    <w:rsid w:val="00D55AAD"/>
    <w:rsid w:val="00D576A7"/>
    <w:rsid w:val="00D66CE4"/>
    <w:rsid w:val="00D71600"/>
    <w:rsid w:val="00D747AE"/>
    <w:rsid w:val="00D9226C"/>
    <w:rsid w:val="00DA20BD"/>
    <w:rsid w:val="00DA75AD"/>
    <w:rsid w:val="00DE12E2"/>
    <w:rsid w:val="00DE50DB"/>
    <w:rsid w:val="00DF6AE1"/>
    <w:rsid w:val="00E11144"/>
    <w:rsid w:val="00E11DAD"/>
    <w:rsid w:val="00E21FBB"/>
    <w:rsid w:val="00E33728"/>
    <w:rsid w:val="00E45FDF"/>
    <w:rsid w:val="00E46FD5"/>
    <w:rsid w:val="00E544BB"/>
    <w:rsid w:val="00E56545"/>
    <w:rsid w:val="00E647FF"/>
    <w:rsid w:val="00E717E5"/>
    <w:rsid w:val="00E767CC"/>
    <w:rsid w:val="00E87BE6"/>
    <w:rsid w:val="00EA5B0A"/>
    <w:rsid w:val="00EA5D4F"/>
    <w:rsid w:val="00EB178B"/>
    <w:rsid w:val="00EB33F7"/>
    <w:rsid w:val="00EB58F9"/>
    <w:rsid w:val="00EB5A9F"/>
    <w:rsid w:val="00EB6C56"/>
    <w:rsid w:val="00EC47A4"/>
    <w:rsid w:val="00ED0919"/>
    <w:rsid w:val="00ED54E0"/>
    <w:rsid w:val="00EE042F"/>
    <w:rsid w:val="00EF5662"/>
    <w:rsid w:val="00F04590"/>
    <w:rsid w:val="00F06097"/>
    <w:rsid w:val="00F12DC7"/>
    <w:rsid w:val="00F13DA3"/>
    <w:rsid w:val="00F32397"/>
    <w:rsid w:val="00F40595"/>
    <w:rsid w:val="00F5199A"/>
    <w:rsid w:val="00F56E75"/>
    <w:rsid w:val="00F770C7"/>
    <w:rsid w:val="00F81F47"/>
    <w:rsid w:val="00F87413"/>
    <w:rsid w:val="00FA5EBC"/>
    <w:rsid w:val="00FC0AE2"/>
    <w:rsid w:val="00FC71E2"/>
    <w:rsid w:val="00FD224A"/>
    <w:rsid w:val="00FD7932"/>
    <w:rsid w:val="00FE21C7"/>
    <w:rsid w:val="00FE7BD3"/>
    <w:rsid w:val="00FF24A2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61B90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59" w:qFormat="1"/>
    <w:lsdException w:name="Quote" w:semiHidden="1" w:uiPriority="59" w:qFormat="1"/>
    <w:lsdException w:name="Intense Quote" w:semiHidden="1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647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drulesoforigin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135F9-A301-4BB1-AB86-86FD0CE9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806</Words>
  <Characters>4767</Characters>
  <Application>Microsoft Office Word</Application>
  <DocSecurity>0</DocSecurity>
  <Lines>70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5562</CharactersWithSpaces>
  <SharedDoc>false</SharedDoc>
  <HLinks>
    <vt:vector size="6" baseType="variant">
      <vt:variant>
        <vt:i4>4718623</vt:i4>
      </vt:variant>
      <vt:variant>
        <vt:i4>0</vt:i4>
      </vt:variant>
      <vt:variant>
        <vt:i4>0</vt:i4>
      </vt:variant>
      <vt:variant>
        <vt:i4>5</vt:i4>
      </vt:variant>
      <vt:variant>
        <vt:lpwstr>http://ptadb.wto.org/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2016-10-11T08:32:00Z</cp:lastPrinted>
  <dcterms:created xsi:type="dcterms:W3CDTF">2019-10-02T15:45:00Z</dcterms:created>
  <dcterms:modified xsi:type="dcterms:W3CDTF">2019-10-04T13:43:00Z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G/RO/W/188</vt:lpwstr>
  </property>
</Properties>
</file>