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5D22" w14:textId="06734BDB" w:rsidR="00D452AD" w:rsidRDefault="00D452AD" w:rsidP="007C1FEC">
      <w:pPr>
        <w:pStyle w:val="Title"/>
        <w:contextualSpacing w:val="0"/>
      </w:pPr>
      <w:r>
        <w:t>DRAFT</w:t>
      </w:r>
    </w:p>
    <w:p w14:paraId="65B87E4A" w14:textId="115D7FBF" w:rsidR="009D71EB" w:rsidRDefault="009D71EB" w:rsidP="00B2342C">
      <w:pPr>
        <w:pStyle w:val="Title"/>
      </w:pPr>
      <w:r w:rsidRPr="002A1E1F">
        <w:t xml:space="preserve">REPORT </w:t>
      </w:r>
      <w:r w:rsidR="00BF4F58" w:rsidRPr="002A1E1F">
        <w:t>(</w:t>
      </w:r>
      <w:r w:rsidR="00F26349">
        <w:t>202</w:t>
      </w:r>
      <w:r w:rsidR="00557D55">
        <w:t>1</w:t>
      </w:r>
      <w:r w:rsidR="00BF4F58" w:rsidRPr="002A1E1F">
        <w:t xml:space="preserve">) </w:t>
      </w:r>
      <w:r w:rsidRPr="002A1E1F">
        <w:t>OF THE COMMITTEE ON RULES OF ORIGIN</w:t>
      </w:r>
      <w:r w:rsidR="001F25AF">
        <w:t xml:space="preserve"> </w:t>
      </w:r>
      <w:r w:rsidRPr="002A1E1F">
        <w:t>TO THE</w:t>
      </w:r>
      <w:r w:rsidR="00E84A91">
        <w:br/>
      </w:r>
      <w:r w:rsidR="00671309" w:rsidRPr="002A1E1F">
        <w:t>General COUNCIL on Preferential Rules of Origin</w:t>
      </w:r>
      <w:r w:rsidR="00E84A91">
        <w:br/>
      </w:r>
      <w:r w:rsidR="00671309" w:rsidRPr="002A1E1F">
        <w:t xml:space="preserve">for </w:t>
      </w:r>
      <w:r w:rsidR="00AC76DB" w:rsidRPr="002A1E1F">
        <w:t>least developed countries</w:t>
      </w:r>
    </w:p>
    <w:p w14:paraId="71D1C5DB" w14:textId="25D50F2D" w:rsidR="00084ED6" w:rsidRDefault="009D71EB" w:rsidP="00D576A7">
      <w:pPr>
        <w:pStyle w:val="BodyText"/>
        <w:numPr>
          <w:ilvl w:val="0"/>
          <w:numId w:val="16"/>
        </w:numPr>
        <w:tabs>
          <w:tab w:val="clear" w:pos="720"/>
        </w:tabs>
        <w:ind w:left="0" w:firstLine="0"/>
      </w:pPr>
      <w:r>
        <w:rPr>
          <w:rFonts w:hint="eastAsia"/>
        </w:rPr>
        <w:t xml:space="preserve">This report is being submitted </w:t>
      </w:r>
      <w:r w:rsidR="00671309">
        <w:t xml:space="preserve">by the Committee on Rules of Origin (CRO) </w:t>
      </w:r>
      <w:r>
        <w:rPr>
          <w:rFonts w:hint="eastAsia"/>
        </w:rPr>
        <w:t xml:space="preserve">to the </w:t>
      </w:r>
      <w:r w:rsidR="00671309">
        <w:t>General Council</w:t>
      </w:r>
      <w:r>
        <w:t xml:space="preserve"> </w:t>
      </w:r>
      <w:r w:rsidR="00DE1885">
        <w:t xml:space="preserve">as required by the 2013 (Bali) and the 2015 (Nairobi) </w:t>
      </w:r>
      <w:r w:rsidR="001B0076">
        <w:t>Ministerial Decision</w:t>
      </w:r>
      <w:r w:rsidR="00DE1885">
        <w:t>s on preferential rules of origin for Least-developed Countries</w:t>
      </w:r>
      <w:r w:rsidR="001B0076">
        <w:t xml:space="preserve"> </w:t>
      </w:r>
      <w:r w:rsidR="00671309">
        <w:t>(WT/L/917</w:t>
      </w:r>
      <w:r w:rsidR="00DE1885">
        <w:t xml:space="preserve"> and </w:t>
      </w:r>
      <w:r w:rsidR="009F674F">
        <w:t>WT/L/917/Add.1</w:t>
      </w:r>
      <w:r w:rsidR="00DE1885">
        <w:t xml:space="preserve"> respectively)</w:t>
      </w:r>
      <w:r w:rsidR="00671309">
        <w:t>.</w:t>
      </w:r>
      <w:r w:rsidR="001B0076">
        <w:t xml:space="preserve"> </w:t>
      </w:r>
      <w:r w:rsidR="00F26349">
        <w:t>According to</w:t>
      </w:r>
      <w:r w:rsidR="00A938CF">
        <w:t xml:space="preserve"> the</w:t>
      </w:r>
      <w:r w:rsidR="00417ECF">
        <w:t xml:space="preserve"> </w:t>
      </w:r>
      <w:r w:rsidR="002A1E1F">
        <w:t>provisions</w:t>
      </w:r>
      <w:r w:rsidR="00DE1885">
        <w:t xml:space="preserve"> of these Decisions</w:t>
      </w:r>
      <w:r w:rsidR="00417ECF">
        <w:t>, t</w:t>
      </w:r>
      <w:r w:rsidR="00417ECF">
        <w:rPr>
          <w:lang w:eastAsia="ko-KR"/>
        </w:rPr>
        <w:t>he Committee on Rules of Origin (CRO) "</w:t>
      </w:r>
      <w:r w:rsidR="00417ECF" w:rsidRPr="00F26349">
        <w:rPr>
          <w:i/>
          <w:iCs/>
          <w:lang w:eastAsia="ko-KR"/>
        </w:rPr>
        <w:t>shall annually review the developments in preferential rules of origin applicable to imports from LDCs" and report to the General Council</w:t>
      </w:r>
      <w:r w:rsidR="00417ECF">
        <w:rPr>
          <w:lang w:eastAsia="ko-KR"/>
        </w:rPr>
        <w:t>.</w:t>
      </w:r>
    </w:p>
    <w:p w14:paraId="17A04EC2" w14:textId="26B7AC1F" w:rsidR="00E717E5" w:rsidRDefault="001E7334" w:rsidP="001E7334">
      <w:pPr>
        <w:pStyle w:val="BodyText"/>
        <w:numPr>
          <w:ilvl w:val="0"/>
          <w:numId w:val="16"/>
        </w:numPr>
        <w:tabs>
          <w:tab w:val="clear" w:pos="720"/>
        </w:tabs>
        <w:ind w:left="0" w:firstLine="0"/>
      </w:pPr>
      <w:r>
        <w:t xml:space="preserve">The CRO discussed several matters related to preferential rules of origin for LDCs in its two meetings held in 2021 (on </w:t>
      </w:r>
      <w:r w:rsidR="00B94FAF">
        <w:t>20</w:t>
      </w:r>
      <w:r w:rsidRPr="00B94FAF">
        <w:t xml:space="preserve"> May and on 1</w:t>
      </w:r>
      <w:r w:rsidR="00B94FAF">
        <w:t>4</w:t>
      </w:r>
      <w:r w:rsidRPr="00B94FAF">
        <w:t xml:space="preserve"> October). The minutes of these meetings are contained in documents G/RO/M/7</w:t>
      </w:r>
      <w:r w:rsidR="00B94FAF" w:rsidRPr="00B94FAF">
        <w:t>6</w:t>
      </w:r>
      <w:r w:rsidRPr="00B94FAF">
        <w:t xml:space="preserve"> and </w:t>
      </w:r>
      <w:r w:rsidRPr="00187435">
        <w:t>[G/RO/M/7</w:t>
      </w:r>
      <w:r w:rsidR="00B94FAF" w:rsidRPr="00187435">
        <w:t>7</w:t>
      </w:r>
      <w:r w:rsidRPr="00187435">
        <w:t xml:space="preserve">] respectively. </w:t>
      </w:r>
      <w:r w:rsidR="003F1792" w:rsidRPr="00187435">
        <w:rPr>
          <w:lang w:eastAsia="ko-KR"/>
        </w:rPr>
        <w:t>The following are some of the recent developments Members took not</w:t>
      </w:r>
      <w:r w:rsidR="003F1792">
        <w:rPr>
          <w:lang w:eastAsia="ko-KR"/>
        </w:rPr>
        <w:t>e</w:t>
      </w:r>
      <w:r w:rsidR="005C7455">
        <w:rPr>
          <w:lang w:eastAsia="ko-KR"/>
        </w:rPr>
        <w:t xml:space="preserve"> of</w:t>
      </w:r>
      <w:r w:rsidR="003F1792">
        <w:rPr>
          <w:lang w:eastAsia="ko-KR"/>
        </w:rPr>
        <w:t>:</w:t>
      </w:r>
    </w:p>
    <w:p w14:paraId="34A6163B" w14:textId="4E8178C2" w:rsidR="007D0AA6" w:rsidRPr="007D0AA6" w:rsidRDefault="007D0AA6" w:rsidP="007D0AA6">
      <w:pPr>
        <w:pStyle w:val="BodyText"/>
        <w:rPr>
          <w:u w:val="single"/>
        </w:rPr>
      </w:pPr>
      <w:r w:rsidRPr="007D0AA6">
        <w:rPr>
          <w:u w:val="single"/>
          <w:lang w:eastAsia="ko-KR"/>
        </w:rPr>
        <w:t>Transparency (notifications</w:t>
      </w:r>
      <w:r w:rsidRPr="00E84A91">
        <w:rPr>
          <w:lang w:eastAsia="ko-KR"/>
        </w:rPr>
        <w:t>)</w:t>
      </w:r>
    </w:p>
    <w:p w14:paraId="4FAAF89B" w14:textId="725AFA8F" w:rsidR="005A64D1" w:rsidRPr="003529B5" w:rsidRDefault="00DE1885" w:rsidP="005A64D1">
      <w:pPr>
        <w:numPr>
          <w:ilvl w:val="0"/>
          <w:numId w:val="22"/>
        </w:numPr>
        <w:spacing w:after="240"/>
        <w:ind w:left="567" w:hanging="567"/>
        <w:rPr>
          <w:szCs w:val="18"/>
        </w:rPr>
      </w:pPr>
      <w:r w:rsidRPr="005A64D1">
        <w:rPr>
          <w:szCs w:val="18"/>
        </w:rPr>
        <w:t>Members have detailed information</w:t>
      </w:r>
      <w:r w:rsidR="00B74483" w:rsidRPr="005A64D1">
        <w:rPr>
          <w:szCs w:val="18"/>
        </w:rPr>
        <w:t xml:space="preserve"> about preferential rules of origin and origin requirements for LDCs</w:t>
      </w:r>
      <w:r w:rsidR="005E6CDB">
        <w:rPr>
          <w:szCs w:val="18"/>
        </w:rPr>
        <w:t>. A</w:t>
      </w:r>
      <w:r w:rsidR="00117C61" w:rsidRPr="005A64D1">
        <w:rPr>
          <w:szCs w:val="18"/>
        </w:rPr>
        <w:t xml:space="preserve">lmost </w:t>
      </w:r>
      <w:r w:rsidR="00B74483" w:rsidRPr="005A64D1">
        <w:rPr>
          <w:szCs w:val="18"/>
        </w:rPr>
        <w:t>all preference-granting Members have</w:t>
      </w:r>
      <w:r w:rsidR="00AE12DC" w:rsidRPr="005A64D1">
        <w:rPr>
          <w:szCs w:val="18"/>
        </w:rPr>
        <w:t xml:space="preserve"> </w:t>
      </w:r>
      <w:r w:rsidR="00B74483" w:rsidRPr="005A64D1">
        <w:rPr>
          <w:szCs w:val="18"/>
        </w:rPr>
        <w:t>submitted a notification using the agreed notification template (G/RO/84)</w:t>
      </w:r>
      <w:r w:rsidRPr="005A64D1">
        <w:rPr>
          <w:szCs w:val="18"/>
        </w:rPr>
        <w:t>.</w:t>
      </w:r>
      <w:r w:rsidR="00187435">
        <w:rPr>
          <w:szCs w:val="18"/>
        </w:rPr>
        <w:t xml:space="preserve"> </w:t>
      </w:r>
      <w:r w:rsidR="001E7334" w:rsidRPr="005A64D1">
        <w:rPr>
          <w:szCs w:val="18"/>
        </w:rPr>
        <w:t xml:space="preserve">The United Kingdom has submitted </w:t>
      </w:r>
      <w:r w:rsidR="00187435">
        <w:rPr>
          <w:szCs w:val="18"/>
        </w:rPr>
        <w:t xml:space="preserve">a notification describing its preferential rules of origin </w:t>
      </w:r>
      <w:r w:rsidR="001E7334" w:rsidRPr="005A64D1">
        <w:rPr>
          <w:szCs w:val="18"/>
        </w:rPr>
        <w:t>in February 2021</w:t>
      </w:r>
      <w:r w:rsidR="00B74483" w:rsidRPr="005A64D1">
        <w:rPr>
          <w:szCs w:val="18"/>
        </w:rPr>
        <w:t>.</w:t>
      </w:r>
      <w:r w:rsidR="005C7455" w:rsidRPr="005A64D1">
        <w:rPr>
          <w:szCs w:val="18"/>
        </w:rPr>
        <w:t xml:space="preserve"> </w:t>
      </w:r>
      <w:r w:rsidR="005E6CDB">
        <w:rPr>
          <w:szCs w:val="18"/>
        </w:rPr>
        <w:t xml:space="preserve">A notification about preferential rules of origin </w:t>
      </w:r>
      <w:r w:rsidR="007D0AA6" w:rsidRPr="003529B5">
        <w:rPr>
          <w:szCs w:val="18"/>
        </w:rPr>
        <w:t>applied to LDC</w:t>
      </w:r>
      <w:r w:rsidR="005E6CDB">
        <w:rPr>
          <w:szCs w:val="18"/>
        </w:rPr>
        <w:t>s</w:t>
      </w:r>
      <w:r w:rsidR="007D0AA6" w:rsidRPr="003529B5">
        <w:rPr>
          <w:szCs w:val="18"/>
        </w:rPr>
        <w:t xml:space="preserve"> </w:t>
      </w:r>
      <w:r w:rsidR="00CB5364" w:rsidRPr="003529B5">
        <w:rPr>
          <w:szCs w:val="18"/>
        </w:rPr>
        <w:t xml:space="preserve">is only </w:t>
      </w:r>
      <w:r w:rsidR="005C7455" w:rsidRPr="003529B5">
        <w:rPr>
          <w:szCs w:val="18"/>
        </w:rPr>
        <w:t xml:space="preserve">missing for the </w:t>
      </w:r>
      <w:r w:rsidR="00CB5364" w:rsidRPr="003529B5">
        <w:rPr>
          <w:szCs w:val="18"/>
        </w:rPr>
        <w:t xml:space="preserve">schemes of </w:t>
      </w:r>
      <w:r w:rsidR="00B74483" w:rsidRPr="003529B5">
        <w:rPr>
          <w:szCs w:val="18"/>
        </w:rPr>
        <w:t>Armenia</w:t>
      </w:r>
      <w:r w:rsidR="001E7334" w:rsidRPr="003529B5">
        <w:rPr>
          <w:szCs w:val="18"/>
        </w:rPr>
        <w:t>,</w:t>
      </w:r>
      <w:r w:rsidR="00B74483" w:rsidRPr="003529B5">
        <w:rPr>
          <w:szCs w:val="18"/>
        </w:rPr>
        <w:t xml:space="preserve"> Iceland</w:t>
      </w:r>
      <w:r w:rsidR="001E7334" w:rsidRPr="003529B5">
        <w:rPr>
          <w:szCs w:val="18"/>
        </w:rPr>
        <w:t xml:space="preserve"> and Morocco</w:t>
      </w:r>
      <w:r w:rsidR="00B74483" w:rsidRPr="003529B5">
        <w:rPr>
          <w:szCs w:val="18"/>
        </w:rPr>
        <w:t>.</w:t>
      </w:r>
    </w:p>
    <w:p w14:paraId="412208C2" w14:textId="528D18EF" w:rsidR="00187435" w:rsidRPr="003529B5" w:rsidRDefault="00187435" w:rsidP="005A64D1">
      <w:pPr>
        <w:numPr>
          <w:ilvl w:val="0"/>
          <w:numId w:val="22"/>
        </w:numPr>
        <w:spacing w:after="240"/>
        <w:ind w:left="567" w:hanging="567"/>
        <w:rPr>
          <w:szCs w:val="18"/>
        </w:rPr>
      </w:pPr>
      <w:r w:rsidRPr="003529B5">
        <w:rPr>
          <w:szCs w:val="18"/>
        </w:rPr>
        <w:t>These notifications and detailed information about these preferential origin requirements can be accessed, at the tariff-line level, through the WTO, ITC and WCO "Origin Facilitator" (</w:t>
      </w:r>
      <w:hyperlink r:id="rId8" w:history="1">
        <w:r w:rsidRPr="00EA5B24">
          <w:rPr>
            <w:rStyle w:val="Hyperlink"/>
            <w:szCs w:val="18"/>
          </w:rPr>
          <w:t>www.findrulesoforigin.org</w:t>
        </w:r>
      </w:hyperlink>
      <w:r w:rsidRPr="003529B5">
        <w:rPr>
          <w:szCs w:val="18"/>
        </w:rPr>
        <w:t>)</w:t>
      </w:r>
    </w:p>
    <w:p w14:paraId="25FE5475" w14:textId="093D9BFB" w:rsidR="00A6355E" w:rsidRPr="003529B5" w:rsidRDefault="003529B5" w:rsidP="003529B5">
      <w:pPr>
        <w:numPr>
          <w:ilvl w:val="0"/>
          <w:numId w:val="22"/>
        </w:numPr>
        <w:spacing w:after="240"/>
        <w:ind w:left="567" w:hanging="567"/>
        <w:rPr>
          <w:szCs w:val="18"/>
        </w:rPr>
      </w:pPr>
      <w:bookmarkStart w:id="0" w:name="_Hlk83389390"/>
      <w:r w:rsidRPr="003529B5">
        <w:rPr>
          <w:szCs w:val="18"/>
        </w:rPr>
        <w:t>While progress with respect to preferential tariff and import data has been slower, there have been significant improvements in 2020, notably with the notification of preferential import statistics and preferential tariffs and imports by Iceland (2010-2019</w:t>
      </w:r>
      <w:r>
        <w:rPr>
          <w:szCs w:val="18"/>
        </w:rPr>
        <w:t>)</w:t>
      </w:r>
      <w:r w:rsidRPr="003529B5">
        <w:rPr>
          <w:szCs w:val="18"/>
        </w:rPr>
        <w:t xml:space="preserve"> </w:t>
      </w:r>
      <w:r>
        <w:rPr>
          <w:szCs w:val="18"/>
        </w:rPr>
        <w:t xml:space="preserve">and by </w:t>
      </w:r>
      <w:r w:rsidR="007C1FEC">
        <w:rPr>
          <w:szCs w:val="18"/>
        </w:rPr>
        <w:t>Turkey </w:t>
      </w:r>
      <w:r w:rsidRPr="003529B5">
        <w:rPr>
          <w:szCs w:val="18"/>
        </w:rPr>
        <w:t>(2010</w:t>
      </w:r>
      <w:r w:rsidR="007C1FEC">
        <w:rPr>
          <w:szCs w:val="18"/>
        </w:rPr>
        <w:noBreakHyphen/>
      </w:r>
      <w:r w:rsidRPr="003529B5">
        <w:rPr>
          <w:szCs w:val="18"/>
        </w:rPr>
        <w:t xml:space="preserve">2020). No statistics or partial statistics only continue </w:t>
      </w:r>
      <w:r w:rsidR="00D92DAB" w:rsidRPr="00D92DAB">
        <w:rPr>
          <w:szCs w:val="18"/>
        </w:rPr>
        <w:t>to</w:t>
      </w:r>
      <w:r w:rsidR="00D92DAB">
        <w:rPr>
          <w:szCs w:val="18"/>
        </w:rPr>
        <w:t xml:space="preserve"> </w:t>
      </w:r>
      <w:r w:rsidRPr="003529B5">
        <w:rPr>
          <w:szCs w:val="18"/>
        </w:rPr>
        <w:t>be available for some preference</w:t>
      </w:r>
      <w:r w:rsidR="007C1FEC">
        <w:rPr>
          <w:szCs w:val="18"/>
        </w:rPr>
        <w:noBreakHyphen/>
      </w:r>
      <w:r w:rsidRPr="003529B5">
        <w:rPr>
          <w:szCs w:val="18"/>
        </w:rPr>
        <w:t>granting Members: Armenia; China; Iceland; India; Kazakhstan; Kyrgyz Republic; Montenegro; Morocco; New Zealand; and Russian Federation and Tajikistan. Document G/RO/W/163/Rev.9 describes in detail the information available with the Secretariat to this date.</w:t>
      </w:r>
    </w:p>
    <w:bookmarkEnd w:id="0"/>
    <w:p w14:paraId="0010E2CE" w14:textId="77777777" w:rsidR="000F110F" w:rsidRDefault="007D0AA6" w:rsidP="00D452AD">
      <w:pPr>
        <w:numPr>
          <w:ilvl w:val="0"/>
          <w:numId w:val="22"/>
        </w:numPr>
        <w:spacing w:after="240"/>
        <w:ind w:left="567" w:hanging="567"/>
      </w:pPr>
      <w:r>
        <w:t xml:space="preserve">These notifications, including preferential import statistics, can be accessed through the </w:t>
      </w:r>
      <w:r w:rsidR="00CB5364">
        <w:t xml:space="preserve">WTO Preferential Trade </w:t>
      </w:r>
      <w:r w:rsidR="00CB5364" w:rsidRPr="00D452AD">
        <w:rPr>
          <w:szCs w:val="18"/>
        </w:rPr>
        <w:t>Arrangements</w:t>
      </w:r>
      <w:r w:rsidR="00CB5364">
        <w:t xml:space="preserve"> (PTA) database (</w:t>
      </w:r>
      <w:hyperlink r:id="rId9" w:history="1">
        <w:r w:rsidRPr="005B6D34">
          <w:rPr>
            <w:rStyle w:val="Hyperlink"/>
          </w:rPr>
          <w:t>http://ptadb.wto.org</w:t>
        </w:r>
      </w:hyperlink>
      <w:r w:rsidR="00CB5364">
        <w:t xml:space="preserve">). </w:t>
      </w:r>
    </w:p>
    <w:p w14:paraId="38F49E87" w14:textId="616A5EE7" w:rsidR="007D0AA6" w:rsidRDefault="007D0AA6" w:rsidP="007D0AA6">
      <w:pPr>
        <w:pStyle w:val="BodyText"/>
        <w:rPr>
          <w:u w:val="single"/>
        </w:rPr>
      </w:pPr>
      <w:r w:rsidRPr="007D0AA6">
        <w:rPr>
          <w:u w:val="single"/>
        </w:rPr>
        <w:t>Recent developments</w:t>
      </w:r>
    </w:p>
    <w:p w14:paraId="4A6A0116" w14:textId="2FD0339E" w:rsidR="005C1226" w:rsidRDefault="000F110F" w:rsidP="00D452AD">
      <w:pPr>
        <w:numPr>
          <w:ilvl w:val="0"/>
          <w:numId w:val="22"/>
        </w:numPr>
        <w:spacing w:after="240"/>
        <w:ind w:left="567" w:hanging="567"/>
      </w:pPr>
      <w:r>
        <w:t>The European Union updated</w:t>
      </w:r>
      <w:r w:rsidR="005C1226">
        <w:rPr>
          <w:rStyle w:val="FootnoteReference"/>
        </w:rPr>
        <w:footnoteReference w:id="1"/>
      </w:r>
      <w:r w:rsidR="00133520">
        <w:t xml:space="preserve"> </w:t>
      </w:r>
      <w:r w:rsidR="00315991">
        <w:t xml:space="preserve">Members </w:t>
      </w:r>
      <w:r>
        <w:t xml:space="preserve">on </w:t>
      </w:r>
      <w:r w:rsidR="00133520">
        <w:t xml:space="preserve">the </w:t>
      </w:r>
      <w:r w:rsidR="001D2AE2">
        <w:t>implementation of the self</w:t>
      </w:r>
      <w:r w:rsidR="00B2342C">
        <w:noBreakHyphen/>
      </w:r>
      <w:r w:rsidR="001D2AE2" w:rsidRPr="00D452AD">
        <w:rPr>
          <w:szCs w:val="18"/>
        </w:rPr>
        <w:t>certification</w:t>
      </w:r>
      <w:r w:rsidR="001D2AE2">
        <w:t xml:space="preserve"> system for registered exporters </w:t>
      </w:r>
      <w:r w:rsidR="00133520">
        <w:t>(</w:t>
      </w:r>
      <w:r w:rsidR="00133520" w:rsidRPr="001D2AE2">
        <w:t>Registered Exporter system</w:t>
      </w:r>
      <w:r w:rsidR="00133520">
        <w:t>, REX</w:t>
      </w:r>
      <w:r w:rsidR="00D92DAB">
        <w:t xml:space="preserve">, </w:t>
      </w:r>
      <w:r w:rsidR="00D92DAB" w:rsidRPr="00D92DAB">
        <w:t xml:space="preserve">also used by </w:t>
      </w:r>
      <w:r w:rsidR="005F77DA">
        <w:t>Norway,</w:t>
      </w:r>
      <w:r w:rsidR="00D92DAB">
        <w:t xml:space="preserve"> </w:t>
      </w:r>
      <w:r w:rsidR="005F77DA">
        <w:t>Switzerland and Turkey</w:t>
      </w:r>
      <w:r w:rsidR="00133520" w:rsidRPr="00D92DAB">
        <w:t>)</w:t>
      </w:r>
      <w:r w:rsidRPr="00D92DAB">
        <w:t>.</w:t>
      </w:r>
      <w:r>
        <w:t xml:space="preserve"> </w:t>
      </w:r>
      <w:r w:rsidR="00117C61">
        <w:t xml:space="preserve">The system is </w:t>
      </w:r>
      <w:r w:rsidR="00187435">
        <w:t>a</w:t>
      </w:r>
      <w:r w:rsidR="00117C61">
        <w:t xml:space="preserve"> trade facilitating tool as </w:t>
      </w:r>
      <w:r w:rsidR="0033733B">
        <w:t>it allows</w:t>
      </w:r>
      <w:r w:rsidR="00117C61">
        <w:t xml:space="preserve"> exporters </w:t>
      </w:r>
      <w:r w:rsidR="0033733B">
        <w:t xml:space="preserve">to </w:t>
      </w:r>
      <w:r w:rsidR="00117C61">
        <w:t xml:space="preserve">declare the origin of the goods without </w:t>
      </w:r>
      <w:r w:rsidR="00187435">
        <w:t xml:space="preserve">the need to </w:t>
      </w:r>
      <w:r w:rsidR="00117C61">
        <w:t>request</w:t>
      </w:r>
      <w:r w:rsidR="00187435">
        <w:t xml:space="preserve"> a</w:t>
      </w:r>
      <w:r w:rsidR="00117C61">
        <w:t xml:space="preserve"> certificate of origin form designated </w:t>
      </w:r>
      <w:r w:rsidR="0033733B">
        <w:t xml:space="preserve">third-party </w:t>
      </w:r>
      <w:r w:rsidR="00117C61">
        <w:t>authorities.</w:t>
      </w:r>
      <w:r w:rsidR="005E6CDB">
        <w:t xml:space="preserve"> According to the EU, a few least-developed countries had not yet completed the </w:t>
      </w:r>
      <w:r w:rsidR="005E6CDB">
        <w:lastRenderedPageBreak/>
        <w:t>necessary procedures to transition to this new system and were therefore not able to utilize trade preferences in the EU for the moment.</w:t>
      </w:r>
    </w:p>
    <w:p w14:paraId="48B72C2E" w14:textId="35B4C0B1" w:rsidR="00A70913" w:rsidRDefault="000F110F" w:rsidP="00EE78AF">
      <w:pPr>
        <w:numPr>
          <w:ilvl w:val="0"/>
          <w:numId w:val="22"/>
        </w:numPr>
        <w:spacing w:after="240"/>
        <w:ind w:left="567" w:hanging="567"/>
      </w:pPr>
      <w:r>
        <w:t xml:space="preserve">The United Kingdom </w:t>
      </w:r>
      <w:r w:rsidR="0033733B">
        <w:t>explained</w:t>
      </w:r>
      <w:r w:rsidR="00A70913">
        <w:t xml:space="preserve"> that </w:t>
      </w:r>
      <w:r w:rsidR="0033733B">
        <w:t xml:space="preserve">its </w:t>
      </w:r>
      <w:r w:rsidR="00A70913">
        <w:t xml:space="preserve">General System of Preferences (GSP) </w:t>
      </w:r>
      <w:r w:rsidR="0033733B">
        <w:t xml:space="preserve">had been </w:t>
      </w:r>
      <w:r w:rsidR="00A70913">
        <w:t>l</w:t>
      </w:r>
      <w:r w:rsidR="0033733B">
        <w:t>a</w:t>
      </w:r>
      <w:r w:rsidR="00A70913">
        <w:t xml:space="preserve">unched successfully. The </w:t>
      </w:r>
      <w:r w:rsidR="0033733B">
        <w:t xml:space="preserve">delegation also reported that it </w:t>
      </w:r>
      <w:r w:rsidR="005E6CDB">
        <w:t xml:space="preserve">was </w:t>
      </w:r>
      <w:r w:rsidR="0033733B">
        <w:t xml:space="preserve">in the process of reviewing </w:t>
      </w:r>
      <w:r w:rsidR="005E6CDB">
        <w:t xml:space="preserve">its </w:t>
      </w:r>
      <w:r w:rsidR="0033733B">
        <w:t xml:space="preserve">preferential rules of origin with a view to simplifying </w:t>
      </w:r>
      <w:r w:rsidR="005E6CDB">
        <w:t>them</w:t>
      </w:r>
      <w:r w:rsidR="0033733B">
        <w:t>.</w:t>
      </w:r>
      <w:r w:rsidR="00A70913">
        <w:t xml:space="preserve"> Members, and specially </w:t>
      </w:r>
      <w:r w:rsidR="005E6CDB">
        <w:t>L</w:t>
      </w:r>
      <w:r w:rsidR="00A70913">
        <w:t xml:space="preserve">GCs, were </w:t>
      </w:r>
      <w:r w:rsidR="005E6CDB">
        <w:t xml:space="preserve">encouraged </w:t>
      </w:r>
      <w:r w:rsidR="00A70913">
        <w:t xml:space="preserve">to provide </w:t>
      </w:r>
      <w:r w:rsidR="005E6CDB">
        <w:t>comments in a consultative process which had been launched</w:t>
      </w:r>
      <w:r w:rsidR="00A70913">
        <w:t xml:space="preserve">.  </w:t>
      </w:r>
    </w:p>
    <w:p w14:paraId="121A9CBD" w14:textId="7251230F" w:rsidR="006A11B4" w:rsidRDefault="006A11B4" w:rsidP="00EE78AF">
      <w:pPr>
        <w:numPr>
          <w:ilvl w:val="0"/>
          <w:numId w:val="22"/>
        </w:numPr>
        <w:spacing w:after="240"/>
        <w:ind w:left="567" w:hanging="567"/>
      </w:pPr>
      <w:r>
        <w:t>A representative of UNCTAD made a presentation regarding the newly developed website (</w:t>
      </w:r>
      <w:hyperlink r:id="rId10" w:history="1">
        <w:r w:rsidRPr="008845AD">
          <w:rPr>
            <w:rStyle w:val="Hyperlink"/>
          </w:rPr>
          <w:t>https://gsp.unctad.org/home</w:t>
        </w:r>
      </w:hyperlink>
      <w:r>
        <w:t>) and database on the utilization of preferential schemes. Three main search options were possible for the database, namely: i) utilization by product; (ii) top products imported from a beneficiary; and (iii) utilization by country. As noted, the methodology for calculation of utilization rates was similar to the one applied by the WTO.</w:t>
      </w:r>
    </w:p>
    <w:p w14:paraId="58842962" w14:textId="2DB30404" w:rsidR="007D0AA6" w:rsidRPr="007D0AA6" w:rsidRDefault="0016749F" w:rsidP="007D0AA6">
      <w:pPr>
        <w:pStyle w:val="BodyText"/>
        <w:rPr>
          <w:u w:val="single"/>
        </w:rPr>
      </w:pPr>
      <w:r>
        <w:rPr>
          <w:u w:val="single"/>
          <w:lang w:eastAsia="ko-KR"/>
        </w:rPr>
        <w:t>Stocktaking of implementation of the Bali and Nairobi Ministerial Decisions</w:t>
      </w:r>
    </w:p>
    <w:p w14:paraId="6E5EA2DC" w14:textId="63E38CF5" w:rsidR="001261C2" w:rsidRDefault="001261C2" w:rsidP="001261C2">
      <w:pPr>
        <w:numPr>
          <w:ilvl w:val="0"/>
          <w:numId w:val="22"/>
        </w:numPr>
        <w:spacing w:after="240"/>
        <w:ind w:left="567" w:hanging="567"/>
      </w:pPr>
      <w:r>
        <w:t xml:space="preserve">Tanzania </w:t>
      </w:r>
      <w:r>
        <w:rPr>
          <w:rFonts w:asciiTheme="minorHAnsi" w:hAnsiTheme="minorHAnsi"/>
        </w:rPr>
        <w:t>(</w:t>
      </w:r>
      <w:r>
        <w:t>on behalf of the LDC Group) indicated th</w:t>
      </w:r>
      <w:r w:rsidR="0033733B">
        <w:t>at</w:t>
      </w:r>
      <w:r>
        <w:t xml:space="preserve"> document G/RO/W/194 </w:t>
      </w:r>
      <w:r w:rsidR="0033733B">
        <w:t xml:space="preserve">had been </w:t>
      </w:r>
      <w:r>
        <w:t xml:space="preserve">prepared on the </w:t>
      </w:r>
      <w:r w:rsidR="0033733B">
        <w:t>occasion of the 5</w:t>
      </w:r>
      <w:r w:rsidR="0033733B" w:rsidRPr="0033733B">
        <w:rPr>
          <w:vertAlign w:val="superscript"/>
        </w:rPr>
        <w:t>th</w:t>
      </w:r>
      <w:r w:rsidR="0033733B">
        <w:t xml:space="preserve"> </w:t>
      </w:r>
      <w:r>
        <w:t xml:space="preserve">anniversary of the Nairobi Ministerial Decision. </w:t>
      </w:r>
      <w:r w:rsidR="0033733B">
        <w:t xml:space="preserve">It acknowledged </w:t>
      </w:r>
      <w:r>
        <w:t xml:space="preserve">progress </w:t>
      </w:r>
      <w:r w:rsidR="0033733B">
        <w:t xml:space="preserve">made on </w:t>
      </w:r>
      <w:r>
        <w:t>transparency</w:t>
      </w:r>
      <w:r w:rsidR="005A64D1">
        <w:t xml:space="preserve"> </w:t>
      </w:r>
      <w:r w:rsidR="0033733B">
        <w:t xml:space="preserve">but noted that </w:t>
      </w:r>
      <w:r>
        <w:t>restrictive rules of origin and origin requirements</w:t>
      </w:r>
      <w:r w:rsidR="0033733B">
        <w:t xml:space="preserve"> continued to be used by many preference-granting Members in several cases</w:t>
      </w:r>
      <w:r>
        <w:t xml:space="preserve">. </w:t>
      </w:r>
    </w:p>
    <w:p w14:paraId="78BD9A45" w14:textId="1761F374" w:rsidR="007D0AA6" w:rsidRPr="007D0AA6" w:rsidRDefault="007D0AA6" w:rsidP="007D0AA6">
      <w:pPr>
        <w:pStyle w:val="BodyText"/>
        <w:rPr>
          <w:u w:val="single"/>
        </w:rPr>
      </w:pPr>
      <w:r w:rsidRPr="007D0AA6">
        <w:rPr>
          <w:u w:val="single"/>
        </w:rPr>
        <w:t>Impact of rules of origin on preference utilization (calculation of utilization rates)</w:t>
      </w:r>
    </w:p>
    <w:p w14:paraId="75EADABD" w14:textId="61590A90" w:rsidR="005E6CDB" w:rsidRDefault="00BD2BE1" w:rsidP="005E6CDB">
      <w:pPr>
        <w:numPr>
          <w:ilvl w:val="0"/>
          <w:numId w:val="22"/>
        </w:numPr>
        <w:spacing w:after="240"/>
      </w:pPr>
      <w:r w:rsidRPr="002C2D3C">
        <w:t xml:space="preserve">Members considered a note </w:t>
      </w:r>
      <w:r w:rsidR="002C2D3C" w:rsidRPr="00791C26">
        <w:rPr>
          <w:rFonts w:asciiTheme="minorHAnsi" w:hAnsiTheme="minorHAnsi"/>
          <w:lang w:eastAsia="ko-KR"/>
        </w:rPr>
        <w:t>(</w:t>
      </w:r>
      <w:r w:rsidR="002C2D3C" w:rsidRPr="002C2D3C">
        <w:t>G/RO/W/204</w:t>
      </w:r>
      <w:r w:rsidR="002C2D3C" w:rsidRPr="00791C26">
        <w:rPr>
          <w:rFonts w:asciiTheme="minorHAnsi" w:hAnsiTheme="minorHAnsi"/>
          <w:lang w:eastAsia="ko-KR"/>
        </w:rPr>
        <w:t xml:space="preserve">) </w:t>
      </w:r>
      <w:r w:rsidRPr="002C2D3C">
        <w:t xml:space="preserve">by the Secretariat on </w:t>
      </w:r>
      <w:r w:rsidR="002C2D3C" w:rsidRPr="00791C26">
        <w:rPr>
          <w:rFonts w:asciiTheme="minorHAnsi" w:hAnsiTheme="minorHAnsi"/>
        </w:rPr>
        <w:t>"</w:t>
      </w:r>
      <w:r w:rsidR="002C2D3C" w:rsidRPr="002C2D3C">
        <w:t>Utilization of Trade Preferences by Least Developed Countries: 2015-2019 Patterns and Trends"</w:t>
      </w:r>
      <w:r w:rsidR="002C2D3C">
        <w:t xml:space="preserve">. </w:t>
      </w:r>
      <w:r w:rsidR="0016749F">
        <w:t xml:space="preserve">Thanks to better data availability, the Secretariat analysed trends in utilization rates over a five-year period. </w:t>
      </w:r>
      <w:r w:rsidR="005E6CDB">
        <w:t>The note confirmed that underutilization could be significant for some preferential schemes and some sectors. It also confirmed that the ability to utilize trade preferences varied greatly from one LDC to another. Finally, it had shown that that landlocked LDCs faced greater challenges in utilizing trade preferences: while there had been a slight improvement in the level of preference utilization by LDCs with sea access, a noticeable deterioration in utilization could be observed for landlocked LDCs.</w:t>
      </w:r>
    </w:p>
    <w:p w14:paraId="53548E6B" w14:textId="41536E7E" w:rsidR="002A4EE9" w:rsidRDefault="005E6CDB" w:rsidP="005E6CDB">
      <w:pPr>
        <w:numPr>
          <w:ilvl w:val="0"/>
          <w:numId w:val="22"/>
        </w:numPr>
        <w:spacing w:after="240"/>
      </w:pPr>
      <w:r>
        <w:t xml:space="preserve">On 19 May, members participated in a webinar on "What Drives the Utilization of Trade Preferences" organized by the Secretariat. The webinar was an opportunity to review the research conducted so far by the Secretariat on the utilization of trade preferences by LDCs. In addition, it was also an opportunity to learn more about research being conducted by other institutions on the linkages between rules of origin and the utilization of trade preferences. Finally, the workshop also offered Members an opportunity to learn from each other's experiences in monitoring the utilization of trade preferences and working with the private sector to train operators on origin requirements and promote a fuller utilization of trade preferences. The programme, presentations and video recording of an event can be accessed through the rules of origin page of the WTO website </w:t>
      </w:r>
      <w:r w:rsidR="002A4EE9">
        <w:t>(</w:t>
      </w:r>
      <w:hyperlink r:id="rId11" w:history="1">
        <w:r w:rsidR="002A4EE9" w:rsidRPr="008845AD">
          <w:rPr>
            <w:rStyle w:val="Hyperlink"/>
          </w:rPr>
          <w:t>https://www.wto.org/english/tratop_e/roi_e/preference_utilization_190521_e.htm</w:t>
        </w:r>
      </w:hyperlink>
      <w:r w:rsidR="002A4EE9">
        <w:t>).</w:t>
      </w:r>
    </w:p>
    <w:p w14:paraId="5BD09542" w14:textId="759F93AB" w:rsidR="007D0AA6" w:rsidRPr="00C61EDE" w:rsidRDefault="007D0AA6" w:rsidP="00D576A7">
      <w:pPr>
        <w:pStyle w:val="BodyText"/>
        <w:rPr>
          <w:u w:val="single"/>
        </w:rPr>
      </w:pPr>
      <w:r w:rsidRPr="006E4E9B">
        <w:rPr>
          <w:u w:val="single"/>
        </w:rPr>
        <w:t xml:space="preserve">Annual </w:t>
      </w:r>
      <w:r w:rsidRPr="00C61EDE">
        <w:rPr>
          <w:u w:val="single"/>
        </w:rPr>
        <w:t>review</w:t>
      </w:r>
      <w:r w:rsidR="006E4E9B" w:rsidRPr="00C61EDE">
        <w:rPr>
          <w:u w:val="single"/>
        </w:rPr>
        <w:t xml:space="preserve"> of implementation</w:t>
      </w:r>
    </w:p>
    <w:p w14:paraId="05F0EB74" w14:textId="3E46E888" w:rsidR="005632DC" w:rsidRPr="00EA5B24" w:rsidRDefault="005632DC" w:rsidP="00D576A7">
      <w:pPr>
        <w:numPr>
          <w:ilvl w:val="0"/>
          <w:numId w:val="22"/>
        </w:numPr>
        <w:spacing w:after="240"/>
        <w:ind w:left="567" w:hanging="567"/>
        <w:rPr>
          <w:lang w:eastAsia="ko-KR"/>
        </w:rPr>
      </w:pPr>
      <w:r w:rsidRPr="00C61EDE">
        <w:rPr>
          <w:lang w:eastAsia="ko-KR"/>
        </w:rPr>
        <w:t xml:space="preserve">The report of the CRO to the General Council was </w:t>
      </w:r>
      <w:r w:rsidR="00C61EDE" w:rsidRPr="00C61EDE">
        <w:rPr>
          <w:lang w:eastAsia="ko-KR"/>
        </w:rPr>
        <w:t>considered</w:t>
      </w:r>
      <w:r w:rsidRPr="00C61EDE">
        <w:rPr>
          <w:lang w:eastAsia="ko-KR"/>
        </w:rPr>
        <w:t xml:space="preserve"> and adopted </w:t>
      </w:r>
      <w:r w:rsidR="00C61EDE" w:rsidRPr="00C61EDE">
        <w:rPr>
          <w:lang w:eastAsia="ko-KR"/>
        </w:rPr>
        <w:t>on 14 October 2021</w:t>
      </w:r>
      <w:r w:rsidRPr="00C61EDE">
        <w:rPr>
          <w:lang w:eastAsia="ko-KR"/>
        </w:rPr>
        <w:t>.</w:t>
      </w:r>
    </w:p>
    <w:p w14:paraId="6B4E9BCD" w14:textId="77777777" w:rsidR="00D576A7" w:rsidRPr="00D576A7" w:rsidRDefault="00D576A7" w:rsidP="00D576A7">
      <w:pPr>
        <w:jc w:val="center"/>
      </w:pPr>
      <w:r>
        <w:rPr>
          <w:b/>
        </w:rPr>
        <w:t>__________</w:t>
      </w:r>
    </w:p>
    <w:sectPr w:rsidR="00D576A7" w:rsidRPr="00D576A7" w:rsidSect="00F76B47">
      <w:headerReference w:type="even" r:id="rId12"/>
      <w:headerReference w:type="default" r:id="rId13"/>
      <w:footerReference w:type="even" r:id="rId14"/>
      <w:footerReference w:type="default" r:id="rId15"/>
      <w:headerReference w:type="first" r:id="rId16"/>
      <w:footerReference w:type="first" r:id="rId17"/>
      <w:pgSz w:w="11906" w:h="16838" w:code="9"/>
      <w:pgMar w:top="1701" w:right="1286"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71ED" w14:textId="77777777" w:rsidR="00C2703E" w:rsidRDefault="00C2703E" w:rsidP="00ED54E0">
      <w:r>
        <w:separator/>
      </w:r>
    </w:p>
  </w:endnote>
  <w:endnote w:type="continuationSeparator" w:id="0">
    <w:p w14:paraId="592C66E8" w14:textId="77777777" w:rsidR="00C2703E" w:rsidRDefault="00C2703E"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EF20" w14:textId="145DB1D4" w:rsidR="00EE78AF" w:rsidRPr="00F76B47" w:rsidRDefault="00F76B47" w:rsidP="00F76B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79EF" w14:textId="54D70612" w:rsidR="00EE78AF" w:rsidRPr="00F76B47" w:rsidRDefault="00F76B47" w:rsidP="00F76B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99C8" w14:textId="77777777" w:rsidR="00304E67" w:rsidRDefault="0030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9806" w14:textId="77777777" w:rsidR="00C2703E" w:rsidRDefault="00C2703E" w:rsidP="00ED54E0">
      <w:r>
        <w:separator/>
      </w:r>
    </w:p>
  </w:footnote>
  <w:footnote w:type="continuationSeparator" w:id="0">
    <w:p w14:paraId="47A28421" w14:textId="77777777" w:rsidR="00C2703E" w:rsidRDefault="00C2703E" w:rsidP="00ED54E0">
      <w:r>
        <w:continuationSeparator/>
      </w:r>
    </w:p>
  </w:footnote>
  <w:footnote w:id="1">
    <w:p w14:paraId="0F145815" w14:textId="17D9634D" w:rsidR="00EE78AF" w:rsidRPr="005C1226" w:rsidRDefault="00EE78AF">
      <w:pPr>
        <w:pStyle w:val="FootnoteText"/>
      </w:pPr>
      <w:r>
        <w:rPr>
          <w:rStyle w:val="FootnoteReference"/>
        </w:rPr>
        <w:footnoteRef/>
      </w:r>
      <w:r>
        <w:t xml:space="preserve"> The presentation was circulated in document RD/RO/95</w:t>
      </w:r>
      <w:r w:rsidR="00EA5B2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EBCC" w14:textId="77777777" w:rsidR="00F76B47" w:rsidRPr="00F76B47" w:rsidRDefault="00F76B47" w:rsidP="00F76B47">
    <w:pPr>
      <w:pStyle w:val="Header"/>
      <w:pBdr>
        <w:bottom w:val="single" w:sz="4" w:space="1" w:color="auto"/>
      </w:pBdr>
      <w:tabs>
        <w:tab w:val="clear" w:pos="4513"/>
        <w:tab w:val="clear" w:pos="9027"/>
      </w:tabs>
      <w:jc w:val="center"/>
    </w:pPr>
    <w:r w:rsidRPr="00F76B47">
      <w:t>G/RO/W/207</w:t>
    </w:r>
  </w:p>
  <w:p w14:paraId="44DEC246" w14:textId="77777777" w:rsidR="00F76B47" w:rsidRPr="00F76B47" w:rsidRDefault="00F76B47" w:rsidP="00F76B47">
    <w:pPr>
      <w:pStyle w:val="Header"/>
      <w:pBdr>
        <w:bottom w:val="single" w:sz="4" w:space="1" w:color="auto"/>
      </w:pBdr>
      <w:tabs>
        <w:tab w:val="clear" w:pos="4513"/>
        <w:tab w:val="clear" w:pos="9027"/>
      </w:tabs>
      <w:jc w:val="center"/>
    </w:pPr>
  </w:p>
  <w:p w14:paraId="30798056" w14:textId="7AF5DAFB" w:rsidR="00F76B47" w:rsidRPr="00F76B47" w:rsidRDefault="00F76B47" w:rsidP="00F76B47">
    <w:pPr>
      <w:pStyle w:val="Header"/>
      <w:pBdr>
        <w:bottom w:val="single" w:sz="4" w:space="1" w:color="auto"/>
      </w:pBdr>
      <w:tabs>
        <w:tab w:val="clear" w:pos="4513"/>
        <w:tab w:val="clear" w:pos="9027"/>
      </w:tabs>
      <w:jc w:val="center"/>
    </w:pPr>
    <w:r w:rsidRPr="00F76B47">
      <w:t xml:space="preserve">- </w:t>
    </w:r>
    <w:r w:rsidRPr="00F76B47">
      <w:fldChar w:fldCharType="begin"/>
    </w:r>
    <w:r w:rsidRPr="00F76B47">
      <w:instrText xml:space="preserve"> PAGE </w:instrText>
    </w:r>
    <w:r w:rsidRPr="00F76B47">
      <w:fldChar w:fldCharType="separate"/>
    </w:r>
    <w:r w:rsidRPr="00F76B47">
      <w:rPr>
        <w:noProof/>
      </w:rPr>
      <w:t>2</w:t>
    </w:r>
    <w:r w:rsidRPr="00F76B47">
      <w:fldChar w:fldCharType="end"/>
    </w:r>
    <w:r w:rsidRPr="00F76B47">
      <w:t xml:space="preserve"> -</w:t>
    </w:r>
  </w:p>
  <w:p w14:paraId="277E2296" w14:textId="57BE0959" w:rsidR="00EE78AF" w:rsidRPr="00F76B47" w:rsidRDefault="00EE78AF" w:rsidP="00F76B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47FC" w14:textId="77777777" w:rsidR="00F76B47" w:rsidRPr="00F76B47" w:rsidRDefault="00F76B47" w:rsidP="00F76B47">
    <w:pPr>
      <w:pStyle w:val="Header"/>
      <w:pBdr>
        <w:bottom w:val="single" w:sz="4" w:space="1" w:color="auto"/>
      </w:pBdr>
      <w:tabs>
        <w:tab w:val="clear" w:pos="4513"/>
        <w:tab w:val="clear" w:pos="9027"/>
      </w:tabs>
      <w:jc w:val="center"/>
    </w:pPr>
    <w:r w:rsidRPr="00F76B47">
      <w:t>G/RO/W/207</w:t>
    </w:r>
  </w:p>
  <w:p w14:paraId="631C8242" w14:textId="77777777" w:rsidR="00F76B47" w:rsidRPr="00F76B47" w:rsidRDefault="00F76B47" w:rsidP="00F76B47">
    <w:pPr>
      <w:pStyle w:val="Header"/>
      <w:pBdr>
        <w:bottom w:val="single" w:sz="4" w:space="1" w:color="auto"/>
      </w:pBdr>
      <w:tabs>
        <w:tab w:val="clear" w:pos="4513"/>
        <w:tab w:val="clear" w:pos="9027"/>
      </w:tabs>
      <w:jc w:val="center"/>
    </w:pPr>
  </w:p>
  <w:p w14:paraId="4CBBBFCA" w14:textId="4F9D5D98" w:rsidR="00F76B47" w:rsidRPr="00F76B47" w:rsidRDefault="00F76B47" w:rsidP="00F76B47">
    <w:pPr>
      <w:pStyle w:val="Header"/>
      <w:pBdr>
        <w:bottom w:val="single" w:sz="4" w:space="1" w:color="auto"/>
      </w:pBdr>
      <w:tabs>
        <w:tab w:val="clear" w:pos="4513"/>
        <w:tab w:val="clear" w:pos="9027"/>
      </w:tabs>
      <w:jc w:val="center"/>
    </w:pPr>
    <w:r w:rsidRPr="00F76B47">
      <w:t xml:space="preserve">- </w:t>
    </w:r>
    <w:r w:rsidRPr="00F76B47">
      <w:fldChar w:fldCharType="begin"/>
    </w:r>
    <w:r w:rsidRPr="00F76B47">
      <w:instrText xml:space="preserve"> PAGE </w:instrText>
    </w:r>
    <w:r w:rsidRPr="00F76B47">
      <w:fldChar w:fldCharType="separate"/>
    </w:r>
    <w:r w:rsidRPr="00F76B47">
      <w:rPr>
        <w:noProof/>
      </w:rPr>
      <w:t>2</w:t>
    </w:r>
    <w:r w:rsidRPr="00F76B47">
      <w:fldChar w:fldCharType="end"/>
    </w:r>
    <w:r w:rsidRPr="00F76B47">
      <w:t xml:space="preserve"> -</w:t>
    </w:r>
  </w:p>
  <w:p w14:paraId="7F74B770" w14:textId="697BC830" w:rsidR="00EE78AF" w:rsidRPr="00F76B47" w:rsidRDefault="00EE78AF" w:rsidP="00F76B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78AF" w:rsidRPr="009D71EB" w14:paraId="357D3FBA" w14:textId="77777777" w:rsidTr="00544326">
      <w:trPr>
        <w:trHeight w:val="240"/>
        <w:jc w:val="center"/>
      </w:trPr>
      <w:tc>
        <w:tcPr>
          <w:tcW w:w="3794" w:type="dxa"/>
          <w:shd w:val="clear" w:color="auto" w:fill="FFFFFF"/>
          <w:tcMar>
            <w:left w:w="108" w:type="dxa"/>
            <w:right w:w="108" w:type="dxa"/>
          </w:tcMar>
          <w:vAlign w:val="center"/>
        </w:tcPr>
        <w:p w14:paraId="13C1138D" w14:textId="77777777" w:rsidR="00EE78AF" w:rsidRPr="009D71EB" w:rsidRDefault="00EE78AF" w:rsidP="00EF5662">
          <w:pPr>
            <w:rPr>
              <w:noProof/>
              <w:lang w:eastAsia="en-GB"/>
            </w:rPr>
          </w:pPr>
        </w:p>
      </w:tc>
      <w:tc>
        <w:tcPr>
          <w:tcW w:w="5448" w:type="dxa"/>
          <w:gridSpan w:val="2"/>
          <w:shd w:val="clear" w:color="auto" w:fill="FFFFFF"/>
          <w:tcMar>
            <w:left w:w="108" w:type="dxa"/>
            <w:right w:w="108" w:type="dxa"/>
          </w:tcMar>
          <w:vAlign w:val="center"/>
        </w:tcPr>
        <w:p w14:paraId="7117B4BA" w14:textId="46304988" w:rsidR="00EE78AF" w:rsidRPr="009D71EB" w:rsidRDefault="00F76B47" w:rsidP="00EF5662">
          <w:pPr>
            <w:jc w:val="right"/>
            <w:rPr>
              <w:b/>
              <w:color w:val="FF0000"/>
              <w:szCs w:val="16"/>
            </w:rPr>
          </w:pPr>
          <w:bookmarkStart w:id="1" w:name="bmkRestricted"/>
          <w:r>
            <w:rPr>
              <w:b/>
              <w:color w:val="FF0000"/>
              <w:szCs w:val="16"/>
            </w:rPr>
            <w:t>RESTRICTED</w:t>
          </w:r>
          <w:bookmarkEnd w:id="1"/>
        </w:p>
      </w:tc>
    </w:tr>
    <w:tr w:rsidR="00EE78AF" w:rsidRPr="009D71EB" w14:paraId="1EF1BD69" w14:textId="77777777" w:rsidTr="00544326">
      <w:trPr>
        <w:trHeight w:val="213"/>
        <w:jc w:val="center"/>
      </w:trPr>
      <w:tc>
        <w:tcPr>
          <w:tcW w:w="3794" w:type="dxa"/>
          <w:vMerge w:val="restart"/>
          <w:shd w:val="clear" w:color="auto" w:fill="FFFFFF"/>
          <w:tcMar>
            <w:left w:w="0" w:type="dxa"/>
            <w:right w:w="0" w:type="dxa"/>
          </w:tcMar>
        </w:tcPr>
        <w:p w14:paraId="21029BAA" w14:textId="77777777" w:rsidR="00EE78AF" w:rsidRPr="009D71EB" w:rsidRDefault="00EE78AF" w:rsidP="00EF5662">
          <w:pPr>
            <w:jc w:val="left"/>
          </w:pPr>
          <w:r w:rsidRPr="00722C92">
            <w:rPr>
              <w:noProof/>
              <w:lang w:eastAsia="en-GB"/>
            </w:rPr>
            <w:drawing>
              <wp:inline distT="0" distB="0" distL="0" distR="0" wp14:anchorId="15A3122C" wp14:editId="2BFCDC94">
                <wp:extent cx="2400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1A7B1B" w14:textId="77777777" w:rsidR="00EE78AF" w:rsidRPr="009D71EB" w:rsidRDefault="00EE78AF" w:rsidP="00EF5662">
          <w:pPr>
            <w:jc w:val="right"/>
            <w:rPr>
              <w:b/>
              <w:szCs w:val="16"/>
            </w:rPr>
          </w:pPr>
        </w:p>
      </w:tc>
    </w:tr>
    <w:tr w:rsidR="00EE78AF" w:rsidRPr="001C3722" w14:paraId="27336D3C" w14:textId="77777777" w:rsidTr="00544326">
      <w:trPr>
        <w:trHeight w:val="868"/>
        <w:jc w:val="center"/>
      </w:trPr>
      <w:tc>
        <w:tcPr>
          <w:tcW w:w="3794" w:type="dxa"/>
          <w:vMerge/>
          <w:shd w:val="clear" w:color="auto" w:fill="FFFFFF"/>
          <w:tcMar>
            <w:left w:w="108" w:type="dxa"/>
            <w:right w:w="108" w:type="dxa"/>
          </w:tcMar>
        </w:tcPr>
        <w:p w14:paraId="3AFC2FB3" w14:textId="77777777" w:rsidR="00EE78AF" w:rsidRPr="009D71EB" w:rsidRDefault="00EE78AF" w:rsidP="00EF5662">
          <w:pPr>
            <w:jc w:val="left"/>
            <w:rPr>
              <w:noProof/>
              <w:lang w:eastAsia="en-GB"/>
            </w:rPr>
          </w:pPr>
        </w:p>
      </w:tc>
      <w:tc>
        <w:tcPr>
          <w:tcW w:w="5448" w:type="dxa"/>
          <w:gridSpan w:val="2"/>
          <w:shd w:val="clear" w:color="auto" w:fill="FFFFFF"/>
          <w:tcMar>
            <w:left w:w="108" w:type="dxa"/>
            <w:right w:w="108" w:type="dxa"/>
          </w:tcMar>
        </w:tcPr>
        <w:p w14:paraId="383BEC00" w14:textId="77777777" w:rsidR="00F76B47" w:rsidRPr="00F76B47" w:rsidRDefault="00F76B47" w:rsidP="00EF5662">
          <w:pPr>
            <w:jc w:val="right"/>
            <w:rPr>
              <w:b/>
              <w:szCs w:val="16"/>
            </w:rPr>
          </w:pPr>
          <w:bookmarkStart w:id="2" w:name="bmkSymbols"/>
          <w:r w:rsidRPr="00F76B47">
            <w:rPr>
              <w:b/>
              <w:szCs w:val="16"/>
            </w:rPr>
            <w:t>G/RO/W/207</w:t>
          </w:r>
        </w:p>
        <w:bookmarkEnd w:id="2"/>
        <w:p w14:paraId="6A49AB09" w14:textId="2EC78B68" w:rsidR="00EE78AF" w:rsidRPr="00F76B47" w:rsidRDefault="00EE78AF" w:rsidP="00EF5662">
          <w:pPr>
            <w:jc w:val="right"/>
            <w:rPr>
              <w:b/>
              <w:szCs w:val="16"/>
            </w:rPr>
          </w:pPr>
        </w:p>
      </w:tc>
    </w:tr>
    <w:tr w:rsidR="00EE78AF" w:rsidRPr="00E435C0" w14:paraId="59511F9F" w14:textId="77777777" w:rsidTr="00544326">
      <w:trPr>
        <w:trHeight w:val="240"/>
        <w:jc w:val="center"/>
      </w:trPr>
      <w:tc>
        <w:tcPr>
          <w:tcW w:w="3794" w:type="dxa"/>
          <w:vMerge/>
          <w:shd w:val="clear" w:color="auto" w:fill="FFFFFF"/>
          <w:tcMar>
            <w:left w:w="108" w:type="dxa"/>
            <w:right w:w="108" w:type="dxa"/>
          </w:tcMar>
          <w:vAlign w:val="center"/>
        </w:tcPr>
        <w:p w14:paraId="7AF25F06" w14:textId="77777777" w:rsidR="00EE78AF" w:rsidRPr="009D71EB" w:rsidRDefault="00EE78AF" w:rsidP="00EF5662"/>
      </w:tc>
      <w:tc>
        <w:tcPr>
          <w:tcW w:w="5448" w:type="dxa"/>
          <w:gridSpan w:val="2"/>
          <w:shd w:val="clear" w:color="auto" w:fill="FFFFFF"/>
          <w:tcMar>
            <w:left w:w="108" w:type="dxa"/>
            <w:right w:w="108" w:type="dxa"/>
          </w:tcMar>
          <w:vAlign w:val="center"/>
        </w:tcPr>
        <w:p w14:paraId="3F346D47" w14:textId="6B04ACEF" w:rsidR="00EE78AF" w:rsidRPr="00F76B47" w:rsidRDefault="00964903" w:rsidP="00714218">
          <w:pPr>
            <w:jc w:val="right"/>
            <w:rPr>
              <w:szCs w:val="16"/>
            </w:rPr>
          </w:pPr>
          <w:r>
            <w:rPr>
              <w:szCs w:val="16"/>
            </w:rPr>
            <w:t>1 October</w:t>
          </w:r>
          <w:r w:rsidR="00EE78AF" w:rsidRPr="00F76B47">
            <w:rPr>
              <w:szCs w:val="16"/>
            </w:rPr>
            <w:t xml:space="preserve"> 2021</w:t>
          </w:r>
        </w:p>
      </w:tc>
    </w:tr>
    <w:tr w:rsidR="00EE78AF" w:rsidRPr="009D71EB" w14:paraId="39BCD51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370702" w14:textId="416F376B" w:rsidR="00EE78AF" w:rsidRPr="009D71EB" w:rsidRDefault="00EE78AF" w:rsidP="00417ECF">
          <w:pPr>
            <w:jc w:val="left"/>
            <w:rPr>
              <w:b/>
            </w:rPr>
          </w:pPr>
          <w:bookmarkStart w:id="3" w:name="bmkSerial" w:colFirst="0" w:colLast="0"/>
          <w:r w:rsidRPr="009D71EB">
            <w:rPr>
              <w:color w:val="FF0000"/>
              <w:szCs w:val="16"/>
            </w:rPr>
            <w:t>(</w:t>
          </w:r>
          <w:r w:rsidR="00964903">
            <w:rPr>
              <w:color w:val="FF0000"/>
              <w:szCs w:val="16"/>
            </w:rPr>
            <w:t>21</w:t>
          </w:r>
          <w:r>
            <w:rPr>
              <w:color w:val="FF0000"/>
              <w:szCs w:val="16"/>
            </w:rPr>
            <w:t>-</w:t>
          </w:r>
          <w:r w:rsidR="00304E67">
            <w:rPr>
              <w:color w:val="FF0000"/>
              <w:szCs w:val="16"/>
            </w:rPr>
            <w:t>7371</w:t>
          </w:r>
          <w:r w:rsidRPr="009D71EB">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2148EF4" w14:textId="77777777" w:rsidR="00EE78AF" w:rsidRPr="009D71EB" w:rsidRDefault="00EE78AF" w:rsidP="00254EDD">
          <w:pPr>
            <w:jc w:val="right"/>
            <w:rPr>
              <w:szCs w:val="16"/>
            </w:rPr>
          </w:pPr>
          <w:bookmarkStart w:id="4" w:name="bmkTotPages"/>
          <w:r w:rsidRPr="009D71EB">
            <w:rPr>
              <w:bCs/>
              <w:szCs w:val="16"/>
            </w:rPr>
            <w:t xml:space="preserve">Page: </w:t>
          </w:r>
          <w:r w:rsidRPr="009D71EB">
            <w:rPr>
              <w:bCs/>
              <w:szCs w:val="16"/>
            </w:rPr>
            <w:fldChar w:fldCharType="begin"/>
          </w:r>
          <w:r w:rsidRPr="009D71EB">
            <w:rPr>
              <w:bCs/>
              <w:szCs w:val="16"/>
            </w:rPr>
            <w:instrText xml:space="preserve"> PAGE  \* Arabic  \* MERGEFORMAT </w:instrText>
          </w:r>
          <w:r w:rsidRPr="009D71EB">
            <w:rPr>
              <w:bCs/>
              <w:szCs w:val="16"/>
            </w:rPr>
            <w:fldChar w:fldCharType="separate"/>
          </w:r>
          <w:r>
            <w:rPr>
              <w:bCs/>
              <w:noProof/>
              <w:szCs w:val="16"/>
            </w:rPr>
            <w:t>1</w:t>
          </w:r>
          <w:r w:rsidRPr="009D71EB">
            <w:rPr>
              <w:bCs/>
              <w:szCs w:val="16"/>
            </w:rPr>
            <w:fldChar w:fldCharType="end"/>
          </w:r>
          <w:r w:rsidRPr="009D71EB">
            <w:rPr>
              <w:bCs/>
              <w:szCs w:val="16"/>
            </w:rPr>
            <w:t>/</w:t>
          </w:r>
          <w:bookmarkEnd w:id="4"/>
          <w:r>
            <w:rPr>
              <w:bCs/>
              <w:szCs w:val="16"/>
            </w:rPr>
            <w:t>2</w:t>
          </w:r>
        </w:p>
      </w:tc>
    </w:tr>
    <w:bookmarkEnd w:id="3"/>
    <w:tr w:rsidR="00EE78AF" w:rsidRPr="009D71EB" w14:paraId="5305F09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47EB3D" w14:textId="77777777" w:rsidR="00EE78AF" w:rsidRPr="00472FC1" w:rsidRDefault="00EE78AF" w:rsidP="00EF5662">
          <w:pPr>
            <w:jc w:val="left"/>
            <w:rPr>
              <w:b/>
              <w:szCs w:val="18"/>
            </w:rPr>
          </w:pPr>
          <w:r w:rsidRPr="00472FC1">
            <w:rPr>
              <w:b/>
              <w:szCs w:val="18"/>
            </w:rPr>
            <w:t>Committee on Rules of Origin</w:t>
          </w:r>
        </w:p>
      </w:tc>
      <w:tc>
        <w:tcPr>
          <w:tcW w:w="3325" w:type="dxa"/>
          <w:tcBorders>
            <w:top w:val="single" w:sz="4" w:space="0" w:color="auto"/>
          </w:tcBorders>
          <w:tcMar>
            <w:top w:w="113" w:type="dxa"/>
            <w:left w:w="108" w:type="dxa"/>
            <w:bottom w:w="57" w:type="dxa"/>
            <w:right w:w="108" w:type="dxa"/>
          </w:tcMar>
          <w:vAlign w:val="center"/>
        </w:tcPr>
        <w:p w14:paraId="0E183DC2" w14:textId="62A7AFCF" w:rsidR="00EE78AF" w:rsidRPr="009D71EB" w:rsidRDefault="00F76B47" w:rsidP="00EF5662">
          <w:pPr>
            <w:jc w:val="right"/>
            <w:rPr>
              <w:bCs/>
              <w:szCs w:val="18"/>
            </w:rPr>
          </w:pPr>
          <w:bookmarkStart w:id="5" w:name="bmkLanguage"/>
          <w:r>
            <w:rPr>
              <w:szCs w:val="18"/>
            </w:rPr>
            <w:t xml:space="preserve"> </w:t>
          </w:r>
          <w:bookmarkEnd w:id="5"/>
        </w:p>
      </w:tc>
    </w:tr>
  </w:tbl>
  <w:p w14:paraId="25EC1578" w14:textId="77777777" w:rsidR="00EE78AF" w:rsidRDefault="00EE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1196"/>
    <w:multiLevelType w:val="hybridMultilevel"/>
    <w:tmpl w:val="A2FC075E"/>
    <w:lvl w:ilvl="0" w:tplc="C6100672">
      <w:start w:val="1"/>
      <w:numFmt w:val="bullet"/>
      <w:lvlText w:val=""/>
      <w:lvlJc w:val="left"/>
      <w:pPr>
        <w:ind w:left="45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17489"/>
    <w:multiLevelType w:val="hybridMultilevel"/>
    <w:tmpl w:val="2C4A5B86"/>
    <w:lvl w:ilvl="0" w:tplc="253E28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03B40"/>
    <w:multiLevelType w:val="hybridMultilevel"/>
    <w:tmpl w:val="9CFE3166"/>
    <w:lvl w:ilvl="0" w:tplc="C61006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CE3860"/>
    <w:multiLevelType w:val="hybridMultilevel"/>
    <w:tmpl w:val="117AF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D650F"/>
    <w:multiLevelType w:val="hybridMultilevel"/>
    <w:tmpl w:val="9A646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07D5B"/>
    <w:multiLevelType w:val="hybridMultilevel"/>
    <w:tmpl w:val="C90A1642"/>
    <w:lvl w:ilvl="0" w:tplc="51F46E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811286"/>
    <w:multiLevelType w:val="hybridMultilevel"/>
    <w:tmpl w:val="876CDEE6"/>
    <w:lvl w:ilvl="0" w:tplc="253E28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6556B"/>
    <w:multiLevelType w:val="hybridMultilevel"/>
    <w:tmpl w:val="40743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DA5FE1"/>
    <w:multiLevelType w:val="hybridMultilevel"/>
    <w:tmpl w:val="1180BCE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3C112EC"/>
    <w:multiLevelType w:val="hybridMultilevel"/>
    <w:tmpl w:val="5AB443AE"/>
    <w:lvl w:ilvl="0" w:tplc="C6100672">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95348F2"/>
    <w:multiLevelType w:val="singleLevel"/>
    <w:tmpl w:val="5FB64942"/>
    <w:lvl w:ilvl="0">
      <w:start w:val="1"/>
      <w:numFmt w:val="decimal"/>
      <w:lvlText w:val="%1."/>
      <w:lvlJc w:val="left"/>
      <w:pPr>
        <w:tabs>
          <w:tab w:val="num" w:pos="720"/>
        </w:tabs>
        <w:ind w:left="720" w:hanging="720"/>
      </w:pPr>
      <w:rPr>
        <w:rFonts w:hint="default"/>
        <w:b w:val="0"/>
      </w:rPr>
    </w:lvl>
  </w:abstractNum>
  <w:abstractNum w:abstractNumId="2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2" w15:restartNumberingAfterBreak="0">
    <w:nsid w:val="57454AB1"/>
    <w:multiLevelType w:val="multilevel"/>
    <w:tmpl w:val="075A666C"/>
    <w:numStyleLink w:val="LegalHeadings"/>
  </w:abstractNum>
  <w:abstractNum w:abstractNumId="23"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4" w15:restartNumberingAfterBreak="0">
    <w:nsid w:val="57C43771"/>
    <w:multiLevelType w:val="hybridMultilevel"/>
    <w:tmpl w:val="1180BCE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23"/>
  </w:num>
  <w:num w:numId="7">
    <w:abstractNumId w:val="22"/>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1"/>
  </w:num>
  <w:num w:numId="18">
    <w:abstractNumId w:val="16"/>
  </w:num>
  <w:num w:numId="19">
    <w:abstractNumId w:val="15"/>
  </w:num>
  <w:num w:numId="20">
    <w:abstractNumId w:val="19"/>
  </w:num>
  <w:num w:numId="21">
    <w:abstractNumId w:val="18"/>
  </w:num>
  <w:num w:numId="22">
    <w:abstractNumId w:val="10"/>
  </w:num>
  <w:num w:numId="23">
    <w:abstractNumId w:val="17"/>
  </w:num>
  <w:num w:numId="24">
    <w:abstractNumId w:val="24"/>
  </w:num>
  <w:num w:numId="25">
    <w:abstractNumId w:val="14"/>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EB"/>
    <w:rsid w:val="000272F6"/>
    <w:rsid w:val="00037AC4"/>
    <w:rsid w:val="000423BF"/>
    <w:rsid w:val="00043AA6"/>
    <w:rsid w:val="00060EA0"/>
    <w:rsid w:val="00061ABC"/>
    <w:rsid w:val="00066252"/>
    <w:rsid w:val="0007025F"/>
    <w:rsid w:val="000831B7"/>
    <w:rsid w:val="00084ED6"/>
    <w:rsid w:val="00094EC9"/>
    <w:rsid w:val="00096CAA"/>
    <w:rsid w:val="000A4945"/>
    <w:rsid w:val="000B31E1"/>
    <w:rsid w:val="000D2431"/>
    <w:rsid w:val="000E2555"/>
    <w:rsid w:val="000E534C"/>
    <w:rsid w:val="000F110F"/>
    <w:rsid w:val="00106409"/>
    <w:rsid w:val="0011356B"/>
    <w:rsid w:val="00117C61"/>
    <w:rsid w:val="001221C6"/>
    <w:rsid w:val="001255D9"/>
    <w:rsid w:val="001261C2"/>
    <w:rsid w:val="0013337F"/>
    <w:rsid w:val="00133520"/>
    <w:rsid w:val="0014326E"/>
    <w:rsid w:val="00146011"/>
    <w:rsid w:val="001619BA"/>
    <w:rsid w:val="0016749F"/>
    <w:rsid w:val="00182B84"/>
    <w:rsid w:val="00187435"/>
    <w:rsid w:val="00191255"/>
    <w:rsid w:val="00191EEC"/>
    <w:rsid w:val="00193981"/>
    <w:rsid w:val="00194580"/>
    <w:rsid w:val="001A6C30"/>
    <w:rsid w:val="001B0076"/>
    <w:rsid w:val="001B7461"/>
    <w:rsid w:val="001C0C5E"/>
    <w:rsid w:val="001C3722"/>
    <w:rsid w:val="001D2AE2"/>
    <w:rsid w:val="001D773E"/>
    <w:rsid w:val="001E13DF"/>
    <w:rsid w:val="001E291F"/>
    <w:rsid w:val="001E7334"/>
    <w:rsid w:val="001E7BDC"/>
    <w:rsid w:val="001F25AF"/>
    <w:rsid w:val="00233408"/>
    <w:rsid w:val="00240012"/>
    <w:rsid w:val="002414C7"/>
    <w:rsid w:val="00242251"/>
    <w:rsid w:val="00254EDD"/>
    <w:rsid w:val="00261379"/>
    <w:rsid w:val="002676A7"/>
    <w:rsid w:val="0027067B"/>
    <w:rsid w:val="00271A5E"/>
    <w:rsid w:val="0027378D"/>
    <w:rsid w:val="00274D9D"/>
    <w:rsid w:val="00276C41"/>
    <w:rsid w:val="00277101"/>
    <w:rsid w:val="00284058"/>
    <w:rsid w:val="00286582"/>
    <w:rsid w:val="00293EB7"/>
    <w:rsid w:val="0029680A"/>
    <w:rsid w:val="002A1E1F"/>
    <w:rsid w:val="002A4EE9"/>
    <w:rsid w:val="002A7E36"/>
    <w:rsid w:val="002C23B4"/>
    <w:rsid w:val="002C2D3C"/>
    <w:rsid w:val="002D2442"/>
    <w:rsid w:val="002D29FE"/>
    <w:rsid w:val="002E0116"/>
    <w:rsid w:val="00304E67"/>
    <w:rsid w:val="00305371"/>
    <w:rsid w:val="003071E8"/>
    <w:rsid w:val="00307331"/>
    <w:rsid w:val="0031402F"/>
    <w:rsid w:val="00315201"/>
    <w:rsid w:val="003156C6"/>
    <w:rsid w:val="00315991"/>
    <w:rsid w:val="003310AC"/>
    <w:rsid w:val="0033733B"/>
    <w:rsid w:val="003529B5"/>
    <w:rsid w:val="003572B4"/>
    <w:rsid w:val="00370DF8"/>
    <w:rsid w:val="00394BFF"/>
    <w:rsid w:val="003A29C5"/>
    <w:rsid w:val="003A3A43"/>
    <w:rsid w:val="003A6A66"/>
    <w:rsid w:val="003B5795"/>
    <w:rsid w:val="003C4AAA"/>
    <w:rsid w:val="003E4DAF"/>
    <w:rsid w:val="003F02D5"/>
    <w:rsid w:val="003F1792"/>
    <w:rsid w:val="003F6B52"/>
    <w:rsid w:val="0040428B"/>
    <w:rsid w:val="00414172"/>
    <w:rsid w:val="00415881"/>
    <w:rsid w:val="00417ECF"/>
    <w:rsid w:val="00421950"/>
    <w:rsid w:val="00444EDA"/>
    <w:rsid w:val="00465162"/>
    <w:rsid w:val="00467032"/>
    <w:rsid w:val="0046754A"/>
    <w:rsid w:val="00472FC1"/>
    <w:rsid w:val="00480766"/>
    <w:rsid w:val="00482F83"/>
    <w:rsid w:val="00491186"/>
    <w:rsid w:val="004A1786"/>
    <w:rsid w:val="004B0344"/>
    <w:rsid w:val="004B041A"/>
    <w:rsid w:val="004C1019"/>
    <w:rsid w:val="004D1766"/>
    <w:rsid w:val="004E0D53"/>
    <w:rsid w:val="004F203A"/>
    <w:rsid w:val="00500444"/>
    <w:rsid w:val="00507B04"/>
    <w:rsid w:val="005336B8"/>
    <w:rsid w:val="0053668A"/>
    <w:rsid w:val="005433C1"/>
    <w:rsid w:val="00544326"/>
    <w:rsid w:val="005469FD"/>
    <w:rsid w:val="00546A6D"/>
    <w:rsid w:val="00547B5F"/>
    <w:rsid w:val="00553CBF"/>
    <w:rsid w:val="00557D55"/>
    <w:rsid w:val="005632DC"/>
    <w:rsid w:val="00575567"/>
    <w:rsid w:val="005773D0"/>
    <w:rsid w:val="00597076"/>
    <w:rsid w:val="005A04BB"/>
    <w:rsid w:val="005A3B27"/>
    <w:rsid w:val="005A3EDE"/>
    <w:rsid w:val="005A64D1"/>
    <w:rsid w:val="005B04B9"/>
    <w:rsid w:val="005B68C7"/>
    <w:rsid w:val="005B7054"/>
    <w:rsid w:val="005C1226"/>
    <w:rsid w:val="005C3400"/>
    <w:rsid w:val="005C7455"/>
    <w:rsid w:val="005D224D"/>
    <w:rsid w:val="005D4D95"/>
    <w:rsid w:val="005D5981"/>
    <w:rsid w:val="005D68A2"/>
    <w:rsid w:val="005E6CDB"/>
    <w:rsid w:val="005F30CB"/>
    <w:rsid w:val="005F77DA"/>
    <w:rsid w:val="006114A7"/>
    <w:rsid w:val="00612644"/>
    <w:rsid w:val="00617E42"/>
    <w:rsid w:val="00623B07"/>
    <w:rsid w:val="00652F29"/>
    <w:rsid w:val="00663C30"/>
    <w:rsid w:val="00664B9E"/>
    <w:rsid w:val="00671309"/>
    <w:rsid w:val="00674CCD"/>
    <w:rsid w:val="00674E06"/>
    <w:rsid w:val="006927AD"/>
    <w:rsid w:val="006A11B4"/>
    <w:rsid w:val="006B1295"/>
    <w:rsid w:val="006C55C1"/>
    <w:rsid w:val="006D0056"/>
    <w:rsid w:val="006E4E9B"/>
    <w:rsid w:val="006E5943"/>
    <w:rsid w:val="006F5826"/>
    <w:rsid w:val="00700181"/>
    <w:rsid w:val="00704C98"/>
    <w:rsid w:val="007141CF"/>
    <w:rsid w:val="00714218"/>
    <w:rsid w:val="00723269"/>
    <w:rsid w:val="007241B5"/>
    <w:rsid w:val="00736516"/>
    <w:rsid w:val="00745146"/>
    <w:rsid w:val="007577E3"/>
    <w:rsid w:val="00760DB3"/>
    <w:rsid w:val="00762216"/>
    <w:rsid w:val="007636C0"/>
    <w:rsid w:val="00766EEE"/>
    <w:rsid w:val="0077635F"/>
    <w:rsid w:val="00784A7C"/>
    <w:rsid w:val="00791C26"/>
    <w:rsid w:val="007A71CB"/>
    <w:rsid w:val="007B14C9"/>
    <w:rsid w:val="007B24E8"/>
    <w:rsid w:val="007B4274"/>
    <w:rsid w:val="007C0BEC"/>
    <w:rsid w:val="007C10E7"/>
    <w:rsid w:val="007C1FEC"/>
    <w:rsid w:val="007D0AA6"/>
    <w:rsid w:val="007D6C02"/>
    <w:rsid w:val="007E43B9"/>
    <w:rsid w:val="007E6507"/>
    <w:rsid w:val="007F2B8E"/>
    <w:rsid w:val="007F2E5B"/>
    <w:rsid w:val="00803DBE"/>
    <w:rsid w:val="00807247"/>
    <w:rsid w:val="00840C2B"/>
    <w:rsid w:val="00844498"/>
    <w:rsid w:val="0085552E"/>
    <w:rsid w:val="00865131"/>
    <w:rsid w:val="008739FD"/>
    <w:rsid w:val="00873B9E"/>
    <w:rsid w:val="00875214"/>
    <w:rsid w:val="0089074C"/>
    <w:rsid w:val="00893E85"/>
    <w:rsid w:val="008A0035"/>
    <w:rsid w:val="008A5DB8"/>
    <w:rsid w:val="008B2A9A"/>
    <w:rsid w:val="008C21BF"/>
    <w:rsid w:val="008C6B8C"/>
    <w:rsid w:val="008D062F"/>
    <w:rsid w:val="008E372C"/>
    <w:rsid w:val="008E68A3"/>
    <w:rsid w:val="008E7D52"/>
    <w:rsid w:val="008F14BA"/>
    <w:rsid w:val="00905B48"/>
    <w:rsid w:val="00905DA5"/>
    <w:rsid w:val="00920D36"/>
    <w:rsid w:val="0092787C"/>
    <w:rsid w:val="009456C1"/>
    <w:rsid w:val="0095623B"/>
    <w:rsid w:val="00963035"/>
    <w:rsid w:val="00964903"/>
    <w:rsid w:val="009755DC"/>
    <w:rsid w:val="009A5AC9"/>
    <w:rsid w:val="009A6F54"/>
    <w:rsid w:val="009D71EB"/>
    <w:rsid w:val="009E3641"/>
    <w:rsid w:val="009E408D"/>
    <w:rsid w:val="009F674F"/>
    <w:rsid w:val="00A1097D"/>
    <w:rsid w:val="00A14610"/>
    <w:rsid w:val="00A1591E"/>
    <w:rsid w:val="00A160F9"/>
    <w:rsid w:val="00A25B67"/>
    <w:rsid w:val="00A3079D"/>
    <w:rsid w:val="00A35CD5"/>
    <w:rsid w:val="00A41094"/>
    <w:rsid w:val="00A50442"/>
    <w:rsid w:val="00A54C57"/>
    <w:rsid w:val="00A57B87"/>
    <w:rsid w:val="00A6057A"/>
    <w:rsid w:val="00A6355E"/>
    <w:rsid w:val="00A66335"/>
    <w:rsid w:val="00A70913"/>
    <w:rsid w:val="00A711E3"/>
    <w:rsid w:val="00A729AC"/>
    <w:rsid w:val="00A73D89"/>
    <w:rsid w:val="00A74017"/>
    <w:rsid w:val="00A938CF"/>
    <w:rsid w:val="00AA332C"/>
    <w:rsid w:val="00AB23F2"/>
    <w:rsid w:val="00AB34F6"/>
    <w:rsid w:val="00AC27F8"/>
    <w:rsid w:val="00AC4015"/>
    <w:rsid w:val="00AC76DB"/>
    <w:rsid w:val="00AD4C72"/>
    <w:rsid w:val="00AE12DC"/>
    <w:rsid w:val="00AE2AEE"/>
    <w:rsid w:val="00B00276"/>
    <w:rsid w:val="00B01862"/>
    <w:rsid w:val="00B04FF9"/>
    <w:rsid w:val="00B230EC"/>
    <w:rsid w:val="00B2342C"/>
    <w:rsid w:val="00B4181F"/>
    <w:rsid w:val="00B51263"/>
    <w:rsid w:val="00B52738"/>
    <w:rsid w:val="00B56EDC"/>
    <w:rsid w:val="00B578AB"/>
    <w:rsid w:val="00B72E01"/>
    <w:rsid w:val="00B73879"/>
    <w:rsid w:val="00B74483"/>
    <w:rsid w:val="00B913C9"/>
    <w:rsid w:val="00B94FAF"/>
    <w:rsid w:val="00BB1F84"/>
    <w:rsid w:val="00BC4B85"/>
    <w:rsid w:val="00BD2BE1"/>
    <w:rsid w:val="00BD4043"/>
    <w:rsid w:val="00BE5468"/>
    <w:rsid w:val="00BF4F58"/>
    <w:rsid w:val="00C1064D"/>
    <w:rsid w:val="00C11EAC"/>
    <w:rsid w:val="00C15F6D"/>
    <w:rsid w:val="00C22F77"/>
    <w:rsid w:val="00C2703E"/>
    <w:rsid w:val="00C305D7"/>
    <w:rsid w:val="00C30F2A"/>
    <w:rsid w:val="00C43456"/>
    <w:rsid w:val="00C45525"/>
    <w:rsid w:val="00C61EDE"/>
    <w:rsid w:val="00C6545C"/>
    <w:rsid w:val="00C656D6"/>
    <w:rsid w:val="00C65C0C"/>
    <w:rsid w:val="00C808FC"/>
    <w:rsid w:val="00C90A2A"/>
    <w:rsid w:val="00C96821"/>
    <w:rsid w:val="00CA62BC"/>
    <w:rsid w:val="00CB0684"/>
    <w:rsid w:val="00CB5364"/>
    <w:rsid w:val="00CB553C"/>
    <w:rsid w:val="00CD73E3"/>
    <w:rsid w:val="00CD7D97"/>
    <w:rsid w:val="00CE0EF1"/>
    <w:rsid w:val="00CE1A4B"/>
    <w:rsid w:val="00CE3EE6"/>
    <w:rsid w:val="00CE4BA1"/>
    <w:rsid w:val="00CF66E3"/>
    <w:rsid w:val="00CF69D8"/>
    <w:rsid w:val="00D000C7"/>
    <w:rsid w:val="00D134B7"/>
    <w:rsid w:val="00D16DFB"/>
    <w:rsid w:val="00D20BE0"/>
    <w:rsid w:val="00D221B8"/>
    <w:rsid w:val="00D2535A"/>
    <w:rsid w:val="00D27BC0"/>
    <w:rsid w:val="00D27DEF"/>
    <w:rsid w:val="00D309F7"/>
    <w:rsid w:val="00D32DBF"/>
    <w:rsid w:val="00D452AD"/>
    <w:rsid w:val="00D52A9D"/>
    <w:rsid w:val="00D52CB9"/>
    <w:rsid w:val="00D55AAD"/>
    <w:rsid w:val="00D576A7"/>
    <w:rsid w:val="00D66CE4"/>
    <w:rsid w:val="00D71600"/>
    <w:rsid w:val="00D747AE"/>
    <w:rsid w:val="00D77348"/>
    <w:rsid w:val="00D9226C"/>
    <w:rsid w:val="00D92DAB"/>
    <w:rsid w:val="00DA20BD"/>
    <w:rsid w:val="00DA75AD"/>
    <w:rsid w:val="00DB1592"/>
    <w:rsid w:val="00DB2D9C"/>
    <w:rsid w:val="00DE12E2"/>
    <w:rsid w:val="00DE1885"/>
    <w:rsid w:val="00DE50DB"/>
    <w:rsid w:val="00DF6AE1"/>
    <w:rsid w:val="00E11144"/>
    <w:rsid w:val="00E11DAD"/>
    <w:rsid w:val="00E21FBB"/>
    <w:rsid w:val="00E33728"/>
    <w:rsid w:val="00E435C0"/>
    <w:rsid w:val="00E45FDF"/>
    <w:rsid w:val="00E46FD5"/>
    <w:rsid w:val="00E544BB"/>
    <w:rsid w:val="00E56545"/>
    <w:rsid w:val="00E647FF"/>
    <w:rsid w:val="00E717E5"/>
    <w:rsid w:val="00E767CC"/>
    <w:rsid w:val="00E84A91"/>
    <w:rsid w:val="00E87BE6"/>
    <w:rsid w:val="00EA5B0A"/>
    <w:rsid w:val="00EA5B24"/>
    <w:rsid w:val="00EA5D4F"/>
    <w:rsid w:val="00EB178B"/>
    <w:rsid w:val="00EB33F7"/>
    <w:rsid w:val="00EB58F9"/>
    <w:rsid w:val="00EB5A9F"/>
    <w:rsid w:val="00EB6C56"/>
    <w:rsid w:val="00EC47A4"/>
    <w:rsid w:val="00ED0919"/>
    <w:rsid w:val="00ED54E0"/>
    <w:rsid w:val="00EE042F"/>
    <w:rsid w:val="00EE78AF"/>
    <w:rsid w:val="00EF5007"/>
    <w:rsid w:val="00EF5662"/>
    <w:rsid w:val="00F04590"/>
    <w:rsid w:val="00F06097"/>
    <w:rsid w:val="00F12DC7"/>
    <w:rsid w:val="00F13DA3"/>
    <w:rsid w:val="00F26349"/>
    <w:rsid w:val="00F32397"/>
    <w:rsid w:val="00F40595"/>
    <w:rsid w:val="00F416AC"/>
    <w:rsid w:val="00F5199A"/>
    <w:rsid w:val="00F56E75"/>
    <w:rsid w:val="00F76B47"/>
    <w:rsid w:val="00F770C7"/>
    <w:rsid w:val="00F81F47"/>
    <w:rsid w:val="00F87413"/>
    <w:rsid w:val="00FA5EBC"/>
    <w:rsid w:val="00FB02B3"/>
    <w:rsid w:val="00FC0AE2"/>
    <w:rsid w:val="00FC71E2"/>
    <w:rsid w:val="00FD224A"/>
    <w:rsid w:val="00FD7932"/>
    <w:rsid w:val="00FE21C7"/>
    <w:rsid w:val="00FE7BD3"/>
    <w:rsid w:val="00FF24A2"/>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B9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spacing w:after="240"/>
    </w:pPr>
  </w:style>
  <w:style w:type="character" w:customStyle="1" w:styleId="BodyTextChar">
    <w:name w:val="Body Text Char"/>
    <w:link w:val="BodyText"/>
    <w:uiPriority w:val="1"/>
    <w:rsid w:val="00D747AE"/>
    <w:rPr>
      <w:rFonts w:ascii="Verdana" w:hAnsi="Verdana"/>
      <w:sz w:val="18"/>
      <w:szCs w:val="22"/>
      <w:lang w:eastAsia="en-US"/>
    </w:rPr>
  </w:style>
  <w:style w:type="paragraph" w:styleId="BodyText2">
    <w:name w:val="Body Text 2"/>
    <w:basedOn w:val="Normal"/>
    <w:link w:val="BodyText2Char"/>
    <w:uiPriority w:val="1"/>
    <w:qFormat/>
    <w:rsid w:val="00D747AE"/>
    <w:p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basedOn w:val="DefaultParagraphFont"/>
    <w:uiPriority w:val="99"/>
    <w:semiHidden/>
    <w:unhideWhenUsed/>
    <w:rsid w:val="00E64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88998">
      <w:bodyDiv w:val="1"/>
      <w:marLeft w:val="0"/>
      <w:marRight w:val="0"/>
      <w:marTop w:val="0"/>
      <w:marBottom w:val="0"/>
      <w:divBdr>
        <w:top w:val="none" w:sz="0" w:space="0" w:color="auto"/>
        <w:left w:val="none" w:sz="0" w:space="0" w:color="auto"/>
        <w:bottom w:val="none" w:sz="0" w:space="0" w:color="auto"/>
        <w:right w:val="none" w:sz="0" w:space="0" w:color="auto"/>
      </w:divBdr>
    </w:div>
    <w:div w:id="281153914">
      <w:bodyDiv w:val="1"/>
      <w:marLeft w:val="0"/>
      <w:marRight w:val="0"/>
      <w:marTop w:val="0"/>
      <w:marBottom w:val="0"/>
      <w:divBdr>
        <w:top w:val="none" w:sz="0" w:space="0" w:color="auto"/>
        <w:left w:val="none" w:sz="0" w:space="0" w:color="auto"/>
        <w:bottom w:val="none" w:sz="0" w:space="0" w:color="auto"/>
        <w:right w:val="none" w:sz="0" w:space="0" w:color="auto"/>
      </w:divBdr>
    </w:div>
    <w:div w:id="741176140">
      <w:bodyDiv w:val="1"/>
      <w:marLeft w:val="0"/>
      <w:marRight w:val="0"/>
      <w:marTop w:val="0"/>
      <w:marBottom w:val="0"/>
      <w:divBdr>
        <w:top w:val="none" w:sz="0" w:space="0" w:color="auto"/>
        <w:left w:val="none" w:sz="0" w:space="0" w:color="auto"/>
        <w:bottom w:val="none" w:sz="0" w:space="0" w:color="auto"/>
        <w:right w:val="none" w:sz="0" w:space="0" w:color="auto"/>
      </w:divBdr>
      <w:divsChild>
        <w:div w:id="78134971">
          <w:marLeft w:val="0"/>
          <w:marRight w:val="0"/>
          <w:marTop w:val="0"/>
          <w:marBottom w:val="0"/>
          <w:divBdr>
            <w:top w:val="none" w:sz="0" w:space="0" w:color="auto"/>
            <w:left w:val="none" w:sz="0" w:space="0" w:color="auto"/>
            <w:bottom w:val="none" w:sz="0" w:space="0" w:color="auto"/>
            <w:right w:val="none" w:sz="0" w:space="0" w:color="auto"/>
          </w:divBdr>
        </w:div>
      </w:divsChild>
    </w:div>
    <w:div w:id="837964424">
      <w:bodyDiv w:val="1"/>
      <w:marLeft w:val="0"/>
      <w:marRight w:val="0"/>
      <w:marTop w:val="0"/>
      <w:marBottom w:val="0"/>
      <w:divBdr>
        <w:top w:val="none" w:sz="0" w:space="0" w:color="auto"/>
        <w:left w:val="none" w:sz="0" w:space="0" w:color="auto"/>
        <w:bottom w:val="none" w:sz="0" w:space="0" w:color="auto"/>
        <w:right w:val="none" w:sz="0" w:space="0" w:color="auto"/>
      </w:divBdr>
    </w:div>
    <w:div w:id="190587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indrulesoforigi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tratop_e/roi_e/preference_utilization_190521_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sp.unctad.org/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tadb.wto.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3B9D-4A44-413E-9423-F66AFCAA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6490</CharactersWithSpaces>
  <SharedDoc>false</SharedDoc>
  <HLinks>
    <vt:vector size="6" baseType="variant">
      <vt:variant>
        <vt:i4>4718623</vt:i4>
      </vt:variant>
      <vt:variant>
        <vt:i4>0</vt:i4>
      </vt:variant>
      <vt:variant>
        <vt:i4>0</vt:i4>
      </vt:variant>
      <vt:variant>
        <vt:i4>5</vt:i4>
      </vt:variant>
      <vt:variant>
        <vt:lpwstr>http://ptadb.wto.org/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2016-10-11T08:32:00Z</cp:lastPrinted>
  <dcterms:created xsi:type="dcterms:W3CDTF">2021-09-30T15:16:00Z</dcterms:created>
  <dcterms:modified xsi:type="dcterms:W3CDTF">2021-10-01T10:13:00Z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02456e7f-e608-490b-9c68-d2a57e32afda</vt:lpwstr>
  </property>
  <property fmtid="{D5CDD505-2E9C-101B-9397-08002B2CF9AE}" pid="3" name="WTOCLASSIFICATION">
    <vt:lpwstr>WTO OFFICIAL</vt:lpwstr>
  </property>
  <property fmtid="{D5CDD505-2E9C-101B-9397-08002B2CF9AE}" pid="4" name="Symbol1">
    <vt:lpwstr>G/RO/W/207</vt:lpwstr>
  </property>
</Properties>
</file>