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67" w:rsidRPr="00D500DF" w:rsidRDefault="00665867" w:rsidP="00665867">
      <w:pPr>
        <w:pStyle w:val="Titre"/>
        <w:rPr>
          <w:lang w:eastAsia="en-GB"/>
        </w:rPr>
      </w:pPr>
      <w:r w:rsidRPr="00D500DF">
        <w:rPr>
          <w:lang w:eastAsia="en-GB"/>
        </w:rPr>
        <w:t>SUBSIDIES</w:t>
      </w:r>
    </w:p>
    <w:p w:rsidR="005917D4" w:rsidRPr="0052495B" w:rsidRDefault="005917D4" w:rsidP="005917D4">
      <w:pPr>
        <w:pStyle w:val="Title2"/>
      </w:pPr>
      <w:r>
        <w:t xml:space="preserve">New and </w:t>
      </w:r>
      <w:r w:rsidRPr="00510411">
        <w:t>Full Notification Pursuant to Article XVI:I</w:t>
      </w:r>
      <w:r>
        <w:t xml:space="preserve"> of</w:t>
      </w:r>
      <w:r>
        <w:br/>
      </w:r>
      <w:r w:rsidRPr="00510411">
        <w:t>the GATT 1994 and</w:t>
      </w:r>
      <w:r>
        <w:t xml:space="preserve"> </w:t>
      </w:r>
      <w:r w:rsidRPr="00510411">
        <w:t>Article 25 of the Agreement on</w:t>
      </w:r>
      <w:r>
        <w:br/>
      </w:r>
      <w:r w:rsidRPr="00510411">
        <w:t>Subsidies and Countervailing Measures</w:t>
      </w:r>
    </w:p>
    <w:p w:rsidR="003B088A" w:rsidRDefault="003B088A" w:rsidP="003B088A">
      <w:pPr>
        <w:pStyle w:val="Title2"/>
        <w:spacing w:after="240"/>
      </w:pPr>
      <w:r>
        <w:t xml:space="preserve">Transparency Notification Concerning the Extensions Provided for in Article 27.4 of the Agreement on Subsidies and Countervailing Measures of the Transition Period For the Elimination of Export </w:t>
      </w:r>
      <w:r w:rsidRPr="00510411">
        <w:t>Subsidies</w:t>
      </w:r>
      <w:r>
        <w:t>, Granted Pursuant to</w:t>
      </w:r>
      <w:r>
        <w:br/>
        <w:t xml:space="preserve">the Procedures </w:t>
      </w:r>
      <w:r w:rsidRPr="00510411">
        <w:t xml:space="preserve">in </w:t>
      </w:r>
      <w:r>
        <w:t>the General Council Decision WT/L/691</w:t>
      </w:r>
    </w:p>
    <w:p w:rsidR="00665867" w:rsidRPr="00D500DF" w:rsidRDefault="005917D4" w:rsidP="005917D4">
      <w:pPr>
        <w:pStyle w:val="TitleCountry"/>
      </w:pPr>
      <w:r>
        <w:t>St</w:t>
      </w:r>
      <w:r w:rsidR="00665867" w:rsidRPr="00D500DF">
        <w:t xml:space="preserve">. </w:t>
      </w:r>
      <w:r>
        <w:t>K</w:t>
      </w:r>
      <w:r w:rsidR="00665867" w:rsidRPr="00D500DF">
        <w:t xml:space="preserve">itts and </w:t>
      </w:r>
      <w:r>
        <w:t>N</w:t>
      </w:r>
      <w:r w:rsidR="00665867" w:rsidRPr="00D500DF">
        <w:t>evis</w:t>
      </w:r>
    </w:p>
    <w:p w:rsidR="00665867" w:rsidRDefault="00665867" w:rsidP="00665867">
      <w:r w:rsidRPr="00D500DF">
        <w:t xml:space="preserve">The following communication, dated </w:t>
      </w:r>
      <w:r w:rsidR="001F4D26">
        <w:t>10</w:t>
      </w:r>
      <w:r w:rsidRPr="00D500DF">
        <w:t xml:space="preserve"> </w:t>
      </w:r>
      <w:r w:rsidR="001F4D26">
        <w:t>July</w:t>
      </w:r>
      <w:r w:rsidRPr="00D500DF">
        <w:t xml:space="preserve"> 201</w:t>
      </w:r>
      <w:r w:rsidR="001F4D26">
        <w:t>8</w:t>
      </w:r>
      <w:r w:rsidRPr="00D500DF">
        <w:t>, is being circulated at the request of the Delegation of St. Kitts and Nevis.</w:t>
      </w:r>
    </w:p>
    <w:p w:rsidR="00665867" w:rsidRDefault="00665867" w:rsidP="00665867"/>
    <w:p w:rsidR="00665867" w:rsidRDefault="00665867" w:rsidP="00665867">
      <w:pPr>
        <w:jc w:val="center"/>
        <w:rPr>
          <w:b/>
        </w:rPr>
      </w:pPr>
      <w:r>
        <w:rPr>
          <w:b/>
        </w:rPr>
        <w:t>_______________</w:t>
      </w:r>
    </w:p>
    <w:p w:rsidR="00665867" w:rsidRDefault="00665867" w:rsidP="00665867"/>
    <w:p w:rsidR="00665867" w:rsidRPr="008B544D" w:rsidRDefault="00665867" w:rsidP="00665867"/>
    <w:p w:rsidR="00665867" w:rsidRPr="005917D4" w:rsidRDefault="00665867" w:rsidP="005917D4">
      <w:pPr>
        <w:rPr>
          <w:u w:val="single"/>
        </w:rPr>
      </w:pPr>
      <w:r w:rsidRPr="00D500DF">
        <w:t>1.</w:t>
      </w:r>
      <w:r w:rsidR="005917D4">
        <w:tab/>
      </w:r>
      <w:r w:rsidR="005917D4">
        <w:rPr>
          <w:u w:val="single"/>
        </w:rPr>
        <w:t>Title of the programme</w:t>
      </w:r>
      <w:r w:rsidR="001F4D26">
        <w:rPr>
          <w:u w:val="single"/>
        </w:rPr>
        <w:t xml:space="preserve"> </w:t>
      </w:r>
      <w:r w:rsidR="001F4D26" w:rsidRPr="003B088A">
        <w:rPr>
          <w:u w:val="single"/>
        </w:rPr>
        <w:t>for which extension is requested pursuant to procedures in G/SCM/39</w:t>
      </w:r>
    </w:p>
    <w:p w:rsidR="001F4D26" w:rsidRDefault="001F4D26" w:rsidP="00665867"/>
    <w:p w:rsidR="00665867" w:rsidRPr="00D500DF" w:rsidRDefault="001F4D26" w:rsidP="00665867">
      <w:r>
        <w:t xml:space="preserve">The </w:t>
      </w:r>
      <w:r w:rsidR="00665867" w:rsidRPr="00D500DF">
        <w:t>Fiscal Incentive</w:t>
      </w:r>
      <w:r w:rsidR="00976990">
        <w:t>s</w:t>
      </w:r>
      <w:r w:rsidR="00665867" w:rsidRPr="00D500DF">
        <w:t xml:space="preserve"> Act </w:t>
      </w:r>
      <w:r>
        <w:t>No.</w:t>
      </w:r>
      <w:r w:rsidR="00337E15">
        <w:t xml:space="preserve"> 17 of 1974.</w:t>
      </w:r>
      <w:r w:rsidR="00665867" w:rsidRPr="00D500DF">
        <w:t xml:space="preserve"> This is an Act to provide incentives to industry.</w:t>
      </w:r>
    </w:p>
    <w:p w:rsidR="00665867" w:rsidRPr="00D500DF" w:rsidRDefault="00665867" w:rsidP="00665867"/>
    <w:p w:rsidR="00665867" w:rsidRPr="005917D4" w:rsidRDefault="00665867" w:rsidP="005917D4">
      <w:pPr>
        <w:rPr>
          <w:u w:val="single"/>
        </w:rPr>
      </w:pPr>
      <w:r w:rsidRPr="00D500DF">
        <w:t>2.</w:t>
      </w:r>
      <w:r w:rsidR="005917D4">
        <w:tab/>
      </w:r>
      <w:r w:rsidRPr="005917D4">
        <w:rPr>
          <w:u w:val="single"/>
        </w:rPr>
        <w:t>Period covered by the notification</w:t>
      </w:r>
    </w:p>
    <w:p w:rsidR="00665867" w:rsidRPr="00D500DF" w:rsidRDefault="00665867" w:rsidP="00665867"/>
    <w:p w:rsidR="00665867" w:rsidRPr="00D500DF" w:rsidRDefault="00665867" w:rsidP="00665867">
      <w:r w:rsidRPr="00D500DF">
        <w:t xml:space="preserve">The programme description is as of 30 </w:t>
      </w:r>
      <w:r w:rsidR="00337E15">
        <w:t>May</w:t>
      </w:r>
      <w:r w:rsidRPr="00D500DF">
        <w:t xml:space="preserve"> 201</w:t>
      </w:r>
      <w:r w:rsidR="00337E15">
        <w:t>8</w:t>
      </w:r>
      <w:r w:rsidRPr="00D500DF">
        <w:t xml:space="preserve"> and is identical to that as of 1 September 2001.</w:t>
      </w:r>
    </w:p>
    <w:p w:rsidR="00665867" w:rsidRPr="00D500DF" w:rsidRDefault="00665867" w:rsidP="00665867"/>
    <w:p w:rsidR="00665867" w:rsidRPr="005917D4" w:rsidRDefault="00665867" w:rsidP="005917D4">
      <w:pPr>
        <w:rPr>
          <w:u w:val="single"/>
        </w:rPr>
      </w:pPr>
      <w:r w:rsidRPr="00D500DF">
        <w:t>3.</w:t>
      </w:r>
      <w:r w:rsidR="005917D4">
        <w:tab/>
      </w:r>
      <w:r w:rsidRPr="005917D4">
        <w:rPr>
          <w:u w:val="single"/>
        </w:rPr>
        <w:t xml:space="preserve">Policy </w:t>
      </w:r>
      <w:r w:rsidR="004861D0">
        <w:rPr>
          <w:u w:val="single"/>
        </w:rPr>
        <w:t>o</w:t>
      </w:r>
      <w:r w:rsidRPr="005917D4">
        <w:rPr>
          <w:u w:val="single"/>
        </w:rPr>
        <w:t>bjective and/or purpose of the subsidy</w:t>
      </w:r>
    </w:p>
    <w:p w:rsidR="00665867" w:rsidRPr="00D500DF" w:rsidRDefault="00665867" w:rsidP="00665867"/>
    <w:p w:rsidR="00665867" w:rsidRPr="00D500DF" w:rsidRDefault="00665867" w:rsidP="00665867">
      <w:r w:rsidRPr="00D500DF">
        <w:t>The objective of this programme is to stimulate export performance, support investment, promote economic activity, and promote diversification in traditional and non-traditional products.</w:t>
      </w:r>
    </w:p>
    <w:p w:rsidR="00665867" w:rsidRPr="00D500DF" w:rsidRDefault="00665867" w:rsidP="00665867"/>
    <w:p w:rsidR="00665867" w:rsidRPr="005917D4" w:rsidRDefault="00665867" w:rsidP="005917D4">
      <w:pPr>
        <w:rPr>
          <w:u w:val="single"/>
        </w:rPr>
      </w:pPr>
      <w:r w:rsidRPr="00D500DF">
        <w:t>4.</w:t>
      </w:r>
      <w:r w:rsidR="005917D4">
        <w:tab/>
      </w:r>
      <w:r w:rsidRPr="005917D4">
        <w:rPr>
          <w:u w:val="single"/>
        </w:rPr>
        <w:t>Background and authority for the subsidy</w:t>
      </w:r>
    </w:p>
    <w:p w:rsidR="00665867" w:rsidRPr="00D500DF" w:rsidRDefault="00665867" w:rsidP="00665867">
      <w:pPr>
        <w:rPr>
          <w:u w:val="single"/>
        </w:rPr>
      </w:pPr>
    </w:p>
    <w:p w:rsidR="00665867" w:rsidRPr="00D500DF" w:rsidRDefault="00665867" w:rsidP="00665867">
      <w:pPr>
        <w:rPr>
          <w:b/>
        </w:rPr>
      </w:pPr>
      <w:r w:rsidRPr="00D500DF">
        <w:rPr>
          <w:b/>
        </w:rPr>
        <w:t>Background</w:t>
      </w:r>
    </w:p>
    <w:p w:rsidR="00665867" w:rsidRPr="00D500DF" w:rsidRDefault="00665867" w:rsidP="00665867">
      <w:pPr>
        <w:rPr>
          <w:b/>
        </w:rPr>
      </w:pPr>
    </w:p>
    <w:p w:rsidR="00665867" w:rsidRPr="00D500DF" w:rsidRDefault="00665867" w:rsidP="00665867">
      <w:r w:rsidRPr="00D500DF">
        <w:t>The Government of St. Kitts and Nevis considers that appropriate conditions for encouraging foreign direct investment are to be promoted in order to ensure the economy remains in a viable position.</w:t>
      </w:r>
    </w:p>
    <w:p w:rsidR="00665867" w:rsidRPr="00D500DF" w:rsidRDefault="00665867" w:rsidP="00665867"/>
    <w:p w:rsidR="00665867" w:rsidRPr="00D500DF" w:rsidRDefault="00665867" w:rsidP="00665867">
      <w:pPr>
        <w:rPr>
          <w:b/>
        </w:rPr>
      </w:pPr>
      <w:r w:rsidRPr="00D500DF">
        <w:rPr>
          <w:b/>
        </w:rPr>
        <w:t>Authority</w:t>
      </w:r>
    </w:p>
    <w:p w:rsidR="00665867" w:rsidRPr="00D500DF" w:rsidRDefault="00665867" w:rsidP="00665867">
      <w:pPr>
        <w:rPr>
          <w:b/>
        </w:rPr>
      </w:pPr>
    </w:p>
    <w:p w:rsidR="00665867" w:rsidRDefault="00665867" w:rsidP="00665867">
      <w:r w:rsidRPr="00D500DF">
        <w:t>Fiscal Incentive</w:t>
      </w:r>
      <w:r w:rsidR="00976990">
        <w:t>s</w:t>
      </w:r>
      <w:r w:rsidRPr="00D500DF">
        <w:t xml:space="preserve"> Act</w:t>
      </w:r>
      <w:r w:rsidR="00337E15">
        <w:t xml:space="preserve"> (St. Kitts-Nevis-Anguilla)</w:t>
      </w:r>
      <w:r w:rsidR="00976990">
        <w:t>,</w:t>
      </w:r>
      <w:r w:rsidR="00337E15">
        <w:t xml:space="preserve"> No. 17 </w:t>
      </w:r>
      <w:r w:rsidRPr="00D500DF">
        <w:t>of 1974</w:t>
      </w:r>
      <w:r w:rsidR="00337E15">
        <w:t>.</w:t>
      </w:r>
    </w:p>
    <w:p w:rsidR="00337E15" w:rsidRPr="00D500DF" w:rsidRDefault="00337E15" w:rsidP="00665867"/>
    <w:p w:rsidR="00665867" w:rsidRPr="005917D4" w:rsidRDefault="00665867" w:rsidP="005917D4">
      <w:pPr>
        <w:rPr>
          <w:u w:val="single"/>
        </w:rPr>
      </w:pPr>
      <w:r w:rsidRPr="00D500DF">
        <w:t>5.</w:t>
      </w:r>
      <w:r w:rsidR="005917D4">
        <w:tab/>
      </w:r>
      <w:r w:rsidRPr="005917D4">
        <w:rPr>
          <w:u w:val="single"/>
        </w:rPr>
        <w:t>Form of the Subsidy</w:t>
      </w:r>
    </w:p>
    <w:p w:rsidR="00665867" w:rsidRPr="00D500DF" w:rsidRDefault="00665867" w:rsidP="00665867">
      <w:pPr>
        <w:rPr>
          <w:u w:val="single"/>
        </w:rPr>
      </w:pPr>
    </w:p>
    <w:p w:rsidR="00665867" w:rsidRPr="00D500DF" w:rsidRDefault="00665867" w:rsidP="00665867">
      <w:r w:rsidRPr="00D500DF">
        <w:t>The subsidy takes the form of a tax exemption.</w:t>
      </w:r>
    </w:p>
    <w:p w:rsidR="00665867" w:rsidRPr="00D500DF" w:rsidRDefault="00665867" w:rsidP="00665867"/>
    <w:p w:rsidR="00665867" w:rsidRPr="005917D4" w:rsidRDefault="00665867" w:rsidP="005917D4">
      <w:pPr>
        <w:ind w:left="567" w:hanging="567"/>
        <w:rPr>
          <w:u w:val="single"/>
        </w:rPr>
      </w:pPr>
      <w:r w:rsidRPr="00D500DF">
        <w:lastRenderedPageBreak/>
        <w:t>6.</w:t>
      </w:r>
      <w:r w:rsidR="005917D4">
        <w:tab/>
      </w:r>
      <w:r w:rsidRPr="005917D4">
        <w:rPr>
          <w:u w:val="single"/>
        </w:rPr>
        <w:t>To whom and how the subsidy is provided (whether to producers, exporters or others), through what mechanisms, (whether it is a fixed sum or fluctuating amount per unit), and if the latter, how is it determined</w:t>
      </w:r>
      <w:r w:rsidRPr="005917D4">
        <w:t>?</w:t>
      </w:r>
    </w:p>
    <w:p w:rsidR="00665867" w:rsidRPr="00D500DF" w:rsidRDefault="00665867" w:rsidP="005917D4"/>
    <w:p w:rsidR="00665867" w:rsidRPr="00D500DF" w:rsidRDefault="00665867" w:rsidP="00665867">
      <w:r w:rsidRPr="00D500DF">
        <w:t>The main beneficiaries of the fiscal incentives scheme are manufacturing and agro-processing enterprises. The incentive scheme is managed by the Ministry of International Trade, Industry, Commerce and Consumer Affairs. Applications for incentive benefits are submitted to the aforementioned Ministry, which recommends to Cabinet the level and type of concessions to be granted.</w:t>
      </w:r>
    </w:p>
    <w:p w:rsidR="00665867" w:rsidRPr="00D500DF" w:rsidRDefault="00665867" w:rsidP="00665867"/>
    <w:p w:rsidR="00665867" w:rsidRPr="00D500DF" w:rsidRDefault="00665867" w:rsidP="00665867">
      <w:r w:rsidRPr="00D500DF">
        <w:t>The Fiscal Incentives Act allows for the granting of a corporate ta</w:t>
      </w:r>
      <w:r w:rsidR="005917D4">
        <w:t>x holiday of up to fifteen (15) </w:t>
      </w:r>
      <w:r w:rsidRPr="00D500DF">
        <w:t>years, for the manufacture of approved products by approved enterprises. The duration of these concessions is in accordance with the local value added generated. In this respect, the Act classifies these approved enterprises as follows:</w:t>
      </w:r>
    </w:p>
    <w:p w:rsidR="00665867" w:rsidRPr="00D500DF" w:rsidRDefault="00665867" w:rsidP="00665867"/>
    <w:p w:rsidR="00665867" w:rsidRPr="00D500DF" w:rsidRDefault="00665867" w:rsidP="009B2D7A">
      <w:pPr>
        <w:pStyle w:val="Corpsdetexte3"/>
      </w:pPr>
      <w:r w:rsidRPr="00D500DF">
        <w:rPr>
          <w:i/>
        </w:rPr>
        <w:t>Group I</w:t>
      </w:r>
      <w:r w:rsidRPr="00D500DF">
        <w:t xml:space="preserve"> enterprises, where the local value added is 50% or more of sales, may enjoy a tax holiday of up to 15 years;</w:t>
      </w:r>
    </w:p>
    <w:p w:rsidR="00665867" w:rsidRPr="00D500DF" w:rsidRDefault="00665867" w:rsidP="009B2D7A">
      <w:pPr>
        <w:pStyle w:val="Corpsdetexte3"/>
      </w:pPr>
      <w:r w:rsidRPr="00D500DF">
        <w:rPr>
          <w:i/>
        </w:rPr>
        <w:t>Group II</w:t>
      </w:r>
      <w:r w:rsidRPr="00D500DF">
        <w:t xml:space="preserve"> enterprises, where the local value added is between 25% and 49% of sales, may enjoy a tax holiday of up to 12 years;</w:t>
      </w:r>
    </w:p>
    <w:p w:rsidR="00665867" w:rsidRPr="00D500DF" w:rsidRDefault="00665867" w:rsidP="009B2D7A">
      <w:pPr>
        <w:pStyle w:val="Corpsdetexte3"/>
      </w:pPr>
      <w:r w:rsidRPr="00D500DF">
        <w:rPr>
          <w:i/>
        </w:rPr>
        <w:t xml:space="preserve">Group III </w:t>
      </w:r>
      <w:r w:rsidRPr="00D500DF">
        <w:t>enterprises, where the local value added is between 10% and 24% of sales, may enjoy a tax holiday of up to 10 years;</w:t>
      </w:r>
    </w:p>
    <w:p w:rsidR="00665867" w:rsidRPr="00D500DF" w:rsidRDefault="00665867" w:rsidP="009B2D7A">
      <w:pPr>
        <w:pStyle w:val="Corpsdetexte3"/>
      </w:pPr>
      <w:r w:rsidRPr="00D500DF">
        <w:rPr>
          <w:i/>
        </w:rPr>
        <w:t>Enclave enterprises</w:t>
      </w:r>
      <w:r w:rsidRPr="00D500DF">
        <w:t>, where production is exclusively for export, may enjoy a tax holiday of up to 15 years.</w:t>
      </w:r>
    </w:p>
    <w:p w:rsidR="00665867" w:rsidRPr="00D500DF" w:rsidRDefault="00665867" w:rsidP="00665867">
      <w:r w:rsidRPr="00D500DF">
        <w:t>Where an approved enterprise is engaged in a highly capital intensive industry it may receive some benefit for a period of up to 15 years.</w:t>
      </w:r>
    </w:p>
    <w:p w:rsidR="00665867" w:rsidRPr="00D500DF" w:rsidRDefault="00665867" w:rsidP="00665867"/>
    <w:p w:rsidR="00665867" w:rsidRPr="00D500DF" w:rsidRDefault="00665867" w:rsidP="00665867">
      <w:r w:rsidRPr="00D500DF">
        <w:t>The Act also grants import duty exemptions for machinery, equipment and spare parts, building materials, raw materials and others, as appropriate to be used in eligible enterprises.</w:t>
      </w:r>
    </w:p>
    <w:p w:rsidR="00665867" w:rsidRPr="00D500DF" w:rsidRDefault="00665867" w:rsidP="00665867"/>
    <w:p w:rsidR="00665867" w:rsidRPr="00D500DF" w:rsidRDefault="00665867" w:rsidP="00665867">
      <w:r w:rsidRPr="00D500DF">
        <w:t>The Fiscal Incentives Act No. 17 of 1974 further provides for corporate tax relief under certain circumstances once the tax holiday period has expired. The relief is contingent on export performance. It is granted on the export profits of an enterprise accruing from the export of its approved product(s). Relief is provided for non-traditional exports to all countries; however, in the case of exports to Guyana, Jamaica and Trinidad and Tobago, the period of relief is of only five (5) years immediately following the expiration of the tax holiday period.</w:t>
      </w:r>
    </w:p>
    <w:p w:rsidR="00665867" w:rsidRPr="00D500DF" w:rsidRDefault="00665867" w:rsidP="00665867"/>
    <w:p w:rsidR="00665867" w:rsidRPr="00D500DF" w:rsidRDefault="00665867" w:rsidP="00665867">
      <w:r w:rsidRPr="00D500DF">
        <w:t>(Schedule II part two of the Act attached explains the method of calculating export allowance)</w:t>
      </w:r>
    </w:p>
    <w:p w:rsidR="00665867" w:rsidRPr="00D500DF" w:rsidRDefault="00665867" w:rsidP="00665867"/>
    <w:p w:rsidR="00665867" w:rsidRPr="005917D4" w:rsidRDefault="00665867" w:rsidP="005917D4">
      <w:pPr>
        <w:ind w:left="567" w:hanging="567"/>
        <w:rPr>
          <w:u w:val="single"/>
        </w:rPr>
      </w:pPr>
      <w:r w:rsidRPr="00D500DF">
        <w:t>7.</w:t>
      </w:r>
      <w:r w:rsidR="005917D4">
        <w:tab/>
      </w:r>
      <w:r w:rsidRPr="005917D4">
        <w:rPr>
          <w:u w:val="single"/>
        </w:rPr>
        <w:t>Subsidy per unit, or in cases where this is not possible, the total amount or the annual budgeted amount for this subsidy (indicating, if possible, the average subsidy per unit in the previous year). Where provision per unit subsidy information (for the year covered by the notification, for the previous year or both) is not possible a full</w:t>
      </w:r>
      <w:r w:rsidR="005917D4">
        <w:rPr>
          <w:u w:val="single"/>
        </w:rPr>
        <w:t xml:space="preserve"> explanation should be provided</w:t>
      </w:r>
    </w:p>
    <w:p w:rsidR="00665867" w:rsidRPr="00D500DF" w:rsidRDefault="00665867" w:rsidP="005917D4"/>
    <w:p w:rsidR="00665867" w:rsidRPr="00D500DF" w:rsidRDefault="00665867" w:rsidP="00665867">
      <w:r w:rsidRPr="00D500DF">
        <w:t>Given the nature and coverage of the programme there are no statistics available which reflect the amount of the subsidy per unit. Further, there is no provision in our annual budget to determine the amount of funds allocated to this form of benefit provided for approved enterprises because of approved assistance is revenue foregone.</w:t>
      </w:r>
    </w:p>
    <w:p w:rsidR="00665867" w:rsidRPr="00D500DF" w:rsidRDefault="00665867" w:rsidP="00665867"/>
    <w:p w:rsidR="00665867" w:rsidRPr="005917D4" w:rsidRDefault="00665867" w:rsidP="005917D4">
      <w:pPr>
        <w:rPr>
          <w:u w:val="single"/>
        </w:rPr>
      </w:pPr>
      <w:r w:rsidRPr="00D500DF">
        <w:t>8.</w:t>
      </w:r>
      <w:r w:rsidR="005917D4">
        <w:tab/>
      </w:r>
      <w:r w:rsidRPr="005917D4">
        <w:rPr>
          <w:u w:val="single"/>
        </w:rPr>
        <w:t>Duration of the subsidy</w:t>
      </w:r>
    </w:p>
    <w:p w:rsidR="00665867" w:rsidRPr="00D500DF" w:rsidRDefault="00665867" w:rsidP="00665867"/>
    <w:p w:rsidR="00665867" w:rsidRPr="00D500DF" w:rsidRDefault="00665867" w:rsidP="00665867">
      <w:r w:rsidRPr="00D500DF">
        <w:t>The duration of the subsidy as currently applied is subject to St. Kitts and Nevis</w:t>
      </w:r>
      <w:r w:rsidR="005917D4" w:rsidRPr="005917D4">
        <w:t>'</w:t>
      </w:r>
      <w:r w:rsidRPr="00D500DF">
        <w:t xml:space="preserve"> rights and obligations under the WTO Agreements and in particular, the SCM Agreement.</w:t>
      </w:r>
    </w:p>
    <w:p w:rsidR="00665867" w:rsidRPr="00D500DF" w:rsidRDefault="00665867" w:rsidP="00665867"/>
    <w:p w:rsidR="00665867" w:rsidRPr="005917D4" w:rsidRDefault="00665867" w:rsidP="005917D4">
      <w:pPr>
        <w:rPr>
          <w:u w:val="single"/>
        </w:rPr>
      </w:pPr>
      <w:r w:rsidRPr="00D500DF">
        <w:t>9.</w:t>
      </w:r>
      <w:r w:rsidR="005917D4">
        <w:tab/>
      </w:r>
      <w:r w:rsidRPr="005917D4">
        <w:rPr>
          <w:u w:val="single"/>
        </w:rPr>
        <w:t>Statistics on the impact of the programme</w:t>
      </w:r>
    </w:p>
    <w:p w:rsidR="00665867" w:rsidRPr="00D500DF" w:rsidRDefault="00665867" w:rsidP="00665867"/>
    <w:p w:rsidR="00665867" w:rsidRPr="00D500DF" w:rsidRDefault="00665867" w:rsidP="00665867">
      <w:r w:rsidRPr="00D500DF">
        <w:t>The following table illustrates the total value of St. Kitts and Nevis</w:t>
      </w:r>
      <w:r w:rsidR="005917D4" w:rsidRPr="005917D4">
        <w:t>'</w:t>
      </w:r>
      <w:r w:rsidRPr="00D500DF">
        <w:t xml:space="preserve"> foreign trade with world partners on all commodities during the period 200</w:t>
      </w:r>
      <w:r w:rsidR="00337E15">
        <w:t>0</w:t>
      </w:r>
      <w:r w:rsidRPr="00D500DF">
        <w:t>-201</w:t>
      </w:r>
      <w:r w:rsidR="00337E15">
        <w:t>7</w:t>
      </w:r>
      <w:r w:rsidRPr="00D500DF">
        <w:t>.</w:t>
      </w:r>
    </w:p>
    <w:p w:rsidR="00665867" w:rsidRPr="00D500DF" w:rsidRDefault="00665867" w:rsidP="00665867"/>
    <w:p w:rsidR="00665867" w:rsidRPr="00D500DF" w:rsidRDefault="00665867" w:rsidP="00665867">
      <w:pPr>
        <w:rPr>
          <w:b/>
          <w:szCs w:val="20"/>
        </w:rPr>
      </w:pPr>
      <w:r w:rsidRPr="00D500DF">
        <w:rPr>
          <w:b/>
          <w:szCs w:val="20"/>
        </w:rPr>
        <w:t>Value (EC$ millions) of St. Kitts-Nevis</w:t>
      </w:r>
      <w:r w:rsidR="005917D4" w:rsidRPr="005917D4">
        <w:rPr>
          <w:b/>
          <w:szCs w:val="20"/>
        </w:rPr>
        <w:t>'</w:t>
      </w:r>
      <w:r w:rsidRPr="00D500DF">
        <w:rPr>
          <w:b/>
          <w:szCs w:val="20"/>
        </w:rPr>
        <w:t xml:space="preserve"> Foreign Trade wit</w:t>
      </w:r>
      <w:r w:rsidR="005917D4">
        <w:rPr>
          <w:b/>
          <w:szCs w:val="20"/>
        </w:rPr>
        <w:t>h World Partners for the period </w:t>
      </w:r>
      <w:r w:rsidRPr="00D500DF">
        <w:rPr>
          <w:b/>
          <w:szCs w:val="20"/>
        </w:rPr>
        <w:t>200</w:t>
      </w:r>
      <w:r w:rsidR="00273F29">
        <w:rPr>
          <w:b/>
          <w:szCs w:val="20"/>
        </w:rPr>
        <w:t>0</w:t>
      </w:r>
      <w:r w:rsidRPr="00D500DF">
        <w:rPr>
          <w:b/>
          <w:szCs w:val="20"/>
        </w:rPr>
        <w:t>-201</w:t>
      </w:r>
      <w:r w:rsidR="00273F29">
        <w:rPr>
          <w:b/>
          <w:szCs w:val="20"/>
        </w:rPr>
        <w:t>7</w:t>
      </w:r>
    </w:p>
    <w:p w:rsidR="00665867" w:rsidRPr="00D500DF" w:rsidRDefault="00665867" w:rsidP="00665867"/>
    <w:tbl>
      <w:tblPr>
        <w:tblW w:w="0" w:type="auto"/>
        <w:tblInd w:w="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73"/>
        <w:gridCol w:w="2273"/>
        <w:gridCol w:w="2273"/>
        <w:gridCol w:w="2273"/>
      </w:tblGrid>
      <w:tr w:rsidR="00665867" w:rsidRPr="00FE3DF5" w:rsidTr="006E646B">
        <w:tc>
          <w:tcPr>
            <w:tcW w:w="2273" w:type="dxa"/>
            <w:shd w:val="clear" w:color="auto" w:fill="auto"/>
          </w:tcPr>
          <w:p w:rsidR="00665867" w:rsidRPr="00FE3DF5" w:rsidRDefault="00665867" w:rsidP="00FE3DF5">
            <w:pPr>
              <w:jc w:val="center"/>
              <w:rPr>
                <w:sz w:val="16"/>
                <w:szCs w:val="16"/>
              </w:rPr>
            </w:pPr>
            <w:r w:rsidRPr="00FE3DF5">
              <w:rPr>
                <w:sz w:val="16"/>
                <w:szCs w:val="16"/>
              </w:rPr>
              <w:t>Year</w:t>
            </w:r>
          </w:p>
        </w:tc>
        <w:tc>
          <w:tcPr>
            <w:tcW w:w="2273" w:type="dxa"/>
            <w:shd w:val="clear" w:color="auto" w:fill="auto"/>
          </w:tcPr>
          <w:p w:rsidR="00665867" w:rsidRPr="00FE3DF5" w:rsidRDefault="00665867" w:rsidP="00FE3DF5">
            <w:pPr>
              <w:jc w:val="center"/>
              <w:rPr>
                <w:sz w:val="16"/>
                <w:szCs w:val="16"/>
              </w:rPr>
            </w:pPr>
            <w:r w:rsidRPr="00FE3DF5">
              <w:rPr>
                <w:sz w:val="16"/>
                <w:szCs w:val="16"/>
              </w:rPr>
              <w:t>Imports</w:t>
            </w:r>
          </w:p>
        </w:tc>
        <w:tc>
          <w:tcPr>
            <w:tcW w:w="2273" w:type="dxa"/>
            <w:shd w:val="clear" w:color="auto" w:fill="auto"/>
          </w:tcPr>
          <w:p w:rsidR="00665867" w:rsidRPr="00FE3DF5" w:rsidRDefault="00665867" w:rsidP="00FE3DF5">
            <w:pPr>
              <w:jc w:val="center"/>
              <w:rPr>
                <w:sz w:val="16"/>
                <w:szCs w:val="16"/>
              </w:rPr>
            </w:pPr>
            <w:r w:rsidRPr="00FE3DF5">
              <w:rPr>
                <w:sz w:val="16"/>
                <w:szCs w:val="16"/>
              </w:rPr>
              <w:t>Exports</w:t>
            </w:r>
          </w:p>
        </w:tc>
        <w:tc>
          <w:tcPr>
            <w:tcW w:w="2273" w:type="dxa"/>
            <w:shd w:val="clear" w:color="auto" w:fill="auto"/>
          </w:tcPr>
          <w:p w:rsidR="00665867" w:rsidRPr="00FE3DF5" w:rsidRDefault="00665867" w:rsidP="00FE3DF5">
            <w:pPr>
              <w:jc w:val="center"/>
              <w:rPr>
                <w:sz w:val="16"/>
                <w:szCs w:val="16"/>
              </w:rPr>
            </w:pPr>
            <w:r w:rsidRPr="00FE3DF5">
              <w:rPr>
                <w:sz w:val="16"/>
                <w:szCs w:val="16"/>
              </w:rPr>
              <w:t>Re-Exports</w:t>
            </w:r>
          </w:p>
        </w:tc>
      </w:tr>
      <w:tr w:rsidR="00273F29" w:rsidRPr="00FE3DF5" w:rsidTr="006E646B">
        <w:tc>
          <w:tcPr>
            <w:tcW w:w="2273" w:type="dxa"/>
            <w:shd w:val="clear" w:color="auto" w:fill="auto"/>
          </w:tcPr>
          <w:p w:rsidR="00273F29" w:rsidRPr="00FE3DF5" w:rsidRDefault="00273F29" w:rsidP="00FE3DF5">
            <w:pPr>
              <w:jc w:val="center"/>
              <w:rPr>
                <w:sz w:val="16"/>
                <w:szCs w:val="16"/>
              </w:rPr>
            </w:pPr>
            <w:r>
              <w:rPr>
                <w:sz w:val="16"/>
                <w:szCs w:val="16"/>
              </w:rPr>
              <w:t>2000</w:t>
            </w:r>
          </w:p>
        </w:tc>
        <w:tc>
          <w:tcPr>
            <w:tcW w:w="2273" w:type="dxa"/>
            <w:shd w:val="clear" w:color="auto" w:fill="auto"/>
          </w:tcPr>
          <w:p w:rsidR="00273F29" w:rsidRPr="00273F29" w:rsidRDefault="00273F29" w:rsidP="00FE3DF5">
            <w:pPr>
              <w:jc w:val="center"/>
              <w:rPr>
                <w:sz w:val="16"/>
                <w:szCs w:val="16"/>
              </w:rPr>
            </w:pPr>
            <w:r w:rsidRPr="006971C9">
              <w:rPr>
                <w:sz w:val="16"/>
                <w:szCs w:val="16"/>
              </w:rPr>
              <w:t>529.1</w:t>
            </w:r>
          </w:p>
        </w:tc>
        <w:tc>
          <w:tcPr>
            <w:tcW w:w="2273" w:type="dxa"/>
            <w:shd w:val="clear" w:color="auto" w:fill="auto"/>
          </w:tcPr>
          <w:p w:rsidR="00273F29" w:rsidRPr="00273F29" w:rsidRDefault="00273F29" w:rsidP="00FE3DF5">
            <w:pPr>
              <w:jc w:val="center"/>
              <w:rPr>
                <w:sz w:val="16"/>
                <w:szCs w:val="16"/>
              </w:rPr>
            </w:pPr>
            <w:r w:rsidRPr="006971C9">
              <w:rPr>
                <w:sz w:val="16"/>
                <w:szCs w:val="16"/>
              </w:rPr>
              <w:t>78.8</w:t>
            </w:r>
          </w:p>
        </w:tc>
        <w:tc>
          <w:tcPr>
            <w:tcW w:w="2273" w:type="dxa"/>
            <w:shd w:val="clear" w:color="auto" w:fill="auto"/>
          </w:tcPr>
          <w:p w:rsidR="00273F29" w:rsidRPr="00273F29" w:rsidRDefault="00273F29" w:rsidP="00FE3DF5">
            <w:pPr>
              <w:jc w:val="center"/>
              <w:rPr>
                <w:sz w:val="16"/>
                <w:szCs w:val="16"/>
              </w:rPr>
            </w:pPr>
            <w:r w:rsidRPr="006971C9">
              <w:rPr>
                <w:sz w:val="16"/>
                <w:szCs w:val="16"/>
              </w:rPr>
              <w:t>9.7</w:t>
            </w:r>
          </w:p>
        </w:tc>
      </w:tr>
      <w:tr w:rsidR="00273F29" w:rsidRPr="00FE3DF5" w:rsidTr="006E646B">
        <w:tc>
          <w:tcPr>
            <w:tcW w:w="2273" w:type="dxa"/>
            <w:shd w:val="clear" w:color="auto" w:fill="auto"/>
          </w:tcPr>
          <w:p w:rsidR="00273F29" w:rsidRPr="00FE3DF5" w:rsidRDefault="00273F29" w:rsidP="00FE3DF5">
            <w:pPr>
              <w:jc w:val="center"/>
              <w:rPr>
                <w:sz w:val="16"/>
                <w:szCs w:val="16"/>
              </w:rPr>
            </w:pPr>
            <w:r>
              <w:rPr>
                <w:sz w:val="16"/>
                <w:szCs w:val="16"/>
              </w:rPr>
              <w:t>2001</w:t>
            </w:r>
          </w:p>
        </w:tc>
        <w:tc>
          <w:tcPr>
            <w:tcW w:w="2273" w:type="dxa"/>
            <w:shd w:val="clear" w:color="auto" w:fill="auto"/>
          </w:tcPr>
          <w:p w:rsidR="00273F29" w:rsidRPr="00273F29" w:rsidRDefault="00273F29" w:rsidP="00FE3DF5">
            <w:pPr>
              <w:jc w:val="center"/>
              <w:rPr>
                <w:sz w:val="16"/>
                <w:szCs w:val="16"/>
              </w:rPr>
            </w:pPr>
            <w:r w:rsidRPr="006971C9">
              <w:rPr>
                <w:sz w:val="16"/>
                <w:szCs w:val="16"/>
              </w:rPr>
              <w:t>510.5</w:t>
            </w:r>
          </w:p>
        </w:tc>
        <w:tc>
          <w:tcPr>
            <w:tcW w:w="2273" w:type="dxa"/>
            <w:shd w:val="clear" w:color="auto" w:fill="auto"/>
          </w:tcPr>
          <w:p w:rsidR="00273F29" w:rsidRPr="00273F29" w:rsidRDefault="00273F29" w:rsidP="00FE3DF5">
            <w:pPr>
              <w:jc w:val="center"/>
              <w:rPr>
                <w:sz w:val="16"/>
                <w:szCs w:val="16"/>
              </w:rPr>
            </w:pPr>
            <w:r w:rsidRPr="006971C9">
              <w:rPr>
                <w:sz w:val="16"/>
                <w:szCs w:val="16"/>
              </w:rPr>
              <w:t>77.5</w:t>
            </w:r>
          </w:p>
        </w:tc>
        <w:tc>
          <w:tcPr>
            <w:tcW w:w="2273" w:type="dxa"/>
            <w:shd w:val="clear" w:color="auto" w:fill="auto"/>
          </w:tcPr>
          <w:p w:rsidR="00273F29" w:rsidRPr="00273F29" w:rsidRDefault="00273F29" w:rsidP="00FE3DF5">
            <w:pPr>
              <w:jc w:val="center"/>
              <w:rPr>
                <w:sz w:val="16"/>
                <w:szCs w:val="16"/>
              </w:rPr>
            </w:pPr>
            <w:r w:rsidRPr="006971C9">
              <w:rPr>
                <w:sz w:val="16"/>
                <w:szCs w:val="16"/>
              </w:rPr>
              <w:t>6.3</w:t>
            </w:r>
          </w:p>
        </w:tc>
      </w:tr>
      <w:tr w:rsidR="00665867" w:rsidRPr="00FE3DF5" w:rsidTr="006E646B">
        <w:tc>
          <w:tcPr>
            <w:tcW w:w="2273" w:type="dxa"/>
            <w:shd w:val="clear" w:color="auto" w:fill="auto"/>
          </w:tcPr>
          <w:p w:rsidR="00665867" w:rsidRPr="00FE3DF5" w:rsidRDefault="00665867" w:rsidP="00FE3DF5">
            <w:pPr>
              <w:jc w:val="center"/>
              <w:rPr>
                <w:sz w:val="16"/>
                <w:szCs w:val="16"/>
              </w:rPr>
            </w:pPr>
            <w:r w:rsidRPr="00FE3DF5">
              <w:rPr>
                <w:sz w:val="16"/>
                <w:szCs w:val="16"/>
              </w:rPr>
              <w:t>2002</w:t>
            </w:r>
          </w:p>
        </w:tc>
        <w:tc>
          <w:tcPr>
            <w:tcW w:w="2273" w:type="dxa"/>
            <w:shd w:val="clear" w:color="auto" w:fill="auto"/>
          </w:tcPr>
          <w:p w:rsidR="00665867" w:rsidRPr="00FE3DF5" w:rsidRDefault="00665867" w:rsidP="00FE3DF5">
            <w:pPr>
              <w:jc w:val="center"/>
              <w:rPr>
                <w:sz w:val="16"/>
                <w:szCs w:val="16"/>
              </w:rPr>
            </w:pPr>
            <w:r w:rsidRPr="00FE3DF5">
              <w:rPr>
                <w:sz w:val="16"/>
                <w:szCs w:val="16"/>
              </w:rPr>
              <w:t>544.6</w:t>
            </w:r>
          </w:p>
        </w:tc>
        <w:tc>
          <w:tcPr>
            <w:tcW w:w="2273" w:type="dxa"/>
            <w:shd w:val="clear" w:color="auto" w:fill="auto"/>
          </w:tcPr>
          <w:p w:rsidR="00665867" w:rsidRPr="00FE3DF5" w:rsidRDefault="00665867" w:rsidP="00FE3DF5">
            <w:pPr>
              <w:jc w:val="center"/>
              <w:rPr>
                <w:sz w:val="16"/>
                <w:szCs w:val="16"/>
              </w:rPr>
            </w:pPr>
            <w:r w:rsidRPr="00FE3DF5">
              <w:rPr>
                <w:sz w:val="16"/>
                <w:szCs w:val="16"/>
              </w:rPr>
              <w:t>94.8</w:t>
            </w:r>
          </w:p>
        </w:tc>
        <w:tc>
          <w:tcPr>
            <w:tcW w:w="2273" w:type="dxa"/>
            <w:shd w:val="clear" w:color="auto" w:fill="auto"/>
          </w:tcPr>
          <w:p w:rsidR="00665867" w:rsidRPr="00FE3DF5" w:rsidRDefault="00665867" w:rsidP="00FE3DF5">
            <w:pPr>
              <w:jc w:val="center"/>
              <w:rPr>
                <w:sz w:val="16"/>
                <w:szCs w:val="16"/>
              </w:rPr>
            </w:pPr>
            <w:r w:rsidRPr="00FE3DF5">
              <w:rPr>
                <w:sz w:val="16"/>
                <w:szCs w:val="16"/>
              </w:rPr>
              <w:t>10.6</w:t>
            </w:r>
          </w:p>
        </w:tc>
      </w:tr>
      <w:tr w:rsidR="00665867" w:rsidRPr="00FE3DF5" w:rsidTr="006E646B">
        <w:tc>
          <w:tcPr>
            <w:tcW w:w="2273" w:type="dxa"/>
            <w:shd w:val="clear" w:color="auto" w:fill="auto"/>
          </w:tcPr>
          <w:p w:rsidR="00665867" w:rsidRPr="00FE3DF5" w:rsidRDefault="00665867" w:rsidP="00FE3DF5">
            <w:pPr>
              <w:jc w:val="center"/>
              <w:rPr>
                <w:sz w:val="16"/>
                <w:szCs w:val="16"/>
              </w:rPr>
            </w:pPr>
            <w:r w:rsidRPr="00FE3DF5">
              <w:rPr>
                <w:sz w:val="16"/>
                <w:szCs w:val="16"/>
              </w:rPr>
              <w:t>2003</w:t>
            </w:r>
          </w:p>
        </w:tc>
        <w:tc>
          <w:tcPr>
            <w:tcW w:w="2273" w:type="dxa"/>
            <w:shd w:val="clear" w:color="auto" w:fill="auto"/>
          </w:tcPr>
          <w:p w:rsidR="00665867" w:rsidRPr="00FE3DF5" w:rsidRDefault="00665867" w:rsidP="00FE3DF5">
            <w:pPr>
              <w:jc w:val="center"/>
              <w:rPr>
                <w:sz w:val="16"/>
                <w:szCs w:val="16"/>
              </w:rPr>
            </w:pPr>
            <w:r w:rsidRPr="00FE3DF5">
              <w:rPr>
                <w:sz w:val="16"/>
                <w:szCs w:val="16"/>
              </w:rPr>
              <w:t>538.9</w:t>
            </w:r>
          </w:p>
        </w:tc>
        <w:tc>
          <w:tcPr>
            <w:tcW w:w="2273" w:type="dxa"/>
            <w:shd w:val="clear" w:color="auto" w:fill="auto"/>
          </w:tcPr>
          <w:p w:rsidR="00665867" w:rsidRPr="00FE3DF5" w:rsidRDefault="00665867" w:rsidP="00FE3DF5">
            <w:pPr>
              <w:jc w:val="center"/>
              <w:rPr>
                <w:sz w:val="16"/>
                <w:szCs w:val="16"/>
              </w:rPr>
            </w:pPr>
            <w:r w:rsidRPr="00FE3DF5">
              <w:rPr>
                <w:sz w:val="16"/>
                <w:szCs w:val="16"/>
              </w:rPr>
              <w:t>101.8</w:t>
            </w:r>
          </w:p>
        </w:tc>
        <w:tc>
          <w:tcPr>
            <w:tcW w:w="2273" w:type="dxa"/>
            <w:shd w:val="clear" w:color="auto" w:fill="auto"/>
          </w:tcPr>
          <w:p w:rsidR="00665867" w:rsidRPr="00FE3DF5" w:rsidRDefault="00665867" w:rsidP="00FE3DF5">
            <w:pPr>
              <w:jc w:val="center"/>
              <w:rPr>
                <w:sz w:val="16"/>
                <w:szCs w:val="16"/>
              </w:rPr>
            </w:pPr>
            <w:r w:rsidRPr="00FE3DF5">
              <w:rPr>
                <w:sz w:val="16"/>
                <w:szCs w:val="16"/>
              </w:rPr>
              <w:t>9.5</w:t>
            </w:r>
          </w:p>
        </w:tc>
      </w:tr>
      <w:tr w:rsidR="00665867" w:rsidRPr="00FE3DF5" w:rsidTr="006E646B">
        <w:tc>
          <w:tcPr>
            <w:tcW w:w="2273" w:type="dxa"/>
            <w:shd w:val="clear" w:color="auto" w:fill="auto"/>
          </w:tcPr>
          <w:p w:rsidR="00665867" w:rsidRPr="00FE3DF5" w:rsidRDefault="00665867" w:rsidP="00FE3DF5">
            <w:pPr>
              <w:jc w:val="center"/>
              <w:rPr>
                <w:sz w:val="16"/>
                <w:szCs w:val="16"/>
              </w:rPr>
            </w:pPr>
            <w:r w:rsidRPr="00FE3DF5">
              <w:rPr>
                <w:sz w:val="16"/>
                <w:szCs w:val="16"/>
              </w:rPr>
              <w:t>2004</w:t>
            </w:r>
          </w:p>
        </w:tc>
        <w:tc>
          <w:tcPr>
            <w:tcW w:w="2273" w:type="dxa"/>
            <w:shd w:val="clear" w:color="auto" w:fill="auto"/>
          </w:tcPr>
          <w:p w:rsidR="00665867" w:rsidRPr="00FE3DF5" w:rsidRDefault="00665867" w:rsidP="00FE3DF5">
            <w:pPr>
              <w:jc w:val="center"/>
              <w:rPr>
                <w:sz w:val="16"/>
                <w:szCs w:val="16"/>
              </w:rPr>
            </w:pPr>
            <w:r w:rsidRPr="00FE3DF5">
              <w:rPr>
                <w:sz w:val="16"/>
                <w:szCs w:val="16"/>
              </w:rPr>
              <w:t>493.4</w:t>
            </w:r>
          </w:p>
        </w:tc>
        <w:tc>
          <w:tcPr>
            <w:tcW w:w="2273" w:type="dxa"/>
            <w:shd w:val="clear" w:color="auto" w:fill="auto"/>
          </w:tcPr>
          <w:p w:rsidR="00665867" w:rsidRPr="00FE3DF5" w:rsidRDefault="00665867" w:rsidP="00FE3DF5">
            <w:pPr>
              <w:jc w:val="center"/>
              <w:rPr>
                <w:sz w:val="16"/>
                <w:szCs w:val="16"/>
              </w:rPr>
            </w:pPr>
            <w:r w:rsidRPr="00FE3DF5">
              <w:rPr>
                <w:sz w:val="16"/>
                <w:szCs w:val="16"/>
              </w:rPr>
              <w:t>101.1</w:t>
            </w:r>
          </w:p>
        </w:tc>
        <w:tc>
          <w:tcPr>
            <w:tcW w:w="2273" w:type="dxa"/>
            <w:shd w:val="clear" w:color="auto" w:fill="auto"/>
          </w:tcPr>
          <w:p w:rsidR="00665867" w:rsidRPr="00FE3DF5" w:rsidRDefault="00665867" w:rsidP="00FE3DF5">
            <w:pPr>
              <w:jc w:val="center"/>
              <w:rPr>
                <w:sz w:val="16"/>
                <w:szCs w:val="16"/>
              </w:rPr>
            </w:pPr>
            <w:r w:rsidRPr="00FE3DF5">
              <w:rPr>
                <w:sz w:val="16"/>
                <w:szCs w:val="16"/>
              </w:rPr>
              <w:t>8.2</w:t>
            </w:r>
          </w:p>
        </w:tc>
      </w:tr>
      <w:tr w:rsidR="00665867" w:rsidRPr="00FE3DF5" w:rsidTr="006E646B">
        <w:tc>
          <w:tcPr>
            <w:tcW w:w="2273" w:type="dxa"/>
            <w:shd w:val="clear" w:color="auto" w:fill="auto"/>
          </w:tcPr>
          <w:p w:rsidR="00665867" w:rsidRPr="00FE3DF5" w:rsidRDefault="00665867" w:rsidP="00FE3DF5">
            <w:pPr>
              <w:jc w:val="center"/>
              <w:rPr>
                <w:sz w:val="16"/>
                <w:szCs w:val="16"/>
              </w:rPr>
            </w:pPr>
            <w:r w:rsidRPr="00FE3DF5">
              <w:rPr>
                <w:sz w:val="16"/>
                <w:szCs w:val="16"/>
              </w:rPr>
              <w:t>2005</w:t>
            </w:r>
          </w:p>
        </w:tc>
        <w:tc>
          <w:tcPr>
            <w:tcW w:w="2273" w:type="dxa"/>
            <w:shd w:val="clear" w:color="auto" w:fill="auto"/>
          </w:tcPr>
          <w:p w:rsidR="00665867" w:rsidRPr="00FE3DF5" w:rsidRDefault="00665867" w:rsidP="00FE3DF5">
            <w:pPr>
              <w:jc w:val="center"/>
              <w:rPr>
                <w:sz w:val="16"/>
                <w:szCs w:val="16"/>
              </w:rPr>
            </w:pPr>
            <w:r w:rsidRPr="00FE3DF5">
              <w:rPr>
                <w:sz w:val="16"/>
                <w:szCs w:val="16"/>
              </w:rPr>
              <w:t>568.3</w:t>
            </w:r>
          </w:p>
        </w:tc>
        <w:tc>
          <w:tcPr>
            <w:tcW w:w="2273" w:type="dxa"/>
            <w:shd w:val="clear" w:color="auto" w:fill="auto"/>
          </w:tcPr>
          <w:p w:rsidR="00665867" w:rsidRPr="00FE3DF5" w:rsidRDefault="00665867" w:rsidP="00FE3DF5">
            <w:pPr>
              <w:jc w:val="center"/>
              <w:rPr>
                <w:sz w:val="16"/>
                <w:szCs w:val="16"/>
              </w:rPr>
            </w:pPr>
            <w:r w:rsidRPr="00FE3DF5">
              <w:rPr>
                <w:sz w:val="16"/>
                <w:szCs w:val="16"/>
              </w:rPr>
              <w:t>81.0</w:t>
            </w:r>
          </w:p>
        </w:tc>
        <w:tc>
          <w:tcPr>
            <w:tcW w:w="2273" w:type="dxa"/>
            <w:shd w:val="clear" w:color="auto" w:fill="auto"/>
          </w:tcPr>
          <w:p w:rsidR="00665867" w:rsidRPr="00FE3DF5" w:rsidRDefault="00665867" w:rsidP="00FE3DF5">
            <w:pPr>
              <w:jc w:val="center"/>
              <w:rPr>
                <w:sz w:val="16"/>
                <w:szCs w:val="16"/>
              </w:rPr>
            </w:pPr>
            <w:r w:rsidRPr="00FE3DF5">
              <w:rPr>
                <w:sz w:val="16"/>
                <w:szCs w:val="16"/>
              </w:rPr>
              <w:t>12.5</w:t>
            </w:r>
          </w:p>
        </w:tc>
      </w:tr>
      <w:tr w:rsidR="00665867" w:rsidRPr="00FE3DF5" w:rsidTr="006E646B">
        <w:tc>
          <w:tcPr>
            <w:tcW w:w="2273" w:type="dxa"/>
            <w:shd w:val="clear" w:color="auto" w:fill="auto"/>
          </w:tcPr>
          <w:p w:rsidR="00665867" w:rsidRPr="00FE3DF5" w:rsidRDefault="00665867" w:rsidP="00FE3DF5">
            <w:pPr>
              <w:jc w:val="center"/>
              <w:rPr>
                <w:sz w:val="16"/>
                <w:szCs w:val="16"/>
              </w:rPr>
            </w:pPr>
            <w:r w:rsidRPr="00FE3DF5">
              <w:rPr>
                <w:sz w:val="16"/>
                <w:szCs w:val="16"/>
              </w:rPr>
              <w:t>2006</w:t>
            </w:r>
          </w:p>
        </w:tc>
        <w:tc>
          <w:tcPr>
            <w:tcW w:w="2273" w:type="dxa"/>
            <w:shd w:val="clear" w:color="auto" w:fill="auto"/>
          </w:tcPr>
          <w:p w:rsidR="00665867" w:rsidRPr="00FE3DF5" w:rsidRDefault="00665867" w:rsidP="00FE3DF5">
            <w:pPr>
              <w:jc w:val="center"/>
              <w:rPr>
                <w:sz w:val="16"/>
                <w:szCs w:val="16"/>
              </w:rPr>
            </w:pPr>
            <w:r w:rsidRPr="00FE3DF5">
              <w:rPr>
                <w:sz w:val="16"/>
                <w:szCs w:val="16"/>
              </w:rPr>
              <w:t>673.7</w:t>
            </w:r>
          </w:p>
        </w:tc>
        <w:tc>
          <w:tcPr>
            <w:tcW w:w="2273" w:type="dxa"/>
            <w:shd w:val="clear" w:color="auto" w:fill="auto"/>
          </w:tcPr>
          <w:p w:rsidR="00665867" w:rsidRPr="00FE3DF5" w:rsidRDefault="00665867" w:rsidP="00FE3DF5">
            <w:pPr>
              <w:jc w:val="center"/>
              <w:rPr>
                <w:sz w:val="16"/>
                <w:szCs w:val="16"/>
              </w:rPr>
            </w:pPr>
            <w:r w:rsidRPr="00FE3DF5">
              <w:rPr>
                <w:sz w:val="16"/>
                <w:szCs w:val="16"/>
              </w:rPr>
              <w:t>95.7</w:t>
            </w:r>
          </w:p>
        </w:tc>
        <w:tc>
          <w:tcPr>
            <w:tcW w:w="2273" w:type="dxa"/>
            <w:shd w:val="clear" w:color="auto" w:fill="auto"/>
          </w:tcPr>
          <w:p w:rsidR="00665867" w:rsidRPr="00FE3DF5" w:rsidRDefault="00665867" w:rsidP="00FE3DF5">
            <w:pPr>
              <w:jc w:val="center"/>
              <w:rPr>
                <w:sz w:val="16"/>
                <w:szCs w:val="16"/>
              </w:rPr>
            </w:pPr>
            <w:r w:rsidRPr="00FE3DF5">
              <w:rPr>
                <w:sz w:val="16"/>
                <w:szCs w:val="16"/>
              </w:rPr>
              <w:t>11.7</w:t>
            </w:r>
          </w:p>
        </w:tc>
        <w:bookmarkStart w:id="0" w:name="_GoBack"/>
        <w:bookmarkEnd w:id="0"/>
      </w:tr>
      <w:tr w:rsidR="00665867" w:rsidRPr="00FE3DF5" w:rsidTr="006E646B">
        <w:tc>
          <w:tcPr>
            <w:tcW w:w="2273" w:type="dxa"/>
            <w:shd w:val="clear" w:color="auto" w:fill="auto"/>
          </w:tcPr>
          <w:p w:rsidR="00665867" w:rsidRPr="00FE3DF5" w:rsidRDefault="00665867" w:rsidP="00FE3DF5">
            <w:pPr>
              <w:jc w:val="center"/>
              <w:rPr>
                <w:sz w:val="16"/>
                <w:szCs w:val="16"/>
              </w:rPr>
            </w:pPr>
            <w:r w:rsidRPr="00FE3DF5">
              <w:rPr>
                <w:sz w:val="16"/>
                <w:szCs w:val="16"/>
              </w:rPr>
              <w:t>2007</w:t>
            </w:r>
          </w:p>
        </w:tc>
        <w:tc>
          <w:tcPr>
            <w:tcW w:w="2273" w:type="dxa"/>
            <w:shd w:val="clear" w:color="auto" w:fill="auto"/>
          </w:tcPr>
          <w:p w:rsidR="00665867" w:rsidRPr="00FE3DF5" w:rsidRDefault="00665867" w:rsidP="00FE3DF5">
            <w:pPr>
              <w:jc w:val="center"/>
              <w:rPr>
                <w:sz w:val="16"/>
                <w:szCs w:val="16"/>
              </w:rPr>
            </w:pPr>
            <w:r w:rsidRPr="00FE3DF5">
              <w:rPr>
                <w:sz w:val="16"/>
                <w:szCs w:val="16"/>
              </w:rPr>
              <w:t>737.3</w:t>
            </w:r>
          </w:p>
        </w:tc>
        <w:tc>
          <w:tcPr>
            <w:tcW w:w="2273" w:type="dxa"/>
            <w:shd w:val="clear" w:color="auto" w:fill="auto"/>
          </w:tcPr>
          <w:p w:rsidR="00665867" w:rsidRPr="00FE3DF5" w:rsidRDefault="00665867" w:rsidP="00FE3DF5">
            <w:pPr>
              <w:jc w:val="center"/>
              <w:rPr>
                <w:sz w:val="16"/>
                <w:szCs w:val="16"/>
              </w:rPr>
            </w:pPr>
            <w:r w:rsidRPr="00FE3DF5">
              <w:rPr>
                <w:sz w:val="16"/>
                <w:szCs w:val="16"/>
              </w:rPr>
              <w:t>85.5</w:t>
            </w:r>
          </w:p>
        </w:tc>
        <w:tc>
          <w:tcPr>
            <w:tcW w:w="2273" w:type="dxa"/>
            <w:shd w:val="clear" w:color="auto" w:fill="auto"/>
          </w:tcPr>
          <w:p w:rsidR="00665867" w:rsidRPr="00FE3DF5" w:rsidRDefault="00665867" w:rsidP="00FE3DF5">
            <w:pPr>
              <w:jc w:val="center"/>
              <w:rPr>
                <w:sz w:val="16"/>
                <w:szCs w:val="16"/>
              </w:rPr>
            </w:pPr>
            <w:r w:rsidRPr="00FE3DF5">
              <w:rPr>
                <w:sz w:val="16"/>
                <w:szCs w:val="16"/>
              </w:rPr>
              <w:t>7.3</w:t>
            </w:r>
          </w:p>
        </w:tc>
      </w:tr>
      <w:tr w:rsidR="00665867" w:rsidRPr="00FE3DF5" w:rsidTr="006E646B">
        <w:tc>
          <w:tcPr>
            <w:tcW w:w="2273" w:type="dxa"/>
            <w:shd w:val="clear" w:color="auto" w:fill="auto"/>
          </w:tcPr>
          <w:p w:rsidR="00665867" w:rsidRPr="00FE3DF5" w:rsidRDefault="00665867" w:rsidP="00FE3DF5">
            <w:pPr>
              <w:jc w:val="center"/>
              <w:rPr>
                <w:sz w:val="16"/>
                <w:szCs w:val="16"/>
              </w:rPr>
            </w:pPr>
            <w:r w:rsidRPr="00FE3DF5">
              <w:rPr>
                <w:sz w:val="16"/>
                <w:szCs w:val="16"/>
              </w:rPr>
              <w:t>2008</w:t>
            </w:r>
          </w:p>
        </w:tc>
        <w:tc>
          <w:tcPr>
            <w:tcW w:w="2273" w:type="dxa"/>
            <w:shd w:val="clear" w:color="auto" w:fill="auto"/>
          </w:tcPr>
          <w:p w:rsidR="00665867" w:rsidRPr="00FE3DF5" w:rsidRDefault="00665867" w:rsidP="00FE3DF5">
            <w:pPr>
              <w:jc w:val="center"/>
              <w:rPr>
                <w:sz w:val="16"/>
                <w:szCs w:val="16"/>
              </w:rPr>
            </w:pPr>
            <w:r w:rsidRPr="00FE3DF5">
              <w:rPr>
                <w:sz w:val="16"/>
                <w:szCs w:val="16"/>
              </w:rPr>
              <w:t>877.0</w:t>
            </w:r>
          </w:p>
        </w:tc>
        <w:tc>
          <w:tcPr>
            <w:tcW w:w="2273" w:type="dxa"/>
            <w:shd w:val="clear" w:color="auto" w:fill="auto"/>
          </w:tcPr>
          <w:p w:rsidR="00665867" w:rsidRPr="00FE3DF5" w:rsidRDefault="00665867" w:rsidP="00FE3DF5">
            <w:pPr>
              <w:jc w:val="center"/>
              <w:rPr>
                <w:sz w:val="16"/>
                <w:szCs w:val="16"/>
              </w:rPr>
            </w:pPr>
            <w:r w:rsidRPr="00FE3DF5">
              <w:rPr>
                <w:sz w:val="16"/>
                <w:szCs w:val="16"/>
              </w:rPr>
              <w:t>116.1</w:t>
            </w:r>
          </w:p>
        </w:tc>
        <w:tc>
          <w:tcPr>
            <w:tcW w:w="2273" w:type="dxa"/>
            <w:shd w:val="clear" w:color="auto" w:fill="auto"/>
          </w:tcPr>
          <w:p w:rsidR="00665867" w:rsidRPr="00FE3DF5" w:rsidRDefault="00665867" w:rsidP="00FE3DF5">
            <w:pPr>
              <w:jc w:val="center"/>
              <w:rPr>
                <w:sz w:val="16"/>
                <w:szCs w:val="16"/>
              </w:rPr>
            </w:pPr>
            <w:r w:rsidRPr="00FE3DF5">
              <w:rPr>
                <w:sz w:val="16"/>
                <w:szCs w:val="16"/>
              </w:rPr>
              <w:t>23.6</w:t>
            </w:r>
          </w:p>
        </w:tc>
      </w:tr>
      <w:tr w:rsidR="00665867" w:rsidRPr="00FE3DF5" w:rsidTr="006E646B">
        <w:tc>
          <w:tcPr>
            <w:tcW w:w="2273" w:type="dxa"/>
            <w:shd w:val="clear" w:color="auto" w:fill="auto"/>
          </w:tcPr>
          <w:p w:rsidR="00665867" w:rsidRPr="00FE3DF5" w:rsidRDefault="00665867" w:rsidP="00FE3DF5">
            <w:pPr>
              <w:jc w:val="center"/>
              <w:rPr>
                <w:sz w:val="16"/>
                <w:szCs w:val="16"/>
              </w:rPr>
            </w:pPr>
            <w:r w:rsidRPr="00FE3DF5">
              <w:rPr>
                <w:sz w:val="16"/>
                <w:szCs w:val="16"/>
              </w:rPr>
              <w:t>2009</w:t>
            </w:r>
          </w:p>
        </w:tc>
        <w:tc>
          <w:tcPr>
            <w:tcW w:w="2273" w:type="dxa"/>
            <w:shd w:val="clear" w:color="auto" w:fill="auto"/>
          </w:tcPr>
          <w:p w:rsidR="00665867" w:rsidRPr="00FE3DF5" w:rsidRDefault="00665867" w:rsidP="00FE3DF5">
            <w:pPr>
              <w:jc w:val="center"/>
              <w:rPr>
                <w:sz w:val="16"/>
                <w:szCs w:val="16"/>
              </w:rPr>
            </w:pPr>
            <w:r w:rsidRPr="00FE3DF5">
              <w:rPr>
                <w:sz w:val="16"/>
                <w:szCs w:val="16"/>
              </w:rPr>
              <w:t>739.7</w:t>
            </w:r>
          </w:p>
        </w:tc>
        <w:tc>
          <w:tcPr>
            <w:tcW w:w="2273" w:type="dxa"/>
            <w:shd w:val="clear" w:color="auto" w:fill="auto"/>
          </w:tcPr>
          <w:p w:rsidR="00665867" w:rsidRPr="00FE3DF5" w:rsidRDefault="00665867" w:rsidP="00FE3DF5">
            <w:pPr>
              <w:jc w:val="center"/>
              <w:rPr>
                <w:sz w:val="16"/>
                <w:szCs w:val="16"/>
              </w:rPr>
            </w:pPr>
            <w:r w:rsidRPr="00FE3DF5">
              <w:rPr>
                <w:sz w:val="16"/>
                <w:szCs w:val="16"/>
              </w:rPr>
              <w:t>83.2</w:t>
            </w:r>
          </w:p>
        </w:tc>
        <w:tc>
          <w:tcPr>
            <w:tcW w:w="2273" w:type="dxa"/>
            <w:shd w:val="clear" w:color="auto" w:fill="auto"/>
          </w:tcPr>
          <w:p w:rsidR="00665867" w:rsidRPr="00FE3DF5" w:rsidRDefault="00665867" w:rsidP="00FE3DF5">
            <w:pPr>
              <w:jc w:val="center"/>
              <w:rPr>
                <w:sz w:val="16"/>
                <w:szCs w:val="16"/>
              </w:rPr>
            </w:pPr>
            <w:r w:rsidRPr="00FE3DF5">
              <w:rPr>
                <w:sz w:val="16"/>
                <w:szCs w:val="16"/>
              </w:rPr>
              <w:t>31.3</w:t>
            </w:r>
          </w:p>
        </w:tc>
      </w:tr>
      <w:tr w:rsidR="00665867" w:rsidRPr="00FE3DF5" w:rsidTr="006E646B">
        <w:tc>
          <w:tcPr>
            <w:tcW w:w="2273" w:type="dxa"/>
            <w:shd w:val="clear" w:color="auto" w:fill="auto"/>
          </w:tcPr>
          <w:p w:rsidR="00665867" w:rsidRPr="00FE3DF5" w:rsidRDefault="00665867" w:rsidP="00FE3DF5">
            <w:pPr>
              <w:jc w:val="center"/>
              <w:rPr>
                <w:sz w:val="16"/>
                <w:szCs w:val="16"/>
              </w:rPr>
            </w:pPr>
            <w:r w:rsidRPr="00FE3DF5">
              <w:rPr>
                <w:sz w:val="16"/>
                <w:szCs w:val="16"/>
              </w:rPr>
              <w:t>2010</w:t>
            </w:r>
          </w:p>
        </w:tc>
        <w:tc>
          <w:tcPr>
            <w:tcW w:w="2273" w:type="dxa"/>
            <w:shd w:val="clear" w:color="auto" w:fill="auto"/>
          </w:tcPr>
          <w:p w:rsidR="00665867" w:rsidRPr="00FE3DF5" w:rsidRDefault="00665867" w:rsidP="00FE3DF5">
            <w:pPr>
              <w:jc w:val="center"/>
              <w:rPr>
                <w:sz w:val="16"/>
                <w:szCs w:val="16"/>
              </w:rPr>
            </w:pPr>
            <w:r w:rsidRPr="00FE3DF5">
              <w:rPr>
                <w:sz w:val="16"/>
                <w:szCs w:val="16"/>
              </w:rPr>
              <w:t>731.7</w:t>
            </w:r>
          </w:p>
        </w:tc>
        <w:tc>
          <w:tcPr>
            <w:tcW w:w="2273" w:type="dxa"/>
            <w:shd w:val="clear" w:color="auto" w:fill="auto"/>
          </w:tcPr>
          <w:p w:rsidR="00665867" w:rsidRPr="00FE3DF5" w:rsidRDefault="00665867" w:rsidP="00FE3DF5">
            <w:pPr>
              <w:jc w:val="center"/>
              <w:rPr>
                <w:sz w:val="16"/>
                <w:szCs w:val="16"/>
              </w:rPr>
            </w:pPr>
            <w:r w:rsidRPr="00FE3DF5">
              <w:rPr>
                <w:sz w:val="16"/>
                <w:szCs w:val="16"/>
              </w:rPr>
              <w:t>71.9</w:t>
            </w:r>
          </w:p>
        </w:tc>
        <w:tc>
          <w:tcPr>
            <w:tcW w:w="2273" w:type="dxa"/>
            <w:shd w:val="clear" w:color="auto" w:fill="auto"/>
          </w:tcPr>
          <w:p w:rsidR="00665867" w:rsidRPr="00FE3DF5" w:rsidRDefault="00665867" w:rsidP="00FE3DF5">
            <w:pPr>
              <w:jc w:val="center"/>
              <w:rPr>
                <w:sz w:val="16"/>
                <w:szCs w:val="16"/>
              </w:rPr>
            </w:pPr>
            <w:r w:rsidRPr="00FE3DF5">
              <w:rPr>
                <w:sz w:val="16"/>
                <w:szCs w:val="16"/>
              </w:rPr>
              <w:t>16.6</w:t>
            </w:r>
          </w:p>
        </w:tc>
      </w:tr>
      <w:tr w:rsidR="00665867" w:rsidRPr="00FE3DF5" w:rsidTr="006E646B">
        <w:tc>
          <w:tcPr>
            <w:tcW w:w="2273" w:type="dxa"/>
            <w:shd w:val="clear" w:color="auto" w:fill="auto"/>
          </w:tcPr>
          <w:p w:rsidR="00665867" w:rsidRPr="00FE3DF5" w:rsidRDefault="00665867" w:rsidP="00FE3DF5">
            <w:pPr>
              <w:jc w:val="center"/>
              <w:rPr>
                <w:sz w:val="16"/>
                <w:szCs w:val="16"/>
              </w:rPr>
            </w:pPr>
            <w:r w:rsidRPr="00FE3DF5">
              <w:rPr>
                <w:sz w:val="16"/>
                <w:szCs w:val="16"/>
              </w:rPr>
              <w:t>2011</w:t>
            </w:r>
          </w:p>
        </w:tc>
        <w:tc>
          <w:tcPr>
            <w:tcW w:w="2273" w:type="dxa"/>
            <w:shd w:val="clear" w:color="auto" w:fill="auto"/>
          </w:tcPr>
          <w:p w:rsidR="00665867" w:rsidRPr="00FE3DF5" w:rsidRDefault="00665867" w:rsidP="00FE3DF5">
            <w:pPr>
              <w:jc w:val="center"/>
              <w:rPr>
                <w:sz w:val="16"/>
                <w:szCs w:val="16"/>
              </w:rPr>
            </w:pPr>
            <w:r w:rsidRPr="00FE3DF5">
              <w:rPr>
                <w:sz w:val="16"/>
                <w:szCs w:val="16"/>
              </w:rPr>
              <w:t>669.7</w:t>
            </w:r>
          </w:p>
        </w:tc>
        <w:tc>
          <w:tcPr>
            <w:tcW w:w="2273" w:type="dxa"/>
            <w:shd w:val="clear" w:color="auto" w:fill="auto"/>
          </w:tcPr>
          <w:p w:rsidR="00665867" w:rsidRPr="00FE3DF5" w:rsidRDefault="00665867" w:rsidP="00FE3DF5">
            <w:pPr>
              <w:jc w:val="center"/>
              <w:rPr>
                <w:sz w:val="16"/>
                <w:szCs w:val="16"/>
              </w:rPr>
            </w:pPr>
            <w:r w:rsidRPr="00FE3DF5">
              <w:rPr>
                <w:sz w:val="16"/>
                <w:szCs w:val="16"/>
              </w:rPr>
              <w:t>91.8</w:t>
            </w:r>
          </w:p>
        </w:tc>
        <w:tc>
          <w:tcPr>
            <w:tcW w:w="2273" w:type="dxa"/>
            <w:shd w:val="clear" w:color="auto" w:fill="auto"/>
          </w:tcPr>
          <w:p w:rsidR="00665867" w:rsidRPr="00FE3DF5" w:rsidRDefault="00665867" w:rsidP="00FE3DF5">
            <w:pPr>
              <w:jc w:val="center"/>
              <w:rPr>
                <w:sz w:val="16"/>
                <w:szCs w:val="16"/>
              </w:rPr>
            </w:pPr>
            <w:r w:rsidRPr="00FE3DF5">
              <w:rPr>
                <w:sz w:val="16"/>
                <w:szCs w:val="16"/>
              </w:rPr>
              <w:t>31.8</w:t>
            </w:r>
          </w:p>
        </w:tc>
      </w:tr>
      <w:tr w:rsidR="00273F29" w:rsidRPr="00FE3DF5" w:rsidTr="006E646B">
        <w:tc>
          <w:tcPr>
            <w:tcW w:w="2273" w:type="dxa"/>
            <w:shd w:val="clear" w:color="auto" w:fill="auto"/>
          </w:tcPr>
          <w:p w:rsidR="00273F29" w:rsidRPr="00FE3DF5" w:rsidRDefault="00273F29" w:rsidP="00FE3DF5">
            <w:pPr>
              <w:jc w:val="center"/>
              <w:rPr>
                <w:sz w:val="16"/>
                <w:szCs w:val="16"/>
              </w:rPr>
            </w:pPr>
            <w:r w:rsidRPr="00FE3DF5">
              <w:rPr>
                <w:sz w:val="16"/>
                <w:szCs w:val="16"/>
              </w:rPr>
              <w:t>2012</w:t>
            </w:r>
          </w:p>
        </w:tc>
        <w:tc>
          <w:tcPr>
            <w:tcW w:w="2273" w:type="dxa"/>
            <w:shd w:val="clear" w:color="auto" w:fill="auto"/>
          </w:tcPr>
          <w:p w:rsidR="00273F29" w:rsidRPr="006971C9" w:rsidRDefault="00273F29" w:rsidP="004E44A5">
            <w:pPr>
              <w:jc w:val="center"/>
              <w:rPr>
                <w:sz w:val="16"/>
                <w:szCs w:val="16"/>
              </w:rPr>
            </w:pPr>
            <w:r w:rsidRPr="006971C9">
              <w:rPr>
                <w:sz w:val="16"/>
                <w:szCs w:val="16"/>
              </w:rPr>
              <w:t>754.2</w:t>
            </w:r>
          </w:p>
        </w:tc>
        <w:tc>
          <w:tcPr>
            <w:tcW w:w="2273" w:type="dxa"/>
            <w:shd w:val="clear" w:color="auto" w:fill="auto"/>
          </w:tcPr>
          <w:p w:rsidR="00273F29" w:rsidRPr="006971C9" w:rsidRDefault="00273F29" w:rsidP="004E44A5">
            <w:pPr>
              <w:jc w:val="center"/>
              <w:rPr>
                <w:sz w:val="16"/>
                <w:szCs w:val="16"/>
              </w:rPr>
            </w:pPr>
            <w:r w:rsidRPr="006971C9">
              <w:rPr>
                <w:sz w:val="16"/>
                <w:szCs w:val="16"/>
              </w:rPr>
              <w:t>109.0</w:t>
            </w:r>
          </w:p>
        </w:tc>
        <w:tc>
          <w:tcPr>
            <w:tcW w:w="2273" w:type="dxa"/>
            <w:shd w:val="clear" w:color="auto" w:fill="auto"/>
          </w:tcPr>
          <w:p w:rsidR="00273F29" w:rsidRPr="006971C9" w:rsidRDefault="00273F29" w:rsidP="004E44A5">
            <w:pPr>
              <w:jc w:val="center"/>
              <w:rPr>
                <w:sz w:val="16"/>
                <w:szCs w:val="16"/>
              </w:rPr>
            </w:pPr>
            <w:r w:rsidRPr="006971C9">
              <w:rPr>
                <w:sz w:val="16"/>
                <w:szCs w:val="16"/>
              </w:rPr>
              <w:t>28.6</w:t>
            </w:r>
          </w:p>
        </w:tc>
      </w:tr>
      <w:tr w:rsidR="00273F29" w:rsidRPr="00FE3DF5" w:rsidTr="006E646B">
        <w:tc>
          <w:tcPr>
            <w:tcW w:w="2273" w:type="dxa"/>
            <w:shd w:val="clear" w:color="auto" w:fill="auto"/>
          </w:tcPr>
          <w:p w:rsidR="00273F29" w:rsidRPr="00FE3DF5" w:rsidRDefault="00273F29" w:rsidP="00FE3DF5">
            <w:pPr>
              <w:jc w:val="center"/>
              <w:rPr>
                <w:sz w:val="16"/>
                <w:szCs w:val="16"/>
              </w:rPr>
            </w:pPr>
            <w:r>
              <w:rPr>
                <w:sz w:val="16"/>
                <w:szCs w:val="16"/>
              </w:rPr>
              <w:t>2013</w:t>
            </w:r>
          </w:p>
        </w:tc>
        <w:tc>
          <w:tcPr>
            <w:tcW w:w="2273" w:type="dxa"/>
            <w:shd w:val="clear" w:color="auto" w:fill="auto"/>
          </w:tcPr>
          <w:p w:rsidR="00273F29" w:rsidRPr="006971C9" w:rsidRDefault="00273F29" w:rsidP="004E44A5">
            <w:pPr>
              <w:jc w:val="center"/>
              <w:rPr>
                <w:sz w:val="16"/>
                <w:szCs w:val="16"/>
              </w:rPr>
            </w:pPr>
            <w:r w:rsidRPr="006971C9">
              <w:rPr>
                <w:sz w:val="16"/>
                <w:szCs w:val="16"/>
              </w:rPr>
              <w:t>814.9</w:t>
            </w:r>
          </w:p>
        </w:tc>
        <w:tc>
          <w:tcPr>
            <w:tcW w:w="2273" w:type="dxa"/>
            <w:shd w:val="clear" w:color="auto" w:fill="auto"/>
          </w:tcPr>
          <w:p w:rsidR="00273F29" w:rsidRPr="006971C9" w:rsidRDefault="00273F29" w:rsidP="004E44A5">
            <w:pPr>
              <w:jc w:val="center"/>
              <w:rPr>
                <w:sz w:val="16"/>
                <w:szCs w:val="16"/>
              </w:rPr>
            </w:pPr>
            <w:r w:rsidRPr="006971C9">
              <w:rPr>
                <w:sz w:val="16"/>
                <w:szCs w:val="16"/>
              </w:rPr>
              <w:t>94.1</w:t>
            </w:r>
          </w:p>
        </w:tc>
        <w:tc>
          <w:tcPr>
            <w:tcW w:w="2273" w:type="dxa"/>
            <w:shd w:val="clear" w:color="auto" w:fill="auto"/>
          </w:tcPr>
          <w:p w:rsidR="00273F29" w:rsidRPr="006971C9" w:rsidRDefault="00273F29" w:rsidP="004E44A5">
            <w:pPr>
              <w:jc w:val="center"/>
              <w:rPr>
                <w:sz w:val="16"/>
                <w:szCs w:val="16"/>
              </w:rPr>
            </w:pPr>
            <w:r w:rsidRPr="006971C9">
              <w:rPr>
                <w:sz w:val="16"/>
                <w:szCs w:val="16"/>
              </w:rPr>
              <w:t>28.1</w:t>
            </w:r>
          </w:p>
        </w:tc>
      </w:tr>
      <w:tr w:rsidR="00273F29" w:rsidRPr="00FE3DF5" w:rsidTr="006E646B">
        <w:tc>
          <w:tcPr>
            <w:tcW w:w="2273" w:type="dxa"/>
            <w:shd w:val="clear" w:color="auto" w:fill="auto"/>
          </w:tcPr>
          <w:p w:rsidR="00273F29" w:rsidRPr="00FE3DF5" w:rsidRDefault="00273F29" w:rsidP="00FE3DF5">
            <w:pPr>
              <w:jc w:val="center"/>
              <w:rPr>
                <w:sz w:val="16"/>
                <w:szCs w:val="16"/>
              </w:rPr>
            </w:pPr>
            <w:r>
              <w:rPr>
                <w:sz w:val="16"/>
                <w:szCs w:val="16"/>
              </w:rPr>
              <w:t>2014</w:t>
            </w:r>
          </w:p>
        </w:tc>
        <w:tc>
          <w:tcPr>
            <w:tcW w:w="2273" w:type="dxa"/>
            <w:shd w:val="clear" w:color="auto" w:fill="auto"/>
          </w:tcPr>
          <w:p w:rsidR="00273F29" w:rsidRPr="006971C9" w:rsidRDefault="00273F29" w:rsidP="004E44A5">
            <w:pPr>
              <w:jc w:val="center"/>
              <w:rPr>
                <w:sz w:val="16"/>
                <w:szCs w:val="16"/>
              </w:rPr>
            </w:pPr>
            <w:r w:rsidRPr="006971C9">
              <w:rPr>
                <w:sz w:val="16"/>
                <w:szCs w:val="16"/>
              </w:rPr>
              <w:t>841.5</w:t>
            </w:r>
          </w:p>
        </w:tc>
        <w:tc>
          <w:tcPr>
            <w:tcW w:w="2273" w:type="dxa"/>
            <w:shd w:val="clear" w:color="auto" w:fill="auto"/>
          </w:tcPr>
          <w:p w:rsidR="00273F29" w:rsidRPr="006971C9" w:rsidRDefault="00273F29" w:rsidP="004E44A5">
            <w:pPr>
              <w:jc w:val="center"/>
              <w:rPr>
                <w:sz w:val="16"/>
                <w:szCs w:val="16"/>
              </w:rPr>
            </w:pPr>
            <w:r w:rsidRPr="006971C9">
              <w:rPr>
                <w:sz w:val="16"/>
                <w:szCs w:val="16"/>
              </w:rPr>
              <w:t>92.1</w:t>
            </w:r>
          </w:p>
        </w:tc>
        <w:tc>
          <w:tcPr>
            <w:tcW w:w="2273" w:type="dxa"/>
            <w:shd w:val="clear" w:color="auto" w:fill="auto"/>
          </w:tcPr>
          <w:p w:rsidR="00273F29" w:rsidRPr="006971C9" w:rsidRDefault="00273F29" w:rsidP="004E44A5">
            <w:pPr>
              <w:jc w:val="center"/>
              <w:rPr>
                <w:sz w:val="16"/>
                <w:szCs w:val="16"/>
              </w:rPr>
            </w:pPr>
            <w:r w:rsidRPr="006971C9">
              <w:rPr>
                <w:sz w:val="16"/>
                <w:szCs w:val="16"/>
              </w:rPr>
              <w:t>29.5</w:t>
            </w:r>
          </w:p>
        </w:tc>
      </w:tr>
      <w:tr w:rsidR="00273F29" w:rsidRPr="00FE3DF5" w:rsidTr="006E646B">
        <w:tc>
          <w:tcPr>
            <w:tcW w:w="2273" w:type="dxa"/>
            <w:shd w:val="clear" w:color="auto" w:fill="auto"/>
          </w:tcPr>
          <w:p w:rsidR="00273F29" w:rsidRPr="00FE3DF5" w:rsidRDefault="00273F29" w:rsidP="00FE3DF5">
            <w:pPr>
              <w:jc w:val="center"/>
              <w:rPr>
                <w:sz w:val="16"/>
                <w:szCs w:val="16"/>
              </w:rPr>
            </w:pPr>
            <w:r>
              <w:rPr>
                <w:sz w:val="16"/>
                <w:szCs w:val="16"/>
              </w:rPr>
              <w:t>2015</w:t>
            </w:r>
          </w:p>
        </w:tc>
        <w:tc>
          <w:tcPr>
            <w:tcW w:w="2273" w:type="dxa"/>
            <w:shd w:val="clear" w:color="auto" w:fill="auto"/>
          </w:tcPr>
          <w:p w:rsidR="00273F29" w:rsidRPr="006971C9" w:rsidRDefault="00273F29" w:rsidP="004E44A5">
            <w:pPr>
              <w:jc w:val="center"/>
              <w:rPr>
                <w:sz w:val="16"/>
                <w:szCs w:val="16"/>
              </w:rPr>
            </w:pPr>
            <w:r w:rsidRPr="006971C9">
              <w:rPr>
                <w:sz w:val="16"/>
                <w:szCs w:val="16"/>
              </w:rPr>
              <w:t>1644.5</w:t>
            </w:r>
          </w:p>
        </w:tc>
        <w:tc>
          <w:tcPr>
            <w:tcW w:w="2273" w:type="dxa"/>
            <w:shd w:val="clear" w:color="auto" w:fill="auto"/>
          </w:tcPr>
          <w:p w:rsidR="00273F29" w:rsidRPr="006971C9" w:rsidRDefault="00273F29" w:rsidP="004E44A5">
            <w:pPr>
              <w:jc w:val="center"/>
              <w:rPr>
                <w:sz w:val="16"/>
                <w:szCs w:val="16"/>
              </w:rPr>
            </w:pPr>
            <w:r w:rsidRPr="006971C9">
              <w:rPr>
                <w:sz w:val="16"/>
                <w:szCs w:val="16"/>
              </w:rPr>
              <w:t>118.1</w:t>
            </w:r>
          </w:p>
        </w:tc>
        <w:tc>
          <w:tcPr>
            <w:tcW w:w="2273" w:type="dxa"/>
            <w:shd w:val="clear" w:color="auto" w:fill="auto"/>
          </w:tcPr>
          <w:p w:rsidR="00273F29" w:rsidRPr="006971C9" w:rsidRDefault="00273F29" w:rsidP="004E44A5">
            <w:pPr>
              <w:jc w:val="center"/>
              <w:rPr>
                <w:sz w:val="16"/>
                <w:szCs w:val="16"/>
              </w:rPr>
            </w:pPr>
            <w:r w:rsidRPr="006971C9">
              <w:rPr>
                <w:sz w:val="16"/>
                <w:szCs w:val="16"/>
              </w:rPr>
              <w:t>16.2</w:t>
            </w:r>
          </w:p>
        </w:tc>
      </w:tr>
      <w:tr w:rsidR="00273F29" w:rsidRPr="00FE3DF5" w:rsidTr="006E646B">
        <w:tc>
          <w:tcPr>
            <w:tcW w:w="2273" w:type="dxa"/>
            <w:shd w:val="clear" w:color="auto" w:fill="auto"/>
          </w:tcPr>
          <w:p w:rsidR="00273F29" w:rsidRPr="00FE3DF5" w:rsidRDefault="00273F29" w:rsidP="00FE3DF5">
            <w:pPr>
              <w:jc w:val="center"/>
              <w:rPr>
                <w:sz w:val="16"/>
                <w:szCs w:val="16"/>
              </w:rPr>
            </w:pPr>
            <w:r>
              <w:rPr>
                <w:sz w:val="16"/>
                <w:szCs w:val="16"/>
              </w:rPr>
              <w:t>2016</w:t>
            </w:r>
          </w:p>
        </w:tc>
        <w:tc>
          <w:tcPr>
            <w:tcW w:w="2273" w:type="dxa"/>
            <w:shd w:val="clear" w:color="auto" w:fill="auto"/>
          </w:tcPr>
          <w:p w:rsidR="00273F29" w:rsidRPr="006971C9" w:rsidRDefault="00273F29" w:rsidP="004E44A5">
            <w:pPr>
              <w:jc w:val="center"/>
              <w:rPr>
                <w:sz w:val="16"/>
                <w:szCs w:val="16"/>
              </w:rPr>
            </w:pPr>
            <w:r w:rsidRPr="006971C9">
              <w:rPr>
                <w:sz w:val="16"/>
                <w:szCs w:val="16"/>
              </w:rPr>
              <w:t>951.1</w:t>
            </w:r>
          </w:p>
        </w:tc>
        <w:tc>
          <w:tcPr>
            <w:tcW w:w="2273" w:type="dxa"/>
            <w:shd w:val="clear" w:color="auto" w:fill="auto"/>
          </w:tcPr>
          <w:p w:rsidR="00273F29" w:rsidRPr="006971C9" w:rsidRDefault="00273F29" w:rsidP="004E44A5">
            <w:pPr>
              <w:jc w:val="center"/>
              <w:rPr>
                <w:sz w:val="16"/>
                <w:szCs w:val="16"/>
              </w:rPr>
            </w:pPr>
            <w:r w:rsidRPr="006971C9">
              <w:rPr>
                <w:sz w:val="16"/>
                <w:szCs w:val="16"/>
              </w:rPr>
              <w:t>91.2</w:t>
            </w:r>
          </w:p>
        </w:tc>
        <w:tc>
          <w:tcPr>
            <w:tcW w:w="2273" w:type="dxa"/>
            <w:shd w:val="clear" w:color="auto" w:fill="auto"/>
          </w:tcPr>
          <w:p w:rsidR="00273F29" w:rsidRPr="006971C9" w:rsidRDefault="00273F29" w:rsidP="004E44A5">
            <w:pPr>
              <w:jc w:val="center"/>
              <w:rPr>
                <w:sz w:val="16"/>
                <w:szCs w:val="16"/>
              </w:rPr>
            </w:pPr>
            <w:r w:rsidRPr="006971C9">
              <w:rPr>
                <w:sz w:val="16"/>
                <w:szCs w:val="16"/>
              </w:rPr>
              <w:t>11.2</w:t>
            </w:r>
          </w:p>
        </w:tc>
      </w:tr>
      <w:tr w:rsidR="00273F29" w:rsidRPr="00FE3DF5" w:rsidTr="006E646B">
        <w:tc>
          <w:tcPr>
            <w:tcW w:w="2273" w:type="dxa"/>
            <w:shd w:val="clear" w:color="auto" w:fill="auto"/>
          </w:tcPr>
          <w:p w:rsidR="00273F29" w:rsidRPr="00FE3DF5" w:rsidRDefault="00273F29" w:rsidP="00FE3DF5">
            <w:pPr>
              <w:jc w:val="center"/>
              <w:rPr>
                <w:sz w:val="16"/>
                <w:szCs w:val="16"/>
              </w:rPr>
            </w:pPr>
            <w:r>
              <w:rPr>
                <w:sz w:val="16"/>
                <w:szCs w:val="16"/>
              </w:rPr>
              <w:t>2017</w:t>
            </w:r>
          </w:p>
        </w:tc>
        <w:tc>
          <w:tcPr>
            <w:tcW w:w="2273" w:type="dxa"/>
            <w:shd w:val="clear" w:color="auto" w:fill="auto"/>
          </w:tcPr>
          <w:p w:rsidR="00273F29" w:rsidRPr="006971C9" w:rsidRDefault="00273F29" w:rsidP="004E44A5">
            <w:pPr>
              <w:jc w:val="center"/>
              <w:rPr>
                <w:sz w:val="16"/>
                <w:szCs w:val="16"/>
              </w:rPr>
            </w:pPr>
            <w:r w:rsidRPr="006971C9">
              <w:rPr>
                <w:sz w:val="16"/>
                <w:szCs w:val="16"/>
              </w:rPr>
              <w:t>748.5</w:t>
            </w:r>
          </w:p>
        </w:tc>
        <w:tc>
          <w:tcPr>
            <w:tcW w:w="2273" w:type="dxa"/>
            <w:shd w:val="clear" w:color="auto" w:fill="auto"/>
          </w:tcPr>
          <w:p w:rsidR="00273F29" w:rsidRPr="006971C9" w:rsidRDefault="00273F29" w:rsidP="004E44A5">
            <w:pPr>
              <w:jc w:val="center"/>
              <w:rPr>
                <w:sz w:val="16"/>
                <w:szCs w:val="16"/>
              </w:rPr>
            </w:pPr>
            <w:r w:rsidRPr="006971C9">
              <w:rPr>
                <w:sz w:val="16"/>
                <w:szCs w:val="16"/>
              </w:rPr>
              <w:t>86.1</w:t>
            </w:r>
          </w:p>
        </w:tc>
        <w:tc>
          <w:tcPr>
            <w:tcW w:w="2273" w:type="dxa"/>
            <w:shd w:val="clear" w:color="auto" w:fill="auto"/>
          </w:tcPr>
          <w:p w:rsidR="00273F29" w:rsidRPr="006971C9" w:rsidRDefault="00273F29" w:rsidP="004E44A5">
            <w:pPr>
              <w:jc w:val="center"/>
              <w:rPr>
                <w:sz w:val="16"/>
                <w:szCs w:val="16"/>
              </w:rPr>
            </w:pPr>
            <w:r w:rsidRPr="006971C9">
              <w:rPr>
                <w:sz w:val="16"/>
                <w:szCs w:val="16"/>
              </w:rPr>
              <w:t>7.8</w:t>
            </w:r>
          </w:p>
        </w:tc>
      </w:tr>
    </w:tbl>
    <w:p w:rsidR="00665867" w:rsidRPr="00D500DF" w:rsidRDefault="00273F29" w:rsidP="004111CF">
      <w:pPr>
        <w:spacing w:before="120"/>
      </w:pPr>
      <w:r w:rsidRPr="004111CF">
        <w:t>Source</w:t>
      </w:r>
      <w:r>
        <w:t xml:space="preserve"> </w:t>
      </w:r>
      <w:r w:rsidR="00DD29CE">
        <w:t xml:space="preserve">  </w:t>
      </w:r>
      <w:r w:rsidR="00976990">
        <w:t xml:space="preserve">St. </w:t>
      </w:r>
      <w:r w:rsidRPr="00273F29">
        <w:t>Kitts &amp; Nevis Customs &amp; Excise Department</w:t>
      </w:r>
    </w:p>
    <w:p w:rsidR="00273F29" w:rsidRDefault="00273F29" w:rsidP="005917D4"/>
    <w:p w:rsidR="00665867" w:rsidRPr="005917D4" w:rsidRDefault="00665867" w:rsidP="005917D4">
      <w:pPr>
        <w:rPr>
          <w:u w:val="single"/>
        </w:rPr>
      </w:pPr>
      <w:r w:rsidRPr="00D500DF">
        <w:t>10.</w:t>
      </w:r>
      <w:r w:rsidR="005917D4">
        <w:tab/>
      </w:r>
      <w:r w:rsidRPr="005917D4">
        <w:rPr>
          <w:u w:val="single"/>
        </w:rPr>
        <w:t>Transparency Provisions</w:t>
      </w:r>
    </w:p>
    <w:p w:rsidR="00665867" w:rsidRPr="00D500DF" w:rsidRDefault="00665867" w:rsidP="00665867"/>
    <w:p w:rsidR="00273F29" w:rsidRDefault="00273F29" w:rsidP="00273F29">
      <w:r>
        <w:t xml:space="preserve">As in previous years, St. Kitts and Nevis continued its policy of adopting a sub-regional approach to amending the legislation to make it compatible with the Agreement on Subsidies and Countervailing Measures. This is will be </w:t>
      </w:r>
      <w:r w:rsidR="00D00685">
        <w:t>instrumental</w:t>
      </w:r>
      <w:r>
        <w:t xml:space="preserve"> for the continued development of harmonized policies under the Economic Union among the members of the Organi</w:t>
      </w:r>
      <w:r w:rsidR="00976990">
        <w:t>s</w:t>
      </w:r>
      <w:r>
        <w:t>ation of Eastern Caribbean States (OECS).</w:t>
      </w:r>
    </w:p>
    <w:p w:rsidR="00273F29" w:rsidRPr="00273F29" w:rsidRDefault="00273F29" w:rsidP="00273F29"/>
    <w:p w:rsidR="00273F29" w:rsidRPr="00273F29" w:rsidRDefault="00273F29" w:rsidP="00273F29">
      <w:r w:rsidRPr="00273F29">
        <w:t>The objective of the work being undertaken in this regard is to reform the areas of the legislation that are incompatible with the SCM Agreement.</w:t>
      </w:r>
    </w:p>
    <w:p w:rsidR="00273F29" w:rsidRPr="00273F29" w:rsidRDefault="00273F29" w:rsidP="00273F29"/>
    <w:p w:rsidR="00273F29" w:rsidRPr="00273F29" w:rsidRDefault="00273F29" w:rsidP="00273F29">
      <w:r w:rsidRPr="00273F29">
        <w:t xml:space="preserve">Beneficiaries of the subsidy are </w:t>
      </w:r>
      <w:r w:rsidR="00D00685">
        <w:t>currently</w:t>
      </w:r>
      <w:r w:rsidRPr="00273F29">
        <w:t xml:space="preserve"> working with the Ministry of International Trade, Industry, Commerce &amp; Consumer Affairs and the Ministry of Legal Affairs to reform the Fiscal Incentives Act.</w:t>
      </w:r>
    </w:p>
    <w:p w:rsidR="00273F29" w:rsidRDefault="00273F29" w:rsidP="00665867"/>
    <w:p w:rsidR="00273F29" w:rsidRDefault="00273F29" w:rsidP="00665867"/>
    <w:p w:rsidR="00273F29" w:rsidRDefault="00273F29" w:rsidP="00665867"/>
    <w:p w:rsidR="00273F29" w:rsidRDefault="00273F29" w:rsidP="00665867"/>
    <w:p w:rsidR="00273F29" w:rsidRDefault="00273F29" w:rsidP="00665867"/>
    <w:p w:rsidR="00665867" w:rsidRPr="00D500DF" w:rsidRDefault="00665867" w:rsidP="00665867"/>
    <w:p w:rsidR="00665867" w:rsidRDefault="00665867" w:rsidP="00042B25">
      <w:pPr>
        <w:pStyle w:val="Titre"/>
        <w:spacing w:before="0" w:after="0"/>
      </w:pPr>
      <w:r w:rsidRPr="00D500DF">
        <w:br w:type="page"/>
      </w:r>
      <w:r w:rsidRPr="00D500DF">
        <w:lastRenderedPageBreak/>
        <w:t>ATTACHMENT I</w:t>
      </w:r>
    </w:p>
    <w:p w:rsidR="00042B25" w:rsidRPr="00042B25" w:rsidRDefault="00042B25" w:rsidP="00042B25"/>
    <w:p w:rsidR="00665867" w:rsidRDefault="00665867" w:rsidP="00042B25">
      <w:pPr>
        <w:pStyle w:val="Title2"/>
        <w:spacing w:after="0"/>
        <w:rPr>
          <w:b/>
        </w:rPr>
      </w:pPr>
      <w:r w:rsidRPr="004111CF">
        <w:rPr>
          <w:b/>
        </w:rPr>
        <w:t xml:space="preserve">SCHEDULE </w:t>
      </w:r>
      <w:r w:rsidR="004111CF">
        <w:rPr>
          <w:b/>
        </w:rPr>
        <w:t>I</w:t>
      </w:r>
    </w:p>
    <w:p w:rsidR="00042B25" w:rsidRPr="00042B25" w:rsidRDefault="00042B25" w:rsidP="00042B25">
      <w:pPr>
        <w:rPr>
          <w:lang w:eastAsia="en-GB"/>
        </w:rPr>
      </w:pPr>
    </w:p>
    <w:p w:rsidR="00665867" w:rsidRPr="00D500DF" w:rsidRDefault="00665867" w:rsidP="005306B6">
      <w:pPr>
        <w:pStyle w:val="Title2"/>
        <w:tabs>
          <w:tab w:val="left" w:pos="5670"/>
        </w:tabs>
      </w:pPr>
      <w:r w:rsidRPr="00D500DF">
        <w:t>MEMBER STATES</w:t>
      </w:r>
    </w:p>
    <w:p w:rsidR="00665867" w:rsidRPr="005917D4" w:rsidRDefault="00665867" w:rsidP="005306B6">
      <w:pPr>
        <w:tabs>
          <w:tab w:val="left" w:pos="567"/>
          <w:tab w:val="left" w:pos="5245"/>
        </w:tabs>
      </w:pPr>
      <w:r w:rsidRPr="005917D4">
        <w:t>(a)</w:t>
      </w:r>
      <w:r w:rsidR="005917D4" w:rsidRPr="005917D4">
        <w:tab/>
      </w:r>
      <w:r w:rsidR="005917D4">
        <w:t>Antigua</w:t>
      </w:r>
      <w:r w:rsidR="005917D4">
        <w:tab/>
      </w:r>
      <w:r w:rsidRPr="005917D4">
        <w:t>Jamaica</w:t>
      </w:r>
    </w:p>
    <w:p w:rsidR="00665867" w:rsidRPr="005917D4" w:rsidRDefault="00665867" w:rsidP="005306B6">
      <w:pPr>
        <w:tabs>
          <w:tab w:val="left" w:pos="5245"/>
        </w:tabs>
        <w:ind w:firstLine="567"/>
      </w:pPr>
      <w:r w:rsidRPr="005917D4">
        <w:t>Barbados</w:t>
      </w:r>
      <w:r w:rsidRPr="005917D4">
        <w:tab/>
        <w:t>Montserrat</w:t>
      </w:r>
    </w:p>
    <w:p w:rsidR="00665867" w:rsidRPr="00D500DF" w:rsidRDefault="00665867" w:rsidP="005306B6">
      <w:pPr>
        <w:tabs>
          <w:tab w:val="left" w:pos="5245"/>
        </w:tabs>
        <w:ind w:firstLine="567"/>
      </w:pPr>
      <w:r w:rsidRPr="00D500DF">
        <w:t>Belize</w:t>
      </w:r>
      <w:r w:rsidRPr="00D500DF">
        <w:tab/>
        <w:t>St. Kitts/Nevis/Anguilla</w:t>
      </w:r>
    </w:p>
    <w:p w:rsidR="00665867" w:rsidRPr="00D500DF" w:rsidRDefault="005917D4" w:rsidP="005306B6">
      <w:pPr>
        <w:tabs>
          <w:tab w:val="left" w:pos="567"/>
          <w:tab w:val="left" w:pos="5245"/>
        </w:tabs>
      </w:pPr>
      <w:r>
        <w:tab/>
      </w:r>
      <w:r w:rsidR="00665867" w:rsidRPr="00D500DF">
        <w:t>Dominica</w:t>
      </w:r>
      <w:r w:rsidR="00665867" w:rsidRPr="00D500DF">
        <w:tab/>
        <w:t>St. Lucia</w:t>
      </w:r>
    </w:p>
    <w:p w:rsidR="00665867" w:rsidRPr="00D500DF" w:rsidRDefault="00665867" w:rsidP="005306B6">
      <w:pPr>
        <w:tabs>
          <w:tab w:val="left" w:pos="5245"/>
        </w:tabs>
        <w:ind w:firstLine="567"/>
      </w:pPr>
      <w:r w:rsidRPr="00D500DF">
        <w:t>Grenada</w:t>
      </w:r>
      <w:r w:rsidRPr="00D500DF">
        <w:tab/>
        <w:t xml:space="preserve">St. Vincent </w:t>
      </w:r>
    </w:p>
    <w:p w:rsidR="00665867" w:rsidRPr="00D500DF" w:rsidRDefault="00665867" w:rsidP="005306B6">
      <w:pPr>
        <w:tabs>
          <w:tab w:val="left" w:pos="5245"/>
        </w:tabs>
        <w:ind w:firstLine="567"/>
      </w:pPr>
      <w:r w:rsidRPr="00D500DF">
        <w:t>Guyana</w:t>
      </w:r>
      <w:r w:rsidRPr="00D500DF">
        <w:tab/>
        <w:t>Trinidad &amp; Tobago</w:t>
      </w:r>
    </w:p>
    <w:p w:rsidR="00665867" w:rsidRPr="00D500DF" w:rsidRDefault="00665867" w:rsidP="005306B6">
      <w:pPr>
        <w:tabs>
          <w:tab w:val="left" w:pos="5670"/>
        </w:tabs>
      </w:pPr>
    </w:p>
    <w:p w:rsidR="00665867" w:rsidRPr="00D500DF" w:rsidRDefault="005917D4" w:rsidP="009B2D7A">
      <w:r>
        <w:t>(b)</w:t>
      </w:r>
      <w:r>
        <w:tab/>
      </w:r>
      <w:r w:rsidR="00665867" w:rsidRPr="00D500DF">
        <w:t>any other State of the Caribbean region that becomes a member of the Common Market.</w:t>
      </w:r>
    </w:p>
    <w:p w:rsidR="00665867" w:rsidRDefault="00665867" w:rsidP="005306B6">
      <w:pPr>
        <w:tabs>
          <w:tab w:val="left" w:pos="5670"/>
        </w:tabs>
      </w:pPr>
    </w:p>
    <w:p w:rsidR="004111CF" w:rsidRPr="00D500DF" w:rsidRDefault="004111CF" w:rsidP="005306B6">
      <w:pPr>
        <w:tabs>
          <w:tab w:val="left" w:pos="5670"/>
        </w:tabs>
      </w:pPr>
    </w:p>
    <w:p w:rsidR="00665867" w:rsidRDefault="00665867" w:rsidP="00042B25">
      <w:pPr>
        <w:pStyle w:val="Title2"/>
        <w:tabs>
          <w:tab w:val="left" w:pos="5670"/>
        </w:tabs>
        <w:spacing w:after="0"/>
        <w:rPr>
          <w:b/>
        </w:rPr>
      </w:pPr>
      <w:r w:rsidRPr="004111CF">
        <w:rPr>
          <w:b/>
        </w:rPr>
        <w:t>SCHEDULE II</w:t>
      </w:r>
    </w:p>
    <w:p w:rsidR="00042B25" w:rsidRPr="00042B25" w:rsidRDefault="00042B25" w:rsidP="00042B25">
      <w:pPr>
        <w:rPr>
          <w:lang w:eastAsia="en-GB"/>
        </w:rPr>
      </w:pPr>
    </w:p>
    <w:p w:rsidR="00665867" w:rsidRDefault="00665867" w:rsidP="00042B25">
      <w:pPr>
        <w:pStyle w:val="Title2"/>
        <w:tabs>
          <w:tab w:val="left" w:pos="5670"/>
        </w:tabs>
        <w:spacing w:after="0"/>
      </w:pPr>
      <w:r w:rsidRPr="00D500DF">
        <w:t>PART I</w:t>
      </w:r>
    </w:p>
    <w:p w:rsidR="00042B25" w:rsidRPr="00042B25" w:rsidRDefault="00042B25" w:rsidP="00042B25">
      <w:pPr>
        <w:rPr>
          <w:lang w:eastAsia="en-GB"/>
        </w:rPr>
      </w:pPr>
    </w:p>
    <w:p w:rsidR="00665867" w:rsidRPr="00D500DF" w:rsidRDefault="00665867" w:rsidP="005306B6">
      <w:pPr>
        <w:pStyle w:val="Title2"/>
        <w:tabs>
          <w:tab w:val="left" w:pos="5670"/>
        </w:tabs>
      </w:pPr>
      <w:r w:rsidRPr="00D500DF">
        <w:t xml:space="preserve">EXPORTS TO THE FOLLOWING TERRITORIES ARE </w:t>
      </w:r>
      <w:r w:rsidR="005917D4">
        <w:br/>
      </w:r>
      <w:r w:rsidRPr="00D500DF">
        <w:t>NOT ELIGIBLE FOR EXPORT ALLOWANCE</w:t>
      </w:r>
    </w:p>
    <w:p w:rsidR="00665867" w:rsidRPr="00976990" w:rsidRDefault="00665867" w:rsidP="005306B6">
      <w:pPr>
        <w:tabs>
          <w:tab w:val="left" w:pos="567"/>
          <w:tab w:val="left" w:pos="5245"/>
        </w:tabs>
        <w:rPr>
          <w:lang w:val="es-ES"/>
        </w:rPr>
      </w:pPr>
      <w:r w:rsidRPr="00976990">
        <w:rPr>
          <w:lang w:val="es-ES"/>
        </w:rPr>
        <w:t>(c)</w:t>
      </w:r>
      <w:r w:rsidRPr="00976990">
        <w:rPr>
          <w:lang w:val="es-ES"/>
        </w:rPr>
        <w:tab/>
        <w:t>Antigua</w:t>
      </w:r>
      <w:r w:rsidRPr="00976990">
        <w:rPr>
          <w:lang w:val="es-ES"/>
        </w:rPr>
        <w:tab/>
        <w:t>Jamaica</w:t>
      </w:r>
    </w:p>
    <w:p w:rsidR="00665867" w:rsidRPr="00976990" w:rsidRDefault="005917D4" w:rsidP="005306B6">
      <w:pPr>
        <w:tabs>
          <w:tab w:val="left" w:pos="567"/>
          <w:tab w:val="left" w:pos="5245"/>
        </w:tabs>
        <w:rPr>
          <w:lang w:val="es-ES"/>
        </w:rPr>
      </w:pPr>
      <w:r w:rsidRPr="00976990">
        <w:rPr>
          <w:lang w:val="es-ES"/>
        </w:rPr>
        <w:tab/>
        <w:t>Barbados</w:t>
      </w:r>
      <w:r w:rsidRPr="00976990">
        <w:rPr>
          <w:lang w:val="es-ES"/>
        </w:rPr>
        <w:tab/>
      </w:r>
      <w:r w:rsidR="00665867" w:rsidRPr="00976990">
        <w:rPr>
          <w:lang w:val="es-ES"/>
        </w:rPr>
        <w:t>Montserrat</w:t>
      </w:r>
    </w:p>
    <w:p w:rsidR="00665867" w:rsidRPr="00976990" w:rsidRDefault="005917D4" w:rsidP="005306B6">
      <w:pPr>
        <w:tabs>
          <w:tab w:val="left" w:pos="567"/>
          <w:tab w:val="left" w:pos="5245"/>
        </w:tabs>
        <w:rPr>
          <w:lang w:val="es-ES"/>
        </w:rPr>
      </w:pPr>
      <w:r w:rsidRPr="00976990">
        <w:rPr>
          <w:lang w:val="es-ES"/>
        </w:rPr>
        <w:tab/>
      </w:r>
      <w:proofErr w:type="spellStart"/>
      <w:r w:rsidR="005306B6" w:rsidRPr="00976990">
        <w:rPr>
          <w:lang w:val="es-ES"/>
        </w:rPr>
        <w:t>Belize</w:t>
      </w:r>
      <w:proofErr w:type="spellEnd"/>
      <w:r w:rsidR="005306B6" w:rsidRPr="00976990">
        <w:rPr>
          <w:lang w:val="es-ES"/>
        </w:rPr>
        <w:tab/>
      </w:r>
      <w:r w:rsidR="00665867" w:rsidRPr="00976990">
        <w:rPr>
          <w:lang w:val="es-ES"/>
        </w:rPr>
        <w:t>St. Lucia</w:t>
      </w:r>
    </w:p>
    <w:p w:rsidR="00665867" w:rsidRPr="00D500DF" w:rsidRDefault="005917D4" w:rsidP="005306B6">
      <w:pPr>
        <w:tabs>
          <w:tab w:val="left" w:pos="567"/>
          <w:tab w:val="left" w:pos="5245"/>
        </w:tabs>
      </w:pPr>
      <w:r w:rsidRPr="00976990">
        <w:rPr>
          <w:lang w:val="es-ES"/>
        </w:rPr>
        <w:tab/>
      </w:r>
      <w:r w:rsidR="00665867" w:rsidRPr="00D500DF">
        <w:t>Dominica</w:t>
      </w:r>
      <w:r w:rsidR="00665867" w:rsidRPr="00D500DF">
        <w:tab/>
        <w:t>St. Vincent</w:t>
      </w:r>
    </w:p>
    <w:p w:rsidR="00665867" w:rsidRPr="00D500DF" w:rsidRDefault="00665867" w:rsidP="00665867"/>
    <w:p w:rsidR="00665867" w:rsidRDefault="005306B6" w:rsidP="00042B25">
      <w:pPr>
        <w:pStyle w:val="Titre"/>
        <w:spacing w:before="0" w:after="0"/>
        <w:rPr>
          <w:b w:val="0"/>
        </w:rPr>
      </w:pPr>
      <w:r>
        <w:br w:type="page"/>
      </w:r>
      <w:r w:rsidR="00665867" w:rsidRPr="004111CF">
        <w:rPr>
          <w:b w:val="0"/>
        </w:rPr>
        <w:t xml:space="preserve">PART </w:t>
      </w:r>
      <w:r w:rsidR="007C1BBA">
        <w:rPr>
          <w:b w:val="0"/>
        </w:rPr>
        <w:t>II</w:t>
      </w:r>
    </w:p>
    <w:p w:rsidR="00042B25" w:rsidRPr="00042B25" w:rsidRDefault="00042B25" w:rsidP="00042B25"/>
    <w:p w:rsidR="00665867" w:rsidRPr="00D500DF" w:rsidRDefault="00665867" w:rsidP="00474EA1">
      <w:pPr>
        <w:pStyle w:val="Title2"/>
      </w:pPr>
      <w:r w:rsidRPr="00D500DF">
        <w:t>METHOD OF CALCULATING EXPORT ALLOWANCE</w:t>
      </w:r>
    </w:p>
    <w:p w:rsidR="00665867" w:rsidRPr="00D500DF" w:rsidRDefault="005306B6" w:rsidP="00665867">
      <w:r>
        <w:t>1.</w:t>
      </w:r>
      <w:r>
        <w:tab/>
      </w:r>
      <w:r w:rsidR="00665867" w:rsidRPr="00D500DF">
        <w:t>An export allowance set off for the purposes of section 16 shall be calculated as follows:</w:t>
      </w:r>
    </w:p>
    <w:p w:rsidR="00665867" w:rsidRPr="00D500DF" w:rsidRDefault="00665867" w:rsidP="00665867"/>
    <w:p w:rsidR="00665867" w:rsidRPr="00D500DF" w:rsidRDefault="00665867" w:rsidP="005306B6">
      <w:pPr>
        <w:tabs>
          <w:tab w:val="left" w:pos="5670"/>
        </w:tabs>
      </w:pPr>
      <w:r w:rsidRPr="00D500DF">
        <w:rPr>
          <w:u w:val="single"/>
        </w:rPr>
        <w:t>Export profits as a percentage</w:t>
      </w:r>
      <w:r w:rsidR="005306B6">
        <w:t xml:space="preserve"> </w:t>
      </w:r>
      <w:r w:rsidR="005306B6">
        <w:tab/>
      </w:r>
      <w:r w:rsidR="005306B6">
        <w:tab/>
      </w:r>
      <w:r w:rsidRPr="00D500DF">
        <w:rPr>
          <w:u w:val="single"/>
        </w:rPr>
        <w:t>Rebate of income tax as a</w:t>
      </w:r>
    </w:p>
    <w:p w:rsidR="005306B6" w:rsidRDefault="00665867" w:rsidP="005306B6">
      <w:pPr>
        <w:tabs>
          <w:tab w:val="left" w:pos="5670"/>
        </w:tabs>
      </w:pPr>
      <w:r w:rsidRPr="00D500DF">
        <w:rPr>
          <w:u w:val="single"/>
        </w:rPr>
        <w:t>of total profits</w:t>
      </w:r>
      <w:r w:rsidR="005306B6" w:rsidRPr="005306B6">
        <w:tab/>
      </w:r>
      <w:r w:rsidR="005306B6">
        <w:tab/>
      </w:r>
      <w:r w:rsidRPr="00D500DF">
        <w:rPr>
          <w:u w:val="single"/>
        </w:rPr>
        <w:t>percentage of income tax on</w:t>
      </w:r>
    </w:p>
    <w:p w:rsidR="00665867" w:rsidRPr="00D500DF" w:rsidRDefault="005306B6" w:rsidP="005306B6">
      <w:pPr>
        <w:tabs>
          <w:tab w:val="left" w:pos="5670"/>
        </w:tabs>
        <w:ind w:firstLine="567"/>
      </w:pPr>
      <w:r>
        <w:tab/>
      </w:r>
      <w:r w:rsidR="00665867" w:rsidRPr="00D500DF">
        <w:rPr>
          <w:u w:val="single"/>
        </w:rPr>
        <w:t>export profits</w:t>
      </w:r>
    </w:p>
    <w:p w:rsidR="00665867" w:rsidRPr="00D500DF" w:rsidRDefault="00665867" w:rsidP="00665867"/>
    <w:p w:rsidR="00665867" w:rsidRPr="00D500DF" w:rsidRDefault="00665867" w:rsidP="005306B6">
      <w:pPr>
        <w:tabs>
          <w:tab w:val="left" w:pos="5670"/>
        </w:tabs>
      </w:pPr>
      <w:r w:rsidRPr="00D500DF">
        <w:t>10 but under 21</w:t>
      </w:r>
      <w:r w:rsidRPr="00D500DF">
        <w:tab/>
        <w:t>25%</w:t>
      </w:r>
    </w:p>
    <w:p w:rsidR="00665867" w:rsidRPr="00D500DF" w:rsidRDefault="00665867" w:rsidP="005306B6">
      <w:pPr>
        <w:tabs>
          <w:tab w:val="left" w:pos="5670"/>
        </w:tabs>
      </w:pPr>
      <w:r w:rsidRPr="00D500DF">
        <w:t>21 but under 41</w:t>
      </w:r>
      <w:r w:rsidRPr="00D500DF">
        <w:tab/>
        <w:t>35%</w:t>
      </w:r>
    </w:p>
    <w:p w:rsidR="00665867" w:rsidRPr="00D500DF" w:rsidRDefault="00665867" w:rsidP="005306B6">
      <w:pPr>
        <w:tabs>
          <w:tab w:val="left" w:pos="5670"/>
        </w:tabs>
      </w:pPr>
      <w:r w:rsidRPr="00D500DF">
        <w:t>41 but under 61</w:t>
      </w:r>
      <w:r w:rsidRPr="00D500DF">
        <w:tab/>
        <w:t>45%</w:t>
      </w:r>
    </w:p>
    <w:p w:rsidR="00665867" w:rsidRPr="00D500DF" w:rsidRDefault="00665867" w:rsidP="005306B6">
      <w:pPr>
        <w:tabs>
          <w:tab w:val="left" w:pos="5670"/>
        </w:tabs>
      </w:pPr>
      <w:r w:rsidRPr="00D500DF">
        <w:t>61 and over</w:t>
      </w:r>
      <w:r w:rsidRPr="00D500DF">
        <w:tab/>
        <w:t>50%</w:t>
      </w:r>
    </w:p>
    <w:p w:rsidR="00665867" w:rsidRPr="00D500DF" w:rsidRDefault="00665867" w:rsidP="00665867"/>
    <w:p w:rsidR="00665867" w:rsidRPr="00D500DF" w:rsidRDefault="005306B6" w:rsidP="00665867">
      <w:r>
        <w:t>2.</w:t>
      </w:r>
      <w:r>
        <w:tab/>
      </w:r>
      <w:r w:rsidR="00665867" w:rsidRPr="00D500DF">
        <w:t>for the purposes of calculation –</w:t>
      </w:r>
    </w:p>
    <w:p w:rsidR="00665867" w:rsidRPr="00D500DF" w:rsidRDefault="00665867" w:rsidP="00665867"/>
    <w:p w:rsidR="00665867" w:rsidRPr="00D500DF" w:rsidRDefault="005306B6" w:rsidP="005306B6">
      <w:pPr>
        <w:ind w:left="1134" w:hanging="567"/>
      </w:pPr>
      <w:r>
        <w:t>(a)</w:t>
      </w:r>
      <w:r>
        <w:tab/>
      </w:r>
      <w:r w:rsidR="00665867" w:rsidRPr="00D500DF">
        <w:t>export profits as a percentage of total profits</w:t>
      </w:r>
      <w:r w:rsidR="00D00685">
        <w:t xml:space="preserve"> </w:t>
      </w:r>
      <w:r w:rsidR="009B2D7A" w:rsidRPr="009B2D7A">
        <w:t>"</w:t>
      </w:r>
      <w:r w:rsidR="00665867" w:rsidRPr="00D500DF">
        <w:t>shall be deemed to be export sales as a percentage of total sales</w:t>
      </w:r>
      <w:r w:rsidR="009B2D7A" w:rsidRPr="009B2D7A">
        <w:t>"</w:t>
      </w:r>
      <w:r w:rsidR="00665867" w:rsidRPr="00D500DF">
        <w:t>.</w:t>
      </w:r>
    </w:p>
    <w:p w:rsidR="00665867" w:rsidRPr="00D500DF" w:rsidRDefault="00665867" w:rsidP="00665867"/>
    <w:p w:rsidR="00665867" w:rsidRPr="00D500DF" w:rsidRDefault="005306B6" w:rsidP="009B2D7A">
      <w:pPr>
        <w:ind w:left="1134" w:hanging="567"/>
      </w:pPr>
      <w:r>
        <w:t>(b)</w:t>
      </w:r>
      <w:r>
        <w:tab/>
      </w:r>
      <w:r w:rsidR="00665867" w:rsidRPr="00D500DF">
        <w:t xml:space="preserve">profits attributable to exports shall be taken to be the amount resulting from the formula </w:t>
      </w:r>
      <w:r w:rsidR="00665867" w:rsidRPr="00D500DF">
        <w:rPr>
          <w:b/>
          <w:i/>
          <w:u w:val="single"/>
        </w:rPr>
        <w:t>p x e</w:t>
      </w:r>
      <w:r w:rsidR="00665867" w:rsidRPr="00D500DF">
        <w:t xml:space="preserve"> where –</w:t>
      </w:r>
    </w:p>
    <w:p w:rsidR="00665867" w:rsidRPr="00D500DF" w:rsidRDefault="00A61F69" w:rsidP="009B2D7A">
      <w:pPr>
        <w:tabs>
          <w:tab w:val="center" w:pos="2127"/>
        </w:tabs>
        <w:ind w:left="1134" w:hanging="1134"/>
        <w:rPr>
          <w:b/>
          <w:i/>
        </w:rPr>
      </w:pPr>
      <w:r>
        <w:rPr>
          <w:b/>
          <w:i/>
        </w:rPr>
        <w:tab/>
      </w:r>
      <w:r w:rsidR="009B2D7A">
        <w:rPr>
          <w:b/>
          <w:i/>
        </w:rPr>
        <w:tab/>
      </w:r>
      <w:r w:rsidR="00665867" w:rsidRPr="00D500DF">
        <w:rPr>
          <w:b/>
          <w:i/>
        </w:rPr>
        <w:t>s</w:t>
      </w:r>
    </w:p>
    <w:p w:rsidR="00665867" w:rsidRPr="00D500DF" w:rsidRDefault="00665867" w:rsidP="009B2D7A">
      <w:pPr>
        <w:ind w:left="1134" w:hanging="1134"/>
      </w:pPr>
    </w:p>
    <w:p w:rsidR="00665867" w:rsidRPr="00D500DF" w:rsidRDefault="005306B6" w:rsidP="005306B6">
      <w:pPr>
        <w:ind w:firstLine="567"/>
      </w:pPr>
      <w:r w:rsidRPr="00A61F69">
        <w:t>(i)</w:t>
      </w:r>
      <w:r>
        <w:rPr>
          <w:b/>
          <w:i/>
        </w:rPr>
        <w:tab/>
      </w:r>
      <w:r w:rsidR="00A61F69">
        <w:rPr>
          <w:b/>
          <w:i/>
        </w:rPr>
        <w:t>"</w:t>
      </w:r>
      <w:r w:rsidR="00665867" w:rsidRPr="00D500DF">
        <w:rPr>
          <w:b/>
          <w:i/>
        </w:rPr>
        <w:t>p</w:t>
      </w:r>
      <w:r w:rsidR="00A61F69">
        <w:rPr>
          <w:b/>
          <w:i/>
        </w:rPr>
        <w:t>"</w:t>
      </w:r>
      <w:r w:rsidR="00665867" w:rsidRPr="00D500DF">
        <w:t xml:space="preserve"> represents the chargeable profit of a company for its year of income</w:t>
      </w:r>
    </w:p>
    <w:p w:rsidR="00665867" w:rsidRPr="00D500DF" w:rsidRDefault="00665867" w:rsidP="00665867"/>
    <w:p w:rsidR="00665867" w:rsidRPr="00D500DF" w:rsidRDefault="005306B6" w:rsidP="009B2D7A">
      <w:pPr>
        <w:ind w:left="1134" w:hanging="567"/>
      </w:pPr>
      <w:r w:rsidRPr="00A61F69">
        <w:t>(ii)</w:t>
      </w:r>
      <w:r>
        <w:rPr>
          <w:b/>
          <w:i/>
        </w:rPr>
        <w:tab/>
      </w:r>
      <w:r w:rsidR="00A61F69">
        <w:rPr>
          <w:b/>
          <w:i/>
        </w:rPr>
        <w:t>"</w:t>
      </w:r>
      <w:r w:rsidR="00665867" w:rsidRPr="00D500DF">
        <w:rPr>
          <w:b/>
          <w:i/>
        </w:rPr>
        <w:t>e</w:t>
      </w:r>
      <w:r w:rsidR="00A61F69">
        <w:rPr>
          <w:b/>
          <w:i/>
        </w:rPr>
        <w:t>"</w:t>
      </w:r>
      <w:r w:rsidR="00665867" w:rsidRPr="00D500DF">
        <w:t xml:space="preserve"> represents the proceeds of sales (ex-factory) of the output of a company exported during its year of income;</w:t>
      </w:r>
    </w:p>
    <w:p w:rsidR="00665867" w:rsidRPr="00D500DF" w:rsidRDefault="00665867" w:rsidP="00665867"/>
    <w:p w:rsidR="00665867" w:rsidRPr="00D500DF" w:rsidRDefault="005306B6" w:rsidP="009B2D7A">
      <w:pPr>
        <w:ind w:left="1134" w:hanging="567"/>
      </w:pPr>
      <w:r w:rsidRPr="00A61F69">
        <w:t>(iii)</w:t>
      </w:r>
      <w:r>
        <w:rPr>
          <w:b/>
          <w:i/>
        </w:rPr>
        <w:tab/>
      </w:r>
      <w:r w:rsidR="00A61F69">
        <w:rPr>
          <w:b/>
          <w:i/>
        </w:rPr>
        <w:t>"</w:t>
      </w:r>
      <w:r w:rsidR="00665867" w:rsidRPr="00D500DF">
        <w:rPr>
          <w:b/>
          <w:i/>
        </w:rPr>
        <w:t>s</w:t>
      </w:r>
      <w:r w:rsidR="00A61F69">
        <w:rPr>
          <w:b/>
          <w:i/>
        </w:rPr>
        <w:t>"</w:t>
      </w:r>
      <w:r w:rsidR="00665867" w:rsidRPr="00D500DF">
        <w:t xml:space="preserve"> represents the proceeds of sales (ex-factory) of the total output of the company during its year of income.</w:t>
      </w:r>
    </w:p>
    <w:p w:rsidR="00665867" w:rsidRPr="00D500DF" w:rsidRDefault="00665867" w:rsidP="009B2D7A">
      <w:pPr>
        <w:ind w:left="567" w:hanging="567"/>
      </w:pPr>
    </w:p>
    <w:p w:rsidR="00A61F69" w:rsidRDefault="005306B6" w:rsidP="00665867">
      <w:r>
        <w:t>3.</w:t>
      </w:r>
      <w:r>
        <w:tab/>
      </w:r>
      <w:r w:rsidR="00665867" w:rsidRPr="00D500DF">
        <w:t>In computing the proceeds of all sales for the year of income there shall be deducted any excise duty paid on t</w:t>
      </w:r>
      <w:r w:rsidR="00A61F69">
        <w:t>he goods sold during that year.</w:t>
      </w:r>
    </w:p>
    <w:p w:rsidR="00665867" w:rsidRPr="00D500DF" w:rsidRDefault="00A61F69" w:rsidP="00A61F69">
      <w:pPr>
        <w:pStyle w:val="Titre"/>
      </w:pPr>
      <w:r>
        <w:br w:type="page"/>
      </w:r>
      <w:r w:rsidR="00665867" w:rsidRPr="00D500DF">
        <w:t>SCHEDULE III</w:t>
      </w:r>
    </w:p>
    <w:p w:rsidR="00665867" w:rsidRPr="00D500DF" w:rsidRDefault="00665867" w:rsidP="00A61F69">
      <w:pPr>
        <w:pStyle w:val="Title2"/>
      </w:pPr>
      <w:r w:rsidRPr="00D500DF">
        <w:t>TAX HOLIDAY PERIODS</w:t>
      </w:r>
    </w:p>
    <w:p w:rsidR="00665867" w:rsidRPr="00D500DF" w:rsidRDefault="00665867" w:rsidP="00665867">
      <w:pPr>
        <w:rPr>
          <w:u w:val="single"/>
        </w:rPr>
      </w:pPr>
      <w:r w:rsidRPr="00D500DF">
        <w:rPr>
          <w:u w:val="single"/>
        </w:rPr>
        <w:t>Classification of</w:t>
      </w:r>
    </w:p>
    <w:p w:rsidR="00665867" w:rsidRPr="00D500DF" w:rsidRDefault="00A61F69" w:rsidP="00A61F69">
      <w:pPr>
        <w:tabs>
          <w:tab w:val="left" w:pos="5670"/>
        </w:tabs>
      </w:pPr>
      <w:r>
        <w:rPr>
          <w:u w:val="single"/>
        </w:rPr>
        <w:t>Approved Enterprise</w:t>
      </w:r>
      <w:r w:rsidR="00665867" w:rsidRPr="00D500DF">
        <w:tab/>
      </w:r>
      <w:r w:rsidR="00665867" w:rsidRPr="00D500DF">
        <w:tab/>
      </w:r>
      <w:r w:rsidR="00665867" w:rsidRPr="00D500DF">
        <w:rPr>
          <w:u w:val="single"/>
        </w:rPr>
        <w:t>Tax Holiday Period</w:t>
      </w:r>
    </w:p>
    <w:p w:rsidR="00665867" w:rsidRPr="00D500DF" w:rsidRDefault="00665867" w:rsidP="00A61F69">
      <w:pPr>
        <w:tabs>
          <w:tab w:val="left" w:pos="5670"/>
        </w:tabs>
        <w:rPr>
          <w:u w:val="single"/>
        </w:rPr>
      </w:pPr>
      <w:r w:rsidRPr="00D500DF">
        <w:rPr>
          <w:u w:val="single"/>
        </w:rPr>
        <w:t>Group</w:t>
      </w:r>
      <w:r w:rsidR="00A61F69">
        <w:tab/>
      </w:r>
      <w:r w:rsidR="00A61F69">
        <w:tab/>
      </w:r>
      <w:r w:rsidR="00A61F69">
        <w:tab/>
      </w:r>
      <w:r w:rsidRPr="00D500DF">
        <w:rPr>
          <w:u w:val="single"/>
        </w:rPr>
        <w:t>Years</w:t>
      </w:r>
    </w:p>
    <w:p w:rsidR="00665867" w:rsidRPr="00D500DF" w:rsidRDefault="00665867" w:rsidP="00665867"/>
    <w:p w:rsidR="00665867" w:rsidRPr="00D500DF" w:rsidRDefault="00665867" w:rsidP="00665867"/>
    <w:p w:rsidR="00665867" w:rsidRPr="00D500DF" w:rsidRDefault="00665867" w:rsidP="00A61F69">
      <w:pPr>
        <w:tabs>
          <w:tab w:val="left" w:pos="5670"/>
        </w:tabs>
      </w:pPr>
      <w:r w:rsidRPr="00D500DF">
        <w:t>Group I Enterprise</w:t>
      </w:r>
      <w:r w:rsidRPr="00D500DF">
        <w:tab/>
      </w:r>
      <w:r w:rsidRPr="00D500DF">
        <w:tab/>
      </w:r>
      <w:r w:rsidRPr="00D500DF">
        <w:tab/>
        <w:t>15</w:t>
      </w:r>
    </w:p>
    <w:p w:rsidR="00665867" w:rsidRPr="00D500DF" w:rsidRDefault="00665867" w:rsidP="00A61F69">
      <w:pPr>
        <w:tabs>
          <w:tab w:val="left" w:pos="5670"/>
        </w:tabs>
      </w:pPr>
      <w:r w:rsidRPr="00D500DF">
        <w:t>Group II Enterprise</w:t>
      </w:r>
      <w:r w:rsidRPr="00D500DF">
        <w:tab/>
      </w:r>
      <w:r w:rsidRPr="00D500DF">
        <w:tab/>
      </w:r>
      <w:r w:rsidRPr="00D500DF">
        <w:tab/>
        <w:t>12</w:t>
      </w:r>
    </w:p>
    <w:p w:rsidR="00665867" w:rsidRPr="00D500DF" w:rsidRDefault="00665867" w:rsidP="00A61F69">
      <w:pPr>
        <w:tabs>
          <w:tab w:val="left" w:pos="5670"/>
        </w:tabs>
      </w:pPr>
      <w:r w:rsidRPr="003B088A">
        <w:t>Group I</w:t>
      </w:r>
      <w:r w:rsidR="00D00685" w:rsidRPr="003B088A">
        <w:t>II</w:t>
      </w:r>
      <w:r w:rsidRPr="003B088A">
        <w:t xml:space="preserve"> Enterprise</w:t>
      </w:r>
      <w:r w:rsidRPr="00D500DF">
        <w:tab/>
      </w:r>
      <w:r w:rsidRPr="00D500DF">
        <w:tab/>
      </w:r>
      <w:r w:rsidRPr="00D500DF">
        <w:tab/>
        <w:t>10</w:t>
      </w:r>
    </w:p>
    <w:p w:rsidR="00665867" w:rsidRPr="00D500DF" w:rsidRDefault="00A61F69" w:rsidP="00A61F69">
      <w:pPr>
        <w:tabs>
          <w:tab w:val="left" w:pos="5670"/>
        </w:tabs>
        <w:rPr>
          <w:u w:val="single"/>
        </w:rPr>
      </w:pPr>
      <w:r>
        <w:t>Enclave Enterprise</w:t>
      </w:r>
      <w:r w:rsidR="00665867" w:rsidRPr="00D500DF">
        <w:tab/>
      </w:r>
      <w:r w:rsidR="00665867" w:rsidRPr="00D500DF">
        <w:tab/>
      </w:r>
      <w:r w:rsidR="00665867" w:rsidRPr="00D500DF">
        <w:tab/>
        <w:t>15</w:t>
      </w:r>
    </w:p>
    <w:p w:rsidR="00665867" w:rsidRPr="00D500DF" w:rsidRDefault="00665867" w:rsidP="00665867"/>
    <w:p w:rsidR="00665867" w:rsidRPr="00D500DF" w:rsidRDefault="00665867" w:rsidP="00665867"/>
    <w:p w:rsidR="00665867" w:rsidRPr="00D500DF" w:rsidRDefault="00665867" w:rsidP="00665867"/>
    <w:p w:rsidR="00665867" w:rsidRPr="00D500DF" w:rsidRDefault="00665867" w:rsidP="00665867"/>
    <w:p w:rsidR="00665867" w:rsidRPr="00D500DF" w:rsidRDefault="00665867" w:rsidP="00A61F69">
      <w:pPr>
        <w:tabs>
          <w:tab w:val="left" w:pos="5670"/>
        </w:tabs>
      </w:pPr>
      <w:r w:rsidRPr="00D500DF">
        <w:tab/>
      </w:r>
      <w:r w:rsidRPr="00D500DF">
        <w:tab/>
        <w:t>W.F. Glasford</w:t>
      </w:r>
    </w:p>
    <w:p w:rsidR="00665867" w:rsidRPr="00D500DF" w:rsidRDefault="00665867" w:rsidP="00A61F69">
      <w:pPr>
        <w:tabs>
          <w:tab w:val="left" w:pos="5670"/>
        </w:tabs>
        <w:rPr>
          <w:i/>
        </w:rPr>
      </w:pPr>
      <w:r w:rsidRPr="00D500DF">
        <w:tab/>
      </w:r>
      <w:r w:rsidRPr="00D500DF">
        <w:tab/>
      </w:r>
      <w:r w:rsidRPr="00D500DF">
        <w:tab/>
      </w:r>
      <w:r w:rsidRPr="00D500DF">
        <w:rPr>
          <w:i/>
        </w:rPr>
        <w:t>Speaker</w:t>
      </w:r>
    </w:p>
    <w:p w:rsidR="00665867" w:rsidRPr="00D500DF" w:rsidRDefault="00665867" w:rsidP="00665867">
      <w:pPr>
        <w:rPr>
          <w:i/>
        </w:rPr>
      </w:pPr>
    </w:p>
    <w:p w:rsidR="00665867" w:rsidRPr="00D500DF" w:rsidRDefault="00665867" w:rsidP="00665867">
      <w:r w:rsidRPr="00D500DF">
        <w:t>Passed in the House of Assembly this 17</w:t>
      </w:r>
      <w:r w:rsidRPr="00D500DF">
        <w:rPr>
          <w:vertAlign w:val="superscript"/>
        </w:rPr>
        <w:t>th</w:t>
      </w:r>
      <w:r w:rsidRPr="00D500DF">
        <w:t xml:space="preserve"> day of April, 1974.</w:t>
      </w:r>
    </w:p>
    <w:p w:rsidR="00665867" w:rsidRPr="00D500DF" w:rsidRDefault="00665867" w:rsidP="00665867"/>
    <w:p w:rsidR="00665867" w:rsidRPr="00D500DF" w:rsidRDefault="00665867" w:rsidP="00665867"/>
    <w:p w:rsidR="00665867" w:rsidRPr="00D500DF" w:rsidRDefault="00665867" w:rsidP="00A61F69">
      <w:pPr>
        <w:jc w:val="center"/>
      </w:pPr>
      <w:r w:rsidRPr="00D500DF">
        <w:t>E. JAMES FLEMING</w:t>
      </w:r>
    </w:p>
    <w:p w:rsidR="00665867" w:rsidRDefault="00665867" w:rsidP="00A61F69">
      <w:pPr>
        <w:jc w:val="center"/>
        <w:rPr>
          <w:i/>
        </w:rPr>
      </w:pPr>
      <w:r w:rsidRPr="00D500DF">
        <w:rPr>
          <w:i/>
        </w:rPr>
        <w:t xml:space="preserve">Ag. </w:t>
      </w:r>
      <w:r w:rsidR="005917D4">
        <w:rPr>
          <w:i/>
        </w:rPr>
        <w:t>Clerk of the House of Assembly.</w:t>
      </w:r>
    </w:p>
    <w:p w:rsidR="005917D4" w:rsidRDefault="005917D4" w:rsidP="005917D4"/>
    <w:p w:rsidR="005917D4" w:rsidRPr="005917D4" w:rsidRDefault="005917D4" w:rsidP="005917D4">
      <w:pPr>
        <w:jc w:val="center"/>
        <w:rPr>
          <w:i/>
        </w:rPr>
      </w:pPr>
      <w:r>
        <w:rPr>
          <w:b/>
          <w:i/>
        </w:rPr>
        <w:t>__________</w:t>
      </w:r>
    </w:p>
    <w:sectPr w:rsidR="005917D4" w:rsidRPr="005917D4" w:rsidSect="00A90523">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68" w:rsidRDefault="00675C68" w:rsidP="00ED54E0">
      <w:r>
        <w:separator/>
      </w:r>
    </w:p>
  </w:endnote>
  <w:endnote w:type="continuationSeparator" w:id="0">
    <w:p w:rsidR="00675C68" w:rsidRDefault="00675C6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A90523" w:rsidRDefault="00A90523" w:rsidP="00A9052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A90523" w:rsidRDefault="00A90523" w:rsidP="00A90523">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68" w:rsidRDefault="00675C68" w:rsidP="00ED54E0">
      <w:r>
        <w:separator/>
      </w:r>
    </w:p>
  </w:footnote>
  <w:footnote w:type="continuationSeparator" w:id="0">
    <w:p w:rsidR="00675C68" w:rsidRDefault="00675C68"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23" w:rsidRPr="00A90523" w:rsidRDefault="00A90523" w:rsidP="00A90523">
    <w:pPr>
      <w:pStyle w:val="En-tte"/>
      <w:pBdr>
        <w:bottom w:val="single" w:sz="4" w:space="1" w:color="auto"/>
      </w:pBdr>
      <w:tabs>
        <w:tab w:val="clear" w:pos="4513"/>
        <w:tab w:val="clear" w:pos="9027"/>
      </w:tabs>
      <w:jc w:val="center"/>
    </w:pPr>
    <w:r w:rsidRPr="00A90523">
      <w:t>G/SCM/N/284/KNA • G/SCM/N/290/KNA • G/SCM/N/299/KNA • G/SCM/N/315/KNA</w:t>
    </w:r>
  </w:p>
  <w:p w:rsidR="00A90523" w:rsidRPr="00A90523" w:rsidRDefault="00A90523" w:rsidP="00A90523">
    <w:pPr>
      <w:pStyle w:val="En-tte"/>
      <w:pBdr>
        <w:bottom w:val="single" w:sz="4" w:space="1" w:color="auto"/>
      </w:pBdr>
      <w:tabs>
        <w:tab w:val="clear" w:pos="4513"/>
        <w:tab w:val="clear" w:pos="9027"/>
      </w:tabs>
      <w:jc w:val="center"/>
    </w:pPr>
  </w:p>
  <w:p w:rsidR="00A90523" w:rsidRPr="00A90523" w:rsidRDefault="00A90523" w:rsidP="00A90523">
    <w:pPr>
      <w:pStyle w:val="En-tte"/>
      <w:pBdr>
        <w:bottom w:val="single" w:sz="4" w:space="1" w:color="auto"/>
      </w:pBdr>
      <w:tabs>
        <w:tab w:val="clear" w:pos="4513"/>
        <w:tab w:val="clear" w:pos="9027"/>
      </w:tabs>
      <w:jc w:val="center"/>
    </w:pPr>
    <w:r w:rsidRPr="00A90523">
      <w:t xml:space="preserve">- </w:t>
    </w:r>
    <w:r w:rsidRPr="00A90523">
      <w:fldChar w:fldCharType="begin"/>
    </w:r>
    <w:r w:rsidRPr="00A90523">
      <w:instrText xml:space="preserve"> PAGE </w:instrText>
    </w:r>
    <w:r w:rsidRPr="00A90523">
      <w:fldChar w:fldCharType="separate"/>
    </w:r>
    <w:r w:rsidR="006E646B">
      <w:rPr>
        <w:noProof/>
      </w:rPr>
      <w:t>4</w:t>
    </w:r>
    <w:r w:rsidRPr="00A90523">
      <w:fldChar w:fldCharType="end"/>
    </w:r>
    <w:r w:rsidRPr="00A90523">
      <w:t xml:space="preserve"> -</w:t>
    </w:r>
  </w:p>
  <w:p w:rsidR="00544326" w:rsidRPr="00A90523" w:rsidRDefault="00544326" w:rsidP="00A9052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23" w:rsidRPr="00A90523" w:rsidRDefault="00A90523" w:rsidP="00A90523">
    <w:pPr>
      <w:pStyle w:val="En-tte"/>
      <w:pBdr>
        <w:bottom w:val="single" w:sz="4" w:space="1" w:color="auto"/>
      </w:pBdr>
      <w:tabs>
        <w:tab w:val="clear" w:pos="4513"/>
        <w:tab w:val="clear" w:pos="9027"/>
      </w:tabs>
      <w:jc w:val="center"/>
    </w:pPr>
    <w:r w:rsidRPr="00A90523">
      <w:t>G/SCM/N/284/KNA • G/SCM/N/290/KNA • G/SCM/N/299/KNA • G/SCM/N/315/KNA</w:t>
    </w:r>
  </w:p>
  <w:p w:rsidR="00A90523" w:rsidRPr="00A90523" w:rsidRDefault="00A90523" w:rsidP="00A90523">
    <w:pPr>
      <w:pStyle w:val="En-tte"/>
      <w:pBdr>
        <w:bottom w:val="single" w:sz="4" w:space="1" w:color="auto"/>
      </w:pBdr>
      <w:tabs>
        <w:tab w:val="clear" w:pos="4513"/>
        <w:tab w:val="clear" w:pos="9027"/>
      </w:tabs>
      <w:jc w:val="center"/>
    </w:pPr>
  </w:p>
  <w:p w:rsidR="00A90523" w:rsidRPr="00A90523" w:rsidRDefault="00A90523" w:rsidP="00A90523">
    <w:pPr>
      <w:pStyle w:val="En-tte"/>
      <w:pBdr>
        <w:bottom w:val="single" w:sz="4" w:space="1" w:color="auto"/>
      </w:pBdr>
      <w:tabs>
        <w:tab w:val="clear" w:pos="4513"/>
        <w:tab w:val="clear" w:pos="9027"/>
      </w:tabs>
      <w:jc w:val="center"/>
    </w:pPr>
    <w:r w:rsidRPr="00A90523">
      <w:t xml:space="preserve">- </w:t>
    </w:r>
    <w:r w:rsidRPr="00A90523">
      <w:fldChar w:fldCharType="begin"/>
    </w:r>
    <w:r w:rsidRPr="00A90523">
      <w:instrText xml:space="preserve"> PAGE </w:instrText>
    </w:r>
    <w:r w:rsidRPr="00A90523">
      <w:fldChar w:fldCharType="separate"/>
    </w:r>
    <w:r w:rsidR="006E646B">
      <w:rPr>
        <w:noProof/>
      </w:rPr>
      <w:t>3</w:t>
    </w:r>
    <w:r w:rsidRPr="00A90523">
      <w:fldChar w:fldCharType="end"/>
    </w:r>
    <w:r w:rsidRPr="00A90523">
      <w:t xml:space="preserve"> -</w:t>
    </w:r>
  </w:p>
  <w:p w:rsidR="00544326" w:rsidRPr="00A90523" w:rsidRDefault="00544326" w:rsidP="00A9052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65867" w:rsidTr="00544326">
      <w:trPr>
        <w:trHeight w:val="240"/>
        <w:jc w:val="center"/>
      </w:trPr>
      <w:tc>
        <w:tcPr>
          <w:tcW w:w="3794" w:type="dxa"/>
          <w:shd w:val="clear" w:color="auto" w:fill="FFFFFF"/>
          <w:tcMar>
            <w:left w:w="108" w:type="dxa"/>
            <w:right w:w="108" w:type="dxa"/>
          </w:tcMar>
          <w:vAlign w:val="center"/>
        </w:tcPr>
        <w:p w:rsidR="00ED54E0" w:rsidRPr="00665867" w:rsidRDefault="00ED54E0" w:rsidP="005A0407">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65867" w:rsidRDefault="00A90523" w:rsidP="005A0407">
          <w:pPr>
            <w:jc w:val="right"/>
            <w:rPr>
              <w:b/>
              <w:color w:val="FF0000"/>
              <w:szCs w:val="16"/>
            </w:rPr>
          </w:pPr>
          <w:r>
            <w:rPr>
              <w:b/>
              <w:color w:val="FF0000"/>
              <w:szCs w:val="16"/>
            </w:rPr>
            <w:t xml:space="preserve"> </w:t>
          </w:r>
        </w:p>
      </w:tc>
    </w:tr>
    <w:bookmarkEnd w:id="1"/>
    <w:tr w:rsidR="00ED54E0" w:rsidRPr="00665867" w:rsidTr="00544326">
      <w:trPr>
        <w:trHeight w:val="213"/>
        <w:jc w:val="center"/>
      </w:trPr>
      <w:tc>
        <w:tcPr>
          <w:tcW w:w="3794" w:type="dxa"/>
          <w:vMerge w:val="restart"/>
          <w:shd w:val="clear" w:color="auto" w:fill="FFFFFF"/>
          <w:tcMar>
            <w:left w:w="0" w:type="dxa"/>
            <w:right w:w="0" w:type="dxa"/>
          </w:tcMar>
        </w:tcPr>
        <w:p w:rsidR="00ED54E0" w:rsidRPr="00665867" w:rsidRDefault="00073997" w:rsidP="005A0407">
          <w:pPr>
            <w:jc w:val="left"/>
          </w:pPr>
          <w:r>
            <w:rPr>
              <w:noProof/>
              <w:lang w:val="fr-FR" w:eastAsia="fr-FR"/>
            </w:rPr>
            <w:drawing>
              <wp:inline distT="0" distB="0" distL="0" distR="0" wp14:anchorId="2988E441" wp14:editId="03A95474">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65867" w:rsidRDefault="00ED54E0" w:rsidP="005A0407">
          <w:pPr>
            <w:jc w:val="right"/>
            <w:rPr>
              <w:b/>
              <w:szCs w:val="16"/>
            </w:rPr>
          </w:pPr>
        </w:p>
      </w:tc>
    </w:tr>
    <w:tr w:rsidR="00ED54E0" w:rsidRPr="00665867" w:rsidTr="00544326">
      <w:trPr>
        <w:trHeight w:val="868"/>
        <w:jc w:val="center"/>
      </w:trPr>
      <w:tc>
        <w:tcPr>
          <w:tcW w:w="3794" w:type="dxa"/>
          <w:vMerge/>
          <w:shd w:val="clear" w:color="auto" w:fill="FFFFFF"/>
          <w:tcMar>
            <w:left w:w="108" w:type="dxa"/>
            <w:right w:w="108" w:type="dxa"/>
          </w:tcMar>
        </w:tcPr>
        <w:p w:rsidR="00ED54E0" w:rsidRPr="00665867" w:rsidRDefault="00ED54E0" w:rsidP="005A0407">
          <w:pPr>
            <w:jc w:val="left"/>
            <w:rPr>
              <w:noProof/>
              <w:lang w:eastAsia="en-GB"/>
            </w:rPr>
          </w:pPr>
        </w:p>
      </w:tc>
      <w:tc>
        <w:tcPr>
          <w:tcW w:w="5448" w:type="dxa"/>
          <w:gridSpan w:val="2"/>
          <w:shd w:val="clear" w:color="auto" w:fill="FFFFFF"/>
          <w:tcMar>
            <w:left w:w="108" w:type="dxa"/>
            <w:right w:w="108" w:type="dxa"/>
          </w:tcMar>
        </w:tcPr>
        <w:p w:rsidR="00A90523" w:rsidRDefault="00A90523" w:rsidP="005A0407">
          <w:pPr>
            <w:jc w:val="right"/>
            <w:rPr>
              <w:b/>
              <w:szCs w:val="16"/>
            </w:rPr>
          </w:pPr>
          <w:bookmarkStart w:id="2" w:name="bmkSymbols"/>
          <w:r>
            <w:rPr>
              <w:b/>
              <w:szCs w:val="16"/>
            </w:rPr>
            <w:t>G/SCM/N/284/KNA, G/SCM/N/290/KNA</w:t>
          </w:r>
        </w:p>
        <w:p w:rsidR="00A90523" w:rsidRDefault="00A90523" w:rsidP="005A0407">
          <w:pPr>
            <w:jc w:val="right"/>
            <w:rPr>
              <w:b/>
              <w:szCs w:val="16"/>
            </w:rPr>
          </w:pPr>
          <w:r>
            <w:rPr>
              <w:b/>
              <w:szCs w:val="16"/>
            </w:rPr>
            <w:t>G/SCM/N/299/KNA, G/SCM/N/315/KNA</w:t>
          </w:r>
        </w:p>
        <w:bookmarkEnd w:id="2"/>
        <w:p w:rsidR="00ED54E0" w:rsidRPr="00665867" w:rsidRDefault="00ED54E0" w:rsidP="005A0407">
          <w:pPr>
            <w:jc w:val="right"/>
            <w:rPr>
              <w:b/>
              <w:szCs w:val="16"/>
            </w:rPr>
          </w:pPr>
        </w:p>
      </w:tc>
    </w:tr>
    <w:tr w:rsidR="00ED54E0" w:rsidRPr="00665867" w:rsidTr="00544326">
      <w:trPr>
        <w:trHeight w:val="240"/>
        <w:jc w:val="center"/>
      </w:trPr>
      <w:tc>
        <w:tcPr>
          <w:tcW w:w="3794" w:type="dxa"/>
          <w:vMerge/>
          <w:shd w:val="clear" w:color="auto" w:fill="FFFFFF"/>
          <w:tcMar>
            <w:left w:w="108" w:type="dxa"/>
            <w:right w:w="108" w:type="dxa"/>
          </w:tcMar>
          <w:vAlign w:val="center"/>
        </w:tcPr>
        <w:p w:rsidR="00ED54E0" w:rsidRPr="00665867" w:rsidRDefault="00ED54E0" w:rsidP="005A0407"/>
      </w:tc>
      <w:tc>
        <w:tcPr>
          <w:tcW w:w="5448" w:type="dxa"/>
          <w:gridSpan w:val="2"/>
          <w:shd w:val="clear" w:color="auto" w:fill="FFFFFF"/>
          <w:tcMar>
            <w:left w:w="108" w:type="dxa"/>
            <w:right w:w="108" w:type="dxa"/>
          </w:tcMar>
          <w:vAlign w:val="center"/>
        </w:tcPr>
        <w:p w:rsidR="00ED54E0" w:rsidRPr="00665867" w:rsidRDefault="001F4D26" w:rsidP="009B4AD2">
          <w:pPr>
            <w:jc w:val="right"/>
            <w:rPr>
              <w:szCs w:val="16"/>
            </w:rPr>
          </w:pPr>
          <w:r>
            <w:rPr>
              <w:szCs w:val="16"/>
            </w:rPr>
            <w:t>1</w:t>
          </w:r>
          <w:r w:rsidR="009B4AD2">
            <w:rPr>
              <w:szCs w:val="16"/>
            </w:rPr>
            <w:t>3</w:t>
          </w:r>
          <w:r w:rsidR="00665867">
            <w:rPr>
              <w:szCs w:val="16"/>
            </w:rPr>
            <w:t xml:space="preserve"> </w:t>
          </w:r>
          <w:r>
            <w:rPr>
              <w:szCs w:val="16"/>
            </w:rPr>
            <w:t>July</w:t>
          </w:r>
          <w:r w:rsidR="00665867">
            <w:rPr>
              <w:szCs w:val="16"/>
            </w:rPr>
            <w:t xml:space="preserve"> 201</w:t>
          </w:r>
          <w:r>
            <w:rPr>
              <w:szCs w:val="16"/>
            </w:rPr>
            <w:t>8</w:t>
          </w:r>
        </w:p>
      </w:tc>
    </w:tr>
    <w:tr w:rsidR="00ED54E0" w:rsidRPr="0066586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65867" w:rsidRDefault="00ED54E0" w:rsidP="00D00685">
          <w:pPr>
            <w:jc w:val="left"/>
            <w:rPr>
              <w:b/>
            </w:rPr>
          </w:pPr>
          <w:bookmarkStart w:id="3" w:name="bmkSerial" w:colFirst="0" w:colLast="0"/>
          <w:r w:rsidRPr="00665867">
            <w:rPr>
              <w:color w:val="FF0000"/>
              <w:szCs w:val="16"/>
            </w:rPr>
            <w:t>(</w:t>
          </w:r>
          <w:r w:rsidR="00AD5372">
            <w:rPr>
              <w:color w:val="FF0000"/>
              <w:szCs w:val="16"/>
            </w:rPr>
            <w:t>1</w:t>
          </w:r>
          <w:r w:rsidR="00D00685">
            <w:rPr>
              <w:color w:val="FF0000"/>
              <w:szCs w:val="16"/>
            </w:rPr>
            <w:t>8</w:t>
          </w:r>
          <w:r w:rsidRPr="00665867">
            <w:rPr>
              <w:color w:val="FF0000"/>
              <w:szCs w:val="16"/>
            </w:rPr>
            <w:t>-</w:t>
          </w:r>
          <w:r w:rsidR="009B4AD2">
            <w:rPr>
              <w:color w:val="FF0000"/>
              <w:szCs w:val="16"/>
            </w:rPr>
            <w:t>4403</w:t>
          </w:r>
          <w:r w:rsidRPr="00665867">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65867" w:rsidRDefault="00ED54E0" w:rsidP="005A0407">
          <w:pPr>
            <w:jc w:val="right"/>
            <w:rPr>
              <w:szCs w:val="16"/>
            </w:rPr>
          </w:pPr>
          <w:bookmarkStart w:id="4" w:name="bmkTotPages"/>
          <w:r w:rsidRPr="00665867">
            <w:rPr>
              <w:bCs/>
              <w:szCs w:val="16"/>
            </w:rPr>
            <w:t xml:space="preserve">Page: </w:t>
          </w:r>
          <w:r w:rsidRPr="00665867">
            <w:rPr>
              <w:bCs/>
              <w:szCs w:val="16"/>
            </w:rPr>
            <w:fldChar w:fldCharType="begin"/>
          </w:r>
          <w:r w:rsidRPr="00665867">
            <w:rPr>
              <w:bCs/>
              <w:szCs w:val="16"/>
            </w:rPr>
            <w:instrText xml:space="preserve"> PAGE  \* Arabic  \* MERGEFORMAT </w:instrText>
          </w:r>
          <w:r w:rsidRPr="00665867">
            <w:rPr>
              <w:bCs/>
              <w:szCs w:val="16"/>
            </w:rPr>
            <w:fldChar w:fldCharType="separate"/>
          </w:r>
          <w:r w:rsidR="006E646B">
            <w:rPr>
              <w:bCs/>
              <w:noProof/>
              <w:szCs w:val="16"/>
            </w:rPr>
            <w:t>1</w:t>
          </w:r>
          <w:r w:rsidRPr="00665867">
            <w:rPr>
              <w:bCs/>
              <w:szCs w:val="16"/>
            </w:rPr>
            <w:fldChar w:fldCharType="end"/>
          </w:r>
          <w:r w:rsidRPr="00665867">
            <w:rPr>
              <w:bCs/>
              <w:szCs w:val="16"/>
            </w:rPr>
            <w:t>/</w:t>
          </w:r>
          <w:r w:rsidRPr="00665867">
            <w:rPr>
              <w:bCs/>
              <w:szCs w:val="16"/>
            </w:rPr>
            <w:fldChar w:fldCharType="begin"/>
          </w:r>
          <w:r w:rsidRPr="00665867">
            <w:rPr>
              <w:bCs/>
              <w:szCs w:val="16"/>
            </w:rPr>
            <w:instrText xml:space="preserve"> NUMPAGES  \* Arabic  \* MERGEFORMAT </w:instrText>
          </w:r>
          <w:r w:rsidRPr="00665867">
            <w:rPr>
              <w:bCs/>
              <w:szCs w:val="16"/>
            </w:rPr>
            <w:fldChar w:fldCharType="separate"/>
          </w:r>
          <w:r w:rsidR="006E646B">
            <w:rPr>
              <w:bCs/>
              <w:noProof/>
              <w:szCs w:val="16"/>
            </w:rPr>
            <w:t>6</w:t>
          </w:r>
          <w:r w:rsidRPr="00665867">
            <w:rPr>
              <w:bCs/>
              <w:szCs w:val="16"/>
            </w:rPr>
            <w:fldChar w:fldCharType="end"/>
          </w:r>
          <w:bookmarkEnd w:id="4"/>
        </w:p>
      </w:tc>
    </w:tr>
    <w:tr w:rsidR="00ED54E0" w:rsidRPr="0066586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65867" w:rsidRDefault="00A90523" w:rsidP="005A0407">
          <w:pPr>
            <w:jc w:val="left"/>
            <w:rPr>
              <w:sz w:val="14"/>
              <w:szCs w:val="16"/>
            </w:rPr>
          </w:pPr>
          <w:bookmarkStart w:id="5" w:name="bmkCommittee"/>
          <w:bookmarkStart w:id="6" w:name="bmkLanguage" w:colFirst="1" w:colLast="1"/>
          <w:bookmarkEnd w:id="3"/>
          <w:r>
            <w:rPr>
              <w:b/>
            </w:rPr>
            <w:t>Committee on Subsidies and Countervailing Measures</w:t>
          </w:r>
          <w:bookmarkEnd w:id="5"/>
        </w:p>
      </w:tc>
      <w:tc>
        <w:tcPr>
          <w:tcW w:w="3325" w:type="dxa"/>
          <w:tcBorders>
            <w:top w:val="single" w:sz="4" w:space="0" w:color="auto"/>
          </w:tcBorders>
          <w:tcMar>
            <w:top w:w="113" w:type="dxa"/>
            <w:left w:w="108" w:type="dxa"/>
            <w:bottom w:w="57" w:type="dxa"/>
            <w:right w:w="108" w:type="dxa"/>
          </w:tcMar>
          <w:vAlign w:val="center"/>
        </w:tcPr>
        <w:p w:rsidR="00ED54E0" w:rsidRPr="00665867" w:rsidRDefault="00A90523" w:rsidP="005A0407">
          <w:pPr>
            <w:jc w:val="right"/>
            <w:rPr>
              <w:bCs/>
              <w:szCs w:val="18"/>
            </w:rPr>
          </w:pPr>
          <w:r>
            <w:rPr>
              <w:szCs w:val="18"/>
            </w:rPr>
            <w:t>Original: English</w:t>
          </w:r>
        </w:p>
      </w:tc>
    </w:tr>
    <w:bookmarkEnd w:id="6"/>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67"/>
    <w:rsid w:val="000272F6"/>
    <w:rsid w:val="00037AC4"/>
    <w:rsid w:val="000423BF"/>
    <w:rsid w:val="00042B25"/>
    <w:rsid w:val="00073997"/>
    <w:rsid w:val="000A4945"/>
    <w:rsid w:val="000B31E1"/>
    <w:rsid w:val="0011356B"/>
    <w:rsid w:val="0013337F"/>
    <w:rsid w:val="00182B84"/>
    <w:rsid w:val="001E291F"/>
    <w:rsid w:val="001F4D26"/>
    <w:rsid w:val="00233408"/>
    <w:rsid w:val="0027067B"/>
    <w:rsid w:val="00273F29"/>
    <w:rsid w:val="00296C92"/>
    <w:rsid w:val="002C492D"/>
    <w:rsid w:val="003156C6"/>
    <w:rsid w:val="00337E15"/>
    <w:rsid w:val="003572B4"/>
    <w:rsid w:val="003B088A"/>
    <w:rsid w:val="004111CF"/>
    <w:rsid w:val="00467032"/>
    <w:rsid w:val="0046754A"/>
    <w:rsid w:val="00474EA1"/>
    <w:rsid w:val="004861D0"/>
    <w:rsid w:val="004F203A"/>
    <w:rsid w:val="005306B6"/>
    <w:rsid w:val="00531FFE"/>
    <w:rsid w:val="005336B8"/>
    <w:rsid w:val="00544326"/>
    <w:rsid w:val="00547B5F"/>
    <w:rsid w:val="005917D4"/>
    <w:rsid w:val="0059505F"/>
    <w:rsid w:val="005A0407"/>
    <w:rsid w:val="005B04B9"/>
    <w:rsid w:val="005B68C7"/>
    <w:rsid w:val="005B7054"/>
    <w:rsid w:val="005D5981"/>
    <w:rsid w:val="005F30CB"/>
    <w:rsid w:val="00612644"/>
    <w:rsid w:val="00665867"/>
    <w:rsid w:val="00674CCD"/>
    <w:rsid w:val="00675C68"/>
    <w:rsid w:val="006E646B"/>
    <w:rsid w:val="006F5826"/>
    <w:rsid w:val="00700181"/>
    <w:rsid w:val="007141CF"/>
    <w:rsid w:val="00745146"/>
    <w:rsid w:val="007577E3"/>
    <w:rsid w:val="00760DB3"/>
    <w:rsid w:val="007C1BBA"/>
    <w:rsid w:val="007E6507"/>
    <w:rsid w:val="007F2B8E"/>
    <w:rsid w:val="00807247"/>
    <w:rsid w:val="00840C2B"/>
    <w:rsid w:val="008739FD"/>
    <w:rsid w:val="00893E85"/>
    <w:rsid w:val="008E372C"/>
    <w:rsid w:val="00976990"/>
    <w:rsid w:val="009A6F54"/>
    <w:rsid w:val="009B2D7A"/>
    <w:rsid w:val="009B4AD2"/>
    <w:rsid w:val="009D5402"/>
    <w:rsid w:val="00A6057A"/>
    <w:rsid w:val="00A61F69"/>
    <w:rsid w:val="00A74017"/>
    <w:rsid w:val="00A90523"/>
    <w:rsid w:val="00AA332C"/>
    <w:rsid w:val="00AC27F8"/>
    <w:rsid w:val="00AD4C72"/>
    <w:rsid w:val="00AD5372"/>
    <w:rsid w:val="00AE2AEE"/>
    <w:rsid w:val="00AE7EE3"/>
    <w:rsid w:val="00B00276"/>
    <w:rsid w:val="00B230EC"/>
    <w:rsid w:val="00B52738"/>
    <w:rsid w:val="00B56EDC"/>
    <w:rsid w:val="00BB1F84"/>
    <w:rsid w:val="00BE5468"/>
    <w:rsid w:val="00BF528C"/>
    <w:rsid w:val="00C07067"/>
    <w:rsid w:val="00C11EAC"/>
    <w:rsid w:val="00C15F6D"/>
    <w:rsid w:val="00C305D7"/>
    <w:rsid w:val="00C30F2A"/>
    <w:rsid w:val="00C43456"/>
    <w:rsid w:val="00C65C0C"/>
    <w:rsid w:val="00C808FC"/>
    <w:rsid w:val="00CD7D97"/>
    <w:rsid w:val="00CE3EE6"/>
    <w:rsid w:val="00CE4BA1"/>
    <w:rsid w:val="00D000C7"/>
    <w:rsid w:val="00D00685"/>
    <w:rsid w:val="00D221B8"/>
    <w:rsid w:val="00D52A9D"/>
    <w:rsid w:val="00D55AAD"/>
    <w:rsid w:val="00D747AE"/>
    <w:rsid w:val="00D9226C"/>
    <w:rsid w:val="00DA20BD"/>
    <w:rsid w:val="00DD29CE"/>
    <w:rsid w:val="00DE50DB"/>
    <w:rsid w:val="00DF6AE1"/>
    <w:rsid w:val="00E46FD5"/>
    <w:rsid w:val="00E544BB"/>
    <w:rsid w:val="00E56545"/>
    <w:rsid w:val="00EA5D4F"/>
    <w:rsid w:val="00EB6892"/>
    <w:rsid w:val="00EB6C56"/>
    <w:rsid w:val="00ED54E0"/>
    <w:rsid w:val="00F32397"/>
    <w:rsid w:val="00F40595"/>
    <w:rsid w:val="00FA5EBC"/>
    <w:rsid w:val="00FD224A"/>
    <w:rsid w:val="00FE3DF5"/>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6</Pages>
  <Words>1350</Words>
  <Characters>6871</Characters>
  <Application>Microsoft Office Word</Application>
  <DocSecurity>0</DocSecurity>
  <Lines>292</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2013-09-26T14:27:00Z</cp:lastPrinted>
  <dcterms:created xsi:type="dcterms:W3CDTF">2018-07-10T12:57:00Z</dcterms:created>
  <dcterms:modified xsi:type="dcterms:W3CDTF">2018-07-13T12:32:00Z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G/SCM/N/284/KNA</vt:lpwstr>
  </property>
  <property fmtid="{D5CDD505-2E9C-101B-9397-08002B2CF9AE}" pid="3" name="Symbol2">
    <vt:lpwstr>G/SCM/N/290/KNA</vt:lpwstr>
  </property>
  <property fmtid="{D5CDD505-2E9C-101B-9397-08002B2CF9AE}" pid="4" name="Symbol3">
    <vt:lpwstr>G/SCM/N/299/KNA</vt:lpwstr>
  </property>
  <property fmtid="{D5CDD505-2E9C-101B-9397-08002B2CF9AE}" pid="5" name="Symbol4">
    <vt:lpwstr>G/SCM/N/315/KNA</vt:lpwstr>
  </property>
</Properties>
</file>