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1B305" w14:textId="77777777" w:rsidR="001E4498" w:rsidRDefault="00BD1AA3" w:rsidP="005455F2">
      <w:pPr>
        <w:pStyle w:val="Title"/>
        <w:spacing w:line="240" w:lineRule="auto"/>
        <w:rPr>
          <w:caps w:val="0"/>
          <w:kern w:val="0"/>
        </w:rPr>
      </w:pPr>
      <w:r>
        <w:rPr>
          <w:caps w:val="0"/>
          <w:kern w:val="0"/>
        </w:rPr>
        <w:t>SEMI-ANNUAL REPORT UNDER ARTICLE 25.11</w:t>
      </w:r>
      <w:r>
        <w:rPr>
          <w:caps w:val="0"/>
          <w:kern w:val="0"/>
        </w:rPr>
        <w:br/>
        <w:t>OF THE AGREEMENT</w:t>
      </w:r>
    </w:p>
    <w:p w14:paraId="43AD8921" w14:textId="77777777" w:rsidR="001E4498" w:rsidRDefault="00BD1AA3" w:rsidP="005455F2">
      <w:pPr>
        <w:pStyle w:val="TitleCountry"/>
        <w:spacing w:line="240" w:lineRule="auto"/>
      </w:pPr>
      <w:r>
        <w:t>China</w:t>
      </w:r>
    </w:p>
    <w:p w14:paraId="4472C5DC" w14:textId="068837D3" w:rsidR="001E4498" w:rsidRDefault="00BD1AA3" w:rsidP="005455F2">
      <w:pPr>
        <w:spacing w:after="0" w:line="240" w:lineRule="auto"/>
        <w:jc w:val="left"/>
        <w:rPr>
          <w:lang w:eastAsia="en-GB"/>
        </w:rPr>
      </w:pPr>
      <w:r>
        <w:t xml:space="preserve">Reproduced herewith is the semi-annual report for the period </w:t>
      </w:r>
      <w:bookmarkStart w:id="0" w:name="_Hlk98861822"/>
      <w:r>
        <w:t>1 January-30 June 2022</w:t>
      </w:r>
      <w:bookmarkEnd w:id="0"/>
      <w:r>
        <w:t xml:space="preserve"> from </w:t>
      </w:r>
      <w:r>
        <w:rPr>
          <w:b/>
        </w:rPr>
        <w:t>China</w:t>
      </w:r>
      <w:r>
        <w:rPr>
          <w:lang w:eastAsia="en-GB"/>
        </w:rPr>
        <w:t>.</w:t>
      </w:r>
    </w:p>
    <w:p w14:paraId="32D243D7" w14:textId="47814CB2" w:rsidR="002B5749" w:rsidRDefault="002B5749" w:rsidP="005455F2">
      <w:pPr>
        <w:spacing w:after="0" w:line="240" w:lineRule="auto"/>
        <w:jc w:val="left"/>
      </w:pPr>
    </w:p>
    <w:p w14:paraId="46682E57" w14:textId="51C53BE2" w:rsidR="002B5749" w:rsidRDefault="002B5749" w:rsidP="005455F2">
      <w:pPr>
        <w:spacing w:after="0" w:line="240" w:lineRule="auto"/>
        <w:jc w:val="center"/>
        <w:rPr>
          <w:b/>
        </w:rPr>
      </w:pPr>
      <w:r>
        <w:rPr>
          <w:b/>
        </w:rPr>
        <w:t>_______________</w:t>
      </w:r>
    </w:p>
    <w:p w14:paraId="16973029" w14:textId="411F4D51" w:rsidR="002B5749" w:rsidRDefault="002B5749" w:rsidP="005455F2">
      <w:pPr>
        <w:spacing w:after="0" w:line="240" w:lineRule="auto"/>
      </w:pPr>
    </w:p>
    <w:p w14:paraId="68E5EDA5" w14:textId="77777777" w:rsidR="002B5749" w:rsidRPr="002B5749" w:rsidRDefault="002B5749" w:rsidP="005455F2">
      <w:pPr>
        <w:spacing w:after="0" w:line="240" w:lineRule="auto"/>
      </w:pPr>
    </w:p>
    <w:p w14:paraId="021D69CF" w14:textId="77777777" w:rsidR="001E4498" w:rsidRDefault="001E4498" w:rsidP="005455F2">
      <w:pPr>
        <w:spacing w:line="240" w:lineRule="auto"/>
      </w:pPr>
    </w:p>
    <w:p w14:paraId="0CAA5547" w14:textId="77777777" w:rsidR="001E4498" w:rsidRDefault="001E4498" w:rsidP="005455F2">
      <w:pPr>
        <w:spacing w:line="240" w:lineRule="auto"/>
        <w:sectPr w:rsidR="001E4498" w:rsidSect="002B5749">
          <w:headerReference w:type="even" r:id="rId10"/>
          <w:headerReference w:type="default" r:id="rId11"/>
          <w:footerReference w:type="even" r:id="rId12"/>
          <w:footerReference w:type="default" r:id="rId13"/>
          <w:headerReference w:type="first" r:id="rId14"/>
          <w:footerReference w:type="first" r:id="rId15"/>
          <w:pgSz w:w="11906" w:h="16838"/>
          <w:pgMar w:top="1701" w:right="1440" w:bottom="1440" w:left="1440" w:header="720" w:footer="720" w:gutter="0"/>
          <w:cols w:space="720"/>
          <w:titlePg/>
          <w:docGrid w:linePitch="360"/>
        </w:sectPr>
      </w:pPr>
    </w:p>
    <w:p w14:paraId="7D964CA5" w14:textId="77777777" w:rsidR="001E4498" w:rsidRDefault="00BD1AA3" w:rsidP="005455F2">
      <w:pPr>
        <w:spacing w:line="240" w:lineRule="auto"/>
        <w:rPr>
          <w:lang w:eastAsia="en-GB"/>
        </w:rPr>
      </w:pPr>
      <w:r>
        <w:rPr>
          <w:rStyle w:val="SubtitleChar"/>
          <w:rFonts w:eastAsia="Calibri"/>
        </w:rPr>
        <w:lastRenderedPageBreak/>
        <w:t>Reporting Member: CHINA</w:t>
      </w:r>
      <w:r w:rsidRPr="00111107">
        <w:rPr>
          <w:rStyle w:val="FootnoteReference"/>
          <w:rFonts w:eastAsia="Calibri" w:cstheme="majorBidi"/>
          <w:b/>
          <w:bCs/>
          <w:iCs/>
          <w:szCs w:val="24"/>
        </w:rPr>
        <w:footnoteReference w:id="1"/>
      </w:r>
    </w:p>
    <w:p w14:paraId="440C33D7" w14:textId="77777777" w:rsidR="001E4498" w:rsidRDefault="00BD1AA3" w:rsidP="005455F2">
      <w:pPr>
        <w:pStyle w:val="Title"/>
        <w:spacing w:line="240" w:lineRule="auto"/>
        <w:rPr>
          <w:caps w:val="0"/>
          <w:kern w:val="0"/>
          <w:lang w:eastAsia="en-GB"/>
        </w:rPr>
      </w:pPr>
      <w:r>
        <w:rPr>
          <w:caps w:val="0"/>
          <w:kern w:val="0"/>
          <w:lang w:eastAsia="en-GB"/>
        </w:rPr>
        <w:t>SEMI-ANNUAL REPORT OF COUNTERVAILING DUTY ACTIONS</w:t>
      </w:r>
      <w:r>
        <w:rPr>
          <w:rStyle w:val="FootnoteReference"/>
          <w:caps w:val="0"/>
          <w:kern w:val="0"/>
          <w:lang w:eastAsia="en-GB"/>
        </w:rPr>
        <w:footnoteReference w:id="2"/>
      </w:r>
    </w:p>
    <w:p w14:paraId="29E66FD8" w14:textId="77777777" w:rsidR="001E4498" w:rsidRDefault="00BD1AA3" w:rsidP="005455F2">
      <w:pPr>
        <w:pStyle w:val="Title2"/>
        <w:spacing w:line="240" w:lineRule="auto"/>
      </w:pPr>
      <w:r>
        <w:t>For the period 1 January-30 June 2022</w:t>
      </w:r>
    </w:p>
    <w:p w14:paraId="085D6FBD" w14:textId="77777777" w:rsidR="001E4498" w:rsidRPr="002B5749" w:rsidRDefault="00BD1AA3" w:rsidP="005455F2">
      <w:pPr>
        <w:pStyle w:val="Caption"/>
        <w:spacing w:line="240" w:lineRule="auto"/>
      </w:pPr>
      <w:r>
        <w:t>Original Investigations</w:t>
      </w:r>
    </w:p>
    <w:tbl>
      <w:tblPr>
        <w:tblW w:w="5000"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11"/>
        <w:gridCol w:w="1418"/>
        <w:gridCol w:w="1276"/>
        <w:gridCol w:w="1417"/>
        <w:gridCol w:w="1134"/>
        <w:gridCol w:w="1134"/>
        <w:gridCol w:w="1276"/>
        <w:gridCol w:w="1134"/>
        <w:gridCol w:w="1134"/>
        <w:gridCol w:w="1136"/>
        <w:gridCol w:w="2354"/>
      </w:tblGrid>
      <w:tr w:rsidR="001E4498" w14:paraId="7099EB30" w14:textId="77777777" w:rsidTr="00D31A2E">
        <w:tc>
          <w:tcPr>
            <w:tcW w:w="1111" w:type="dxa"/>
            <w:vMerge w:val="restart"/>
            <w:tcBorders>
              <w:top w:val="double" w:sz="6" w:space="0" w:color="auto"/>
              <w:left w:val="double" w:sz="6" w:space="0" w:color="auto"/>
              <w:bottom w:val="single" w:sz="4" w:space="0" w:color="auto"/>
              <w:right w:val="single" w:sz="4" w:space="0" w:color="auto"/>
              <w:tl2br w:val="nil"/>
              <w:tr2bl w:val="nil"/>
            </w:tcBorders>
            <w:shd w:val="clear" w:color="auto" w:fill="auto"/>
          </w:tcPr>
          <w:p w14:paraId="039456F8" w14:textId="77777777" w:rsidR="001E4498" w:rsidRDefault="00BD1AA3" w:rsidP="005455F2">
            <w:pPr>
              <w:spacing w:after="0" w:line="240" w:lineRule="auto"/>
              <w:jc w:val="center"/>
              <w:rPr>
                <w:b/>
                <w:sz w:val="14"/>
                <w:szCs w:val="14"/>
              </w:rPr>
            </w:pPr>
            <w:r>
              <w:rPr>
                <w:b/>
                <w:sz w:val="14"/>
                <w:szCs w:val="14"/>
              </w:rPr>
              <w:t>Country or customs territory</w:t>
            </w:r>
          </w:p>
        </w:tc>
        <w:tc>
          <w:tcPr>
            <w:tcW w:w="1418" w:type="dxa"/>
            <w:vMerge w:val="restart"/>
            <w:tcBorders>
              <w:top w:val="double" w:sz="6" w:space="0" w:color="auto"/>
              <w:left w:val="single" w:sz="4" w:space="0" w:color="auto"/>
              <w:bottom w:val="single" w:sz="4" w:space="0" w:color="auto"/>
              <w:right w:val="single" w:sz="4" w:space="0" w:color="auto"/>
              <w:tl2br w:val="nil"/>
              <w:tr2bl w:val="nil"/>
            </w:tcBorders>
            <w:shd w:val="clear" w:color="auto" w:fill="auto"/>
          </w:tcPr>
          <w:p w14:paraId="6CD90922" w14:textId="77777777" w:rsidR="001E4498" w:rsidRDefault="00BD1AA3" w:rsidP="005455F2">
            <w:pPr>
              <w:spacing w:after="0" w:line="240" w:lineRule="auto"/>
              <w:jc w:val="center"/>
              <w:rPr>
                <w:b/>
                <w:sz w:val="14"/>
                <w:szCs w:val="14"/>
              </w:rPr>
            </w:pPr>
            <w:r>
              <w:rPr>
                <w:b/>
                <w:sz w:val="14"/>
                <w:szCs w:val="14"/>
              </w:rPr>
              <w:t>Product</w:t>
            </w:r>
          </w:p>
        </w:tc>
        <w:tc>
          <w:tcPr>
            <w:tcW w:w="1276" w:type="dxa"/>
            <w:vMerge w:val="restart"/>
            <w:tcBorders>
              <w:top w:val="double" w:sz="6" w:space="0" w:color="auto"/>
              <w:left w:val="single" w:sz="4" w:space="0" w:color="auto"/>
              <w:bottom w:val="single" w:sz="4" w:space="0" w:color="auto"/>
              <w:right w:val="single" w:sz="4" w:space="0" w:color="auto"/>
              <w:tl2br w:val="nil"/>
              <w:tr2bl w:val="nil"/>
            </w:tcBorders>
            <w:shd w:val="clear" w:color="auto" w:fill="auto"/>
          </w:tcPr>
          <w:p w14:paraId="5D406186" w14:textId="77777777" w:rsidR="001E4498" w:rsidRDefault="00BD1AA3" w:rsidP="005455F2">
            <w:pPr>
              <w:spacing w:after="0" w:line="240" w:lineRule="auto"/>
              <w:jc w:val="center"/>
              <w:rPr>
                <w:b/>
                <w:sz w:val="14"/>
                <w:szCs w:val="14"/>
              </w:rPr>
            </w:pPr>
            <w:r>
              <w:rPr>
                <w:b/>
                <w:sz w:val="14"/>
                <w:szCs w:val="14"/>
              </w:rPr>
              <w:t>Initiation</w:t>
            </w:r>
          </w:p>
        </w:tc>
        <w:tc>
          <w:tcPr>
            <w:tcW w:w="1417" w:type="dxa"/>
            <w:vMerge w:val="restart"/>
            <w:tcBorders>
              <w:top w:val="double" w:sz="6" w:space="0" w:color="auto"/>
              <w:left w:val="single" w:sz="4" w:space="0" w:color="auto"/>
              <w:bottom w:val="single" w:sz="4" w:space="0" w:color="auto"/>
              <w:right w:val="single" w:sz="4" w:space="0" w:color="auto"/>
              <w:tl2br w:val="nil"/>
              <w:tr2bl w:val="nil"/>
            </w:tcBorders>
            <w:shd w:val="clear" w:color="auto" w:fill="auto"/>
          </w:tcPr>
          <w:p w14:paraId="09EA3B68" w14:textId="77777777" w:rsidR="001E4498" w:rsidRDefault="00BD1AA3" w:rsidP="005455F2">
            <w:pPr>
              <w:spacing w:after="0" w:line="240" w:lineRule="auto"/>
              <w:jc w:val="center"/>
              <w:rPr>
                <w:b/>
                <w:sz w:val="14"/>
                <w:szCs w:val="14"/>
              </w:rPr>
            </w:pPr>
            <w:r>
              <w:rPr>
                <w:b/>
                <w:sz w:val="14"/>
                <w:szCs w:val="14"/>
              </w:rPr>
              <w:t>Provisional measures and preliminary</w:t>
            </w:r>
          </w:p>
          <w:p w14:paraId="79F5C391" w14:textId="77777777" w:rsidR="001E4498" w:rsidRDefault="00BD1AA3" w:rsidP="005455F2">
            <w:pPr>
              <w:spacing w:after="0" w:line="240" w:lineRule="auto"/>
              <w:jc w:val="center"/>
              <w:rPr>
                <w:b/>
                <w:sz w:val="14"/>
                <w:szCs w:val="14"/>
              </w:rPr>
            </w:pPr>
            <w:r>
              <w:rPr>
                <w:b/>
                <w:sz w:val="14"/>
                <w:szCs w:val="14"/>
              </w:rPr>
              <w:t>determinations</w:t>
            </w:r>
          </w:p>
        </w:tc>
        <w:tc>
          <w:tcPr>
            <w:tcW w:w="2268" w:type="dxa"/>
            <w:gridSpan w:val="2"/>
            <w:tcBorders>
              <w:top w:val="double" w:sz="6" w:space="0" w:color="auto"/>
              <w:left w:val="single" w:sz="4" w:space="0" w:color="auto"/>
              <w:bottom w:val="single" w:sz="4" w:space="0" w:color="auto"/>
              <w:right w:val="single" w:sz="4" w:space="0" w:color="auto"/>
              <w:tl2br w:val="nil"/>
              <w:tr2bl w:val="nil"/>
            </w:tcBorders>
            <w:shd w:val="clear" w:color="auto" w:fill="auto"/>
          </w:tcPr>
          <w:p w14:paraId="645C9A1E" w14:textId="77777777" w:rsidR="001E4498" w:rsidRDefault="00BD1AA3" w:rsidP="005455F2">
            <w:pPr>
              <w:spacing w:after="0" w:line="240" w:lineRule="auto"/>
              <w:jc w:val="center"/>
              <w:rPr>
                <w:b/>
                <w:sz w:val="14"/>
                <w:szCs w:val="14"/>
              </w:rPr>
            </w:pPr>
            <w:r>
              <w:rPr>
                <w:b/>
                <w:sz w:val="14"/>
                <w:szCs w:val="14"/>
              </w:rPr>
              <w:t>Final measures</w:t>
            </w:r>
          </w:p>
        </w:tc>
        <w:tc>
          <w:tcPr>
            <w:tcW w:w="1276" w:type="dxa"/>
            <w:vMerge w:val="restart"/>
            <w:tcBorders>
              <w:top w:val="double" w:sz="6" w:space="0" w:color="auto"/>
              <w:left w:val="single" w:sz="4" w:space="0" w:color="auto"/>
              <w:bottom w:val="single" w:sz="4" w:space="0" w:color="auto"/>
              <w:right w:val="single" w:sz="4" w:space="0" w:color="auto"/>
              <w:tl2br w:val="nil"/>
              <w:tr2bl w:val="nil"/>
            </w:tcBorders>
            <w:shd w:val="clear" w:color="auto" w:fill="auto"/>
          </w:tcPr>
          <w:p w14:paraId="4F916842" w14:textId="77777777" w:rsidR="001E4498" w:rsidRDefault="00BD1AA3" w:rsidP="005455F2">
            <w:pPr>
              <w:spacing w:after="0" w:line="240" w:lineRule="auto"/>
              <w:jc w:val="center"/>
              <w:rPr>
                <w:b/>
                <w:sz w:val="14"/>
                <w:szCs w:val="14"/>
              </w:rPr>
            </w:pPr>
            <w:r>
              <w:rPr>
                <w:b/>
                <w:sz w:val="14"/>
                <w:szCs w:val="14"/>
              </w:rPr>
              <w:t>No final measures/</w:t>
            </w:r>
            <w:r>
              <w:rPr>
                <w:b/>
                <w:sz w:val="14"/>
                <w:szCs w:val="14"/>
              </w:rPr>
              <w:br/>
              <w:t>termination</w:t>
            </w:r>
          </w:p>
        </w:tc>
        <w:tc>
          <w:tcPr>
            <w:tcW w:w="1134" w:type="dxa"/>
            <w:vMerge w:val="restart"/>
            <w:tcBorders>
              <w:top w:val="double" w:sz="6" w:space="0" w:color="auto"/>
              <w:left w:val="single" w:sz="4" w:space="0" w:color="auto"/>
              <w:bottom w:val="single" w:sz="4" w:space="0" w:color="auto"/>
              <w:right w:val="single" w:sz="4" w:space="0" w:color="auto"/>
              <w:tl2br w:val="nil"/>
              <w:tr2bl w:val="nil"/>
            </w:tcBorders>
            <w:shd w:val="clear" w:color="auto" w:fill="auto"/>
          </w:tcPr>
          <w:p w14:paraId="18599361" w14:textId="77777777" w:rsidR="001E4498" w:rsidRDefault="00BD1AA3" w:rsidP="005455F2">
            <w:pPr>
              <w:spacing w:after="0" w:line="240" w:lineRule="auto"/>
              <w:jc w:val="center"/>
              <w:rPr>
                <w:b/>
                <w:sz w:val="14"/>
                <w:szCs w:val="14"/>
              </w:rPr>
            </w:pPr>
            <w:r>
              <w:rPr>
                <w:b/>
                <w:sz w:val="14"/>
                <w:szCs w:val="14"/>
              </w:rPr>
              <w:t>Other</w:t>
            </w:r>
          </w:p>
        </w:tc>
        <w:tc>
          <w:tcPr>
            <w:tcW w:w="2270" w:type="dxa"/>
            <w:gridSpan w:val="2"/>
            <w:vMerge w:val="restart"/>
            <w:tcBorders>
              <w:top w:val="double" w:sz="6" w:space="0" w:color="auto"/>
              <w:left w:val="single" w:sz="4" w:space="0" w:color="auto"/>
              <w:bottom w:val="single" w:sz="4" w:space="0" w:color="auto"/>
              <w:right w:val="single" w:sz="4" w:space="0" w:color="auto"/>
              <w:tl2br w:val="nil"/>
              <w:tr2bl w:val="nil"/>
            </w:tcBorders>
            <w:shd w:val="clear" w:color="auto" w:fill="auto"/>
          </w:tcPr>
          <w:p w14:paraId="3F77BD31" w14:textId="77777777" w:rsidR="001E4498" w:rsidRDefault="00BD1AA3" w:rsidP="005455F2">
            <w:pPr>
              <w:spacing w:after="0" w:line="240" w:lineRule="auto"/>
              <w:jc w:val="center"/>
              <w:rPr>
                <w:b/>
                <w:sz w:val="14"/>
                <w:szCs w:val="14"/>
              </w:rPr>
            </w:pPr>
            <w:r>
              <w:rPr>
                <w:b/>
                <w:sz w:val="14"/>
                <w:szCs w:val="14"/>
              </w:rPr>
              <w:t>Trade data</w:t>
            </w:r>
          </w:p>
          <w:p w14:paraId="6FA1C92E" w14:textId="77777777" w:rsidR="001E4498" w:rsidRDefault="00BD1AA3" w:rsidP="005455F2">
            <w:pPr>
              <w:spacing w:after="0" w:line="240" w:lineRule="auto"/>
              <w:jc w:val="center"/>
              <w:rPr>
                <w:b/>
                <w:sz w:val="14"/>
                <w:szCs w:val="14"/>
              </w:rPr>
            </w:pPr>
            <w:r>
              <w:rPr>
                <w:b/>
                <w:sz w:val="14"/>
                <w:szCs w:val="14"/>
              </w:rPr>
              <w:t>(from published report(s))</w:t>
            </w:r>
          </w:p>
        </w:tc>
        <w:tc>
          <w:tcPr>
            <w:tcW w:w="2354" w:type="dxa"/>
            <w:vMerge w:val="restart"/>
            <w:tcBorders>
              <w:top w:val="double" w:sz="6" w:space="0" w:color="auto"/>
              <w:left w:val="single" w:sz="4" w:space="0" w:color="auto"/>
              <w:bottom w:val="single" w:sz="4" w:space="0" w:color="auto"/>
              <w:right w:val="double" w:sz="6" w:space="0" w:color="auto"/>
              <w:tl2br w:val="nil"/>
              <w:tr2bl w:val="nil"/>
            </w:tcBorders>
            <w:shd w:val="clear" w:color="auto" w:fill="auto"/>
          </w:tcPr>
          <w:p w14:paraId="2CAFD562" w14:textId="77777777" w:rsidR="001E4498" w:rsidRDefault="00BD1AA3" w:rsidP="005455F2">
            <w:pPr>
              <w:spacing w:after="0" w:line="240" w:lineRule="auto"/>
              <w:jc w:val="center"/>
              <w:rPr>
                <w:sz w:val="14"/>
                <w:szCs w:val="14"/>
              </w:rPr>
            </w:pPr>
            <w:r>
              <w:rPr>
                <w:b/>
                <w:sz w:val="14"/>
                <w:szCs w:val="14"/>
              </w:rPr>
              <w:t>Countervailed programme(s)</w:t>
            </w:r>
          </w:p>
        </w:tc>
      </w:tr>
      <w:tr w:rsidR="001E4498" w14:paraId="2C4BA443" w14:textId="77777777" w:rsidTr="00D31A2E">
        <w:tc>
          <w:tcPr>
            <w:tcW w:w="1111" w:type="dxa"/>
            <w:vMerge/>
            <w:shd w:val="clear" w:color="auto" w:fill="auto"/>
          </w:tcPr>
          <w:p w14:paraId="5BE0816E" w14:textId="77777777" w:rsidR="001E4498" w:rsidRDefault="001E4498" w:rsidP="005455F2">
            <w:pPr>
              <w:spacing w:after="0" w:line="240" w:lineRule="auto"/>
              <w:rPr>
                <w:b/>
                <w:sz w:val="14"/>
                <w:szCs w:val="14"/>
              </w:rPr>
            </w:pPr>
          </w:p>
        </w:tc>
        <w:tc>
          <w:tcPr>
            <w:tcW w:w="1418" w:type="dxa"/>
            <w:vMerge/>
            <w:shd w:val="clear" w:color="auto" w:fill="auto"/>
          </w:tcPr>
          <w:p w14:paraId="4ED22F81" w14:textId="77777777" w:rsidR="001E4498" w:rsidRDefault="001E4498" w:rsidP="005455F2">
            <w:pPr>
              <w:spacing w:after="0" w:line="240" w:lineRule="auto"/>
              <w:rPr>
                <w:b/>
                <w:sz w:val="14"/>
                <w:szCs w:val="14"/>
              </w:rPr>
            </w:pPr>
          </w:p>
        </w:tc>
        <w:tc>
          <w:tcPr>
            <w:tcW w:w="1276" w:type="dxa"/>
            <w:vMerge/>
            <w:shd w:val="clear" w:color="auto" w:fill="auto"/>
          </w:tcPr>
          <w:p w14:paraId="707539D5" w14:textId="77777777" w:rsidR="001E4498" w:rsidRDefault="001E4498" w:rsidP="005455F2">
            <w:pPr>
              <w:spacing w:after="0" w:line="240" w:lineRule="auto"/>
              <w:jc w:val="center"/>
              <w:rPr>
                <w:b/>
                <w:sz w:val="14"/>
                <w:szCs w:val="14"/>
              </w:rPr>
            </w:pPr>
          </w:p>
        </w:tc>
        <w:tc>
          <w:tcPr>
            <w:tcW w:w="1417" w:type="dxa"/>
            <w:vMerge/>
            <w:shd w:val="clear" w:color="auto" w:fill="auto"/>
          </w:tcPr>
          <w:p w14:paraId="5C3895A4" w14:textId="77777777" w:rsidR="001E4498" w:rsidRDefault="001E4498" w:rsidP="005455F2">
            <w:pPr>
              <w:spacing w:after="0" w:line="240" w:lineRule="auto"/>
              <w:rPr>
                <w:b/>
                <w:sz w:val="14"/>
                <w:szCs w:val="14"/>
              </w:rPr>
            </w:pPr>
          </w:p>
        </w:tc>
        <w:tc>
          <w:tcPr>
            <w:tcW w:w="1134" w:type="dxa"/>
            <w:shd w:val="clear" w:color="auto" w:fill="auto"/>
          </w:tcPr>
          <w:p w14:paraId="01D198C3" w14:textId="77777777" w:rsidR="001E4498" w:rsidRDefault="00BD1AA3" w:rsidP="005455F2">
            <w:pPr>
              <w:spacing w:after="0" w:line="240" w:lineRule="auto"/>
              <w:jc w:val="center"/>
              <w:rPr>
                <w:b/>
                <w:sz w:val="14"/>
                <w:szCs w:val="14"/>
              </w:rPr>
            </w:pPr>
            <w:r>
              <w:rPr>
                <w:b/>
                <w:sz w:val="14"/>
                <w:szCs w:val="14"/>
              </w:rPr>
              <w:t>Definitive duty</w:t>
            </w:r>
          </w:p>
        </w:tc>
        <w:tc>
          <w:tcPr>
            <w:tcW w:w="1134" w:type="dxa"/>
            <w:shd w:val="clear" w:color="auto" w:fill="auto"/>
          </w:tcPr>
          <w:p w14:paraId="60DE1EB2" w14:textId="77777777" w:rsidR="001E4498" w:rsidRDefault="00BD1AA3" w:rsidP="005455F2">
            <w:pPr>
              <w:spacing w:after="0" w:line="240" w:lineRule="auto"/>
              <w:jc w:val="center"/>
              <w:rPr>
                <w:b/>
                <w:sz w:val="14"/>
                <w:szCs w:val="14"/>
              </w:rPr>
            </w:pPr>
            <w:r>
              <w:rPr>
                <w:b/>
                <w:sz w:val="14"/>
                <w:szCs w:val="14"/>
              </w:rPr>
              <w:t>Undertaking</w:t>
            </w:r>
          </w:p>
        </w:tc>
        <w:tc>
          <w:tcPr>
            <w:tcW w:w="1276" w:type="dxa"/>
            <w:vMerge/>
            <w:shd w:val="clear" w:color="auto" w:fill="auto"/>
          </w:tcPr>
          <w:p w14:paraId="444C72CD" w14:textId="77777777" w:rsidR="001E4498" w:rsidRDefault="001E4498" w:rsidP="005455F2">
            <w:pPr>
              <w:spacing w:after="0" w:line="240" w:lineRule="auto"/>
              <w:rPr>
                <w:b/>
                <w:sz w:val="14"/>
                <w:szCs w:val="14"/>
              </w:rPr>
            </w:pPr>
          </w:p>
        </w:tc>
        <w:tc>
          <w:tcPr>
            <w:tcW w:w="1134" w:type="dxa"/>
            <w:vMerge/>
            <w:shd w:val="clear" w:color="auto" w:fill="auto"/>
          </w:tcPr>
          <w:p w14:paraId="43DCEEAD" w14:textId="77777777" w:rsidR="001E4498" w:rsidRDefault="001E4498" w:rsidP="005455F2">
            <w:pPr>
              <w:spacing w:after="0" w:line="240" w:lineRule="auto"/>
              <w:rPr>
                <w:b/>
                <w:sz w:val="14"/>
                <w:szCs w:val="14"/>
              </w:rPr>
            </w:pPr>
          </w:p>
        </w:tc>
        <w:tc>
          <w:tcPr>
            <w:tcW w:w="2270" w:type="dxa"/>
            <w:gridSpan w:val="2"/>
            <w:vMerge/>
            <w:shd w:val="clear" w:color="auto" w:fill="auto"/>
          </w:tcPr>
          <w:p w14:paraId="0DBD3246" w14:textId="77777777" w:rsidR="001E4498" w:rsidRDefault="001E4498" w:rsidP="005455F2">
            <w:pPr>
              <w:spacing w:after="0" w:line="240" w:lineRule="auto"/>
              <w:rPr>
                <w:b/>
                <w:sz w:val="14"/>
                <w:szCs w:val="14"/>
              </w:rPr>
            </w:pPr>
          </w:p>
        </w:tc>
        <w:tc>
          <w:tcPr>
            <w:tcW w:w="2354" w:type="dxa"/>
            <w:vMerge/>
            <w:shd w:val="clear" w:color="auto" w:fill="auto"/>
          </w:tcPr>
          <w:p w14:paraId="2E3E6F96" w14:textId="77777777" w:rsidR="001E4498" w:rsidRDefault="001E4498" w:rsidP="005455F2">
            <w:pPr>
              <w:spacing w:after="0" w:line="240" w:lineRule="auto"/>
              <w:rPr>
                <w:sz w:val="14"/>
                <w:szCs w:val="14"/>
              </w:rPr>
            </w:pPr>
          </w:p>
        </w:tc>
      </w:tr>
      <w:tr w:rsidR="001E4498" w14:paraId="641DEAA6" w14:textId="77777777" w:rsidTr="00D31A2E">
        <w:tc>
          <w:tcPr>
            <w:tcW w:w="1111" w:type="dxa"/>
            <w:vMerge/>
            <w:shd w:val="clear" w:color="auto" w:fill="auto"/>
          </w:tcPr>
          <w:p w14:paraId="6CE95EDA" w14:textId="77777777" w:rsidR="001E4498" w:rsidRDefault="001E4498" w:rsidP="005455F2">
            <w:pPr>
              <w:spacing w:after="0" w:line="240" w:lineRule="auto"/>
              <w:jc w:val="center"/>
              <w:rPr>
                <w:sz w:val="14"/>
                <w:szCs w:val="14"/>
              </w:rPr>
            </w:pPr>
          </w:p>
        </w:tc>
        <w:tc>
          <w:tcPr>
            <w:tcW w:w="1418" w:type="dxa"/>
            <w:shd w:val="clear" w:color="auto" w:fill="auto"/>
          </w:tcPr>
          <w:p w14:paraId="4FE8BA18" w14:textId="77777777" w:rsidR="001E4498" w:rsidRDefault="00BD1AA3" w:rsidP="005455F2">
            <w:pPr>
              <w:spacing w:after="0" w:line="240" w:lineRule="auto"/>
              <w:jc w:val="center"/>
              <w:rPr>
                <w:i/>
                <w:sz w:val="14"/>
                <w:szCs w:val="14"/>
              </w:rPr>
            </w:pPr>
            <w:r>
              <w:rPr>
                <w:sz w:val="14"/>
                <w:szCs w:val="14"/>
              </w:rPr>
              <w:t>Description; HS 6-digit category covering investigated product</w:t>
            </w:r>
            <w:r>
              <w:rPr>
                <w:rStyle w:val="FootnoteReference"/>
                <w:sz w:val="14"/>
                <w:szCs w:val="14"/>
              </w:rPr>
              <w:footnoteReference w:id="3"/>
            </w:r>
            <w:r>
              <w:rPr>
                <w:sz w:val="14"/>
                <w:szCs w:val="14"/>
              </w:rPr>
              <w:t>;</w:t>
            </w:r>
            <w:r>
              <w:rPr>
                <w:sz w:val="14"/>
                <w:szCs w:val="14"/>
              </w:rPr>
              <w:br/>
              <w:t>ID number;</w:t>
            </w:r>
            <w:r>
              <w:rPr>
                <w:sz w:val="14"/>
                <w:szCs w:val="14"/>
              </w:rPr>
              <w:br/>
              <w:t>(*) if investigation of &gt;1 country</w:t>
            </w:r>
          </w:p>
        </w:tc>
        <w:tc>
          <w:tcPr>
            <w:tcW w:w="1276" w:type="dxa"/>
            <w:shd w:val="clear" w:color="auto" w:fill="auto"/>
          </w:tcPr>
          <w:p w14:paraId="37C89FF7" w14:textId="77777777" w:rsidR="001E4498" w:rsidRDefault="00BD1AA3" w:rsidP="005455F2">
            <w:pPr>
              <w:spacing w:after="0" w:line="240" w:lineRule="auto"/>
              <w:jc w:val="center"/>
              <w:rPr>
                <w:sz w:val="14"/>
                <w:szCs w:val="14"/>
              </w:rPr>
            </w:pPr>
            <w:r>
              <w:rPr>
                <w:sz w:val="14"/>
                <w:szCs w:val="14"/>
              </w:rPr>
              <w:t>Date; period of investigation</w:t>
            </w:r>
            <w:r>
              <w:rPr>
                <w:sz w:val="14"/>
                <w:szCs w:val="14"/>
              </w:rPr>
              <w:br/>
              <w:t>(S-subsidization</w:t>
            </w:r>
            <w:r>
              <w:rPr>
                <w:sz w:val="14"/>
                <w:szCs w:val="14"/>
              </w:rPr>
              <w:br/>
              <w:t>I-injury)</w:t>
            </w:r>
          </w:p>
        </w:tc>
        <w:tc>
          <w:tcPr>
            <w:tcW w:w="1417" w:type="dxa"/>
            <w:shd w:val="clear" w:color="auto" w:fill="auto"/>
          </w:tcPr>
          <w:p w14:paraId="26AD9389" w14:textId="77777777" w:rsidR="001E4498" w:rsidRDefault="00BD1AA3" w:rsidP="005455F2">
            <w:pPr>
              <w:spacing w:after="0" w:line="240" w:lineRule="auto"/>
              <w:jc w:val="center"/>
              <w:rPr>
                <w:b/>
                <w:sz w:val="14"/>
                <w:szCs w:val="14"/>
              </w:rPr>
            </w:pPr>
            <w:r>
              <w:rPr>
                <w:sz w:val="14"/>
                <w:szCs w:val="14"/>
              </w:rPr>
              <w:t>Date of measures; range of individual amounts of subsidy;</w:t>
            </w:r>
            <w:r>
              <w:rPr>
                <w:sz w:val="14"/>
                <w:szCs w:val="14"/>
              </w:rPr>
              <w:br/>
              <w:t>"other" rates;</w:t>
            </w:r>
            <w:r>
              <w:rPr>
                <w:sz w:val="14"/>
                <w:szCs w:val="14"/>
              </w:rPr>
              <w:br/>
              <w:t>[range of applied rates if different, reason]</w:t>
            </w:r>
          </w:p>
        </w:tc>
        <w:tc>
          <w:tcPr>
            <w:tcW w:w="1134" w:type="dxa"/>
            <w:shd w:val="clear" w:color="auto" w:fill="auto"/>
          </w:tcPr>
          <w:p w14:paraId="6C01A936" w14:textId="77777777" w:rsidR="001E4498" w:rsidRDefault="00BD1AA3" w:rsidP="005455F2">
            <w:pPr>
              <w:spacing w:after="0" w:line="240" w:lineRule="auto"/>
              <w:jc w:val="center"/>
              <w:rPr>
                <w:b/>
                <w:sz w:val="14"/>
                <w:szCs w:val="14"/>
              </w:rPr>
            </w:pPr>
            <w:r>
              <w:rPr>
                <w:sz w:val="14"/>
                <w:szCs w:val="14"/>
              </w:rPr>
              <w:t>Date of duties; range of individual amounts of subsidy; "other" rates; [range of applied rates if different, reason]</w:t>
            </w:r>
          </w:p>
        </w:tc>
        <w:tc>
          <w:tcPr>
            <w:tcW w:w="1134" w:type="dxa"/>
            <w:shd w:val="clear" w:color="auto" w:fill="auto"/>
          </w:tcPr>
          <w:p w14:paraId="16C57089" w14:textId="77777777" w:rsidR="001E4498" w:rsidRDefault="00BD1AA3" w:rsidP="005455F2">
            <w:pPr>
              <w:spacing w:after="0" w:line="240" w:lineRule="auto"/>
              <w:jc w:val="center"/>
              <w:rPr>
                <w:sz w:val="14"/>
                <w:szCs w:val="14"/>
              </w:rPr>
            </w:pPr>
            <w:r>
              <w:rPr>
                <w:sz w:val="14"/>
                <w:szCs w:val="14"/>
              </w:rPr>
              <w:t>Date of application; range of individual amounts of subsidy</w:t>
            </w:r>
          </w:p>
          <w:p w14:paraId="2F7AEB3F" w14:textId="77777777" w:rsidR="001E4498" w:rsidRDefault="00BD1AA3" w:rsidP="005455F2">
            <w:pPr>
              <w:spacing w:after="0" w:line="240" w:lineRule="auto"/>
              <w:jc w:val="center"/>
              <w:rPr>
                <w:b/>
                <w:sz w:val="14"/>
                <w:szCs w:val="14"/>
              </w:rPr>
            </w:pPr>
            <w:r>
              <w:rPr>
                <w:sz w:val="14"/>
                <w:szCs w:val="14"/>
              </w:rPr>
              <w:t>or minimum prices</w:t>
            </w:r>
          </w:p>
        </w:tc>
        <w:tc>
          <w:tcPr>
            <w:tcW w:w="1276" w:type="dxa"/>
            <w:shd w:val="clear" w:color="auto" w:fill="auto"/>
          </w:tcPr>
          <w:p w14:paraId="199FA190" w14:textId="77777777" w:rsidR="001E4498" w:rsidRDefault="00BD1AA3" w:rsidP="005455F2">
            <w:pPr>
              <w:spacing w:after="0" w:line="240" w:lineRule="auto"/>
              <w:jc w:val="center"/>
              <w:rPr>
                <w:sz w:val="14"/>
                <w:szCs w:val="14"/>
              </w:rPr>
            </w:pPr>
            <w:r>
              <w:rPr>
                <w:sz w:val="14"/>
                <w:szCs w:val="14"/>
              </w:rPr>
              <w:t>Date,</w:t>
            </w:r>
          </w:p>
          <w:p w14:paraId="1C05C457" w14:textId="77777777" w:rsidR="001E4498" w:rsidRDefault="00BD1AA3" w:rsidP="005455F2">
            <w:pPr>
              <w:spacing w:after="0" w:line="240" w:lineRule="auto"/>
              <w:jc w:val="center"/>
              <w:rPr>
                <w:sz w:val="14"/>
                <w:szCs w:val="14"/>
              </w:rPr>
            </w:pPr>
            <w:r>
              <w:rPr>
                <w:sz w:val="14"/>
                <w:szCs w:val="14"/>
              </w:rPr>
              <w:t>reason</w:t>
            </w:r>
          </w:p>
        </w:tc>
        <w:tc>
          <w:tcPr>
            <w:tcW w:w="1134" w:type="dxa"/>
            <w:shd w:val="clear" w:color="auto" w:fill="auto"/>
          </w:tcPr>
          <w:p w14:paraId="244A0BD5" w14:textId="77777777" w:rsidR="001E4498" w:rsidRDefault="00BD1AA3" w:rsidP="005455F2">
            <w:pPr>
              <w:spacing w:after="0" w:line="240" w:lineRule="auto"/>
              <w:jc w:val="center"/>
              <w:rPr>
                <w:sz w:val="14"/>
                <w:szCs w:val="14"/>
              </w:rPr>
            </w:pPr>
            <w:r>
              <w:rPr>
                <w:sz w:val="14"/>
                <w:szCs w:val="14"/>
              </w:rPr>
              <w:t>Date, explanation</w:t>
            </w:r>
          </w:p>
        </w:tc>
        <w:tc>
          <w:tcPr>
            <w:tcW w:w="1134" w:type="dxa"/>
            <w:shd w:val="clear" w:color="auto" w:fill="auto"/>
          </w:tcPr>
          <w:p w14:paraId="47B4B622" w14:textId="77777777" w:rsidR="001E4498" w:rsidRDefault="00BD1AA3" w:rsidP="005455F2">
            <w:pPr>
              <w:spacing w:after="0" w:line="240" w:lineRule="auto"/>
              <w:jc w:val="center"/>
              <w:rPr>
                <w:sz w:val="14"/>
                <w:szCs w:val="14"/>
              </w:rPr>
            </w:pPr>
            <w:r>
              <w:rPr>
                <w:sz w:val="14"/>
                <w:szCs w:val="14"/>
              </w:rPr>
              <w:t>Import volume or value (units/ currency); product coverage, period, if different from</w:t>
            </w:r>
            <w:r>
              <w:rPr>
                <w:sz w:val="14"/>
                <w:szCs w:val="14"/>
              </w:rPr>
              <w:br/>
              <w:t>cols. 2/3</w:t>
            </w:r>
          </w:p>
        </w:tc>
        <w:tc>
          <w:tcPr>
            <w:tcW w:w="1136" w:type="dxa"/>
            <w:shd w:val="clear" w:color="auto" w:fill="auto"/>
          </w:tcPr>
          <w:p w14:paraId="7ABC0253" w14:textId="77777777" w:rsidR="001E4498" w:rsidRDefault="00BD1AA3" w:rsidP="005455F2">
            <w:pPr>
              <w:spacing w:after="0" w:line="240" w:lineRule="auto"/>
              <w:jc w:val="center"/>
              <w:rPr>
                <w:sz w:val="14"/>
                <w:szCs w:val="14"/>
              </w:rPr>
            </w:pPr>
            <w:r>
              <w:rPr>
                <w:sz w:val="14"/>
                <w:szCs w:val="14"/>
              </w:rPr>
              <w:t>Import volume as % of apparent domestic consumption or as % of total imports</w:t>
            </w:r>
          </w:p>
        </w:tc>
        <w:tc>
          <w:tcPr>
            <w:tcW w:w="2354" w:type="dxa"/>
            <w:shd w:val="clear" w:color="auto" w:fill="auto"/>
          </w:tcPr>
          <w:p w14:paraId="19B23167" w14:textId="77777777" w:rsidR="001E4498" w:rsidRDefault="00BD1AA3" w:rsidP="005455F2">
            <w:pPr>
              <w:spacing w:after="0" w:line="240" w:lineRule="auto"/>
              <w:jc w:val="center"/>
              <w:rPr>
                <w:sz w:val="14"/>
                <w:szCs w:val="14"/>
              </w:rPr>
            </w:pPr>
            <w:r>
              <w:rPr>
                <w:sz w:val="14"/>
                <w:szCs w:val="14"/>
              </w:rPr>
              <w:t>Name(s) of the subsidy programme(s) countervailed</w:t>
            </w:r>
          </w:p>
        </w:tc>
      </w:tr>
      <w:tr w:rsidR="001E4498" w14:paraId="708BB757" w14:textId="77777777" w:rsidTr="00D31A2E">
        <w:tc>
          <w:tcPr>
            <w:tcW w:w="1111" w:type="dxa"/>
            <w:tcBorders>
              <w:bottom w:val="single" w:sz="4" w:space="0" w:color="auto"/>
            </w:tcBorders>
            <w:shd w:val="clear" w:color="auto" w:fill="auto"/>
          </w:tcPr>
          <w:p w14:paraId="6ABFBEEA" w14:textId="77777777" w:rsidR="001E4498" w:rsidRDefault="00BD1AA3" w:rsidP="005455F2">
            <w:pPr>
              <w:spacing w:after="0" w:line="240" w:lineRule="auto"/>
              <w:jc w:val="center"/>
              <w:rPr>
                <w:b/>
                <w:sz w:val="14"/>
                <w:szCs w:val="14"/>
              </w:rPr>
            </w:pPr>
            <w:r>
              <w:rPr>
                <w:b/>
                <w:sz w:val="14"/>
                <w:szCs w:val="14"/>
              </w:rPr>
              <w:t>1</w:t>
            </w:r>
          </w:p>
        </w:tc>
        <w:tc>
          <w:tcPr>
            <w:tcW w:w="1418" w:type="dxa"/>
            <w:tcBorders>
              <w:bottom w:val="single" w:sz="4" w:space="0" w:color="auto"/>
            </w:tcBorders>
            <w:shd w:val="clear" w:color="auto" w:fill="auto"/>
          </w:tcPr>
          <w:p w14:paraId="590C0454" w14:textId="77777777" w:rsidR="001E4498" w:rsidRDefault="00BD1AA3" w:rsidP="005455F2">
            <w:pPr>
              <w:spacing w:after="0" w:line="240" w:lineRule="auto"/>
              <w:jc w:val="center"/>
              <w:rPr>
                <w:b/>
                <w:sz w:val="14"/>
                <w:szCs w:val="14"/>
              </w:rPr>
            </w:pPr>
            <w:r>
              <w:rPr>
                <w:b/>
                <w:sz w:val="14"/>
                <w:szCs w:val="14"/>
              </w:rPr>
              <w:t>2</w:t>
            </w:r>
          </w:p>
        </w:tc>
        <w:tc>
          <w:tcPr>
            <w:tcW w:w="1276" w:type="dxa"/>
            <w:tcBorders>
              <w:bottom w:val="single" w:sz="4" w:space="0" w:color="auto"/>
            </w:tcBorders>
            <w:shd w:val="clear" w:color="auto" w:fill="auto"/>
          </w:tcPr>
          <w:p w14:paraId="3D0EE4E1" w14:textId="77777777" w:rsidR="001E4498" w:rsidRDefault="00BD1AA3" w:rsidP="005455F2">
            <w:pPr>
              <w:spacing w:after="0" w:line="240" w:lineRule="auto"/>
              <w:jc w:val="center"/>
              <w:rPr>
                <w:b/>
                <w:sz w:val="14"/>
                <w:szCs w:val="14"/>
              </w:rPr>
            </w:pPr>
            <w:r>
              <w:rPr>
                <w:b/>
                <w:sz w:val="14"/>
                <w:szCs w:val="14"/>
              </w:rPr>
              <w:t>3</w:t>
            </w:r>
          </w:p>
        </w:tc>
        <w:tc>
          <w:tcPr>
            <w:tcW w:w="1417" w:type="dxa"/>
            <w:tcBorders>
              <w:bottom w:val="single" w:sz="4" w:space="0" w:color="auto"/>
            </w:tcBorders>
            <w:shd w:val="clear" w:color="auto" w:fill="auto"/>
          </w:tcPr>
          <w:p w14:paraId="7F6F67D2" w14:textId="77777777" w:rsidR="001E4498" w:rsidRDefault="00BD1AA3" w:rsidP="005455F2">
            <w:pPr>
              <w:spacing w:after="0" w:line="240" w:lineRule="auto"/>
              <w:jc w:val="center"/>
              <w:rPr>
                <w:b/>
                <w:sz w:val="14"/>
                <w:szCs w:val="14"/>
              </w:rPr>
            </w:pPr>
            <w:r>
              <w:rPr>
                <w:b/>
                <w:sz w:val="14"/>
                <w:szCs w:val="14"/>
              </w:rPr>
              <w:t>4</w:t>
            </w:r>
          </w:p>
        </w:tc>
        <w:tc>
          <w:tcPr>
            <w:tcW w:w="1134" w:type="dxa"/>
            <w:tcBorders>
              <w:bottom w:val="single" w:sz="4" w:space="0" w:color="auto"/>
            </w:tcBorders>
            <w:shd w:val="clear" w:color="auto" w:fill="auto"/>
          </w:tcPr>
          <w:p w14:paraId="6FEEEC8E" w14:textId="77777777" w:rsidR="001E4498" w:rsidRDefault="00BD1AA3" w:rsidP="005455F2">
            <w:pPr>
              <w:spacing w:after="0" w:line="240" w:lineRule="auto"/>
              <w:jc w:val="center"/>
              <w:rPr>
                <w:b/>
                <w:sz w:val="14"/>
                <w:szCs w:val="14"/>
              </w:rPr>
            </w:pPr>
            <w:r>
              <w:rPr>
                <w:b/>
                <w:sz w:val="14"/>
                <w:szCs w:val="14"/>
              </w:rPr>
              <w:t>5</w:t>
            </w:r>
          </w:p>
        </w:tc>
        <w:tc>
          <w:tcPr>
            <w:tcW w:w="1134" w:type="dxa"/>
            <w:tcBorders>
              <w:bottom w:val="single" w:sz="4" w:space="0" w:color="auto"/>
            </w:tcBorders>
            <w:shd w:val="clear" w:color="auto" w:fill="auto"/>
          </w:tcPr>
          <w:p w14:paraId="3BF5FACC" w14:textId="77777777" w:rsidR="001E4498" w:rsidRDefault="00BD1AA3" w:rsidP="005455F2">
            <w:pPr>
              <w:spacing w:after="0" w:line="240" w:lineRule="auto"/>
              <w:jc w:val="center"/>
              <w:rPr>
                <w:b/>
                <w:sz w:val="14"/>
                <w:szCs w:val="14"/>
              </w:rPr>
            </w:pPr>
            <w:r>
              <w:rPr>
                <w:b/>
                <w:sz w:val="14"/>
                <w:szCs w:val="14"/>
              </w:rPr>
              <w:t>6</w:t>
            </w:r>
          </w:p>
        </w:tc>
        <w:tc>
          <w:tcPr>
            <w:tcW w:w="1276" w:type="dxa"/>
            <w:tcBorders>
              <w:bottom w:val="single" w:sz="4" w:space="0" w:color="auto"/>
            </w:tcBorders>
            <w:shd w:val="clear" w:color="auto" w:fill="auto"/>
          </w:tcPr>
          <w:p w14:paraId="66A33DA6" w14:textId="77777777" w:rsidR="001E4498" w:rsidRDefault="00BD1AA3" w:rsidP="005455F2">
            <w:pPr>
              <w:spacing w:after="0" w:line="240" w:lineRule="auto"/>
              <w:jc w:val="center"/>
              <w:rPr>
                <w:b/>
                <w:sz w:val="14"/>
                <w:szCs w:val="14"/>
              </w:rPr>
            </w:pPr>
            <w:r>
              <w:rPr>
                <w:b/>
                <w:sz w:val="14"/>
                <w:szCs w:val="14"/>
              </w:rPr>
              <w:t>7</w:t>
            </w:r>
          </w:p>
        </w:tc>
        <w:tc>
          <w:tcPr>
            <w:tcW w:w="1134" w:type="dxa"/>
            <w:tcBorders>
              <w:bottom w:val="single" w:sz="4" w:space="0" w:color="auto"/>
            </w:tcBorders>
            <w:shd w:val="clear" w:color="auto" w:fill="auto"/>
          </w:tcPr>
          <w:p w14:paraId="1F80E578" w14:textId="77777777" w:rsidR="001E4498" w:rsidRDefault="00BD1AA3" w:rsidP="005455F2">
            <w:pPr>
              <w:spacing w:after="0" w:line="240" w:lineRule="auto"/>
              <w:jc w:val="center"/>
              <w:rPr>
                <w:b/>
                <w:sz w:val="14"/>
                <w:szCs w:val="14"/>
              </w:rPr>
            </w:pPr>
            <w:r>
              <w:rPr>
                <w:b/>
                <w:sz w:val="14"/>
                <w:szCs w:val="14"/>
              </w:rPr>
              <w:t>8</w:t>
            </w:r>
          </w:p>
        </w:tc>
        <w:tc>
          <w:tcPr>
            <w:tcW w:w="1134" w:type="dxa"/>
            <w:tcBorders>
              <w:bottom w:val="single" w:sz="4" w:space="0" w:color="auto"/>
            </w:tcBorders>
            <w:shd w:val="clear" w:color="auto" w:fill="auto"/>
          </w:tcPr>
          <w:p w14:paraId="2EEFF01B" w14:textId="77777777" w:rsidR="001E4498" w:rsidRDefault="00BD1AA3" w:rsidP="005455F2">
            <w:pPr>
              <w:spacing w:after="0" w:line="240" w:lineRule="auto"/>
              <w:jc w:val="center"/>
              <w:rPr>
                <w:b/>
                <w:sz w:val="14"/>
                <w:szCs w:val="14"/>
              </w:rPr>
            </w:pPr>
            <w:r>
              <w:rPr>
                <w:b/>
                <w:sz w:val="14"/>
                <w:szCs w:val="14"/>
              </w:rPr>
              <w:t>9</w:t>
            </w:r>
          </w:p>
        </w:tc>
        <w:tc>
          <w:tcPr>
            <w:tcW w:w="1136" w:type="dxa"/>
            <w:tcBorders>
              <w:bottom w:val="single" w:sz="4" w:space="0" w:color="auto"/>
            </w:tcBorders>
            <w:shd w:val="clear" w:color="auto" w:fill="auto"/>
          </w:tcPr>
          <w:p w14:paraId="45DB0889" w14:textId="77777777" w:rsidR="001E4498" w:rsidRDefault="00BD1AA3" w:rsidP="005455F2">
            <w:pPr>
              <w:spacing w:after="0" w:line="240" w:lineRule="auto"/>
              <w:jc w:val="center"/>
              <w:rPr>
                <w:b/>
                <w:sz w:val="14"/>
                <w:szCs w:val="14"/>
              </w:rPr>
            </w:pPr>
            <w:r>
              <w:rPr>
                <w:b/>
                <w:sz w:val="14"/>
                <w:szCs w:val="14"/>
              </w:rPr>
              <w:t>10</w:t>
            </w:r>
          </w:p>
        </w:tc>
        <w:tc>
          <w:tcPr>
            <w:tcW w:w="2354" w:type="dxa"/>
            <w:tcBorders>
              <w:bottom w:val="single" w:sz="4" w:space="0" w:color="auto"/>
            </w:tcBorders>
            <w:shd w:val="clear" w:color="auto" w:fill="auto"/>
          </w:tcPr>
          <w:p w14:paraId="7EE3499B" w14:textId="77777777" w:rsidR="001E4498" w:rsidRDefault="00BD1AA3" w:rsidP="005455F2">
            <w:pPr>
              <w:spacing w:after="0" w:line="240" w:lineRule="auto"/>
              <w:jc w:val="center"/>
              <w:rPr>
                <w:b/>
                <w:sz w:val="14"/>
                <w:szCs w:val="14"/>
              </w:rPr>
            </w:pPr>
            <w:r>
              <w:rPr>
                <w:b/>
                <w:sz w:val="14"/>
                <w:szCs w:val="14"/>
              </w:rPr>
              <w:t>11</w:t>
            </w:r>
          </w:p>
        </w:tc>
      </w:tr>
      <w:tr w:rsidR="00302CE0" w14:paraId="1B06E9E0" w14:textId="77777777" w:rsidTr="00D31A2E">
        <w:tc>
          <w:tcPr>
            <w:tcW w:w="1111" w:type="dxa"/>
            <w:shd w:val="clear" w:color="auto" w:fill="auto"/>
          </w:tcPr>
          <w:p w14:paraId="3B058482" w14:textId="77777777" w:rsidR="00302CE0" w:rsidRDefault="00302CE0" w:rsidP="005455F2">
            <w:pPr>
              <w:spacing w:after="0" w:line="240" w:lineRule="auto"/>
              <w:jc w:val="left"/>
              <w:rPr>
                <w:b/>
                <w:sz w:val="14"/>
                <w:szCs w:val="14"/>
              </w:rPr>
            </w:pPr>
            <w:r>
              <w:rPr>
                <w:rFonts w:eastAsia="Verdana" w:cs="Verdana"/>
                <w:sz w:val="14"/>
                <w:szCs w:val="14"/>
              </w:rPr>
              <w:t>United States</w:t>
            </w:r>
          </w:p>
        </w:tc>
        <w:tc>
          <w:tcPr>
            <w:tcW w:w="1418" w:type="dxa"/>
            <w:shd w:val="clear" w:color="auto" w:fill="auto"/>
          </w:tcPr>
          <w:p w14:paraId="5DB94B76" w14:textId="77777777" w:rsidR="00302CE0" w:rsidRDefault="00302CE0" w:rsidP="005455F2">
            <w:pPr>
              <w:spacing w:after="0" w:line="240" w:lineRule="auto"/>
              <w:jc w:val="left"/>
              <w:rPr>
                <w:rFonts w:eastAsia="Verdana" w:cs="Verdana"/>
                <w:sz w:val="14"/>
                <w:szCs w:val="14"/>
              </w:rPr>
            </w:pPr>
            <w:r>
              <w:rPr>
                <w:rFonts w:eastAsia="Verdana" w:cs="Verdana"/>
                <w:sz w:val="14"/>
                <w:szCs w:val="14"/>
              </w:rPr>
              <w:t>Polyphenylene ether</w:t>
            </w:r>
          </w:p>
          <w:p w14:paraId="2890DEB6" w14:textId="30B6666A" w:rsidR="00302CE0" w:rsidRDefault="00302CE0" w:rsidP="005455F2">
            <w:pPr>
              <w:spacing w:after="0" w:line="240" w:lineRule="auto"/>
              <w:jc w:val="left"/>
              <w:rPr>
                <w:rFonts w:eastAsia="Verdana" w:cs="Verdana"/>
                <w:sz w:val="14"/>
                <w:szCs w:val="14"/>
              </w:rPr>
            </w:pPr>
            <w:r>
              <w:rPr>
                <w:rFonts w:eastAsia="Verdana" w:cs="Verdana"/>
                <w:sz w:val="14"/>
                <w:szCs w:val="14"/>
              </w:rPr>
              <w:t>39072</w:t>
            </w:r>
            <w:r w:rsidR="00B15FFC">
              <w:rPr>
                <w:rFonts w:eastAsia="Verdana" w:cs="Verdana"/>
                <w:sz w:val="14"/>
                <w:szCs w:val="14"/>
              </w:rPr>
              <w:t>9</w:t>
            </w:r>
            <w:r>
              <w:rPr>
                <w:rFonts w:eastAsia="Verdana" w:cs="Verdana"/>
                <w:sz w:val="14"/>
                <w:szCs w:val="14"/>
              </w:rPr>
              <w:t>90</w:t>
            </w:r>
            <w:r>
              <w:rPr>
                <w:rStyle w:val="FootnoteReference"/>
                <w:rFonts w:eastAsia="Verdana" w:cs="Verdana"/>
                <w:sz w:val="14"/>
                <w:szCs w:val="14"/>
              </w:rPr>
              <w:footnoteReference w:id="4"/>
            </w:r>
          </w:p>
          <w:p w14:paraId="5A6DF76B" w14:textId="77777777" w:rsidR="00302CE0" w:rsidRDefault="00302CE0" w:rsidP="005455F2">
            <w:pPr>
              <w:spacing w:after="0" w:line="240" w:lineRule="auto"/>
              <w:jc w:val="left"/>
              <w:rPr>
                <w:b/>
                <w:sz w:val="14"/>
                <w:szCs w:val="14"/>
              </w:rPr>
            </w:pPr>
            <w:r>
              <w:rPr>
                <w:rFonts w:eastAsia="Verdana" w:cs="Verdana"/>
                <w:sz w:val="14"/>
                <w:szCs w:val="14"/>
              </w:rPr>
              <w:t>20-0001</w:t>
            </w:r>
          </w:p>
        </w:tc>
        <w:tc>
          <w:tcPr>
            <w:tcW w:w="1276" w:type="dxa"/>
            <w:shd w:val="clear" w:color="auto" w:fill="auto"/>
          </w:tcPr>
          <w:p w14:paraId="47B9B862" w14:textId="77777777" w:rsidR="00302CE0" w:rsidRDefault="00302CE0" w:rsidP="005455F2">
            <w:pPr>
              <w:spacing w:after="0" w:line="240" w:lineRule="auto"/>
              <w:jc w:val="center"/>
              <w:rPr>
                <w:rFonts w:eastAsia="Verdana" w:cs="Verdana"/>
                <w:sz w:val="14"/>
                <w:szCs w:val="14"/>
              </w:rPr>
            </w:pPr>
            <w:r>
              <w:rPr>
                <w:rFonts w:eastAsia="Verdana" w:cs="Verdana"/>
                <w:sz w:val="14"/>
                <w:szCs w:val="14"/>
              </w:rPr>
              <w:t>14.08.2020</w:t>
            </w:r>
          </w:p>
          <w:p w14:paraId="3AE372C0" w14:textId="77777777" w:rsidR="00302CE0" w:rsidRDefault="00302CE0" w:rsidP="005455F2">
            <w:pPr>
              <w:spacing w:after="0" w:line="240" w:lineRule="auto"/>
              <w:jc w:val="center"/>
              <w:rPr>
                <w:rFonts w:eastAsia="Verdana" w:cs="Verdana"/>
                <w:sz w:val="14"/>
                <w:szCs w:val="14"/>
              </w:rPr>
            </w:pPr>
            <w:r>
              <w:rPr>
                <w:rFonts w:eastAsia="Verdana" w:cs="Verdana"/>
                <w:sz w:val="14"/>
                <w:szCs w:val="14"/>
              </w:rPr>
              <w:t>S: 01.01.2019-31.12.2019</w:t>
            </w:r>
          </w:p>
          <w:p w14:paraId="42B5FFD9" w14:textId="77777777" w:rsidR="00302CE0" w:rsidRDefault="00302CE0" w:rsidP="005455F2">
            <w:pPr>
              <w:spacing w:after="0" w:line="240" w:lineRule="auto"/>
              <w:jc w:val="center"/>
              <w:rPr>
                <w:b/>
                <w:sz w:val="14"/>
                <w:szCs w:val="14"/>
              </w:rPr>
            </w:pPr>
            <w:r>
              <w:rPr>
                <w:rFonts w:eastAsia="Verdana" w:cs="Verdana"/>
                <w:sz w:val="14"/>
                <w:szCs w:val="14"/>
              </w:rPr>
              <w:t>I: 01.01.2017-31.12.2019</w:t>
            </w:r>
          </w:p>
        </w:tc>
        <w:tc>
          <w:tcPr>
            <w:tcW w:w="1417" w:type="dxa"/>
            <w:shd w:val="clear" w:color="auto" w:fill="auto"/>
          </w:tcPr>
          <w:p w14:paraId="5B250857" w14:textId="77777777" w:rsidR="00302CE0" w:rsidRDefault="00302CE0" w:rsidP="005455F2">
            <w:pPr>
              <w:spacing w:after="0" w:line="240" w:lineRule="auto"/>
              <w:jc w:val="center"/>
              <w:rPr>
                <w:rFonts w:eastAsia="Verdana" w:cs="Verdana"/>
                <w:sz w:val="14"/>
                <w:szCs w:val="14"/>
              </w:rPr>
            </w:pPr>
            <w:r>
              <w:rPr>
                <w:rFonts w:eastAsia="Verdana" w:cs="Verdana"/>
                <w:sz w:val="14"/>
                <w:szCs w:val="14"/>
              </w:rPr>
              <w:t>Preliminary determination: 14.10.2021</w:t>
            </w:r>
          </w:p>
          <w:p w14:paraId="5E12A0C3" w14:textId="77777777" w:rsidR="00302CE0" w:rsidRDefault="00302CE0" w:rsidP="005455F2">
            <w:pPr>
              <w:spacing w:after="0" w:line="240" w:lineRule="auto"/>
              <w:jc w:val="center"/>
              <w:rPr>
                <w:rFonts w:eastAsia="Verdana" w:cs="Verdana"/>
                <w:sz w:val="14"/>
                <w:szCs w:val="14"/>
              </w:rPr>
            </w:pPr>
            <w:r>
              <w:rPr>
                <w:rFonts w:eastAsia="Verdana" w:cs="Verdana"/>
                <w:sz w:val="14"/>
                <w:szCs w:val="14"/>
              </w:rPr>
              <w:t>Affirmative</w:t>
            </w:r>
          </w:p>
          <w:p w14:paraId="36BDC9A6" w14:textId="0BAE3D19" w:rsidR="00302CE0" w:rsidRDefault="00302CE0" w:rsidP="005455F2">
            <w:pPr>
              <w:spacing w:after="0" w:line="240" w:lineRule="auto"/>
              <w:jc w:val="center"/>
              <w:rPr>
                <w:rFonts w:eastAsia="Verdana" w:cs="Verdana"/>
                <w:sz w:val="14"/>
                <w:szCs w:val="14"/>
              </w:rPr>
            </w:pPr>
            <w:r>
              <w:rPr>
                <w:rFonts w:eastAsia="Verdana" w:cs="Verdana"/>
                <w:sz w:val="14"/>
                <w:szCs w:val="14"/>
              </w:rPr>
              <w:t xml:space="preserve">Measure imposed </w:t>
            </w:r>
          </w:p>
          <w:p w14:paraId="29EDA931" w14:textId="6005B52E" w:rsidR="00302CE0" w:rsidRDefault="00302CE0" w:rsidP="005455F2">
            <w:pPr>
              <w:spacing w:after="0" w:line="240" w:lineRule="auto"/>
              <w:jc w:val="center"/>
              <w:rPr>
                <w:rFonts w:eastAsia="Verdana" w:cs="Verdana"/>
                <w:sz w:val="14"/>
                <w:szCs w:val="14"/>
              </w:rPr>
            </w:pPr>
            <w:r>
              <w:rPr>
                <w:rFonts w:eastAsia="Verdana" w:cs="Verdana"/>
                <w:sz w:val="14"/>
                <w:szCs w:val="14"/>
              </w:rPr>
              <w:t>Gazette 2021 No. 31</w:t>
            </w:r>
          </w:p>
          <w:p w14:paraId="1D808602" w14:textId="77777777" w:rsidR="00302CE0" w:rsidRDefault="00302CE0" w:rsidP="005455F2">
            <w:pPr>
              <w:spacing w:after="0" w:line="240" w:lineRule="auto"/>
              <w:jc w:val="center"/>
              <w:rPr>
                <w:rFonts w:eastAsia="Verdana" w:cs="Verdana"/>
                <w:sz w:val="14"/>
                <w:szCs w:val="14"/>
              </w:rPr>
            </w:pPr>
            <w:r>
              <w:rPr>
                <w:rFonts w:eastAsia="Verdana" w:cs="Verdana"/>
                <w:sz w:val="14"/>
                <w:szCs w:val="14"/>
              </w:rPr>
              <w:t>P: 14.10.2021</w:t>
            </w:r>
          </w:p>
          <w:p w14:paraId="66A1BFF5" w14:textId="77777777" w:rsidR="00302CE0" w:rsidRDefault="00302CE0" w:rsidP="005455F2">
            <w:pPr>
              <w:spacing w:after="0" w:line="240" w:lineRule="auto"/>
              <w:jc w:val="center"/>
              <w:rPr>
                <w:rFonts w:eastAsia="Verdana" w:cs="Verdana"/>
                <w:sz w:val="14"/>
                <w:szCs w:val="14"/>
              </w:rPr>
            </w:pPr>
            <w:r>
              <w:rPr>
                <w:rFonts w:eastAsia="Verdana" w:cs="Verdana"/>
                <w:sz w:val="14"/>
                <w:szCs w:val="14"/>
              </w:rPr>
              <w:t>C: 15.10.2021</w:t>
            </w:r>
          </w:p>
          <w:p w14:paraId="664E13E9" w14:textId="77777777" w:rsidR="00302CE0" w:rsidRDefault="00302CE0" w:rsidP="005455F2">
            <w:pPr>
              <w:spacing w:after="0" w:line="240" w:lineRule="auto"/>
              <w:jc w:val="center"/>
              <w:rPr>
                <w:rFonts w:eastAsia="Verdana" w:cs="Verdana"/>
                <w:sz w:val="14"/>
                <w:szCs w:val="14"/>
              </w:rPr>
            </w:pPr>
            <w:r>
              <w:rPr>
                <w:rFonts w:eastAsia="Verdana" w:cs="Verdana"/>
                <w:sz w:val="14"/>
                <w:szCs w:val="14"/>
              </w:rPr>
              <w:t>17.7%</w:t>
            </w:r>
          </w:p>
          <w:p w14:paraId="5C5EBFCA" w14:textId="77777777" w:rsidR="00302CE0" w:rsidRDefault="00302CE0" w:rsidP="005455F2">
            <w:pPr>
              <w:spacing w:after="0" w:line="240" w:lineRule="auto"/>
              <w:jc w:val="center"/>
              <w:rPr>
                <w:b/>
                <w:sz w:val="14"/>
                <w:szCs w:val="14"/>
              </w:rPr>
            </w:pPr>
            <w:r>
              <w:rPr>
                <w:rFonts w:eastAsia="Verdana" w:cs="Verdana"/>
                <w:sz w:val="14"/>
                <w:szCs w:val="14"/>
              </w:rPr>
              <w:t>All other rates: 17.7%</w:t>
            </w:r>
          </w:p>
        </w:tc>
        <w:tc>
          <w:tcPr>
            <w:tcW w:w="1134" w:type="dxa"/>
            <w:shd w:val="clear" w:color="auto" w:fill="auto"/>
          </w:tcPr>
          <w:p w14:paraId="39F082AC" w14:textId="77777777" w:rsidR="00302CE0" w:rsidRDefault="00302CE0" w:rsidP="005455F2">
            <w:pPr>
              <w:spacing w:after="0" w:line="240" w:lineRule="auto"/>
              <w:jc w:val="center"/>
              <w:rPr>
                <w:b/>
                <w:sz w:val="14"/>
                <w:szCs w:val="14"/>
              </w:rPr>
            </w:pPr>
            <w:r>
              <w:rPr>
                <w:b/>
                <w:sz w:val="14"/>
                <w:szCs w:val="14"/>
              </w:rPr>
              <w:t>-</w:t>
            </w:r>
          </w:p>
        </w:tc>
        <w:tc>
          <w:tcPr>
            <w:tcW w:w="1134" w:type="dxa"/>
            <w:shd w:val="clear" w:color="auto" w:fill="auto"/>
          </w:tcPr>
          <w:p w14:paraId="5AD1D59A" w14:textId="77777777" w:rsidR="00302CE0" w:rsidRDefault="00302CE0" w:rsidP="005455F2">
            <w:pPr>
              <w:spacing w:after="0" w:line="240" w:lineRule="auto"/>
              <w:jc w:val="center"/>
              <w:rPr>
                <w:b/>
                <w:sz w:val="14"/>
                <w:szCs w:val="14"/>
              </w:rPr>
            </w:pPr>
            <w:r>
              <w:rPr>
                <w:b/>
                <w:sz w:val="14"/>
                <w:szCs w:val="14"/>
              </w:rPr>
              <w:t>-</w:t>
            </w:r>
          </w:p>
        </w:tc>
        <w:tc>
          <w:tcPr>
            <w:tcW w:w="1276" w:type="dxa"/>
            <w:shd w:val="clear" w:color="auto" w:fill="auto"/>
          </w:tcPr>
          <w:p w14:paraId="3EFC5BF9" w14:textId="77777777" w:rsidR="00302CE0" w:rsidRDefault="00302CE0" w:rsidP="005455F2">
            <w:pPr>
              <w:spacing w:after="0" w:line="240" w:lineRule="auto"/>
              <w:jc w:val="center"/>
              <w:rPr>
                <w:rFonts w:eastAsia="Verdana" w:cs="Verdana"/>
                <w:sz w:val="14"/>
                <w:szCs w:val="14"/>
              </w:rPr>
            </w:pPr>
            <w:r>
              <w:rPr>
                <w:rFonts w:eastAsia="Verdana" w:cs="Verdana"/>
                <w:sz w:val="14"/>
                <w:szCs w:val="14"/>
              </w:rPr>
              <w:t>Final determination: 06.01.2022</w:t>
            </w:r>
          </w:p>
          <w:p w14:paraId="6F91907B" w14:textId="77777777" w:rsidR="00BC3BEE" w:rsidRDefault="00302CE0" w:rsidP="005455F2">
            <w:pPr>
              <w:spacing w:after="0" w:line="240" w:lineRule="auto"/>
              <w:jc w:val="center"/>
              <w:rPr>
                <w:rFonts w:eastAsia="Verdana" w:cs="Verdana"/>
                <w:sz w:val="14"/>
                <w:szCs w:val="14"/>
              </w:rPr>
            </w:pPr>
            <w:r>
              <w:rPr>
                <w:rFonts w:eastAsia="Verdana" w:cs="Verdana"/>
                <w:sz w:val="14"/>
                <w:szCs w:val="14"/>
              </w:rPr>
              <w:t>Negative</w:t>
            </w:r>
          </w:p>
          <w:p w14:paraId="15789A73" w14:textId="1229A625" w:rsidR="00302CE0" w:rsidRDefault="00302CE0" w:rsidP="005455F2">
            <w:pPr>
              <w:spacing w:after="0" w:line="240" w:lineRule="auto"/>
              <w:jc w:val="center"/>
              <w:rPr>
                <w:b/>
                <w:sz w:val="14"/>
                <w:szCs w:val="14"/>
              </w:rPr>
            </w:pPr>
            <w:r>
              <w:rPr>
                <w:rFonts w:eastAsia="Verdana" w:cs="Verdana"/>
                <w:sz w:val="14"/>
                <w:szCs w:val="14"/>
              </w:rPr>
              <w:t xml:space="preserve">No measure imposed Gazette 2022 No. 02 </w:t>
            </w:r>
            <w:r w:rsidRPr="005455F2">
              <w:rPr>
                <w:rFonts w:eastAsia="Verdana" w:cs="Verdana"/>
                <w:i/>
                <w:iCs/>
                <w:sz w:val="14"/>
                <w:szCs w:val="14"/>
              </w:rPr>
              <w:t>de</w:t>
            </w:r>
            <w:r w:rsidR="002660EE">
              <w:rPr>
                <w:rFonts w:eastAsia="Verdana" w:cs="Verdana"/>
                <w:i/>
                <w:iCs/>
                <w:sz w:val="14"/>
                <w:szCs w:val="14"/>
              </w:rPr>
              <w:t> </w:t>
            </w:r>
            <w:r w:rsidRPr="005455F2">
              <w:rPr>
                <w:rFonts w:eastAsia="Verdana" w:cs="Verdana"/>
                <w:i/>
                <w:iCs/>
                <w:sz w:val="14"/>
                <w:szCs w:val="14"/>
              </w:rPr>
              <w:t>minimis</w:t>
            </w:r>
          </w:p>
        </w:tc>
        <w:tc>
          <w:tcPr>
            <w:tcW w:w="1134" w:type="dxa"/>
            <w:shd w:val="clear" w:color="auto" w:fill="auto"/>
          </w:tcPr>
          <w:p w14:paraId="659D4448" w14:textId="7FFC327D" w:rsidR="00E01499" w:rsidRDefault="00E01499" w:rsidP="005455F2">
            <w:pPr>
              <w:spacing w:after="0" w:line="240" w:lineRule="auto"/>
              <w:jc w:val="center"/>
              <w:rPr>
                <w:b/>
                <w:sz w:val="14"/>
                <w:szCs w:val="14"/>
              </w:rPr>
            </w:pPr>
            <w:r w:rsidRPr="00E01499">
              <w:rPr>
                <w:rFonts w:eastAsia="Verdana" w:cs="Verdana"/>
                <w:sz w:val="14"/>
                <w:szCs w:val="14"/>
              </w:rPr>
              <w:t>The investigation time limit was extended to 14.0</w:t>
            </w:r>
            <w:r>
              <w:rPr>
                <w:rFonts w:eastAsia="Verdana" w:cs="Verdana"/>
                <w:sz w:val="14"/>
                <w:szCs w:val="14"/>
              </w:rPr>
              <w:t>2</w:t>
            </w:r>
            <w:r w:rsidRPr="00E01499">
              <w:rPr>
                <w:rFonts w:eastAsia="Verdana" w:cs="Verdana"/>
                <w:sz w:val="14"/>
                <w:szCs w:val="14"/>
              </w:rPr>
              <w:t>.2022 according to</w:t>
            </w:r>
            <w:r>
              <w:rPr>
                <w:rFonts w:eastAsia="Verdana" w:cs="Verdana"/>
                <w:sz w:val="14"/>
                <w:szCs w:val="14"/>
              </w:rPr>
              <w:t xml:space="preserve"> Gazette 2021 No. 18, 23.07.2021</w:t>
            </w:r>
          </w:p>
        </w:tc>
        <w:tc>
          <w:tcPr>
            <w:tcW w:w="1134" w:type="dxa"/>
            <w:shd w:val="clear" w:color="auto" w:fill="auto"/>
          </w:tcPr>
          <w:p w14:paraId="48C5C8D0" w14:textId="7B96B57B" w:rsidR="00302CE0" w:rsidRDefault="00302CE0" w:rsidP="005455F2">
            <w:pPr>
              <w:spacing w:after="0" w:line="240" w:lineRule="auto"/>
              <w:jc w:val="center"/>
              <w:rPr>
                <w:rFonts w:eastAsia="Verdana" w:cs="Verdana"/>
                <w:sz w:val="14"/>
                <w:szCs w:val="14"/>
              </w:rPr>
            </w:pPr>
            <w:r>
              <w:rPr>
                <w:rFonts w:eastAsia="Verdana" w:cs="Verdana"/>
                <w:sz w:val="14"/>
                <w:szCs w:val="14"/>
              </w:rPr>
              <w:t>21,848 tons</w:t>
            </w:r>
          </w:p>
          <w:p w14:paraId="66B59EA3" w14:textId="58061093" w:rsidR="00302CE0" w:rsidRDefault="005455F2" w:rsidP="005455F2">
            <w:pPr>
              <w:spacing w:after="0" w:line="240" w:lineRule="auto"/>
              <w:jc w:val="center"/>
              <w:rPr>
                <w:b/>
                <w:sz w:val="14"/>
                <w:szCs w:val="14"/>
              </w:rPr>
            </w:pPr>
            <w:r>
              <w:rPr>
                <w:rFonts w:eastAsia="Verdana" w:cs="Verdana"/>
                <w:sz w:val="14"/>
                <w:szCs w:val="14"/>
              </w:rPr>
              <w:t>(</w:t>
            </w:r>
            <w:r w:rsidR="00302CE0">
              <w:rPr>
                <w:rFonts w:eastAsia="Verdana" w:cs="Verdana"/>
                <w:sz w:val="14"/>
                <w:szCs w:val="14"/>
              </w:rPr>
              <w:t>01.01.2019-31.12.2019</w:t>
            </w:r>
            <w:r w:rsidR="004F649C">
              <w:rPr>
                <w:rFonts w:eastAsia="Verdana" w:cs="Verdana"/>
                <w:sz w:val="14"/>
                <w:szCs w:val="14"/>
              </w:rPr>
              <w:t>)</w:t>
            </w:r>
          </w:p>
        </w:tc>
        <w:tc>
          <w:tcPr>
            <w:tcW w:w="1136" w:type="dxa"/>
            <w:shd w:val="clear" w:color="auto" w:fill="auto"/>
          </w:tcPr>
          <w:p w14:paraId="6093D391" w14:textId="77777777" w:rsidR="00302CE0" w:rsidRDefault="00302CE0" w:rsidP="005455F2">
            <w:pPr>
              <w:spacing w:after="0" w:line="240" w:lineRule="auto"/>
              <w:jc w:val="center"/>
              <w:rPr>
                <w:rFonts w:eastAsia="Verdana" w:cs="Verdana"/>
                <w:sz w:val="14"/>
                <w:szCs w:val="14"/>
              </w:rPr>
            </w:pPr>
            <w:r>
              <w:rPr>
                <w:rFonts w:eastAsia="Verdana" w:cs="Verdana"/>
                <w:sz w:val="14"/>
                <w:szCs w:val="14"/>
              </w:rPr>
              <w:t>SIPDC:</w:t>
            </w:r>
          </w:p>
          <w:p w14:paraId="22284149" w14:textId="77777777" w:rsidR="00302CE0" w:rsidRDefault="00302CE0" w:rsidP="005455F2">
            <w:pPr>
              <w:spacing w:after="0" w:line="240" w:lineRule="auto"/>
              <w:jc w:val="center"/>
              <w:rPr>
                <w:b/>
                <w:sz w:val="14"/>
                <w:szCs w:val="14"/>
              </w:rPr>
            </w:pPr>
            <w:r>
              <w:rPr>
                <w:rFonts w:eastAsia="Verdana" w:cs="Verdana"/>
                <w:sz w:val="14"/>
                <w:szCs w:val="14"/>
              </w:rPr>
              <w:t xml:space="preserve">15.18% </w:t>
            </w:r>
          </w:p>
        </w:tc>
        <w:tc>
          <w:tcPr>
            <w:tcW w:w="2354" w:type="dxa"/>
            <w:shd w:val="clear" w:color="auto" w:fill="auto"/>
          </w:tcPr>
          <w:p w14:paraId="2FE90EA6" w14:textId="77777777" w:rsidR="00302CE0" w:rsidRPr="005519C5" w:rsidRDefault="00302CE0" w:rsidP="004F649C">
            <w:pPr>
              <w:spacing w:after="0" w:line="240" w:lineRule="auto"/>
              <w:jc w:val="left"/>
              <w:rPr>
                <w:color w:val="000000" w:themeColor="text1"/>
                <w:sz w:val="14"/>
                <w:szCs w:val="14"/>
                <w:lang w:eastAsia="zh-CN"/>
              </w:rPr>
            </w:pPr>
            <w:r w:rsidRPr="005519C5">
              <w:rPr>
                <w:color w:val="000000" w:themeColor="text1"/>
                <w:sz w:val="14"/>
                <w:szCs w:val="14"/>
                <w:lang w:eastAsia="zh-CN"/>
              </w:rPr>
              <w:t>1. Upstream Subsidies</w:t>
            </w:r>
          </w:p>
          <w:p w14:paraId="75355B92" w14:textId="32BFA810" w:rsidR="005455F2" w:rsidRDefault="00302CE0" w:rsidP="005455F2">
            <w:pPr>
              <w:spacing w:after="0" w:line="240" w:lineRule="auto"/>
              <w:jc w:val="left"/>
              <w:rPr>
                <w:rFonts w:eastAsia="Verdana" w:cs="Verdana"/>
                <w:sz w:val="14"/>
                <w:szCs w:val="14"/>
              </w:rPr>
            </w:pPr>
            <w:r w:rsidRPr="005519C5">
              <w:rPr>
                <w:color w:val="000000" w:themeColor="text1"/>
                <w:sz w:val="14"/>
                <w:szCs w:val="14"/>
                <w:lang w:eastAsia="zh-CN"/>
              </w:rPr>
              <w:t xml:space="preserve">(a) Upstream subsidy programs provided by the federal government: Innovative Technology Loan Guarantee Program; Fossil Energy Research and Development; Expensing of Intangible Drilling Costs/Expensing Exploration and Development Costs for Oil, Gas and other Fuels; </w:t>
            </w:r>
            <w:r w:rsidR="00BC3BEE" w:rsidRPr="005519C5">
              <w:rPr>
                <w:color w:val="000000" w:themeColor="text1"/>
                <w:sz w:val="14"/>
                <w:szCs w:val="14"/>
                <w:lang w:eastAsia="zh-CN"/>
              </w:rPr>
              <w:t>Percentage Depletion for Oil and Natural Gas Wells/Excess of Percentage over Cost</w:t>
            </w:r>
            <w:r w:rsidR="004F649C">
              <w:rPr>
                <w:color w:val="000000" w:themeColor="text1"/>
                <w:sz w:val="14"/>
                <w:szCs w:val="14"/>
                <w:lang w:eastAsia="zh-CN"/>
              </w:rPr>
              <w:t xml:space="preserve"> </w:t>
            </w:r>
            <w:r w:rsidR="004F649C" w:rsidRPr="005519C5">
              <w:rPr>
                <w:color w:val="000000" w:themeColor="text1"/>
                <w:sz w:val="14"/>
                <w:szCs w:val="14"/>
                <w:lang w:eastAsia="zh-CN"/>
              </w:rPr>
              <w:t>Depletion for Oil, Gas and other Fuels;</w:t>
            </w:r>
          </w:p>
        </w:tc>
      </w:tr>
      <w:tr w:rsidR="006D1CD4" w14:paraId="6555B324" w14:textId="77777777" w:rsidTr="00D31A2E">
        <w:tc>
          <w:tcPr>
            <w:tcW w:w="1111" w:type="dxa"/>
            <w:tcBorders>
              <w:bottom w:val="single" w:sz="4" w:space="0" w:color="auto"/>
            </w:tcBorders>
            <w:shd w:val="clear" w:color="auto" w:fill="auto"/>
          </w:tcPr>
          <w:p w14:paraId="25B19212" w14:textId="77777777" w:rsidR="006D1CD4" w:rsidRDefault="006D1CD4" w:rsidP="005455F2">
            <w:pPr>
              <w:keepNext/>
              <w:keepLines/>
              <w:spacing w:after="0" w:line="240" w:lineRule="auto"/>
              <w:jc w:val="center"/>
              <w:rPr>
                <w:b/>
                <w:sz w:val="14"/>
                <w:szCs w:val="14"/>
              </w:rPr>
            </w:pPr>
            <w:r>
              <w:rPr>
                <w:b/>
                <w:sz w:val="14"/>
                <w:szCs w:val="14"/>
              </w:rPr>
              <w:lastRenderedPageBreak/>
              <w:t>1</w:t>
            </w:r>
          </w:p>
        </w:tc>
        <w:tc>
          <w:tcPr>
            <w:tcW w:w="1418" w:type="dxa"/>
            <w:tcBorders>
              <w:bottom w:val="single" w:sz="4" w:space="0" w:color="auto"/>
            </w:tcBorders>
            <w:shd w:val="clear" w:color="auto" w:fill="auto"/>
          </w:tcPr>
          <w:p w14:paraId="283D745D" w14:textId="77777777" w:rsidR="006D1CD4" w:rsidRDefault="006D1CD4" w:rsidP="005455F2">
            <w:pPr>
              <w:keepNext/>
              <w:keepLines/>
              <w:spacing w:after="0" w:line="240" w:lineRule="auto"/>
              <w:jc w:val="center"/>
              <w:rPr>
                <w:b/>
                <w:sz w:val="14"/>
                <w:szCs w:val="14"/>
              </w:rPr>
            </w:pPr>
            <w:r>
              <w:rPr>
                <w:b/>
                <w:sz w:val="14"/>
                <w:szCs w:val="14"/>
              </w:rPr>
              <w:t>2</w:t>
            </w:r>
          </w:p>
        </w:tc>
        <w:tc>
          <w:tcPr>
            <w:tcW w:w="1276" w:type="dxa"/>
            <w:tcBorders>
              <w:bottom w:val="single" w:sz="4" w:space="0" w:color="auto"/>
            </w:tcBorders>
            <w:shd w:val="clear" w:color="auto" w:fill="auto"/>
          </w:tcPr>
          <w:p w14:paraId="58A5D39F" w14:textId="77777777" w:rsidR="006D1CD4" w:rsidRDefault="006D1CD4" w:rsidP="005455F2">
            <w:pPr>
              <w:keepNext/>
              <w:keepLines/>
              <w:spacing w:after="0" w:line="240" w:lineRule="auto"/>
              <w:jc w:val="center"/>
              <w:rPr>
                <w:b/>
                <w:sz w:val="14"/>
                <w:szCs w:val="14"/>
              </w:rPr>
            </w:pPr>
            <w:r>
              <w:rPr>
                <w:b/>
                <w:sz w:val="14"/>
                <w:szCs w:val="14"/>
              </w:rPr>
              <w:t>3</w:t>
            </w:r>
          </w:p>
        </w:tc>
        <w:tc>
          <w:tcPr>
            <w:tcW w:w="1417" w:type="dxa"/>
            <w:tcBorders>
              <w:bottom w:val="single" w:sz="4" w:space="0" w:color="auto"/>
            </w:tcBorders>
            <w:shd w:val="clear" w:color="auto" w:fill="auto"/>
          </w:tcPr>
          <w:p w14:paraId="6CB471AC" w14:textId="77777777" w:rsidR="006D1CD4" w:rsidRDefault="006D1CD4" w:rsidP="005455F2">
            <w:pPr>
              <w:keepNext/>
              <w:keepLines/>
              <w:spacing w:after="0" w:line="240" w:lineRule="auto"/>
              <w:jc w:val="center"/>
              <w:rPr>
                <w:b/>
                <w:sz w:val="14"/>
                <w:szCs w:val="14"/>
              </w:rPr>
            </w:pPr>
            <w:r>
              <w:rPr>
                <w:b/>
                <w:sz w:val="14"/>
                <w:szCs w:val="14"/>
              </w:rPr>
              <w:t>4</w:t>
            </w:r>
          </w:p>
        </w:tc>
        <w:tc>
          <w:tcPr>
            <w:tcW w:w="1134" w:type="dxa"/>
            <w:tcBorders>
              <w:bottom w:val="single" w:sz="4" w:space="0" w:color="auto"/>
            </w:tcBorders>
            <w:shd w:val="clear" w:color="auto" w:fill="auto"/>
          </w:tcPr>
          <w:p w14:paraId="6179B770" w14:textId="77777777" w:rsidR="006D1CD4" w:rsidRDefault="006D1CD4" w:rsidP="005455F2">
            <w:pPr>
              <w:keepNext/>
              <w:keepLines/>
              <w:spacing w:after="0" w:line="240" w:lineRule="auto"/>
              <w:jc w:val="center"/>
              <w:rPr>
                <w:b/>
                <w:sz w:val="14"/>
                <w:szCs w:val="14"/>
              </w:rPr>
            </w:pPr>
            <w:r>
              <w:rPr>
                <w:b/>
                <w:sz w:val="14"/>
                <w:szCs w:val="14"/>
              </w:rPr>
              <w:t>5</w:t>
            </w:r>
          </w:p>
        </w:tc>
        <w:tc>
          <w:tcPr>
            <w:tcW w:w="1134" w:type="dxa"/>
            <w:tcBorders>
              <w:bottom w:val="single" w:sz="4" w:space="0" w:color="auto"/>
            </w:tcBorders>
            <w:shd w:val="clear" w:color="auto" w:fill="auto"/>
          </w:tcPr>
          <w:p w14:paraId="157F2985" w14:textId="77777777" w:rsidR="006D1CD4" w:rsidRDefault="006D1CD4" w:rsidP="005455F2">
            <w:pPr>
              <w:keepNext/>
              <w:keepLines/>
              <w:spacing w:after="0" w:line="240" w:lineRule="auto"/>
              <w:jc w:val="center"/>
              <w:rPr>
                <w:b/>
                <w:sz w:val="14"/>
                <w:szCs w:val="14"/>
              </w:rPr>
            </w:pPr>
            <w:r>
              <w:rPr>
                <w:b/>
                <w:sz w:val="14"/>
                <w:szCs w:val="14"/>
              </w:rPr>
              <w:t>6</w:t>
            </w:r>
          </w:p>
        </w:tc>
        <w:tc>
          <w:tcPr>
            <w:tcW w:w="1276" w:type="dxa"/>
            <w:tcBorders>
              <w:bottom w:val="single" w:sz="4" w:space="0" w:color="auto"/>
            </w:tcBorders>
            <w:shd w:val="clear" w:color="auto" w:fill="auto"/>
          </w:tcPr>
          <w:p w14:paraId="4A688106" w14:textId="77777777" w:rsidR="006D1CD4" w:rsidRDefault="006D1CD4" w:rsidP="005455F2">
            <w:pPr>
              <w:keepNext/>
              <w:keepLines/>
              <w:spacing w:after="0" w:line="240" w:lineRule="auto"/>
              <w:jc w:val="center"/>
              <w:rPr>
                <w:b/>
                <w:sz w:val="14"/>
                <w:szCs w:val="14"/>
              </w:rPr>
            </w:pPr>
            <w:r>
              <w:rPr>
                <w:b/>
                <w:sz w:val="14"/>
                <w:szCs w:val="14"/>
              </w:rPr>
              <w:t>7</w:t>
            </w:r>
          </w:p>
        </w:tc>
        <w:tc>
          <w:tcPr>
            <w:tcW w:w="1134" w:type="dxa"/>
            <w:tcBorders>
              <w:bottom w:val="single" w:sz="4" w:space="0" w:color="auto"/>
            </w:tcBorders>
            <w:shd w:val="clear" w:color="auto" w:fill="auto"/>
          </w:tcPr>
          <w:p w14:paraId="262A9561" w14:textId="77777777" w:rsidR="006D1CD4" w:rsidRDefault="006D1CD4" w:rsidP="005455F2">
            <w:pPr>
              <w:keepNext/>
              <w:keepLines/>
              <w:spacing w:after="0" w:line="240" w:lineRule="auto"/>
              <w:jc w:val="center"/>
              <w:rPr>
                <w:b/>
                <w:sz w:val="14"/>
                <w:szCs w:val="14"/>
              </w:rPr>
            </w:pPr>
            <w:r>
              <w:rPr>
                <w:b/>
                <w:sz w:val="14"/>
                <w:szCs w:val="14"/>
              </w:rPr>
              <w:t>8</w:t>
            </w:r>
          </w:p>
        </w:tc>
        <w:tc>
          <w:tcPr>
            <w:tcW w:w="1134" w:type="dxa"/>
            <w:tcBorders>
              <w:bottom w:val="single" w:sz="4" w:space="0" w:color="auto"/>
            </w:tcBorders>
            <w:shd w:val="clear" w:color="auto" w:fill="auto"/>
          </w:tcPr>
          <w:p w14:paraId="4AB167AE" w14:textId="77777777" w:rsidR="006D1CD4" w:rsidRDefault="006D1CD4" w:rsidP="005455F2">
            <w:pPr>
              <w:keepNext/>
              <w:keepLines/>
              <w:spacing w:after="0" w:line="240" w:lineRule="auto"/>
              <w:jc w:val="center"/>
              <w:rPr>
                <w:b/>
                <w:sz w:val="14"/>
                <w:szCs w:val="14"/>
              </w:rPr>
            </w:pPr>
            <w:r>
              <w:rPr>
                <w:b/>
                <w:sz w:val="14"/>
                <w:szCs w:val="14"/>
              </w:rPr>
              <w:t>9</w:t>
            </w:r>
          </w:p>
        </w:tc>
        <w:tc>
          <w:tcPr>
            <w:tcW w:w="1136" w:type="dxa"/>
            <w:tcBorders>
              <w:bottom w:val="single" w:sz="4" w:space="0" w:color="auto"/>
            </w:tcBorders>
            <w:shd w:val="clear" w:color="auto" w:fill="auto"/>
          </w:tcPr>
          <w:p w14:paraId="12E355F4" w14:textId="77777777" w:rsidR="006D1CD4" w:rsidRDefault="006D1CD4" w:rsidP="005455F2">
            <w:pPr>
              <w:keepNext/>
              <w:keepLines/>
              <w:spacing w:after="0" w:line="240" w:lineRule="auto"/>
              <w:jc w:val="center"/>
              <w:rPr>
                <w:b/>
                <w:sz w:val="14"/>
                <w:szCs w:val="14"/>
              </w:rPr>
            </w:pPr>
            <w:r>
              <w:rPr>
                <w:b/>
                <w:sz w:val="14"/>
                <w:szCs w:val="14"/>
              </w:rPr>
              <w:t>10</w:t>
            </w:r>
          </w:p>
        </w:tc>
        <w:tc>
          <w:tcPr>
            <w:tcW w:w="2354" w:type="dxa"/>
            <w:tcBorders>
              <w:bottom w:val="single" w:sz="4" w:space="0" w:color="auto"/>
            </w:tcBorders>
            <w:shd w:val="clear" w:color="auto" w:fill="auto"/>
          </w:tcPr>
          <w:p w14:paraId="36654004" w14:textId="77777777" w:rsidR="006D1CD4" w:rsidRDefault="006D1CD4" w:rsidP="005455F2">
            <w:pPr>
              <w:keepNext/>
              <w:keepLines/>
              <w:spacing w:after="0" w:line="240" w:lineRule="auto"/>
              <w:jc w:val="center"/>
              <w:rPr>
                <w:b/>
                <w:sz w:val="14"/>
                <w:szCs w:val="14"/>
              </w:rPr>
            </w:pPr>
            <w:r>
              <w:rPr>
                <w:b/>
                <w:sz w:val="14"/>
                <w:szCs w:val="14"/>
              </w:rPr>
              <w:t>11</w:t>
            </w:r>
          </w:p>
        </w:tc>
      </w:tr>
      <w:tr w:rsidR="00302CE0" w14:paraId="27E468EA" w14:textId="77777777" w:rsidTr="00D31A2E">
        <w:tc>
          <w:tcPr>
            <w:tcW w:w="1111" w:type="dxa"/>
            <w:shd w:val="clear" w:color="auto" w:fill="auto"/>
          </w:tcPr>
          <w:p w14:paraId="07D3973F" w14:textId="53C75D12" w:rsidR="00302CE0" w:rsidRDefault="00B42867" w:rsidP="005455F2">
            <w:pPr>
              <w:spacing w:after="0" w:line="240" w:lineRule="auto"/>
              <w:jc w:val="left"/>
              <w:rPr>
                <w:rFonts w:eastAsia="Verdana" w:cs="Verdana"/>
                <w:sz w:val="14"/>
                <w:szCs w:val="14"/>
              </w:rPr>
            </w:pPr>
            <w:r>
              <w:rPr>
                <w:rFonts w:eastAsia="Verdana" w:cs="Verdana"/>
                <w:sz w:val="14"/>
                <w:szCs w:val="14"/>
              </w:rPr>
              <w:t>United States (Cont'd)</w:t>
            </w:r>
          </w:p>
        </w:tc>
        <w:tc>
          <w:tcPr>
            <w:tcW w:w="1418" w:type="dxa"/>
            <w:shd w:val="clear" w:color="auto" w:fill="auto"/>
          </w:tcPr>
          <w:p w14:paraId="5B5DFB77" w14:textId="77777777" w:rsidR="00302CE0" w:rsidRDefault="00302CE0" w:rsidP="005455F2">
            <w:pPr>
              <w:spacing w:after="0" w:line="240" w:lineRule="auto"/>
              <w:jc w:val="left"/>
              <w:rPr>
                <w:rFonts w:eastAsia="Verdana" w:cs="Verdana"/>
                <w:sz w:val="14"/>
                <w:szCs w:val="14"/>
              </w:rPr>
            </w:pPr>
          </w:p>
        </w:tc>
        <w:tc>
          <w:tcPr>
            <w:tcW w:w="1276" w:type="dxa"/>
            <w:shd w:val="clear" w:color="auto" w:fill="auto"/>
          </w:tcPr>
          <w:p w14:paraId="3F84EB2F" w14:textId="77777777" w:rsidR="00302CE0" w:rsidRDefault="00302CE0" w:rsidP="005455F2">
            <w:pPr>
              <w:spacing w:after="0" w:line="240" w:lineRule="auto"/>
              <w:jc w:val="center"/>
              <w:rPr>
                <w:rFonts w:eastAsia="Verdana" w:cs="Verdana"/>
                <w:sz w:val="14"/>
                <w:szCs w:val="14"/>
              </w:rPr>
            </w:pPr>
          </w:p>
        </w:tc>
        <w:tc>
          <w:tcPr>
            <w:tcW w:w="1417" w:type="dxa"/>
            <w:shd w:val="clear" w:color="auto" w:fill="auto"/>
          </w:tcPr>
          <w:p w14:paraId="693F3394" w14:textId="77777777" w:rsidR="00302CE0" w:rsidRDefault="00302CE0" w:rsidP="005455F2">
            <w:pPr>
              <w:spacing w:after="0" w:line="240" w:lineRule="auto"/>
              <w:jc w:val="center"/>
              <w:rPr>
                <w:rFonts w:eastAsia="Verdana" w:cs="Verdana"/>
                <w:sz w:val="14"/>
                <w:szCs w:val="14"/>
              </w:rPr>
            </w:pPr>
          </w:p>
        </w:tc>
        <w:tc>
          <w:tcPr>
            <w:tcW w:w="1134" w:type="dxa"/>
            <w:shd w:val="clear" w:color="auto" w:fill="auto"/>
          </w:tcPr>
          <w:p w14:paraId="38AA95E0" w14:textId="77777777" w:rsidR="00302CE0" w:rsidRDefault="00302CE0" w:rsidP="005455F2">
            <w:pPr>
              <w:spacing w:after="0" w:line="240" w:lineRule="auto"/>
              <w:jc w:val="center"/>
              <w:rPr>
                <w:b/>
                <w:sz w:val="14"/>
                <w:szCs w:val="14"/>
              </w:rPr>
            </w:pPr>
          </w:p>
        </w:tc>
        <w:tc>
          <w:tcPr>
            <w:tcW w:w="1134" w:type="dxa"/>
            <w:shd w:val="clear" w:color="auto" w:fill="auto"/>
          </w:tcPr>
          <w:p w14:paraId="03447571" w14:textId="77777777" w:rsidR="00302CE0" w:rsidRDefault="00302CE0" w:rsidP="005455F2">
            <w:pPr>
              <w:spacing w:after="0" w:line="240" w:lineRule="auto"/>
              <w:jc w:val="center"/>
              <w:rPr>
                <w:b/>
                <w:sz w:val="14"/>
                <w:szCs w:val="14"/>
              </w:rPr>
            </w:pPr>
          </w:p>
        </w:tc>
        <w:tc>
          <w:tcPr>
            <w:tcW w:w="1276" w:type="dxa"/>
            <w:shd w:val="clear" w:color="auto" w:fill="auto"/>
          </w:tcPr>
          <w:p w14:paraId="745A12F7" w14:textId="77777777" w:rsidR="00302CE0" w:rsidRDefault="00302CE0" w:rsidP="005455F2">
            <w:pPr>
              <w:spacing w:after="0" w:line="240" w:lineRule="auto"/>
              <w:jc w:val="center"/>
              <w:rPr>
                <w:rFonts w:eastAsia="Verdana" w:cs="Verdana"/>
                <w:sz w:val="14"/>
                <w:szCs w:val="14"/>
              </w:rPr>
            </w:pPr>
          </w:p>
        </w:tc>
        <w:tc>
          <w:tcPr>
            <w:tcW w:w="1134" w:type="dxa"/>
            <w:shd w:val="clear" w:color="auto" w:fill="auto"/>
          </w:tcPr>
          <w:p w14:paraId="3E96804C" w14:textId="77777777" w:rsidR="00302CE0" w:rsidRDefault="00302CE0" w:rsidP="005455F2">
            <w:pPr>
              <w:kinsoku w:val="0"/>
              <w:spacing w:after="0" w:line="240" w:lineRule="auto"/>
              <w:jc w:val="center"/>
              <w:rPr>
                <w:sz w:val="14"/>
                <w:szCs w:val="14"/>
                <w:lang w:eastAsia="en-GB"/>
              </w:rPr>
            </w:pPr>
          </w:p>
        </w:tc>
        <w:tc>
          <w:tcPr>
            <w:tcW w:w="1134" w:type="dxa"/>
            <w:shd w:val="clear" w:color="auto" w:fill="auto"/>
          </w:tcPr>
          <w:p w14:paraId="2EC4CA0A" w14:textId="77777777" w:rsidR="00302CE0" w:rsidRDefault="00302CE0" w:rsidP="005455F2">
            <w:pPr>
              <w:spacing w:after="0" w:line="240" w:lineRule="auto"/>
              <w:jc w:val="center"/>
              <w:rPr>
                <w:rFonts w:eastAsia="Verdana" w:cs="Verdana"/>
                <w:sz w:val="14"/>
                <w:szCs w:val="14"/>
              </w:rPr>
            </w:pPr>
          </w:p>
        </w:tc>
        <w:tc>
          <w:tcPr>
            <w:tcW w:w="1136" w:type="dxa"/>
            <w:shd w:val="clear" w:color="auto" w:fill="auto"/>
          </w:tcPr>
          <w:p w14:paraId="4E87A0B9" w14:textId="77777777" w:rsidR="00302CE0" w:rsidRDefault="00302CE0" w:rsidP="005455F2">
            <w:pPr>
              <w:spacing w:after="0" w:line="240" w:lineRule="auto"/>
              <w:jc w:val="center"/>
              <w:rPr>
                <w:rFonts w:eastAsia="Verdana" w:cs="Verdana"/>
                <w:sz w:val="14"/>
                <w:szCs w:val="14"/>
              </w:rPr>
            </w:pPr>
          </w:p>
        </w:tc>
        <w:tc>
          <w:tcPr>
            <w:tcW w:w="2354" w:type="dxa"/>
            <w:shd w:val="clear" w:color="auto" w:fill="auto"/>
          </w:tcPr>
          <w:p w14:paraId="3D86F8D3" w14:textId="248131EB" w:rsidR="00302CE0" w:rsidRPr="005519C5" w:rsidRDefault="00302CE0" w:rsidP="004F649C">
            <w:pPr>
              <w:spacing w:after="0" w:line="240" w:lineRule="auto"/>
              <w:jc w:val="left"/>
              <w:rPr>
                <w:sz w:val="14"/>
                <w:szCs w:val="14"/>
              </w:rPr>
            </w:pPr>
            <w:r w:rsidRPr="005519C5">
              <w:rPr>
                <w:color w:val="000000" w:themeColor="text1"/>
                <w:sz w:val="14"/>
                <w:szCs w:val="14"/>
                <w:lang w:eastAsia="zh-CN"/>
              </w:rPr>
              <w:t>Two Year Amortization Period for Geological and Geophysical Expenditures; Percentage Depletion for Hard Mineral Fossil Fuels; Expensing of Exploration and Development Costs for Hard Mineral Fuels; Enhanced Oil Recovery Credit; Corporate Income Tax Exemption for Fossil Fuel Publicly Traded Partnerships.</w:t>
            </w:r>
          </w:p>
          <w:p w14:paraId="442DB0CC" w14:textId="52952C39" w:rsidR="00302CE0" w:rsidRPr="005519C5" w:rsidRDefault="00302CE0" w:rsidP="005455F2">
            <w:pPr>
              <w:spacing w:after="0" w:line="240" w:lineRule="auto"/>
              <w:jc w:val="left"/>
              <w:rPr>
                <w:color w:val="000000" w:themeColor="text1"/>
                <w:sz w:val="14"/>
                <w:szCs w:val="14"/>
                <w:lang w:eastAsia="zh-CN"/>
              </w:rPr>
            </w:pPr>
            <w:r w:rsidRPr="005519C5">
              <w:rPr>
                <w:color w:val="000000" w:themeColor="text1"/>
                <w:sz w:val="14"/>
                <w:szCs w:val="14"/>
                <w:lang w:eastAsia="zh-CN"/>
              </w:rPr>
              <w:t xml:space="preserve">(b) Upstream subsidy programs provided by local governments: LNG Storage Facility Credit; Gross Value Reduction; Oil and Gas Industry Service Expenditures Credit; In-State Refinery Tax Credit; Qualified Capital Expenditure Credit; Development Credit for Small Producers and New Areas; Alternative Credit for Exploration; Percentage Depletion of Mineral and other Resources; Severance-Tax Exemption for Stripper Wells/Severance-Tax Reductions for Low-Volume Wells; Severance-Tax Oil and Gas Ad valorem Credit; Severance-Tax Exemption for Low-Volume Oil-Shale Production; Reduced Value for Certain Mineral Properties; Sales-Tax Exclusion for Installation of Board Roads in Oil-Fields; Sales Tax Exclusion on Drilling Rigs/Sales Tax Exemption for Repairs and Materials Used on Drilling Rigs; Excess of Percentage over Cost Depletion; Natural Gas Severance Tax Suspension for Horizontal Wells; </w:t>
            </w:r>
            <w:r w:rsidR="006D1CD4" w:rsidRPr="005519C5">
              <w:rPr>
                <w:color w:val="000000" w:themeColor="text1"/>
                <w:sz w:val="14"/>
                <w:szCs w:val="14"/>
                <w:lang w:eastAsia="zh-CN"/>
              </w:rPr>
              <w:t xml:space="preserve">Natural Gas Severance Tax Suspension for Inactive Wells; </w:t>
            </w:r>
            <w:r w:rsidR="004F649C" w:rsidRPr="005519C5">
              <w:rPr>
                <w:color w:val="000000" w:themeColor="text1"/>
                <w:sz w:val="14"/>
                <w:szCs w:val="14"/>
                <w:lang w:eastAsia="zh-CN"/>
              </w:rPr>
              <w:t>Natural Gas Severance Tax Suspension for Deep Wells;</w:t>
            </w:r>
          </w:p>
        </w:tc>
      </w:tr>
      <w:tr w:rsidR="006D1CD4" w14:paraId="1FBD2C1A" w14:textId="77777777" w:rsidTr="00D31A2E">
        <w:tc>
          <w:tcPr>
            <w:tcW w:w="1111" w:type="dxa"/>
            <w:tcBorders>
              <w:bottom w:val="single" w:sz="4" w:space="0" w:color="auto"/>
            </w:tcBorders>
            <w:shd w:val="clear" w:color="auto" w:fill="auto"/>
          </w:tcPr>
          <w:p w14:paraId="423E9787" w14:textId="77777777" w:rsidR="006D1CD4" w:rsidRDefault="006D1CD4" w:rsidP="005455F2">
            <w:pPr>
              <w:keepNext/>
              <w:keepLines/>
              <w:spacing w:after="0" w:line="240" w:lineRule="auto"/>
              <w:jc w:val="center"/>
              <w:rPr>
                <w:b/>
                <w:sz w:val="14"/>
                <w:szCs w:val="14"/>
              </w:rPr>
            </w:pPr>
            <w:r>
              <w:rPr>
                <w:b/>
                <w:sz w:val="14"/>
                <w:szCs w:val="14"/>
              </w:rPr>
              <w:lastRenderedPageBreak/>
              <w:t>1</w:t>
            </w:r>
          </w:p>
        </w:tc>
        <w:tc>
          <w:tcPr>
            <w:tcW w:w="1418" w:type="dxa"/>
            <w:tcBorders>
              <w:bottom w:val="single" w:sz="4" w:space="0" w:color="auto"/>
            </w:tcBorders>
            <w:shd w:val="clear" w:color="auto" w:fill="auto"/>
          </w:tcPr>
          <w:p w14:paraId="7647DF3F" w14:textId="77777777" w:rsidR="006D1CD4" w:rsidRDefault="006D1CD4" w:rsidP="005455F2">
            <w:pPr>
              <w:keepNext/>
              <w:keepLines/>
              <w:spacing w:after="0" w:line="240" w:lineRule="auto"/>
              <w:jc w:val="center"/>
              <w:rPr>
                <w:b/>
                <w:sz w:val="14"/>
                <w:szCs w:val="14"/>
              </w:rPr>
            </w:pPr>
            <w:r>
              <w:rPr>
                <w:b/>
                <w:sz w:val="14"/>
                <w:szCs w:val="14"/>
              </w:rPr>
              <w:t>2</w:t>
            </w:r>
          </w:p>
        </w:tc>
        <w:tc>
          <w:tcPr>
            <w:tcW w:w="1276" w:type="dxa"/>
            <w:tcBorders>
              <w:bottom w:val="single" w:sz="4" w:space="0" w:color="auto"/>
            </w:tcBorders>
            <w:shd w:val="clear" w:color="auto" w:fill="auto"/>
          </w:tcPr>
          <w:p w14:paraId="3E4C5F7C" w14:textId="77777777" w:rsidR="006D1CD4" w:rsidRDefault="006D1CD4" w:rsidP="005455F2">
            <w:pPr>
              <w:keepNext/>
              <w:keepLines/>
              <w:spacing w:after="0" w:line="240" w:lineRule="auto"/>
              <w:jc w:val="center"/>
              <w:rPr>
                <w:b/>
                <w:sz w:val="14"/>
                <w:szCs w:val="14"/>
              </w:rPr>
            </w:pPr>
            <w:r>
              <w:rPr>
                <w:b/>
                <w:sz w:val="14"/>
                <w:szCs w:val="14"/>
              </w:rPr>
              <w:t>3</w:t>
            </w:r>
          </w:p>
        </w:tc>
        <w:tc>
          <w:tcPr>
            <w:tcW w:w="1417" w:type="dxa"/>
            <w:tcBorders>
              <w:bottom w:val="single" w:sz="4" w:space="0" w:color="auto"/>
            </w:tcBorders>
            <w:shd w:val="clear" w:color="auto" w:fill="auto"/>
          </w:tcPr>
          <w:p w14:paraId="12F7EB98" w14:textId="77777777" w:rsidR="006D1CD4" w:rsidRDefault="006D1CD4" w:rsidP="005455F2">
            <w:pPr>
              <w:keepNext/>
              <w:keepLines/>
              <w:spacing w:after="0" w:line="240" w:lineRule="auto"/>
              <w:jc w:val="center"/>
              <w:rPr>
                <w:b/>
                <w:sz w:val="14"/>
                <w:szCs w:val="14"/>
              </w:rPr>
            </w:pPr>
            <w:r>
              <w:rPr>
                <w:b/>
                <w:sz w:val="14"/>
                <w:szCs w:val="14"/>
              </w:rPr>
              <w:t>4</w:t>
            </w:r>
          </w:p>
        </w:tc>
        <w:tc>
          <w:tcPr>
            <w:tcW w:w="1134" w:type="dxa"/>
            <w:tcBorders>
              <w:bottom w:val="single" w:sz="4" w:space="0" w:color="auto"/>
            </w:tcBorders>
            <w:shd w:val="clear" w:color="auto" w:fill="auto"/>
          </w:tcPr>
          <w:p w14:paraId="4C15EE00" w14:textId="77777777" w:rsidR="006D1CD4" w:rsidRDefault="006D1CD4" w:rsidP="005455F2">
            <w:pPr>
              <w:keepNext/>
              <w:keepLines/>
              <w:spacing w:after="0" w:line="240" w:lineRule="auto"/>
              <w:jc w:val="center"/>
              <w:rPr>
                <w:b/>
                <w:sz w:val="14"/>
                <w:szCs w:val="14"/>
              </w:rPr>
            </w:pPr>
            <w:r>
              <w:rPr>
                <w:b/>
                <w:sz w:val="14"/>
                <w:szCs w:val="14"/>
              </w:rPr>
              <w:t>5</w:t>
            </w:r>
          </w:p>
        </w:tc>
        <w:tc>
          <w:tcPr>
            <w:tcW w:w="1134" w:type="dxa"/>
            <w:tcBorders>
              <w:bottom w:val="single" w:sz="4" w:space="0" w:color="auto"/>
            </w:tcBorders>
            <w:shd w:val="clear" w:color="auto" w:fill="auto"/>
          </w:tcPr>
          <w:p w14:paraId="0058504B" w14:textId="77777777" w:rsidR="006D1CD4" w:rsidRDefault="006D1CD4" w:rsidP="005455F2">
            <w:pPr>
              <w:keepNext/>
              <w:keepLines/>
              <w:spacing w:after="0" w:line="240" w:lineRule="auto"/>
              <w:jc w:val="center"/>
              <w:rPr>
                <w:b/>
                <w:sz w:val="14"/>
                <w:szCs w:val="14"/>
              </w:rPr>
            </w:pPr>
            <w:r>
              <w:rPr>
                <w:b/>
                <w:sz w:val="14"/>
                <w:szCs w:val="14"/>
              </w:rPr>
              <w:t>6</w:t>
            </w:r>
          </w:p>
        </w:tc>
        <w:tc>
          <w:tcPr>
            <w:tcW w:w="1276" w:type="dxa"/>
            <w:tcBorders>
              <w:bottom w:val="single" w:sz="4" w:space="0" w:color="auto"/>
            </w:tcBorders>
            <w:shd w:val="clear" w:color="auto" w:fill="auto"/>
          </w:tcPr>
          <w:p w14:paraId="570CFC00" w14:textId="77777777" w:rsidR="006D1CD4" w:rsidRDefault="006D1CD4" w:rsidP="005455F2">
            <w:pPr>
              <w:keepNext/>
              <w:keepLines/>
              <w:spacing w:after="0" w:line="240" w:lineRule="auto"/>
              <w:jc w:val="center"/>
              <w:rPr>
                <w:b/>
                <w:sz w:val="14"/>
                <w:szCs w:val="14"/>
              </w:rPr>
            </w:pPr>
            <w:r>
              <w:rPr>
                <w:b/>
                <w:sz w:val="14"/>
                <w:szCs w:val="14"/>
              </w:rPr>
              <w:t>7</w:t>
            </w:r>
          </w:p>
        </w:tc>
        <w:tc>
          <w:tcPr>
            <w:tcW w:w="1134" w:type="dxa"/>
            <w:tcBorders>
              <w:bottom w:val="single" w:sz="4" w:space="0" w:color="auto"/>
            </w:tcBorders>
            <w:shd w:val="clear" w:color="auto" w:fill="auto"/>
          </w:tcPr>
          <w:p w14:paraId="282C7308" w14:textId="77777777" w:rsidR="006D1CD4" w:rsidRDefault="006D1CD4" w:rsidP="005455F2">
            <w:pPr>
              <w:keepNext/>
              <w:keepLines/>
              <w:spacing w:after="0" w:line="240" w:lineRule="auto"/>
              <w:jc w:val="center"/>
              <w:rPr>
                <w:b/>
                <w:sz w:val="14"/>
                <w:szCs w:val="14"/>
              </w:rPr>
            </w:pPr>
            <w:r>
              <w:rPr>
                <w:b/>
                <w:sz w:val="14"/>
                <w:szCs w:val="14"/>
              </w:rPr>
              <w:t>8</w:t>
            </w:r>
          </w:p>
        </w:tc>
        <w:tc>
          <w:tcPr>
            <w:tcW w:w="1134" w:type="dxa"/>
            <w:tcBorders>
              <w:bottom w:val="single" w:sz="4" w:space="0" w:color="auto"/>
            </w:tcBorders>
            <w:shd w:val="clear" w:color="auto" w:fill="auto"/>
          </w:tcPr>
          <w:p w14:paraId="4C45B267" w14:textId="77777777" w:rsidR="006D1CD4" w:rsidRDefault="006D1CD4" w:rsidP="005455F2">
            <w:pPr>
              <w:keepNext/>
              <w:keepLines/>
              <w:spacing w:after="0" w:line="240" w:lineRule="auto"/>
              <w:jc w:val="center"/>
              <w:rPr>
                <w:b/>
                <w:sz w:val="14"/>
                <w:szCs w:val="14"/>
              </w:rPr>
            </w:pPr>
            <w:r>
              <w:rPr>
                <w:b/>
                <w:sz w:val="14"/>
                <w:szCs w:val="14"/>
              </w:rPr>
              <w:t>9</w:t>
            </w:r>
          </w:p>
        </w:tc>
        <w:tc>
          <w:tcPr>
            <w:tcW w:w="1136" w:type="dxa"/>
            <w:tcBorders>
              <w:bottom w:val="single" w:sz="4" w:space="0" w:color="auto"/>
            </w:tcBorders>
            <w:shd w:val="clear" w:color="auto" w:fill="auto"/>
          </w:tcPr>
          <w:p w14:paraId="28D9F19C" w14:textId="77777777" w:rsidR="006D1CD4" w:rsidRDefault="006D1CD4" w:rsidP="005455F2">
            <w:pPr>
              <w:keepNext/>
              <w:keepLines/>
              <w:spacing w:after="0" w:line="240" w:lineRule="auto"/>
              <w:jc w:val="center"/>
              <w:rPr>
                <w:b/>
                <w:sz w:val="14"/>
                <w:szCs w:val="14"/>
              </w:rPr>
            </w:pPr>
            <w:r>
              <w:rPr>
                <w:b/>
                <w:sz w:val="14"/>
                <w:szCs w:val="14"/>
              </w:rPr>
              <w:t>10</w:t>
            </w:r>
          </w:p>
        </w:tc>
        <w:tc>
          <w:tcPr>
            <w:tcW w:w="2354" w:type="dxa"/>
            <w:tcBorders>
              <w:bottom w:val="single" w:sz="4" w:space="0" w:color="auto"/>
            </w:tcBorders>
            <w:shd w:val="clear" w:color="auto" w:fill="auto"/>
          </w:tcPr>
          <w:p w14:paraId="4C16BF7E" w14:textId="77777777" w:rsidR="006D1CD4" w:rsidRDefault="006D1CD4" w:rsidP="005455F2">
            <w:pPr>
              <w:keepNext/>
              <w:keepLines/>
              <w:spacing w:after="0" w:line="240" w:lineRule="auto"/>
              <w:jc w:val="center"/>
              <w:rPr>
                <w:b/>
                <w:sz w:val="14"/>
                <w:szCs w:val="14"/>
              </w:rPr>
            </w:pPr>
            <w:r>
              <w:rPr>
                <w:b/>
                <w:sz w:val="14"/>
                <w:szCs w:val="14"/>
              </w:rPr>
              <w:t>11</w:t>
            </w:r>
          </w:p>
        </w:tc>
      </w:tr>
      <w:tr w:rsidR="00302CE0" w14:paraId="274443B6" w14:textId="77777777" w:rsidTr="00D31A2E">
        <w:tc>
          <w:tcPr>
            <w:tcW w:w="1111" w:type="dxa"/>
            <w:shd w:val="clear" w:color="auto" w:fill="auto"/>
          </w:tcPr>
          <w:p w14:paraId="00999494" w14:textId="50CF6023" w:rsidR="00302CE0" w:rsidRDefault="00BC3BEE" w:rsidP="005455F2">
            <w:pPr>
              <w:spacing w:after="0" w:line="240" w:lineRule="auto"/>
              <w:jc w:val="left"/>
              <w:rPr>
                <w:rFonts w:eastAsia="Verdana" w:cs="Verdana"/>
                <w:sz w:val="14"/>
                <w:szCs w:val="14"/>
              </w:rPr>
            </w:pPr>
            <w:r>
              <w:rPr>
                <w:rFonts w:eastAsia="Verdana" w:cs="Verdana"/>
                <w:sz w:val="14"/>
                <w:szCs w:val="14"/>
              </w:rPr>
              <w:t>United States (Cont'd)</w:t>
            </w:r>
          </w:p>
        </w:tc>
        <w:tc>
          <w:tcPr>
            <w:tcW w:w="1418" w:type="dxa"/>
            <w:shd w:val="clear" w:color="auto" w:fill="auto"/>
          </w:tcPr>
          <w:p w14:paraId="1EE5B4C1" w14:textId="77777777" w:rsidR="00302CE0" w:rsidRDefault="00302CE0" w:rsidP="005455F2">
            <w:pPr>
              <w:spacing w:after="0" w:line="240" w:lineRule="auto"/>
              <w:jc w:val="left"/>
              <w:rPr>
                <w:rFonts w:eastAsia="Verdana" w:cs="Verdana"/>
                <w:sz w:val="14"/>
                <w:szCs w:val="14"/>
              </w:rPr>
            </w:pPr>
          </w:p>
        </w:tc>
        <w:tc>
          <w:tcPr>
            <w:tcW w:w="1276" w:type="dxa"/>
            <w:shd w:val="clear" w:color="auto" w:fill="auto"/>
          </w:tcPr>
          <w:p w14:paraId="6D54126C" w14:textId="77777777" w:rsidR="00302CE0" w:rsidRDefault="00302CE0" w:rsidP="005455F2">
            <w:pPr>
              <w:spacing w:after="0" w:line="240" w:lineRule="auto"/>
              <w:jc w:val="center"/>
              <w:rPr>
                <w:rFonts w:eastAsia="Verdana" w:cs="Verdana"/>
                <w:sz w:val="14"/>
                <w:szCs w:val="14"/>
              </w:rPr>
            </w:pPr>
          </w:p>
        </w:tc>
        <w:tc>
          <w:tcPr>
            <w:tcW w:w="1417" w:type="dxa"/>
            <w:shd w:val="clear" w:color="auto" w:fill="auto"/>
          </w:tcPr>
          <w:p w14:paraId="4D53BB6C" w14:textId="77777777" w:rsidR="00302CE0" w:rsidRDefault="00302CE0" w:rsidP="005455F2">
            <w:pPr>
              <w:spacing w:after="0" w:line="240" w:lineRule="auto"/>
              <w:jc w:val="center"/>
              <w:rPr>
                <w:rFonts w:eastAsia="Verdana" w:cs="Verdana"/>
                <w:sz w:val="14"/>
                <w:szCs w:val="14"/>
              </w:rPr>
            </w:pPr>
          </w:p>
        </w:tc>
        <w:tc>
          <w:tcPr>
            <w:tcW w:w="1134" w:type="dxa"/>
            <w:shd w:val="clear" w:color="auto" w:fill="auto"/>
          </w:tcPr>
          <w:p w14:paraId="2049FBF9" w14:textId="77777777" w:rsidR="00302CE0" w:rsidRDefault="00302CE0" w:rsidP="005455F2">
            <w:pPr>
              <w:spacing w:after="0" w:line="240" w:lineRule="auto"/>
              <w:jc w:val="center"/>
              <w:rPr>
                <w:b/>
                <w:sz w:val="14"/>
                <w:szCs w:val="14"/>
              </w:rPr>
            </w:pPr>
          </w:p>
        </w:tc>
        <w:tc>
          <w:tcPr>
            <w:tcW w:w="1134" w:type="dxa"/>
            <w:shd w:val="clear" w:color="auto" w:fill="auto"/>
          </w:tcPr>
          <w:p w14:paraId="51543BD9" w14:textId="77777777" w:rsidR="00302CE0" w:rsidRDefault="00302CE0" w:rsidP="005455F2">
            <w:pPr>
              <w:spacing w:after="0" w:line="240" w:lineRule="auto"/>
              <w:jc w:val="center"/>
              <w:rPr>
                <w:b/>
                <w:sz w:val="14"/>
                <w:szCs w:val="14"/>
              </w:rPr>
            </w:pPr>
          </w:p>
        </w:tc>
        <w:tc>
          <w:tcPr>
            <w:tcW w:w="1276" w:type="dxa"/>
            <w:shd w:val="clear" w:color="auto" w:fill="auto"/>
          </w:tcPr>
          <w:p w14:paraId="2788DD1C" w14:textId="77777777" w:rsidR="00302CE0" w:rsidRDefault="00302CE0" w:rsidP="005455F2">
            <w:pPr>
              <w:spacing w:after="0" w:line="240" w:lineRule="auto"/>
              <w:jc w:val="center"/>
              <w:rPr>
                <w:rFonts w:eastAsia="Verdana" w:cs="Verdana"/>
                <w:sz w:val="14"/>
                <w:szCs w:val="14"/>
              </w:rPr>
            </w:pPr>
          </w:p>
        </w:tc>
        <w:tc>
          <w:tcPr>
            <w:tcW w:w="1134" w:type="dxa"/>
            <w:shd w:val="clear" w:color="auto" w:fill="auto"/>
          </w:tcPr>
          <w:p w14:paraId="48973684" w14:textId="77777777" w:rsidR="00302CE0" w:rsidRDefault="00302CE0" w:rsidP="005455F2">
            <w:pPr>
              <w:kinsoku w:val="0"/>
              <w:spacing w:after="0" w:line="240" w:lineRule="auto"/>
              <w:jc w:val="center"/>
              <w:rPr>
                <w:sz w:val="14"/>
                <w:szCs w:val="14"/>
                <w:lang w:eastAsia="en-GB"/>
              </w:rPr>
            </w:pPr>
          </w:p>
        </w:tc>
        <w:tc>
          <w:tcPr>
            <w:tcW w:w="1134" w:type="dxa"/>
            <w:shd w:val="clear" w:color="auto" w:fill="auto"/>
          </w:tcPr>
          <w:p w14:paraId="6C133A65" w14:textId="77777777" w:rsidR="00302CE0" w:rsidRDefault="00302CE0" w:rsidP="005455F2">
            <w:pPr>
              <w:spacing w:after="0" w:line="240" w:lineRule="auto"/>
              <w:jc w:val="center"/>
              <w:rPr>
                <w:rFonts w:eastAsia="Verdana" w:cs="Verdana"/>
                <w:sz w:val="14"/>
                <w:szCs w:val="14"/>
              </w:rPr>
            </w:pPr>
          </w:p>
        </w:tc>
        <w:tc>
          <w:tcPr>
            <w:tcW w:w="1136" w:type="dxa"/>
            <w:shd w:val="clear" w:color="auto" w:fill="auto"/>
          </w:tcPr>
          <w:p w14:paraId="38B429BB" w14:textId="77777777" w:rsidR="00302CE0" w:rsidRDefault="00302CE0" w:rsidP="005455F2">
            <w:pPr>
              <w:spacing w:after="0" w:line="240" w:lineRule="auto"/>
              <w:jc w:val="center"/>
              <w:rPr>
                <w:rFonts w:eastAsia="Verdana" w:cs="Verdana"/>
                <w:sz w:val="14"/>
                <w:szCs w:val="14"/>
              </w:rPr>
            </w:pPr>
          </w:p>
        </w:tc>
        <w:tc>
          <w:tcPr>
            <w:tcW w:w="2354" w:type="dxa"/>
            <w:shd w:val="clear" w:color="auto" w:fill="auto"/>
          </w:tcPr>
          <w:p w14:paraId="72B1BA48" w14:textId="30D0BAA5" w:rsidR="00302CE0" w:rsidRPr="005519C5" w:rsidRDefault="00B42867" w:rsidP="005455F2">
            <w:pPr>
              <w:spacing w:after="0" w:line="240" w:lineRule="auto"/>
              <w:jc w:val="left"/>
              <w:rPr>
                <w:color w:val="000000" w:themeColor="text1"/>
                <w:sz w:val="14"/>
                <w:szCs w:val="14"/>
                <w:lang w:eastAsia="zh-CN"/>
              </w:rPr>
            </w:pPr>
            <w:r w:rsidRPr="005519C5">
              <w:rPr>
                <w:color w:val="000000" w:themeColor="text1"/>
                <w:sz w:val="14"/>
                <w:szCs w:val="14"/>
                <w:lang w:eastAsia="zh-CN"/>
              </w:rPr>
              <w:t>Reduced Severance Tax on Incapable Oil Well Gas; Reduced Severance Tax on Incapable Gas Well Gas; Oil Deduction Severance Tax on Transportation Fees; Severance Tax Suspension on Oil from Horizontal Wells; Severance Tax Suspension on Oil from Inactive Wells; Severance Tax Suspension on Oil from Deep Wells; Severance Tax Suspension on Oil from Tertiary Recovery; Reduced Severance Tax Rate on Incapable Oil Wells;</w:t>
            </w:r>
            <w:r w:rsidR="006D1CD4">
              <w:rPr>
                <w:color w:val="000000" w:themeColor="text1"/>
                <w:sz w:val="14"/>
                <w:szCs w:val="14"/>
                <w:lang w:eastAsia="zh-CN"/>
              </w:rPr>
              <w:t xml:space="preserve"> </w:t>
            </w:r>
            <w:r w:rsidRPr="005519C5">
              <w:rPr>
                <w:color w:val="000000" w:themeColor="text1"/>
                <w:sz w:val="14"/>
                <w:szCs w:val="14"/>
                <w:lang w:eastAsia="zh-CN"/>
              </w:rPr>
              <w:t xml:space="preserve">Reduced Severance Tax Rate on Oil from Stripper Wells; Severance Tax Exclusion on Flared or Vented Natural Gas; Severance Tax Exclusion for Natural Gas Used in Field Operations; Gas Gross Production Tax Exemptions and Oil Extraction Tax Exemptions/Reduced Tax Rate for Certain Wells Outside the Bakken and Three Forks Region; Sales Tax Exemption for Oil/Sales Tax Exemption for CO2 Used for Enhanced Oil Recovery/Sales Tax Exemption for Natural Gas; Sales Tax Exemption for Electricity Used in Enhanced Oil Recovery; Cost of Complying with Sulphur Regulations; Full Expensing of Capital Investments in Qualified New Refinery Capacity; Gross Production Tax Rebate for Re-established Production; </w:t>
            </w:r>
          </w:p>
        </w:tc>
      </w:tr>
      <w:tr w:rsidR="00BC3BEE" w14:paraId="10D2EBEA" w14:textId="77777777" w:rsidTr="00D31A2E">
        <w:tc>
          <w:tcPr>
            <w:tcW w:w="1111" w:type="dxa"/>
            <w:tcBorders>
              <w:bottom w:val="single" w:sz="4" w:space="0" w:color="auto"/>
            </w:tcBorders>
            <w:shd w:val="clear" w:color="auto" w:fill="auto"/>
          </w:tcPr>
          <w:p w14:paraId="34F199FB" w14:textId="77777777" w:rsidR="00BC3BEE" w:rsidRDefault="00BC3BEE" w:rsidP="005455F2">
            <w:pPr>
              <w:keepNext/>
              <w:keepLines/>
              <w:spacing w:after="0" w:line="240" w:lineRule="auto"/>
              <w:jc w:val="center"/>
              <w:rPr>
                <w:b/>
                <w:sz w:val="14"/>
                <w:szCs w:val="14"/>
              </w:rPr>
            </w:pPr>
            <w:r>
              <w:rPr>
                <w:b/>
                <w:sz w:val="14"/>
                <w:szCs w:val="14"/>
              </w:rPr>
              <w:lastRenderedPageBreak/>
              <w:t>1</w:t>
            </w:r>
          </w:p>
        </w:tc>
        <w:tc>
          <w:tcPr>
            <w:tcW w:w="1418" w:type="dxa"/>
            <w:tcBorders>
              <w:bottom w:val="single" w:sz="4" w:space="0" w:color="auto"/>
            </w:tcBorders>
            <w:shd w:val="clear" w:color="auto" w:fill="auto"/>
          </w:tcPr>
          <w:p w14:paraId="33AD1371" w14:textId="77777777" w:rsidR="00BC3BEE" w:rsidRDefault="00BC3BEE" w:rsidP="005455F2">
            <w:pPr>
              <w:keepNext/>
              <w:keepLines/>
              <w:spacing w:after="0" w:line="240" w:lineRule="auto"/>
              <w:jc w:val="center"/>
              <w:rPr>
                <w:b/>
                <w:sz w:val="14"/>
                <w:szCs w:val="14"/>
              </w:rPr>
            </w:pPr>
            <w:r>
              <w:rPr>
                <w:b/>
                <w:sz w:val="14"/>
                <w:szCs w:val="14"/>
              </w:rPr>
              <w:t>2</w:t>
            </w:r>
          </w:p>
        </w:tc>
        <w:tc>
          <w:tcPr>
            <w:tcW w:w="1276" w:type="dxa"/>
            <w:tcBorders>
              <w:bottom w:val="single" w:sz="4" w:space="0" w:color="auto"/>
            </w:tcBorders>
            <w:shd w:val="clear" w:color="auto" w:fill="auto"/>
          </w:tcPr>
          <w:p w14:paraId="11CFA70D" w14:textId="77777777" w:rsidR="00BC3BEE" w:rsidRDefault="00BC3BEE" w:rsidP="005455F2">
            <w:pPr>
              <w:keepNext/>
              <w:keepLines/>
              <w:spacing w:after="0" w:line="240" w:lineRule="auto"/>
              <w:jc w:val="center"/>
              <w:rPr>
                <w:b/>
                <w:sz w:val="14"/>
                <w:szCs w:val="14"/>
              </w:rPr>
            </w:pPr>
            <w:r>
              <w:rPr>
                <w:b/>
                <w:sz w:val="14"/>
                <w:szCs w:val="14"/>
              </w:rPr>
              <w:t>3</w:t>
            </w:r>
          </w:p>
        </w:tc>
        <w:tc>
          <w:tcPr>
            <w:tcW w:w="1417" w:type="dxa"/>
            <w:tcBorders>
              <w:bottom w:val="single" w:sz="4" w:space="0" w:color="auto"/>
            </w:tcBorders>
            <w:shd w:val="clear" w:color="auto" w:fill="auto"/>
          </w:tcPr>
          <w:p w14:paraId="66485EC2" w14:textId="77777777" w:rsidR="00BC3BEE" w:rsidRDefault="00BC3BEE" w:rsidP="005455F2">
            <w:pPr>
              <w:keepNext/>
              <w:keepLines/>
              <w:spacing w:after="0" w:line="240" w:lineRule="auto"/>
              <w:jc w:val="center"/>
              <w:rPr>
                <w:b/>
                <w:sz w:val="14"/>
                <w:szCs w:val="14"/>
              </w:rPr>
            </w:pPr>
            <w:r>
              <w:rPr>
                <w:b/>
                <w:sz w:val="14"/>
                <w:szCs w:val="14"/>
              </w:rPr>
              <w:t>4</w:t>
            </w:r>
          </w:p>
        </w:tc>
        <w:tc>
          <w:tcPr>
            <w:tcW w:w="1134" w:type="dxa"/>
            <w:tcBorders>
              <w:bottom w:val="single" w:sz="4" w:space="0" w:color="auto"/>
            </w:tcBorders>
            <w:shd w:val="clear" w:color="auto" w:fill="auto"/>
          </w:tcPr>
          <w:p w14:paraId="01682BCC" w14:textId="77777777" w:rsidR="00BC3BEE" w:rsidRDefault="00BC3BEE" w:rsidP="005455F2">
            <w:pPr>
              <w:keepNext/>
              <w:keepLines/>
              <w:spacing w:after="0" w:line="240" w:lineRule="auto"/>
              <w:jc w:val="center"/>
              <w:rPr>
                <w:b/>
                <w:sz w:val="14"/>
                <w:szCs w:val="14"/>
              </w:rPr>
            </w:pPr>
            <w:r>
              <w:rPr>
                <w:b/>
                <w:sz w:val="14"/>
                <w:szCs w:val="14"/>
              </w:rPr>
              <w:t>5</w:t>
            </w:r>
          </w:p>
        </w:tc>
        <w:tc>
          <w:tcPr>
            <w:tcW w:w="1134" w:type="dxa"/>
            <w:tcBorders>
              <w:bottom w:val="single" w:sz="4" w:space="0" w:color="auto"/>
            </w:tcBorders>
            <w:shd w:val="clear" w:color="auto" w:fill="auto"/>
          </w:tcPr>
          <w:p w14:paraId="1464D321" w14:textId="77777777" w:rsidR="00BC3BEE" w:rsidRDefault="00BC3BEE" w:rsidP="005455F2">
            <w:pPr>
              <w:keepNext/>
              <w:keepLines/>
              <w:spacing w:after="0" w:line="240" w:lineRule="auto"/>
              <w:jc w:val="center"/>
              <w:rPr>
                <w:b/>
                <w:sz w:val="14"/>
                <w:szCs w:val="14"/>
              </w:rPr>
            </w:pPr>
            <w:r>
              <w:rPr>
                <w:b/>
                <w:sz w:val="14"/>
                <w:szCs w:val="14"/>
              </w:rPr>
              <w:t>6</w:t>
            </w:r>
          </w:p>
        </w:tc>
        <w:tc>
          <w:tcPr>
            <w:tcW w:w="1276" w:type="dxa"/>
            <w:tcBorders>
              <w:bottom w:val="single" w:sz="4" w:space="0" w:color="auto"/>
            </w:tcBorders>
            <w:shd w:val="clear" w:color="auto" w:fill="auto"/>
          </w:tcPr>
          <w:p w14:paraId="7B045E4B" w14:textId="77777777" w:rsidR="00BC3BEE" w:rsidRDefault="00BC3BEE" w:rsidP="005455F2">
            <w:pPr>
              <w:keepNext/>
              <w:keepLines/>
              <w:spacing w:after="0" w:line="240" w:lineRule="auto"/>
              <w:jc w:val="center"/>
              <w:rPr>
                <w:b/>
                <w:sz w:val="14"/>
                <w:szCs w:val="14"/>
              </w:rPr>
            </w:pPr>
            <w:r>
              <w:rPr>
                <w:b/>
                <w:sz w:val="14"/>
                <w:szCs w:val="14"/>
              </w:rPr>
              <w:t>7</w:t>
            </w:r>
          </w:p>
        </w:tc>
        <w:tc>
          <w:tcPr>
            <w:tcW w:w="1134" w:type="dxa"/>
            <w:tcBorders>
              <w:bottom w:val="single" w:sz="4" w:space="0" w:color="auto"/>
            </w:tcBorders>
            <w:shd w:val="clear" w:color="auto" w:fill="auto"/>
          </w:tcPr>
          <w:p w14:paraId="71A26F9F" w14:textId="77777777" w:rsidR="00BC3BEE" w:rsidRDefault="00BC3BEE" w:rsidP="005455F2">
            <w:pPr>
              <w:keepNext/>
              <w:keepLines/>
              <w:spacing w:after="0" w:line="240" w:lineRule="auto"/>
              <w:jc w:val="center"/>
              <w:rPr>
                <w:b/>
                <w:sz w:val="14"/>
                <w:szCs w:val="14"/>
              </w:rPr>
            </w:pPr>
            <w:r>
              <w:rPr>
                <w:b/>
                <w:sz w:val="14"/>
                <w:szCs w:val="14"/>
              </w:rPr>
              <w:t>8</w:t>
            </w:r>
          </w:p>
        </w:tc>
        <w:tc>
          <w:tcPr>
            <w:tcW w:w="1134" w:type="dxa"/>
            <w:tcBorders>
              <w:bottom w:val="single" w:sz="4" w:space="0" w:color="auto"/>
            </w:tcBorders>
            <w:shd w:val="clear" w:color="auto" w:fill="auto"/>
          </w:tcPr>
          <w:p w14:paraId="7FA11F78" w14:textId="77777777" w:rsidR="00BC3BEE" w:rsidRDefault="00BC3BEE" w:rsidP="005455F2">
            <w:pPr>
              <w:keepNext/>
              <w:keepLines/>
              <w:spacing w:after="0" w:line="240" w:lineRule="auto"/>
              <w:jc w:val="center"/>
              <w:rPr>
                <w:b/>
                <w:sz w:val="14"/>
                <w:szCs w:val="14"/>
              </w:rPr>
            </w:pPr>
            <w:r>
              <w:rPr>
                <w:b/>
                <w:sz w:val="14"/>
                <w:szCs w:val="14"/>
              </w:rPr>
              <w:t>9</w:t>
            </w:r>
          </w:p>
        </w:tc>
        <w:tc>
          <w:tcPr>
            <w:tcW w:w="1136" w:type="dxa"/>
            <w:tcBorders>
              <w:bottom w:val="single" w:sz="4" w:space="0" w:color="auto"/>
            </w:tcBorders>
            <w:shd w:val="clear" w:color="auto" w:fill="auto"/>
          </w:tcPr>
          <w:p w14:paraId="63413068" w14:textId="77777777" w:rsidR="00BC3BEE" w:rsidRDefault="00BC3BEE" w:rsidP="005455F2">
            <w:pPr>
              <w:keepNext/>
              <w:keepLines/>
              <w:spacing w:after="0" w:line="240" w:lineRule="auto"/>
              <w:jc w:val="center"/>
              <w:rPr>
                <w:b/>
                <w:sz w:val="14"/>
                <w:szCs w:val="14"/>
              </w:rPr>
            </w:pPr>
            <w:r>
              <w:rPr>
                <w:b/>
                <w:sz w:val="14"/>
                <w:szCs w:val="14"/>
              </w:rPr>
              <w:t>10</w:t>
            </w:r>
          </w:p>
        </w:tc>
        <w:tc>
          <w:tcPr>
            <w:tcW w:w="2354" w:type="dxa"/>
            <w:tcBorders>
              <w:bottom w:val="single" w:sz="4" w:space="0" w:color="auto"/>
            </w:tcBorders>
            <w:shd w:val="clear" w:color="auto" w:fill="auto"/>
          </w:tcPr>
          <w:p w14:paraId="56EB02B0" w14:textId="77777777" w:rsidR="00BC3BEE" w:rsidRDefault="00BC3BEE" w:rsidP="005455F2">
            <w:pPr>
              <w:keepNext/>
              <w:keepLines/>
              <w:spacing w:after="0" w:line="240" w:lineRule="auto"/>
              <w:jc w:val="center"/>
              <w:rPr>
                <w:b/>
                <w:sz w:val="14"/>
                <w:szCs w:val="14"/>
              </w:rPr>
            </w:pPr>
            <w:r>
              <w:rPr>
                <w:b/>
                <w:sz w:val="14"/>
                <w:szCs w:val="14"/>
              </w:rPr>
              <w:t>11</w:t>
            </w:r>
          </w:p>
        </w:tc>
      </w:tr>
      <w:tr w:rsidR="00302CE0" w14:paraId="5A438C0C" w14:textId="77777777" w:rsidTr="00D31A2E">
        <w:trPr>
          <w:trHeight w:val="1770"/>
        </w:trPr>
        <w:tc>
          <w:tcPr>
            <w:tcW w:w="1111" w:type="dxa"/>
            <w:tcBorders>
              <w:bottom w:val="nil"/>
            </w:tcBorders>
            <w:shd w:val="clear" w:color="auto" w:fill="auto"/>
          </w:tcPr>
          <w:p w14:paraId="00E651CC" w14:textId="090A0F6C" w:rsidR="00302CE0" w:rsidRDefault="00BC3BEE" w:rsidP="005455F2">
            <w:pPr>
              <w:spacing w:after="0" w:line="240" w:lineRule="auto"/>
              <w:jc w:val="left"/>
              <w:rPr>
                <w:rFonts w:eastAsia="Verdana" w:cs="Verdana"/>
                <w:sz w:val="14"/>
                <w:szCs w:val="14"/>
              </w:rPr>
            </w:pPr>
            <w:r>
              <w:rPr>
                <w:rFonts w:eastAsia="Verdana" w:cs="Verdana"/>
                <w:sz w:val="14"/>
                <w:szCs w:val="14"/>
              </w:rPr>
              <w:t>United States (Cont'd)</w:t>
            </w:r>
          </w:p>
        </w:tc>
        <w:tc>
          <w:tcPr>
            <w:tcW w:w="1418" w:type="dxa"/>
            <w:shd w:val="clear" w:color="auto" w:fill="auto"/>
          </w:tcPr>
          <w:p w14:paraId="1EDCA6D3" w14:textId="77777777" w:rsidR="00302CE0" w:rsidRDefault="00302CE0" w:rsidP="005455F2">
            <w:pPr>
              <w:spacing w:after="0" w:line="240" w:lineRule="auto"/>
              <w:jc w:val="left"/>
              <w:rPr>
                <w:rFonts w:eastAsia="Verdana" w:cs="Verdana"/>
                <w:sz w:val="14"/>
                <w:szCs w:val="14"/>
              </w:rPr>
            </w:pPr>
          </w:p>
        </w:tc>
        <w:tc>
          <w:tcPr>
            <w:tcW w:w="1276" w:type="dxa"/>
            <w:shd w:val="clear" w:color="auto" w:fill="auto"/>
          </w:tcPr>
          <w:p w14:paraId="11F8AA79" w14:textId="77777777" w:rsidR="00302CE0" w:rsidRDefault="00302CE0" w:rsidP="005455F2">
            <w:pPr>
              <w:spacing w:after="0" w:line="240" w:lineRule="auto"/>
              <w:jc w:val="center"/>
              <w:rPr>
                <w:rFonts w:eastAsia="Verdana" w:cs="Verdana"/>
                <w:sz w:val="14"/>
                <w:szCs w:val="14"/>
              </w:rPr>
            </w:pPr>
          </w:p>
        </w:tc>
        <w:tc>
          <w:tcPr>
            <w:tcW w:w="1417" w:type="dxa"/>
            <w:shd w:val="clear" w:color="auto" w:fill="auto"/>
          </w:tcPr>
          <w:p w14:paraId="0BB09D51" w14:textId="77777777" w:rsidR="00302CE0" w:rsidRDefault="00302CE0" w:rsidP="005455F2">
            <w:pPr>
              <w:spacing w:after="0" w:line="240" w:lineRule="auto"/>
              <w:jc w:val="center"/>
              <w:rPr>
                <w:rFonts w:eastAsia="Verdana" w:cs="Verdana"/>
                <w:sz w:val="14"/>
                <w:szCs w:val="14"/>
              </w:rPr>
            </w:pPr>
          </w:p>
        </w:tc>
        <w:tc>
          <w:tcPr>
            <w:tcW w:w="1134" w:type="dxa"/>
            <w:shd w:val="clear" w:color="auto" w:fill="auto"/>
          </w:tcPr>
          <w:p w14:paraId="118FF4D9" w14:textId="77777777" w:rsidR="00302CE0" w:rsidRDefault="00302CE0" w:rsidP="005455F2">
            <w:pPr>
              <w:spacing w:after="0" w:line="240" w:lineRule="auto"/>
              <w:jc w:val="center"/>
              <w:rPr>
                <w:b/>
                <w:sz w:val="14"/>
                <w:szCs w:val="14"/>
              </w:rPr>
            </w:pPr>
          </w:p>
        </w:tc>
        <w:tc>
          <w:tcPr>
            <w:tcW w:w="1134" w:type="dxa"/>
            <w:shd w:val="clear" w:color="auto" w:fill="auto"/>
          </w:tcPr>
          <w:p w14:paraId="5AB0DE71" w14:textId="77777777" w:rsidR="00302CE0" w:rsidRDefault="00302CE0" w:rsidP="005455F2">
            <w:pPr>
              <w:spacing w:after="0" w:line="240" w:lineRule="auto"/>
              <w:jc w:val="center"/>
              <w:rPr>
                <w:b/>
                <w:sz w:val="14"/>
                <w:szCs w:val="14"/>
              </w:rPr>
            </w:pPr>
          </w:p>
        </w:tc>
        <w:tc>
          <w:tcPr>
            <w:tcW w:w="1276" w:type="dxa"/>
            <w:shd w:val="clear" w:color="auto" w:fill="auto"/>
          </w:tcPr>
          <w:p w14:paraId="4E5280AF" w14:textId="77777777" w:rsidR="00302CE0" w:rsidRDefault="00302CE0" w:rsidP="005455F2">
            <w:pPr>
              <w:spacing w:after="0" w:line="240" w:lineRule="auto"/>
              <w:jc w:val="center"/>
              <w:rPr>
                <w:rFonts w:eastAsia="Verdana" w:cs="Verdana"/>
                <w:sz w:val="14"/>
                <w:szCs w:val="14"/>
              </w:rPr>
            </w:pPr>
          </w:p>
        </w:tc>
        <w:tc>
          <w:tcPr>
            <w:tcW w:w="1134" w:type="dxa"/>
            <w:shd w:val="clear" w:color="auto" w:fill="auto"/>
          </w:tcPr>
          <w:p w14:paraId="4E1FA3D2" w14:textId="77777777" w:rsidR="00302CE0" w:rsidRDefault="00302CE0" w:rsidP="005455F2">
            <w:pPr>
              <w:kinsoku w:val="0"/>
              <w:spacing w:after="0" w:line="240" w:lineRule="auto"/>
              <w:jc w:val="center"/>
              <w:rPr>
                <w:sz w:val="14"/>
                <w:szCs w:val="14"/>
                <w:lang w:eastAsia="en-GB"/>
              </w:rPr>
            </w:pPr>
          </w:p>
        </w:tc>
        <w:tc>
          <w:tcPr>
            <w:tcW w:w="1134" w:type="dxa"/>
            <w:shd w:val="clear" w:color="auto" w:fill="auto"/>
          </w:tcPr>
          <w:p w14:paraId="2EDC9EDC" w14:textId="77777777" w:rsidR="00302CE0" w:rsidRDefault="00302CE0" w:rsidP="005455F2">
            <w:pPr>
              <w:spacing w:after="0" w:line="240" w:lineRule="auto"/>
              <w:jc w:val="center"/>
              <w:rPr>
                <w:rFonts w:eastAsia="Verdana" w:cs="Verdana"/>
                <w:sz w:val="14"/>
                <w:szCs w:val="14"/>
              </w:rPr>
            </w:pPr>
          </w:p>
        </w:tc>
        <w:tc>
          <w:tcPr>
            <w:tcW w:w="1136" w:type="dxa"/>
            <w:shd w:val="clear" w:color="auto" w:fill="auto"/>
          </w:tcPr>
          <w:p w14:paraId="60C72327" w14:textId="77777777" w:rsidR="00302CE0" w:rsidRDefault="00302CE0" w:rsidP="005455F2">
            <w:pPr>
              <w:spacing w:after="0" w:line="240" w:lineRule="auto"/>
              <w:jc w:val="center"/>
              <w:rPr>
                <w:rFonts w:eastAsia="Verdana" w:cs="Verdana"/>
                <w:sz w:val="14"/>
                <w:szCs w:val="14"/>
              </w:rPr>
            </w:pPr>
          </w:p>
        </w:tc>
        <w:tc>
          <w:tcPr>
            <w:tcW w:w="2354" w:type="dxa"/>
            <w:shd w:val="clear" w:color="auto" w:fill="auto"/>
          </w:tcPr>
          <w:p w14:paraId="26D293C1" w14:textId="5F235984" w:rsidR="00B42867" w:rsidRPr="005519C5" w:rsidRDefault="006D1CD4" w:rsidP="004F649C">
            <w:pPr>
              <w:spacing w:after="0" w:line="240" w:lineRule="auto"/>
              <w:jc w:val="left"/>
              <w:rPr>
                <w:color w:val="000000" w:themeColor="text1"/>
                <w:sz w:val="14"/>
                <w:szCs w:val="14"/>
                <w:lang w:eastAsia="zh-CN"/>
              </w:rPr>
            </w:pPr>
            <w:r w:rsidRPr="005519C5">
              <w:rPr>
                <w:color w:val="000000" w:themeColor="text1"/>
                <w:sz w:val="14"/>
                <w:szCs w:val="14"/>
                <w:lang w:eastAsia="zh-CN"/>
              </w:rPr>
              <w:t xml:space="preserve">Gross Production Tax Rebate for Production Enhancement/Enhanced Oil Recovery Deduction; Realty-Transfer Tax Exemption for Resource Leases; Sales Tax Exemption for Oil and Gas Equipment; </w:t>
            </w:r>
            <w:r w:rsidR="00B42867" w:rsidRPr="005519C5">
              <w:rPr>
                <w:color w:val="000000" w:themeColor="text1"/>
                <w:sz w:val="14"/>
                <w:szCs w:val="14"/>
                <w:lang w:eastAsia="zh-CN"/>
              </w:rPr>
              <w:t>Severance Tax Exemptions for Crude Oil and Natural Gas/Texas Shale Gas Production Tax Relief; Sales-Tax Exemption for Transporting Drilling Rigs/Sales-Tax Exemption for Certain Well Services/Sales-Tax Exemption for CO2 Used in Tertiary Production.</w:t>
            </w:r>
          </w:p>
          <w:p w14:paraId="777B1619" w14:textId="77777777" w:rsidR="00B42867" w:rsidRPr="005519C5" w:rsidRDefault="00B42867" w:rsidP="005455F2">
            <w:pPr>
              <w:spacing w:after="0" w:line="240" w:lineRule="auto"/>
              <w:jc w:val="left"/>
              <w:rPr>
                <w:color w:val="000000" w:themeColor="text1"/>
                <w:sz w:val="14"/>
                <w:szCs w:val="14"/>
                <w:lang w:eastAsia="zh-CN"/>
              </w:rPr>
            </w:pPr>
            <w:r w:rsidRPr="005519C5">
              <w:rPr>
                <w:color w:val="000000" w:themeColor="text1"/>
                <w:sz w:val="14"/>
                <w:szCs w:val="14"/>
                <w:lang w:eastAsia="zh-CN"/>
              </w:rPr>
              <w:t>2. Direct subsidies</w:t>
            </w:r>
          </w:p>
          <w:p w14:paraId="529C8913" w14:textId="480BA5C2" w:rsidR="00302CE0" w:rsidRPr="005519C5" w:rsidRDefault="00B42867" w:rsidP="005455F2">
            <w:pPr>
              <w:spacing w:after="0" w:line="240" w:lineRule="auto"/>
              <w:jc w:val="left"/>
              <w:rPr>
                <w:color w:val="000000" w:themeColor="text1"/>
                <w:sz w:val="14"/>
                <w:szCs w:val="14"/>
                <w:lang w:eastAsia="zh-CN"/>
              </w:rPr>
            </w:pPr>
            <w:r w:rsidRPr="005519C5">
              <w:rPr>
                <w:color w:val="000000" w:themeColor="text1"/>
                <w:sz w:val="14"/>
                <w:szCs w:val="14"/>
                <w:lang w:eastAsia="zh-CN"/>
              </w:rPr>
              <w:t>Program of low-price power supply by the U.S. Government; Program of low-price water supply by the U.S. Government.</w:t>
            </w:r>
          </w:p>
        </w:tc>
      </w:tr>
      <w:tr w:rsidR="00BC3BEE" w14:paraId="7FEC5A7B" w14:textId="77777777" w:rsidTr="00D31A2E">
        <w:tc>
          <w:tcPr>
            <w:tcW w:w="1111" w:type="dxa"/>
            <w:tcBorders>
              <w:top w:val="nil"/>
              <w:bottom w:val="single" w:sz="4" w:space="0" w:color="auto"/>
            </w:tcBorders>
            <w:shd w:val="clear" w:color="auto" w:fill="auto"/>
          </w:tcPr>
          <w:p w14:paraId="754951EE" w14:textId="61FE570F" w:rsidR="00BC3BEE" w:rsidRDefault="00BC3BEE" w:rsidP="005455F2">
            <w:pPr>
              <w:spacing w:after="0" w:line="240" w:lineRule="auto"/>
              <w:jc w:val="left"/>
              <w:rPr>
                <w:rFonts w:eastAsia="Verdana" w:cs="Verdana"/>
                <w:sz w:val="14"/>
                <w:szCs w:val="14"/>
              </w:rPr>
            </w:pPr>
          </w:p>
        </w:tc>
        <w:tc>
          <w:tcPr>
            <w:tcW w:w="1418" w:type="dxa"/>
            <w:shd w:val="clear" w:color="auto" w:fill="auto"/>
          </w:tcPr>
          <w:p w14:paraId="18D90EF9" w14:textId="77777777" w:rsidR="00BC3BEE" w:rsidRDefault="00BC3BEE" w:rsidP="005455F2">
            <w:pPr>
              <w:spacing w:after="0" w:line="240" w:lineRule="auto"/>
              <w:jc w:val="left"/>
              <w:rPr>
                <w:rFonts w:eastAsia="Verdana" w:cs="Verdana"/>
                <w:sz w:val="14"/>
                <w:szCs w:val="14"/>
              </w:rPr>
            </w:pPr>
            <w:r>
              <w:rPr>
                <w:rFonts w:eastAsia="Verdana" w:cs="Verdana"/>
                <w:sz w:val="14"/>
                <w:szCs w:val="14"/>
              </w:rPr>
              <w:t xml:space="preserve">Certain </w:t>
            </w:r>
            <w:r w:rsidRPr="00CE1DBB">
              <w:rPr>
                <w:rFonts w:eastAsia="Verdana" w:cs="Verdana"/>
                <w:sz w:val="14"/>
                <w:szCs w:val="14"/>
                <w:lang w:val="en-US"/>
              </w:rPr>
              <w:t>monoalkyl</w:t>
            </w:r>
            <w:r>
              <w:rPr>
                <w:rFonts w:eastAsia="Verdana" w:cs="Verdana"/>
                <w:sz w:val="14"/>
                <w:szCs w:val="14"/>
              </w:rPr>
              <w:t xml:space="preserve"> ethers of ethylene glycol and propylene glycol</w:t>
            </w:r>
          </w:p>
          <w:p w14:paraId="5A203581" w14:textId="77777777" w:rsidR="00BC3BEE" w:rsidRDefault="00BC3BEE" w:rsidP="005455F2">
            <w:pPr>
              <w:spacing w:after="0" w:line="240" w:lineRule="auto"/>
              <w:jc w:val="left"/>
              <w:rPr>
                <w:rFonts w:eastAsia="Verdana" w:cs="Verdana"/>
                <w:sz w:val="14"/>
                <w:szCs w:val="14"/>
              </w:rPr>
            </w:pPr>
            <w:r>
              <w:rPr>
                <w:rFonts w:eastAsia="Verdana" w:cs="Verdana"/>
                <w:sz w:val="14"/>
                <w:szCs w:val="14"/>
              </w:rPr>
              <w:t>29094400, 29094990</w:t>
            </w:r>
          </w:p>
          <w:p w14:paraId="20B187E8" w14:textId="77777777" w:rsidR="00BC3BEE" w:rsidRDefault="00BC3BEE" w:rsidP="005455F2">
            <w:pPr>
              <w:spacing w:after="0" w:line="240" w:lineRule="auto"/>
              <w:jc w:val="left"/>
              <w:rPr>
                <w:rFonts w:eastAsia="Verdana" w:cs="Verdana"/>
                <w:sz w:val="14"/>
                <w:szCs w:val="14"/>
              </w:rPr>
            </w:pPr>
            <w:r>
              <w:rPr>
                <w:rFonts w:eastAsia="Verdana" w:cs="Verdana"/>
                <w:sz w:val="14"/>
                <w:szCs w:val="14"/>
              </w:rPr>
              <w:t>20-0003</w:t>
            </w:r>
          </w:p>
        </w:tc>
        <w:tc>
          <w:tcPr>
            <w:tcW w:w="1276" w:type="dxa"/>
            <w:shd w:val="clear" w:color="auto" w:fill="auto"/>
          </w:tcPr>
          <w:p w14:paraId="55B7944A" w14:textId="77777777" w:rsidR="00BC3BEE" w:rsidRDefault="00BC3BEE" w:rsidP="005455F2">
            <w:pPr>
              <w:spacing w:after="0" w:line="240" w:lineRule="auto"/>
              <w:jc w:val="center"/>
              <w:rPr>
                <w:rFonts w:eastAsia="Verdana" w:cs="Verdana"/>
                <w:sz w:val="14"/>
                <w:szCs w:val="14"/>
              </w:rPr>
            </w:pPr>
            <w:r>
              <w:rPr>
                <w:rFonts w:eastAsia="Verdana" w:cs="Verdana"/>
                <w:sz w:val="14"/>
                <w:szCs w:val="14"/>
              </w:rPr>
              <w:t>14.09.2020</w:t>
            </w:r>
          </w:p>
          <w:p w14:paraId="7EC0BFE2" w14:textId="77777777" w:rsidR="00BC3BEE" w:rsidRDefault="00BC3BEE" w:rsidP="005455F2">
            <w:pPr>
              <w:spacing w:after="0" w:line="240" w:lineRule="auto"/>
              <w:jc w:val="center"/>
              <w:rPr>
                <w:rFonts w:eastAsia="Verdana" w:cs="Verdana"/>
                <w:sz w:val="14"/>
                <w:szCs w:val="14"/>
              </w:rPr>
            </w:pPr>
            <w:r>
              <w:rPr>
                <w:rFonts w:eastAsia="Verdana" w:cs="Verdana"/>
                <w:sz w:val="14"/>
                <w:szCs w:val="14"/>
              </w:rPr>
              <w:t>S: 01.01.2019-31.12.2019</w:t>
            </w:r>
          </w:p>
          <w:p w14:paraId="438E3B9C" w14:textId="77777777" w:rsidR="00BC3BEE" w:rsidRDefault="00BC3BEE" w:rsidP="005455F2">
            <w:pPr>
              <w:spacing w:after="0" w:line="240" w:lineRule="auto"/>
              <w:jc w:val="center"/>
              <w:rPr>
                <w:rFonts w:eastAsia="Verdana" w:cs="Verdana"/>
                <w:sz w:val="14"/>
                <w:szCs w:val="14"/>
              </w:rPr>
            </w:pPr>
            <w:r>
              <w:rPr>
                <w:rFonts w:eastAsia="Verdana" w:cs="Verdana"/>
                <w:sz w:val="14"/>
                <w:szCs w:val="14"/>
              </w:rPr>
              <w:t>I: 01.01.2016-31.12.2019</w:t>
            </w:r>
          </w:p>
        </w:tc>
        <w:tc>
          <w:tcPr>
            <w:tcW w:w="1417" w:type="dxa"/>
            <w:shd w:val="clear" w:color="auto" w:fill="auto"/>
          </w:tcPr>
          <w:p w14:paraId="4291A8E9" w14:textId="77777777" w:rsidR="00BC3BEE" w:rsidRDefault="00BC3BEE" w:rsidP="005455F2">
            <w:pPr>
              <w:spacing w:after="0" w:line="240" w:lineRule="auto"/>
              <w:jc w:val="center"/>
              <w:rPr>
                <w:rFonts w:eastAsia="Verdana" w:cs="Verdana"/>
                <w:sz w:val="14"/>
                <w:szCs w:val="14"/>
              </w:rPr>
            </w:pPr>
            <w:r>
              <w:rPr>
                <w:rFonts w:eastAsia="Verdana" w:cs="Verdana"/>
                <w:sz w:val="14"/>
                <w:szCs w:val="14"/>
              </w:rPr>
              <w:t>Preliminary determination: 18.09.2021</w:t>
            </w:r>
          </w:p>
          <w:p w14:paraId="6909D94B" w14:textId="77777777" w:rsidR="00BC3BEE" w:rsidRDefault="00BC3BEE" w:rsidP="005455F2">
            <w:pPr>
              <w:spacing w:after="0" w:line="240" w:lineRule="auto"/>
              <w:jc w:val="center"/>
              <w:rPr>
                <w:sz w:val="14"/>
                <w:szCs w:val="14"/>
                <w:lang w:eastAsia="zh-CN"/>
              </w:rPr>
            </w:pPr>
            <w:r>
              <w:rPr>
                <w:sz w:val="14"/>
                <w:szCs w:val="14"/>
                <w:lang w:eastAsia="zh-CN"/>
              </w:rPr>
              <w:t>16.8%</w:t>
            </w:r>
          </w:p>
          <w:p w14:paraId="39E20C9B" w14:textId="3C1C84CC" w:rsidR="00BC3BEE" w:rsidRDefault="00BC3BEE" w:rsidP="005455F2">
            <w:pPr>
              <w:spacing w:after="0" w:line="240" w:lineRule="auto"/>
              <w:jc w:val="center"/>
              <w:rPr>
                <w:sz w:val="14"/>
                <w:szCs w:val="14"/>
                <w:lang w:eastAsia="zh-CN"/>
              </w:rPr>
            </w:pPr>
            <w:r>
              <w:rPr>
                <w:sz w:val="14"/>
                <w:szCs w:val="14"/>
                <w:lang w:eastAsia="zh-CN"/>
              </w:rPr>
              <w:t>All others:</w:t>
            </w:r>
            <w:r w:rsidR="00335297">
              <w:rPr>
                <w:sz w:val="14"/>
                <w:szCs w:val="14"/>
                <w:lang w:eastAsia="zh-CN"/>
              </w:rPr>
              <w:t xml:space="preserve"> </w:t>
            </w:r>
            <w:r>
              <w:rPr>
                <w:sz w:val="14"/>
                <w:szCs w:val="14"/>
                <w:lang w:eastAsia="zh-CN"/>
              </w:rPr>
              <w:t>16.8%</w:t>
            </w:r>
          </w:p>
          <w:p w14:paraId="343DBC63" w14:textId="77777777" w:rsidR="00BC3BEE" w:rsidRDefault="00BC3BEE" w:rsidP="005455F2">
            <w:pPr>
              <w:spacing w:after="0" w:line="240" w:lineRule="auto"/>
              <w:jc w:val="center"/>
              <w:rPr>
                <w:rFonts w:eastAsia="Verdana" w:cs="Verdana"/>
                <w:sz w:val="14"/>
                <w:szCs w:val="14"/>
              </w:rPr>
            </w:pPr>
            <w:r>
              <w:rPr>
                <w:rFonts w:eastAsia="Verdana" w:cs="Verdana"/>
                <w:sz w:val="14"/>
                <w:szCs w:val="14"/>
              </w:rPr>
              <w:t xml:space="preserve">Affirmative </w:t>
            </w:r>
          </w:p>
          <w:p w14:paraId="2D8A0008" w14:textId="4DC907D1" w:rsidR="00BC3BEE" w:rsidRDefault="00BC3BEE" w:rsidP="005455F2">
            <w:pPr>
              <w:spacing w:after="0" w:line="240" w:lineRule="auto"/>
              <w:jc w:val="center"/>
              <w:rPr>
                <w:rFonts w:eastAsia="Verdana" w:cs="Verdana"/>
                <w:sz w:val="14"/>
                <w:szCs w:val="14"/>
              </w:rPr>
            </w:pPr>
            <w:r>
              <w:rPr>
                <w:rFonts w:eastAsia="Verdana" w:cs="Verdana"/>
                <w:sz w:val="14"/>
                <w:szCs w:val="14"/>
              </w:rPr>
              <w:t xml:space="preserve">No measure imposed </w:t>
            </w:r>
          </w:p>
          <w:p w14:paraId="223004CE" w14:textId="77777777" w:rsidR="00BC3BEE" w:rsidRDefault="00BC3BEE" w:rsidP="005455F2">
            <w:pPr>
              <w:spacing w:after="0" w:line="240" w:lineRule="auto"/>
              <w:jc w:val="center"/>
              <w:rPr>
                <w:rFonts w:eastAsia="Verdana" w:cs="Verdana"/>
                <w:sz w:val="14"/>
                <w:szCs w:val="14"/>
              </w:rPr>
            </w:pPr>
            <w:r>
              <w:rPr>
                <w:rFonts w:eastAsia="Verdana" w:cs="Verdana"/>
                <w:sz w:val="14"/>
                <w:szCs w:val="14"/>
              </w:rPr>
              <w:t>Gazette 2021 No. 26</w:t>
            </w:r>
          </w:p>
        </w:tc>
        <w:tc>
          <w:tcPr>
            <w:tcW w:w="1134" w:type="dxa"/>
            <w:shd w:val="clear" w:color="auto" w:fill="auto"/>
          </w:tcPr>
          <w:p w14:paraId="27351AC5" w14:textId="77777777" w:rsidR="00BC3BEE" w:rsidRDefault="00BC3BEE" w:rsidP="005455F2">
            <w:pPr>
              <w:spacing w:after="0" w:line="240" w:lineRule="auto"/>
              <w:jc w:val="center"/>
              <w:rPr>
                <w:bCs/>
                <w:sz w:val="14"/>
                <w:szCs w:val="14"/>
              </w:rPr>
            </w:pPr>
            <w:r>
              <w:rPr>
                <w:bCs/>
                <w:sz w:val="14"/>
                <w:szCs w:val="14"/>
              </w:rPr>
              <w:t>-</w:t>
            </w:r>
          </w:p>
        </w:tc>
        <w:tc>
          <w:tcPr>
            <w:tcW w:w="1134" w:type="dxa"/>
            <w:shd w:val="clear" w:color="auto" w:fill="auto"/>
          </w:tcPr>
          <w:p w14:paraId="3B50B96E" w14:textId="77777777" w:rsidR="00BC3BEE" w:rsidRDefault="00BC3BEE" w:rsidP="005455F2">
            <w:pPr>
              <w:spacing w:after="0" w:line="240" w:lineRule="auto"/>
              <w:jc w:val="center"/>
              <w:rPr>
                <w:bCs/>
                <w:sz w:val="14"/>
                <w:szCs w:val="14"/>
              </w:rPr>
            </w:pPr>
            <w:r>
              <w:rPr>
                <w:bCs/>
                <w:sz w:val="14"/>
                <w:szCs w:val="14"/>
              </w:rPr>
              <w:t>-</w:t>
            </w:r>
          </w:p>
        </w:tc>
        <w:tc>
          <w:tcPr>
            <w:tcW w:w="1276" w:type="dxa"/>
            <w:shd w:val="clear" w:color="auto" w:fill="auto"/>
          </w:tcPr>
          <w:p w14:paraId="22E67DD7" w14:textId="77777777" w:rsidR="00BC3BEE" w:rsidRDefault="00BC3BEE" w:rsidP="005455F2">
            <w:pPr>
              <w:spacing w:after="0" w:line="240" w:lineRule="auto"/>
              <w:jc w:val="center"/>
              <w:rPr>
                <w:rFonts w:eastAsia="Verdana" w:cs="Verdana"/>
                <w:sz w:val="14"/>
                <w:szCs w:val="14"/>
              </w:rPr>
            </w:pPr>
            <w:r>
              <w:rPr>
                <w:rFonts w:eastAsia="Verdana" w:cs="Verdana"/>
                <w:sz w:val="14"/>
                <w:szCs w:val="14"/>
              </w:rPr>
              <w:t>Final determination: 10.01.2022</w:t>
            </w:r>
          </w:p>
          <w:p w14:paraId="7F766284" w14:textId="77777777" w:rsidR="00BC3BEE" w:rsidRDefault="00BC3BEE" w:rsidP="005455F2">
            <w:pPr>
              <w:spacing w:after="0" w:line="240" w:lineRule="auto"/>
              <w:jc w:val="center"/>
              <w:rPr>
                <w:rFonts w:eastAsia="Verdana" w:cs="Verdana"/>
                <w:sz w:val="14"/>
                <w:szCs w:val="14"/>
              </w:rPr>
            </w:pPr>
            <w:r>
              <w:rPr>
                <w:rFonts w:eastAsia="Verdana" w:cs="Verdana"/>
                <w:sz w:val="14"/>
                <w:szCs w:val="14"/>
              </w:rPr>
              <w:t>Affirmative</w:t>
            </w:r>
          </w:p>
          <w:p w14:paraId="7BAE51BE" w14:textId="77777777" w:rsidR="00BC3BEE" w:rsidRDefault="00BC3BEE" w:rsidP="005455F2">
            <w:pPr>
              <w:spacing w:after="0" w:line="240" w:lineRule="auto"/>
              <w:jc w:val="center"/>
              <w:rPr>
                <w:rFonts w:eastAsia="Verdana" w:cs="Verdana"/>
                <w:sz w:val="14"/>
                <w:szCs w:val="14"/>
              </w:rPr>
            </w:pPr>
            <w:r>
              <w:rPr>
                <w:rFonts w:eastAsia="Verdana" w:cs="Verdana"/>
                <w:sz w:val="14"/>
                <w:szCs w:val="14"/>
              </w:rPr>
              <w:t>P: 10.01.2022</w:t>
            </w:r>
          </w:p>
          <w:p w14:paraId="6982E686" w14:textId="77777777" w:rsidR="00BC3BEE" w:rsidRDefault="00BC3BEE" w:rsidP="005455F2">
            <w:pPr>
              <w:spacing w:after="0" w:line="240" w:lineRule="auto"/>
              <w:jc w:val="center"/>
              <w:rPr>
                <w:rFonts w:eastAsia="Verdana" w:cs="Verdana"/>
                <w:sz w:val="14"/>
                <w:szCs w:val="14"/>
              </w:rPr>
            </w:pPr>
            <w:r>
              <w:rPr>
                <w:rFonts w:eastAsia="Verdana" w:cs="Verdana"/>
                <w:sz w:val="14"/>
                <w:szCs w:val="14"/>
              </w:rPr>
              <w:t>No measure imposed</w:t>
            </w:r>
          </w:p>
          <w:p w14:paraId="5DD2904C" w14:textId="77777777" w:rsidR="00BC3BEE" w:rsidRDefault="00BC3BEE" w:rsidP="005455F2">
            <w:pPr>
              <w:spacing w:after="0" w:line="240" w:lineRule="auto"/>
              <w:jc w:val="center"/>
              <w:rPr>
                <w:rFonts w:eastAsia="Verdana" w:cs="Verdana"/>
                <w:sz w:val="14"/>
                <w:szCs w:val="14"/>
              </w:rPr>
            </w:pPr>
            <w:r>
              <w:rPr>
                <w:rFonts w:eastAsia="Verdana" w:cs="Verdana"/>
                <w:sz w:val="14"/>
                <w:szCs w:val="14"/>
              </w:rPr>
              <w:t>Gazette 2022 No. 04</w:t>
            </w:r>
          </w:p>
          <w:p w14:paraId="71F6A9D8" w14:textId="6914C690" w:rsidR="00BC3BEE" w:rsidRDefault="00BC3BEE" w:rsidP="005455F2">
            <w:pPr>
              <w:spacing w:after="0" w:line="240" w:lineRule="auto"/>
              <w:jc w:val="center"/>
              <w:rPr>
                <w:rFonts w:eastAsia="Verdana" w:cs="Verdana"/>
                <w:sz w:val="14"/>
                <w:szCs w:val="14"/>
              </w:rPr>
            </w:pPr>
            <w:r>
              <w:rPr>
                <w:rFonts w:eastAsia="Verdana" w:cs="Verdana"/>
                <w:sz w:val="14"/>
                <w:szCs w:val="14"/>
              </w:rPr>
              <w:t>Due to specific circumstances of the case, China has decided not to impose a definitive measure for now. (Gazette 2022 No. 04, 10.01.2022)</w:t>
            </w:r>
          </w:p>
        </w:tc>
        <w:tc>
          <w:tcPr>
            <w:tcW w:w="1134" w:type="dxa"/>
            <w:shd w:val="clear" w:color="auto" w:fill="auto"/>
          </w:tcPr>
          <w:p w14:paraId="1EDEB570" w14:textId="611B9EC7" w:rsidR="00BC3BEE" w:rsidRDefault="00BC3BEE" w:rsidP="005455F2">
            <w:pPr>
              <w:spacing w:after="0" w:line="240" w:lineRule="auto"/>
              <w:jc w:val="center"/>
              <w:rPr>
                <w:rFonts w:eastAsia="Verdana" w:cs="Verdana"/>
                <w:sz w:val="14"/>
                <w:szCs w:val="14"/>
              </w:rPr>
            </w:pPr>
            <w:r w:rsidRPr="00E01499">
              <w:rPr>
                <w:rFonts w:eastAsia="Verdana" w:cs="Verdana"/>
                <w:sz w:val="14"/>
                <w:szCs w:val="14"/>
              </w:rPr>
              <w:t>The investigation time limit was extended to 14.03.2022 according to</w:t>
            </w:r>
            <w:r>
              <w:rPr>
                <w:rFonts w:eastAsia="Verdana" w:cs="Verdana"/>
                <w:sz w:val="14"/>
                <w:szCs w:val="14"/>
              </w:rPr>
              <w:t xml:space="preserve"> Gazette 2021 No. 20</w:t>
            </w:r>
            <w:r w:rsidR="00E72622">
              <w:rPr>
                <w:rFonts w:eastAsia="Verdana" w:cs="Verdana"/>
                <w:sz w:val="14"/>
                <w:szCs w:val="14"/>
              </w:rPr>
              <w:t>,</w:t>
            </w:r>
            <w:r>
              <w:rPr>
                <w:rFonts w:eastAsia="Verdana" w:cs="Verdana"/>
                <w:sz w:val="14"/>
                <w:szCs w:val="14"/>
              </w:rPr>
              <w:t xml:space="preserve"> 27.08.2021</w:t>
            </w:r>
          </w:p>
        </w:tc>
        <w:tc>
          <w:tcPr>
            <w:tcW w:w="1134" w:type="dxa"/>
            <w:shd w:val="clear" w:color="auto" w:fill="auto"/>
          </w:tcPr>
          <w:p w14:paraId="60E347CD" w14:textId="5FBD252B" w:rsidR="00BC3BEE" w:rsidRDefault="00BC3BEE" w:rsidP="005455F2">
            <w:pPr>
              <w:spacing w:after="0" w:line="240" w:lineRule="auto"/>
              <w:jc w:val="center"/>
              <w:rPr>
                <w:rFonts w:eastAsiaTheme="minorEastAsia"/>
                <w:sz w:val="14"/>
                <w:szCs w:val="14"/>
                <w:lang w:eastAsia="zh-CN"/>
              </w:rPr>
            </w:pPr>
            <w:r>
              <w:rPr>
                <w:sz w:val="14"/>
                <w:szCs w:val="14"/>
                <w:lang w:eastAsia="en-GB"/>
              </w:rPr>
              <w:t>30,507 tons</w:t>
            </w:r>
          </w:p>
          <w:p w14:paraId="0A467392" w14:textId="23DF2824" w:rsidR="00BC3BEE" w:rsidRDefault="00BC3BEE" w:rsidP="005455F2">
            <w:pPr>
              <w:spacing w:after="0" w:line="240" w:lineRule="auto"/>
              <w:jc w:val="center"/>
              <w:rPr>
                <w:rFonts w:eastAsia="Verdana" w:cs="Verdana"/>
                <w:sz w:val="14"/>
                <w:szCs w:val="14"/>
              </w:rPr>
            </w:pPr>
            <w:r>
              <w:rPr>
                <w:sz w:val="14"/>
                <w:szCs w:val="14"/>
                <w:lang w:eastAsia="en-GB"/>
              </w:rPr>
              <w:t>(</w:t>
            </w:r>
            <w:r>
              <w:rPr>
                <w:rFonts w:eastAsiaTheme="minorEastAsia"/>
                <w:sz w:val="14"/>
                <w:szCs w:val="14"/>
                <w:lang w:eastAsia="zh-CN"/>
              </w:rPr>
              <w:t>0</w:t>
            </w:r>
            <w:r>
              <w:rPr>
                <w:sz w:val="14"/>
                <w:szCs w:val="14"/>
                <w:lang w:eastAsia="en-GB"/>
              </w:rPr>
              <w:t>1</w:t>
            </w:r>
            <w:r>
              <w:rPr>
                <w:rFonts w:eastAsiaTheme="minorEastAsia"/>
                <w:sz w:val="14"/>
                <w:szCs w:val="14"/>
                <w:lang w:eastAsia="zh-CN"/>
              </w:rPr>
              <w:t>.</w:t>
            </w:r>
            <w:r>
              <w:rPr>
                <w:sz w:val="14"/>
                <w:szCs w:val="14"/>
                <w:lang w:eastAsia="en-GB"/>
              </w:rPr>
              <w:t>2019-12</w:t>
            </w:r>
            <w:r>
              <w:rPr>
                <w:rFonts w:eastAsiaTheme="minorEastAsia"/>
                <w:sz w:val="14"/>
                <w:szCs w:val="14"/>
                <w:lang w:eastAsia="zh-CN"/>
              </w:rPr>
              <w:t>.</w:t>
            </w:r>
            <w:r>
              <w:rPr>
                <w:sz w:val="14"/>
                <w:szCs w:val="14"/>
                <w:lang w:eastAsia="en-GB"/>
              </w:rPr>
              <w:t>2019)</w:t>
            </w:r>
          </w:p>
        </w:tc>
        <w:tc>
          <w:tcPr>
            <w:tcW w:w="1136" w:type="dxa"/>
            <w:shd w:val="clear" w:color="auto" w:fill="auto"/>
          </w:tcPr>
          <w:p w14:paraId="7EEC9A61" w14:textId="77777777" w:rsidR="00BC3BEE" w:rsidRDefault="00BC3BEE" w:rsidP="005455F2">
            <w:pPr>
              <w:spacing w:after="0" w:line="240" w:lineRule="auto"/>
              <w:jc w:val="center"/>
              <w:rPr>
                <w:rFonts w:eastAsia="Verdana" w:cs="Verdana"/>
                <w:sz w:val="14"/>
                <w:szCs w:val="14"/>
              </w:rPr>
            </w:pPr>
            <w:r>
              <w:rPr>
                <w:rFonts w:eastAsia="Verdana" w:cs="Verdana"/>
                <w:sz w:val="14"/>
                <w:szCs w:val="14"/>
              </w:rPr>
              <w:t>SIPDC:</w:t>
            </w:r>
          </w:p>
          <w:p w14:paraId="480D973A" w14:textId="525E7B80" w:rsidR="00BC3BEE" w:rsidRDefault="00BC3BEE" w:rsidP="005455F2">
            <w:pPr>
              <w:spacing w:after="0" w:line="240" w:lineRule="auto"/>
              <w:jc w:val="center"/>
              <w:rPr>
                <w:rFonts w:eastAsia="Verdana" w:cs="Verdana"/>
                <w:sz w:val="14"/>
                <w:szCs w:val="14"/>
              </w:rPr>
            </w:pPr>
            <w:r>
              <w:rPr>
                <w:rFonts w:eastAsia="Verdana" w:cs="Verdana"/>
                <w:sz w:val="14"/>
                <w:szCs w:val="14"/>
              </w:rPr>
              <w:t>30.08%</w:t>
            </w:r>
          </w:p>
        </w:tc>
        <w:tc>
          <w:tcPr>
            <w:tcW w:w="2354" w:type="dxa"/>
            <w:shd w:val="clear" w:color="auto" w:fill="auto"/>
          </w:tcPr>
          <w:p w14:paraId="7BD7129A" w14:textId="77777777" w:rsidR="00BC3BEE" w:rsidRPr="005519C5" w:rsidRDefault="00BC3BEE" w:rsidP="005455F2">
            <w:pPr>
              <w:spacing w:after="0" w:line="240" w:lineRule="auto"/>
              <w:jc w:val="left"/>
              <w:rPr>
                <w:color w:val="000000" w:themeColor="text1"/>
                <w:sz w:val="14"/>
                <w:szCs w:val="14"/>
                <w:lang w:eastAsia="en-GB"/>
              </w:rPr>
            </w:pPr>
            <w:r w:rsidRPr="005519C5">
              <w:rPr>
                <w:color w:val="000000" w:themeColor="text1"/>
                <w:sz w:val="14"/>
                <w:szCs w:val="14"/>
                <w:lang w:eastAsia="en-GB"/>
              </w:rPr>
              <w:t xml:space="preserve">Upstream Subsidies: </w:t>
            </w:r>
          </w:p>
          <w:p w14:paraId="04F1A366" w14:textId="77777777" w:rsidR="00BC3BEE" w:rsidRPr="005519C5" w:rsidRDefault="00BC3BEE" w:rsidP="005455F2">
            <w:pPr>
              <w:spacing w:after="0" w:line="240" w:lineRule="auto"/>
              <w:jc w:val="left"/>
              <w:rPr>
                <w:b/>
                <w:bCs/>
                <w:sz w:val="14"/>
                <w:szCs w:val="14"/>
                <w:lang w:eastAsia="en-GB"/>
              </w:rPr>
            </w:pPr>
            <w:r w:rsidRPr="005519C5">
              <w:rPr>
                <w:b/>
                <w:bCs/>
                <w:sz w:val="14"/>
                <w:szCs w:val="14"/>
                <w:lang w:eastAsia="en-GB"/>
              </w:rPr>
              <w:t>Federal</w:t>
            </w:r>
          </w:p>
          <w:p w14:paraId="45162080" w14:textId="77777777" w:rsidR="00BC3BEE" w:rsidRPr="005519C5" w:rsidRDefault="00BC3BEE" w:rsidP="005455F2">
            <w:pPr>
              <w:spacing w:after="0" w:line="240" w:lineRule="auto"/>
              <w:jc w:val="left"/>
              <w:rPr>
                <w:sz w:val="14"/>
                <w:szCs w:val="14"/>
                <w:lang w:eastAsia="en-GB"/>
              </w:rPr>
            </w:pPr>
            <w:r w:rsidRPr="005519C5">
              <w:rPr>
                <w:sz w:val="14"/>
                <w:szCs w:val="14"/>
                <w:lang w:eastAsia="en-GB"/>
              </w:rPr>
              <w:t>1. Expensing of Intangible Drilling Costs</w:t>
            </w:r>
          </w:p>
          <w:p w14:paraId="7CE99AEC" w14:textId="77777777" w:rsidR="00BC3BEE" w:rsidRPr="005519C5" w:rsidRDefault="00BC3BEE" w:rsidP="005455F2">
            <w:pPr>
              <w:spacing w:after="0" w:line="240" w:lineRule="auto"/>
              <w:jc w:val="left"/>
              <w:rPr>
                <w:sz w:val="14"/>
                <w:szCs w:val="14"/>
                <w:lang w:eastAsia="en-GB"/>
              </w:rPr>
            </w:pPr>
            <w:r w:rsidRPr="005519C5">
              <w:rPr>
                <w:sz w:val="14"/>
                <w:szCs w:val="14"/>
                <w:lang w:eastAsia="en-GB"/>
              </w:rPr>
              <w:t>2. Percentage Depletion for Oil and Natural Gas Wells</w:t>
            </w:r>
          </w:p>
          <w:p w14:paraId="28E95A6E" w14:textId="77777777" w:rsidR="00BC3BEE" w:rsidRPr="005519C5" w:rsidRDefault="00BC3BEE" w:rsidP="005455F2">
            <w:pPr>
              <w:spacing w:after="0" w:line="240" w:lineRule="auto"/>
              <w:jc w:val="left"/>
              <w:rPr>
                <w:sz w:val="14"/>
                <w:szCs w:val="14"/>
                <w:lang w:eastAsia="en-GB"/>
              </w:rPr>
            </w:pPr>
            <w:r w:rsidRPr="005519C5">
              <w:rPr>
                <w:sz w:val="14"/>
                <w:szCs w:val="14"/>
                <w:lang w:eastAsia="en-GB"/>
              </w:rPr>
              <w:t>3. Two Year Amortization Period for Geological &amp; Geophysical Expenditures</w:t>
            </w:r>
          </w:p>
          <w:p w14:paraId="1B3EE9D5" w14:textId="77777777" w:rsidR="00BC3BEE" w:rsidRPr="005519C5" w:rsidRDefault="00BC3BEE" w:rsidP="005455F2">
            <w:pPr>
              <w:spacing w:after="0" w:line="240" w:lineRule="auto"/>
              <w:jc w:val="left"/>
              <w:rPr>
                <w:sz w:val="14"/>
                <w:szCs w:val="14"/>
                <w:lang w:eastAsia="en-GB"/>
              </w:rPr>
            </w:pPr>
            <w:r w:rsidRPr="005519C5">
              <w:rPr>
                <w:sz w:val="14"/>
                <w:szCs w:val="14"/>
                <w:lang w:eastAsia="en-GB"/>
              </w:rPr>
              <w:t>4. Percentage Depletion for Hard Mineral Fossil Fuels</w:t>
            </w:r>
          </w:p>
          <w:p w14:paraId="579D48E0" w14:textId="77777777" w:rsidR="00BC3BEE" w:rsidRPr="005519C5" w:rsidRDefault="00BC3BEE" w:rsidP="005455F2">
            <w:pPr>
              <w:spacing w:after="0" w:line="240" w:lineRule="auto"/>
              <w:jc w:val="left"/>
              <w:rPr>
                <w:sz w:val="14"/>
                <w:szCs w:val="14"/>
                <w:lang w:eastAsia="en-GB"/>
              </w:rPr>
            </w:pPr>
            <w:r w:rsidRPr="005519C5">
              <w:rPr>
                <w:sz w:val="14"/>
                <w:szCs w:val="14"/>
                <w:lang w:eastAsia="en-GB"/>
              </w:rPr>
              <w:t>5. Deduction for Tertiary Injectants</w:t>
            </w:r>
          </w:p>
          <w:p w14:paraId="48019191" w14:textId="77777777" w:rsidR="00BC3BEE" w:rsidRPr="005519C5" w:rsidRDefault="00BC3BEE" w:rsidP="005455F2">
            <w:pPr>
              <w:spacing w:after="0" w:line="240" w:lineRule="auto"/>
              <w:jc w:val="left"/>
              <w:rPr>
                <w:sz w:val="14"/>
                <w:szCs w:val="14"/>
                <w:lang w:eastAsia="en-GB"/>
              </w:rPr>
            </w:pPr>
            <w:r w:rsidRPr="005519C5">
              <w:rPr>
                <w:sz w:val="14"/>
                <w:szCs w:val="14"/>
                <w:lang w:eastAsia="en-GB"/>
              </w:rPr>
              <w:t>6. Exception to Passive Loss Limitation for Working Interests in Oil and Natural Gas Properties</w:t>
            </w:r>
          </w:p>
          <w:p w14:paraId="7F3A397E" w14:textId="77777777" w:rsidR="00BC3BEE" w:rsidRPr="005519C5" w:rsidRDefault="00BC3BEE" w:rsidP="005455F2">
            <w:pPr>
              <w:spacing w:after="0" w:line="240" w:lineRule="auto"/>
              <w:jc w:val="left"/>
              <w:rPr>
                <w:sz w:val="14"/>
                <w:szCs w:val="14"/>
                <w:lang w:eastAsia="en-GB"/>
              </w:rPr>
            </w:pPr>
            <w:r w:rsidRPr="005519C5">
              <w:rPr>
                <w:sz w:val="14"/>
                <w:szCs w:val="14"/>
                <w:lang w:eastAsia="en-GB"/>
              </w:rPr>
              <w:t>7. Enhanced Oil Recovery Credit</w:t>
            </w:r>
          </w:p>
          <w:p w14:paraId="77BCA476" w14:textId="77777777" w:rsidR="00BC3BEE" w:rsidRPr="005519C5" w:rsidRDefault="00BC3BEE" w:rsidP="005455F2">
            <w:pPr>
              <w:spacing w:after="0" w:line="240" w:lineRule="auto"/>
              <w:jc w:val="left"/>
              <w:rPr>
                <w:sz w:val="14"/>
                <w:szCs w:val="14"/>
                <w:lang w:eastAsia="en-GB"/>
              </w:rPr>
            </w:pPr>
            <w:r w:rsidRPr="005519C5">
              <w:rPr>
                <w:sz w:val="14"/>
                <w:szCs w:val="14"/>
                <w:lang w:eastAsia="en-GB"/>
              </w:rPr>
              <w:t>8. Corporate Income Tax Exemption for Fossil Fuel Publicly Traded Partnerships</w:t>
            </w:r>
          </w:p>
          <w:p w14:paraId="5379BA49" w14:textId="755782FA" w:rsidR="00BC3BEE" w:rsidRDefault="00BC3BEE" w:rsidP="005455F2">
            <w:pPr>
              <w:spacing w:after="0" w:line="240" w:lineRule="auto"/>
              <w:jc w:val="left"/>
              <w:rPr>
                <w:rFonts w:eastAsia="Verdana" w:cs="Verdana"/>
                <w:sz w:val="14"/>
                <w:szCs w:val="14"/>
              </w:rPr>
            </w:pPr>
            <w:r w:rsidRPr="005519C5">
              <w:rPr>
                <w:sz w:val="14"/>
                <w:szCs w:val="14"/>
                <w:lang w:eastAsia="en-GB"/>
              </w:rPr>
              <w:t>9. Natural gas distribution pipelines treated as 15-year property</w:t>
            </w:r>
          </w:p>
        </w:tc>
      </w:tr>
      <w:tr w:rsidR="00927EF9" w14:paraId="3C57E462" w14:textId="77777777" w:rsidTr="00D31A2E">
        <w:tc>
          <w:tcPr>
            <w:tcW w:w="1111" w:type="dxa"/>
            <w:tcBorders>
              <w:bottom w:val="single" w:sz="4" w:space="0" w:color="auto"/>
            </w:tcBorders>
            <w:shd w:val="clear" w:color="auto" w:fill="auto"/>
          </w:tcPr>
          <w:p w14:paraId="177222D3" w14:textId="77777777" w:rsidR="00927EF9" w:rsidRDefault="00927EF9" w:rsidP="005455F2">
            <w:pPr>
              <w:keepNext/>
              <w:keepLines/>
              <w:spacing w:after="0" w:line="240" w:lineRule="auto"/>
              <w:jc w:val="center"/>
              <w:rPr>
                <w:b/>
                <w:sz w:val="14"/>
                <w:szCs w:val="14"/>
              </w:rPr>
            </w:pPr>
            <w:r>
              <w:rPr>
                <w:b/>
                <w:sz w:val="14"/>
                <w:szCs w:val="14"/>
              </w:rPr>
              <w:lastRenderedPageBreak/>
              <w:t>1</w:t>
            </w:r>
          </w:p>
        </w:tc>
        <w:tc>
          <w:tcPr>
            <w:tcW w:w="1418" w:type="dxa"/>
            <w:tcBorders>
              <w:bottom w:val="single" w:sz="4" w:space="0" w:color="auto"/>
            </w:tcBorders>
            <w:shd w:val="clear" w:color="auto" w:fill="auto"/>
          </w:tcPr>
          <w:p w14:paraId="10AEB69F" w14:textId="77777777" w:rsidR="00927EF9" w:rsidRDefault="00927EF9" w:rsidP="005455F2">
            <w:pPr>
              <w:keepNext/>
              <w:keepLines/>
              <w:spacing w:after="0" w:line="240" w:lineRule="auto"/>
              <w:jc w:val="center"/>
              <w:rPr>
                <w:b/>
                <w:sz w:val="14"/>
                <w:szCs w:val="14"/>
              </w:rPr>
            </w:pPr>
            <w:r>
              <w:rPr>
                <w:b/>
                <w:sz w:val="14"/>
                <w:szCs w:val="14"/>
              </w:rPr>
              <w:t>2</w:t>
            </w:r>
          </w:p>
        </w:tc>
        <w:tc>
          <w:tcPr>
            <w:tcW w:w="1276" w:type="dxa"/>
            <w:tcBorders>
              <w:bottom w:val="single" w:sz="4" w:space="0" w:color="auto"/>
            </w:tcBorders>
            <w:shd w:val="clear" w:color="auto" w:fill="auto"/>
          </w:tcPr>
          <w:p w14:paraId="19A0AD8F" w14:textId="77777777" w:rsidR="00927EF9" w:rsidRDefault="00927EF9" w:rsidP="005455F2">
            <w:pPr>
              <w:keepNext/>
              <w:keepLines/>
              <w:spacing w:after="0" w:line="240" w:lineRule="auto"/>
              <w:jc w:val="center"/>
              <w:rPr>
                <w:b/>
                <w:sz w:val="14"/>
                <w:szCs w:val="14"/>
              </w:rPr>
            </w:pPr>
            <w:r>
              <w:rPr>
                <w:b/>
                <w:sz w:val="14"/>
                <w:szCs w:val="14"/>
              </w:rPr>
              <w:t>3</w:t>
            </w:r>
          </w:p>
        </w:tc>
        <w:tc>
          <w:tcPr>
            <w:tcW w:w="1417" w:type="dxa"/>
            <w:tcBorders>
              <w:bottom w:val="single" w:sz="4" w:space="0" w:color="auto"/>
            </w:tcBorders>
            <w:shd w:val="clear" w:color="auto" w:fill="auto"/>
          </w:tcPr>
          <w:p w14:paraId="442EF87A" w14:textId="77777777" w:rsidR="00927EF9" w:rsidRDefault="00927EF9" w:rsidP="005455F2">
            <w:pPr>
              <w:keepNext/>
              <w:keepLines/>
              <w:spacing w:after="0" w:line="240" w:lineRule="auto"/>
              <w:jc w:val="center"/>
              <w:rPr>
                <w:b/>
                <w:sz w:val="14"/>
                <w:szCs w:val="14"/>
              </w:rPr>
            </w:pPr>
            <w:r>
              <w:rPr>
                <w:b/>
                <w:sz w:val="14"/>
                <w:szCs w:val="14"/>
              </w:rPr>
              <w:t>4</w:t>
            </w:r>
          </w:p>
        </w:tc>
        <w:tc>
          <w:tcPr>
            <w:tcW w:w="1134" w:type="dxa"/>
            <w:tcBorders>
              <w:bottom w:val="single" w:sz="4" w:space="0" w:color="auto"/>
            </w:tcBorders>
            <w:shd w:val="clear" w:color="auto" w:fill="auto"/>
          </w:tcPr>
          <w:p w14:paraId="58FF3CA1" w14:textId="77777777" w:rsidR="00927EF9" w:rsidRDefault="00927EF9" w:rsidP="005455F2">
            <w:pPr>
              <w:keepNext/>
              <w:keepLines/>
              <w:spacing w:after="0" w:line="240" w:lineRule="auto"/>
              <w:jc w:val="center"/>
              <w:rPr>
                <w:b/>
                <w:sz w:val="14"/>
                <w:szCs w:val="14"/>
              </w:rPr>
            </w:pPr>
            <w:r>
              <w:rPr>
                <w:b/>
                <w:sz w:val="14"/>
                <w:szCs w:val="14"/>
              </w:rPr>
              <w:t>5</w:t>
            </w:r>
          </w:p>
        </w:tc>
        <w:tc>
          <w:tcPr>
            <w:tcW w:w="1134" w:type="dxa"/>
            <w:tcBorders>
              <w:bottom w:val="single" w:sz="4" w:space="0" w:color="auto"/>
            </w:tcBorders>
            <w:shd w:val="clear" w:color="auto" w:fill="auto"/>
          </w:tcPr>
          <w:p w14:paraId="52C5E44C" w14:textId="77777777" w:rsidR="00927EF9" w:rsidRDefault="00927EF9" w:rsidP="005455F2">
            <w:pPr>
              <w:keepNext/>
              <w:keepLines/>
              <w:spacing w:after="0" w:line="240" w:lineRule="auto"/>
              <w:jc w:val="center"/>
              <w:rPr>
                <w:b/>
                <w:sz w:val="14"/>
                <w:szCs w:val="14"/>
              </w:rPr>
            </w:pPr>
            <w:r>
              <w:rPr>
                <w:b/>
                <w:sz w:val="14"/>
                <w:szCs w:val="14"/>
              </w:rPr>
              <w:t>6</w:t>
            </w:r>
          </w:p>
        </w:tc>
        <w:tc>
          <w:tcPr>
            <w:tcW w:w="1276" w:type="dxa"/>
            <w:tcBorders>
              <w:bottom w:val="single" w:sz="4" w:space="0" w:color="auto"/>
            </w:tcBorders>
            <w:shd w:val="clear" w:color="auto" w:fill="auto"/>
          </w:tcPr>
          <w:p w14:paraId="0CD42276" w14:textId="77777777" w:rsidR="00927EF9" w:rsidRDefault="00927EF9" w:rsidP="005455F2">
            <w:pPr>
              <w:keepNext/>
              <w:keepLines/>
              <w:spacing w:after="0" w:line="240" w:lineRule="auto"/>
              <w:jc w:val="center"/>
              <w:rPr>
                <w:b/>
                <w:sz w:val="14"/>
                <w:szCs w:val="14"/>
              </w:rPr>
            </w:pPr>
            <w:r>
              <w:rPr>
                <w:b/>
                <w:sz w:val="14"/>
                <w:szCs w:val="14"/>
              </w:rPr>
              <w:t>7</w:t>
            </w:r>
          </w:p>
        </w:tc>
        <w:tc>
          <w:tcPr>
            <w:tcW w:w="1134" w:type="dxa"/>
            <w:tcBorders>
              <w:bottom w:val="single" w:sz="4" w:space="0" w:color="auto"/>
            </w:tcBorders>
            <w:shd w:val="clear" w:color="auto" w:fill="auto"/>
          </w:tcPr>
          <w:p w14:paraId="413ABD18" w14:textId="77777777" w:rsidR="00927EF9" w:rsidRDefault="00927EF9" w:rsidP="005455F2">
            <w:pPr>
              <w:keepNext/>
              <w:keepLines/>
              <w:spacing w:after="0" w:line="240" w:lineRule="auto"/>
              <w:jc w:val="center"/>
              <w:rPr>
                <w:b/>
                <w:sz w:val="14"/>
                <w:szCs w:val="14"/>
              </w:rPr>
            </w:pPr>
            <w:r>
              <w:rPr>
                <w:b/>
                <w:sz w:val="14"/>
                <w:szCs w:val="14"/>
              </w:rPr>
              <w:t>8</w:t>
            </w:r>
          </w:p>
        </w:tc>
        <w:tc>
          <w:tcPr>
            <w:tcW w:w="1134" w:type="dxa"/>
            <w:tcBorders>
              <w:bottom w:val="single" w:sz="4" w:space="0" w:color="auto"/>
            </w:tcBorders>
            <w:shd w:val="clear" w:color="auto" w:fill="auto"/>
          </w:tcPr>
          <w:p w14:paraId="05750C5A" w14:textId="77777777" w:rsidR="00927EF9" w:rsidRDefault="00927EF9" w:rsidP="005455F2">
            <w:pPr>
              <w:keepNext/>
              <w:keepLines/>
              <w:spacing w:after="0" w:line="240" w:lineRule="auto"/>
              <w:jc w:val="center"/>
              <w:rPr>
                <w:b/>
                <w:sz w:val="14"/>
                <w:szCs w:val="14"/>
              </w:rPr>
            </w:pPr>
            <w:r>
              <w:rPr>
                <w:b/>
                <w:sz w:val="14"/>
                <w:szCs w:val="14"/>
              </w:rPr>
              <w:t>9</w:t>
            </w:r>
          </w:p>
        </w:tc>
        <w:tc>
          <w:tcPr>
            <w:tcW w:w="1136" w:type="dxa"/>
            <w:tcBorders>
              <w:bottom w:val="single" w:sz="4" w:space="0" w:color="auto"/>
            </w:tcBorders>
            <w:shd w:val="clear" w:color="auto" w:fill="auto"/>
          </w:tcPr>
          <w:p w14:paraId="766788DF" w14:textId="77777777" w:rsidR="00927EF9" w:rsidRDefault="00927EF9" w:rsidP="005455F2">
            <w:pPr>
              <w:keepNext/>
              <w:keepLines/>
              <w:spacing w:after="0" w:line="240" w:lineRule="auto"/>
              <w:jc w:val="center"/>
              <w:rPr>
                <w:b/>
                <w:sz w:val="14"/>
                <w:szCs w:val="14"/>
              </w:rPr>
            </w:pPr>
            <w:r>
              <w:rPr>
                <w:b/>
                <w:sz w:val="14"/>
                <w:szCs w:val="14"/>
              </w:rPr>
              <w:t>10</w:t>
            </w:r>
          </w:p>
        </w:tc>
        <w:tc>
          <w:tcPr>
            <w:tcW w:w="2354" w:type="dxa"/>
            <w:tcBorders>
              <w:bottom w:val="single" w:sz="4" w:space="0" w:color="auto"/>
            </w:tcBorders>
            <w:shd w:val="clear" w:color="auto" w:fill="auto"/>
          </w:tcPr>
          <w:p w14:paraId="7CFACB58" w14:textId="77777777" w:rsidR="00927EF9" w:rsidRDefault="00927EF9" w:rsidP="005455F2">
            <w:pPr>
              <w:keepNext/>
              <w:keepLines/>
              <w:spacing w:after="0" w:line="240" w:lineRule="auto"/>
              <w:jc w:val="center"/>
              <w:rPr>
                <w:b/>
                <w:sz w:val="14"/>
                <w:szCs w:val="14"/>
              </w:rPr>
            </w:pPr>
            <w:r>
              <w:rPr>
                <w:b/>
                <w:sz w:val="14"/>
                <w:szCs w:val="14"/>
              </w:rPr>
              <w:t>11</w:t>
            </w:r>
          </w:p>
        </w:tc>
      </w:tr>
      <w:tr w:rsidR="00BC3BEE" w14:paraId="49DC191C" w14:textId="77777777" w:rsidTr="00D31A2E">
        <w:trPr>
          <w:trHeight w:val="5619"/>
        </w:trPr>
        <w:tc>
          <w:tcPr>
            <w:tcW w:w="1111" w:type="dxa"/>
            <w:tcBorders>
              <w:top w:val="single" w:sz="4" w:space="0" w:color="auto"/>
              <w:bottom w:val="single" w:sz="4" w:space="0" w:color="auto"/>
            </w:tcBorders>
            <w:shd w:val="clear" w:color="auto" w:fill="auto"/>
          </w:tcPr>
          <w:p w14:paraId="1C107A7F" w14:textId="68AE2209" w:rsidR="00BC3BEE" w:rsidRDefault="00927EF9" w:rsidP="005455F2">
            <w:pPr>
              <w:spacing w:after="0" w:line="240" w:lineRule="auto"/>
              <w:jc w:val="left"/>
              <w:rPr>
                <w:rFonts w:eastAsia="Verdana" w:cs="Verdana"/>
                <w:sz w:val="14"/>
                <w:szCs w:val="14"/>
              </w:rPr>
            </w:pPr>
            <w:r>
              <w:rPr>
                <w:rFonts w:eastAsia="Verdana" w:cs="Verdana"/>
                <w:sz w:val="14"/>
                <w:szCs w:val="14"/>
              </w:rPr>
              <w:t>United States (Cont'd)</w:t>
            </w:r>
          </w:p>
        </w:tc>
        <w:tc>
          <w:tcPr>
            <w:tcW w:w="1418" w:type="dxa"/>
            <w:shd w:val="clear" w:color="auto" w:fill="auto"/>
          </w:tcPr>
          <w:p w14:paraId="3F381974" w14:textId="77777777" w:rsidR="00BC3BEE" w:rsidRDefault="00BC3BEE" w:rsidP="005455F2">
            <w:pPr>
              <w:spacing w:after="0" w:line="240" w:lineRule="auto"/>
              <w:jc w:val="left"/>
              <w:rPr>
                <w:rFonts w:eastAsia="Verdana" w:cs="Verdana"/>
                <w:sz w:val="14"/>
                <w:szCs w:val="14"/>
              </w:rPr>
            </w:pPr>
          </w:p>
        </w:tc>
        <w:tc>
          <w:tcPr>
            <w:tcW w:w="1276" w:type="dxa"/>
            <w:shd w:val="clear" w:color="auto" w:fill="auto"/>
          </w:tcPr>
          <w:p w14:paraId="66353D46" w14:textId="77777777" w:rsidR="00BC3BEE" w:rsidRDefault="00BC3BEE" w:rsidP="005455F2">
            <w:pPr>
              <w:spacing w:after="0" w:line="240" w:lineRule="auto"/>
              <w:jc w:val="center"/>
              <w:rPr>
                <w:rFonts w:eastAsia="Verdana" w:cs="Verdana"/>
                <w:sz w:val="14"/>
                <w:szCs w:val="14"/>
              </w:rPr>
            </w:pPr>
          </w:p>
        </w:tc>
        <w:tc>
          <w:tcPr>
            <w:tcW w:w="1417" w:type="dxa"/>
            <w:shd w:val="clear" w:color="auto" w:fill="auto"/>
          </w:tcPr>
          <w:p w14:paraId="237C80DF" w14:textId="77777777" w:rsidR="00BC3BEE" w:rsidRDefault="00BC3BEE" w:rsidP="005455F2">
            <w:pPr>
              <w:spacing w:after="0" w:line="240" w:lineRule="auto"/>
              <w:jc w:val="center"/>
              <w:rPr>
                <w:rFonts w:eastAsia="Verdana" w:cs="Verdana"/>
                <w:sz w:val="14"/>
                <w:szCs w:val="14"/>
              </w:rPr>
            </w:pPr>
          </w:p>
        </w:tc>
        <w:tc>
          <w:tcPr>
            <w:tcW w:w="1134" w:type="dxa"/>
            <w:shd w:val="clear" w:color="auto" w:fill="auto"/>
          </w:tcPr>
          <w:p w14:paraId="7A68A7B3" w14:textId="77777777" w:rsidR="00BC3BEE" w:rsidRDefault="00BC3BEE" w:rsidP="005455F2">
            <w:pPr>
              <w:spacing w:after="0" w:line="240" w:lineRule="auto"/>
              <w:jc w:val="center"/>
              <w:rPr>
                <w:bCs/>
                <w:sz w:val="14"/>
                <w:szCs w:val="14"/>
              </w:rPr>
            </w:pPr>
          </w:p>
        </w:tc>
        <w:tc>
          <w:tcPr>
            <w:tcW w:w="1134" w:type="dxa"/>
            <w:shd w:val="clear" w:color="auto" w:fill="auto"/>
          </w:tcPr>
          <w:p w14:paraId="1BF6832D" w14:textId="77777777" w:rsidR="00BC3BEE" w:rsidRDefault="00BC3BEE" w:rsidP="005455F2">
            <w:pPr>
              <w:spacing w:after="0" w:line="240" w:lineRule="auto"/>
              <w:jc w:val="center"/>
              <w:rPr>
                <w:bCs/>
                <w:sz w:val="14"/>
                <w:szCs w:val="14"/>
              </w:rPr>
            </w:pPr>
          </w:p>
        </w:tc>
        <w:tc>
          <w:tcPr>
            <w:tcW w:w="1276" w:type="dxa"/>
            <w:shd w:val="clear" w:color="auto" w:fill="auto"/>
          </w:tcPr>
          <w:p w14:paraId="5B1326A5" w14:textId="77777777" w:rsidR="00BC3BEE" w:rsidRDefault="00BC3BEE" w:rsidP="005455F2">
            <w:pPr>
              <w:spacing w:after="0" w:line="240" w:lineRule="auto"/>
              <w:jc w:val="center"/>
              <w:rPr>
                <w:rFonts w:eastAsia="Verdana" w:cs="Verdana"/>
                <w:sz w:val="14"/>
                <w:szCs w:val="14"/>
              </w:rPr>
            </w:pPr>
          </w:p>
        </w:tc>
        <w:tc>
          <w:tcPr>
            <w:tcW w:w="1134" w:type="dxa"/>
            <w:shd w:val="clear" w:color="auto" w:fill="auto"/>
          </w:tcPr>
          <w:p w14:paraId="08BE64DB" w14:textId="77777777" w:rsidR="00BC3BEE" w:rsidRDefault="00BC3BEE" w:rsidP="005455F2">
            <w:pPr>
              <w:spacing w:after="0" w:line="240" w:lineRule="auto"/>
              <w:jc w:val="center"/>
              <w:rPr>
                <w:rFonts w:eastAsia="Verdana" w:cs="Verdana"/>
                <w:sz w:val="14"/>
                <w:szCs w:val="14"/>
              </w:rPr>
            </w:pPr>
          </w:p>
        </w:tc>
        <w:tc>
          <w:tcPr>
            <w:tcW w:w="1134" w:type="dxa"/>
            <w:shd w:val="clear" w:color="auto" w:fill="auto"/>
          </w:tcPr>
          <w:p w14:paraId="0B2FE207" w14:textId="77777777" w:rsidR="00BC3BEE" w:rsidRDefault="00BC3BEE" w:rsidP="005455F2">
            <w:pPr>
              <w:spacing w:after="0" w:line="240" w:lineRule="auto"/>
              <w:jc w:val="center"/>
              <w:rPr>
                <w:sz w:val="14"/>
                <w:szCs w:val="14"/>
                <w:lang w:eastAsia="en-GB"/>
              </w:rPr>
            </w:pPr>
          </w:p>
        </w:tc>
        <w:tc>
          <w:tcPr>
            <w:tcW w:w="1136" w:type="dxa"/>
            <w:shd w:val="clear" w:color="auto" w:fill="auto"/>
          </w:tcPr>
          <w:p w14:paraId="46FEF06C" w14:textId="77777777" w:rsidR="00BC3BEE" w:rsidRDefault="00BC3BEE" w:rsidP="005455F2">
            <w:pPr>
              <w:spacing w:after="0" w:line="240" w:lineRule="auto"/>
              <w:jc w:val="center"/>
              <w:rPr>
                <w:rFonts w:eastAsia="Verdana" w:cs="Verdana"/>
                <w:sz w:val="14"/>
                <w:szCs w:val="14"/>
              </w:rPr>
            </w:pPr>
          </w:p>
        </w:tc>
        <w:tc>
          <w:tcPr>
            <w:tcW w:w="2354" w:type="dxa"/>
            <w:shd w:val="clear" w:color="auto" w:fill="auto"/>
          </w:tcPr>
          <w:p w14:paraId="4A8EFC35" w14:textId="77777777" w:rsidR="00927EF9" w:rsidRPr="005519C5" w:rsidRDefault="00927EF9" w:rsidP="005455F2">
            <w:pPr>
              <w:spacing w:after="0" w:line="240" w:lineRule="auto"/>
              <w:jc w:val="left"/>
              <w:rPr>
                <w:b/>
                <w:bCs/>
                <w:sz w:val="14"/>
                <w:szCs w:val="14"/>
                <w:lang w:eastAsia="en-GB"/>
              </w:rPr>
            </w:pPr>
            <w:r w:rsidRPr="005519C5">
              <w:rPr>
                <w:b/>
                <w:bCs/>
                <w:sz w:val="14"/>
                <w:szCs w:val="14"/>
                <w:lang w:eastAsia="en-GB"/>
              </w:rPr>
              <w:t>States</w:t>
            </w:r>
          </w:p>
          <w:p w14:paraId="6A6E68B3" w14:textId="77777777" w:rsidR="00927EF9" w:rsidRPr="005519C5" w:rsidRDefault="00927EF9" w:rsidP="005455F2">
            <w:pPr>
              <w:spacing w:after="0" w:line="240" w:lineRule="auto"/>
              <w:jc w:val="left"/>
              <w:rPr>
                <w:sz w:val="14"/>
                <w:szCs w:val="14"/>
                <w:lang w:eastAsia="en-GB"/>
              </w:rPr>
            </w:pPr>
            <w:r w:rsidRPr="005519C5">
              <w:rPr>
                <w:sz w:val="14"/>
                <w:szCs w:val="14"/>
                <w:lang w:eastAsia="en-GB"/>
              </w:rPr>
              <w:t>Alaska</w:t>
            </w:r>
          </w:p>
          <w:p w14:paraId="28B38700" w14:textId="77777777" w:rsidR="00927EF9" w:rsidRPr="005519C5" w:rsidRDefault="00927EF9" w:rsidP="005455F2">
            <w:pPr>
              <w:spacing w:after="0" w:line="240" w:lineRule="auto"/>
              <w:jc w:val="left"/>
              <w:rPr>
                <w:sz w:val="14"/>
                <w:szCs w:val="14"/>
                <w:lang w:eastAsia="en-GB"/>
              </w:rPr>
            </w:pPr>
            <w:r w:rsidRPr="005519C5">
              <w:rPr>
                <w:sz w:val="14"/>
                <w:szCs w:val="14"/>
                <w:lang w:eastAsia="en-GB"/>
              </w:rPr>
              <w:t xml:space="preserve">1. LNG Storage Facility Credit </w:t>
            </w:r>
          </w:p>
          <w:p w14:paraId="0A4EDB07" w14:textId="77777777" w:rsidR="00927EF9" w:rsidRPr="005519C5" w:rsidRDefault="00927EF9" w:rsidP="005455F2">
            <w:pPr>
              <w:spacing w:after="0" w:line="240" w:lineRule="auto"/>
              <w:jc w:val="left"/>
              <w:rPr>
                <w:sz w:val="14"/>
                <w:szCs w:val="14"/>
                <w:lang w:eastAsia="en-GB"/>
              </w:rPr>
            </w:pPr>
            <w:r w:rsidRPr="005519C5">
              <w:rPr>
                <w:sz w:val="14"/>
                <w:szCs w:val="14"/>
                <w:lang w:eastAsia="en-GB"/>
              </w:rPr>
              <w:t>2. Gross Value Reduction</w:t>
            </w:r>
          </w:p>
          <w:p w14:paraId="0E354EB9" w14:textId="77777777" w:rsidR="00927EF9" w:rsidRPr="005519C5" w:rsidRDefault="00927EF9" w:rsidP="005455F2">
            <w:pPr>
              <w:spacing w:after="0" w:line="240" w:lineRule="auto"/>
              <w:jc w:val="left"/>
              <w:rPr>
                <w:sz w:val="14"/>
                <w:szCs w:val="14"/>
                <w:lang w:eastAsia="en-GB"/>
              </w:rPr>
            </w:pPr>
            <w:r w:rsidRPr="005519C5">
              <w:rPr>
                <w:sz w:val="14"/>
                <w:szCs w:val="14"/>
                <w:lang w:eastAsia="en-GB"/>
              </w:rPr>
              <w:t xml:space="preserve">3. Oil and Gas Industry Service Expenditures Credit </w:t>
            </w:r>
          </w:p>
          <w:p w14:paraId="2E19C502" w14:textId="77777777" w:rsidR="00927EF9" w:rsidRPr="005519C5" w:rsidRDefault="00927EF9" w:rsidP="005455F2">
            <w:pPr>
              <w:spacing w:after="0" w:line="240" w:lineRule="auto"/>
              <w:jc w:val="left"/>
              <w:rPr>
                <w:sz w:val="14"/>
                <w:szCs w:val="14"/>
                <w:lang w:eastAsia="en-GB"/>
              </w:rPr>
            </w:pPr>
            <w:r w:rsidRPr="005519C5">
              <w:rPr>
                <w:sz w:val="14"/>
                <w:szCs w:val="14"/>
                <w:lang w:eastAsia="en-GB"/>
              </w:rPr>
              <w:t xml:space="preserve">4. In-State Refinery Tax Credit </w:t>
            </w:r>
          </w:p>
          <w:p w14:paraId="2DA7A13D" w14:textId="77777777" w:rsidR="00927EF9" w:rsidRPr="005519C5" w:rsidRDefault="00927EF9" w:rsidP="005455F2">
            <w:pPr>
              <w:spacing w:after="0" w:line="240" w:lineRule="auto"/>
              <w:jc w:val="left"/>
              <w:rPr>
                <w:sz w:val="14"/>
                <w:szCs w:val="14"/>
                <w:lang w:eastAsia="en-GB"/>
              </w:rPr>
            </w:pPr>
            <w:r w:rsidRPr="005519C5">
              <w:rPr>
                <w:sz w:val="14"/>
                <w:szCs w:val="14"/>
                <w:lang w:eastAsia="en-GB"/>
              </w:rPr>
              <w:t>5. Qualified Capital Expenditure Credit</w:t>
            </w:r>
          </w:p>
          <w:p w14:paraId="12E16DE4" w14:textId="77777777" w:rsidR="00927EF9" w:rsidRPr="005519C5" w:rsidRDefault="00927EF9" w:rsidP="005455F2">
            <w:pPr>
              <w:spacing w:after="0" w:line="240" w:lineRule="auto"/>
              <w:jc w:val="left"/>
              <w:rPr>
                <w:sz w:val="14"/>
                <w:szCs w:val="14"/>
                <w:lang w:eastAsia="en-GB"/>
              </w:rPr>
            </w:pPr>
            <w:r w:rsidRPr="005519C5">
              <w:rPr>
                <w:sz w:val="14"/>
                <w:szCs w:val="14"/>
                <w:lang w:eastAsia="en-GB"/>
              </w:rPr>
              <w:t>6. Development Credit for Small Producers and New Areas</w:t>
            </w:r>
          </w:p>
          <w:p w14:paraId="54826B1C" w14:textId="77777777" w:rsidR="00927EF9" w:rsidRDefault="00927EF9" w:rsidP="005455F2">
            <w:pPr>
              <w:spacing w:after="0" w:line="240" w:lineRule="auto"/>
              <w:jc w:val="left"/>
              <w:rPr>
                <w:sz w:val="14"/>
                <w:szCs w:val="14"/>
                <w:lang w:eastAsia="en-GB"/>
              </w:rPr>
            </w:pPr>
            <w:r w:rsidRPr="005519C5">
              <w:rPr>
                <w:sz w:val="14"/>
                <w:szCs w:val="14"/>
                <w:lang w:eastAsia="en-GB"/>
              </w:rPr>
              <w:t>7. Alternative Credit for Exploration</w:t>
            </w:r>
          </w:p>
          <w:p w14:paraId="6D41774D" w14:textId="277BD40B" w:rsidR="00927EF9" w:rsidRPr="005519C5" w:rsidRDefault="00927EF9" w:rsidP="005455F2">
            <w:pPr>
              <w:spacing w:after="0" w:line="240" w:lineRule="auto"/>
              <w:jc w:val="left"/>
              <w:rPr>
                <w:sz w:val="14"/>
                <w:szCs w:val="14"/>
                <w:lang w:eastAsia="en-GB"/>
              </w:rPr>
            </w:pPr>
            <w:r w:rsidRPr="005519C5">
              <w:rPr>
                <w:sz w:val="14"/>
                <w:szCs w:val="14"/>
                <w:lang w:eastAsia="en-GB"/>
              </w:rPr>
              <w:t>8. Taxable Per Barrel Credit</w:t>
            </w:r>
          </w:p>
          <w:p w14:paraId="038ABD03" w14:textId="77777777" w:rsidR="00927EF9" w:rsidRPr="005519C5" w:rsidRDefault="00927EF9" w:rsidP="005455F2">
            <w:pPr>
              <w:spacing w:after="0" w:line="240" w:lineRule="auto"/>
              <w:jc w:val="left"/>
              <w:rPr>
                <w:sz w:val="14"/>
                <w:szCs w:val="14"/>
                <w:lang w:eastAsia="en-GB"/>
              </w:rPr>
            </w:pPr>
            <w:r w:rsidRPr="005519C5">
              <w:rPr>
                <w:sz w:val="14"/>
                <w:szCs w:val="14"/>
                <w:lang w:eastAsia="en-GB"/>
              </w:rPr>
              <w:t>California</w:t>
            </w:r>
          </w:p>
          <w:p w14:paraId="7C81CF43" w14:textId="77777777" w:rsidR="00927EF9" w:rsidRPr="005519C5" w:rsidRDefault="00927EF9" w:rsidP="005455F2">
            <w:pPr>
              <w:numPr>
                <w:ilvl w:val="255"/>
                <w:numId w:val="0"/>
              </w:numPr>
              <w:spacing w:after="0" w:line="240" w:lineRule="auto"/>
              <w:jc w:val="left"/>
              <w:rPr>
                <w:sz w:val="14"/>
                <w:szCs w:val="14"/>
                <w:lang w:eastAsia="en-GB"/>
              </w:rPr>
            </w:pPr>
            <w:r w:rsidRPr="005519C5">
              <w:rPr>
                <w:sz w:val="14"/>
                <w:szCs w:val="14"/>
                <w:lang w:eastAsia="en-GB"/>
              </w:rPr>
              <w:t>1. Percentage Depletion of Mineral and Other Resources</w:t>
            </w:r>
          </w:p>
          <w:p w14:paraId="1AF93FDE" w14:textId="77777777" w:rsidR="00927EF9" w:rsidRPr="005519C5" w:rsidRDefault="00927EF9" w:rsidP="005455F2">
            <w:pPr>
              <w:numPr>
                <w:ilvl w:val="255"/>
                <w:numId w:val="0"/>
              </w:numPr>
              <w:spacing w:after="0" w:line="240" w:lineRule="auto"/>
              <w:jc w:val="left"/>
              <w:rPr>
                <w:sz w:val="14"/>
                <w:szCs w:val="14"/>
                <w:lang w:eastAsia="en-GB"/>
              </w:rPr>
            </w:pPr>
            <w:r w:rsidRPr="005519C5">
              <w:rPr>
                <w:sz w:val="14"/>
                <w:szCs w:val="14"/>
                <w:lang w:eastAsia="en-GB"/>
              </w:rPr>
              <w:t>Colorado</w:t>
            </w:r>
          </w:p>
          <w:p w14:paraId="6713EB4E" w14:textId="77777777" w:rsidR="00927EF9" w:rsidRPr="005519C5" w:rsidRDefault="00927EF9" w:rsidP="005455F2">
            <w:pPr>
              <w:spacing w:after="0" w:line="240" w:lineRule="auto"/>
              <w:jc w:val="left"/>
              <w:rPr>
                <w:sz w:val="14"/>
                <w:szCs w:val="14"/>
                <w:lang w:eastAsia="en-GB"/>
              </w:rPr>
            </w:pPr>
            <w:r w:rsidRPr="005519C5">
              <w:rPr>
                <w:sz w:val="14"/>
                <w:szCs w:val="14"/>
                <w:lang w:eastAsia="en-GB"/>
              </w:rPr>
              <w:t>1. Severance-Tax Exemption for Stripper Wells/Severance-Tax Reductions for Low-Volume Wells</w:t>
            </w:r>
          </w:p>
          <w:p w14:paraId="0237105E" w14:textId="77777777" w:rsidR="00927EF9" w:rsidRPr="005519C5" w:rsidRDefault="00927EF9" w:rsidP="005455F2">
            <w:pPr>
              <w:spacing w:after="0" w:line="240" w:lineRule="auto"/>
              <w:jc w:val="left"/>
              <w:rPr>
                <w:sz w:val="14"/>
                <w:szCs w:val="14"/>
                <w:lang w:eastAsia="en-GB"/>
              </w:rPr>
            </w:pPr>
            <w:r w:rsidRPr="005519C5">
              <w:rPr>
                <w:sz w:val="14"/>
                <w:szCs w:val="14"/>
                <w:lang w:eastAsia="en-GB"/>
              </w:rPr>
              <w:t>2. Severance-Tax Oil and Gas Ad Valorem Credit</w:t>
            </w:r>
          </w:p>
          <w:p w14:paraId="157B9163" w14:textId="77777777" w:rsidR="00927EF9" w:rsidRPr="005519C5" w:rsidRDefault="00927EF9" w:rsidP="005455F2">
            <w:pPr>
              <w:spacing w:after="0" w:line="240" w:lineRule="auto"/>
              <w:jc w:val="left"/>
              <w:rPr>
                <w:sz w:val="14"/>
                <w:szCs w:val="14"/>
                <w:lang w:eastAsia="en-GB"/>
              </w:rPr>
            </w:pPr>
            <w:r w:rsidRPr="005519C5">
              <w:rPr>
                <w:sz w:val="14"/>
                <w:szCs w:val="14"/>
                <w:lang w:eastAsia="en-GB"/>
              </w:rPr>
              <w:t>3. Severance-Tax Exemption for Low-Volume Oil-Shale Production</w:t>
            </w:r>
          </w:p>
          <w:p w14:paraId="40852F06" w14:textId="77777777" w:rsidR="00927EF9" w:rsidRDefault="00927EF9" w:rsidP="005455F2">
            <w:pPr>
              <w:spacing w:after="0" w:line="240" w:lineRule="auto"/>
              <w:jc w:val="left"/>
              <w:rPr>
                <w:sz w:val="14"/>
                <w:szCs w:val="14"/>
                <w:lang w:eastAsia="en-GB"/>
              </w:rPr>
            </w:pPr>
            <w:r w:rsidRPr="005519C5">
              <w:rPr>
                <w:sz w:val="14"/>
                <w:szCs w:val="14"/>
                <w:lang w:eastAsia="en-GB"/>
              </w:rPr>
              <w:t>4. Reduced Value for Certain Mineral Properties</w:t>
            </w:r>
          </w:p>
          <w:p w14:paraId="5069E287" w14:textId="77777777" w:rsidR="00927EF9" w:rsidRPr="005519C5" w:rsidRDefault="00927EF9" w:rsidP="005455F2">
            <w:pPr>
              <w:spacing w:after="0" w:line="240" w:lineRule="auto"/>
              <w:jc w:val="left"/>
              <w:rPr>
                <w:sz w:val="14"/>
                <w:szCs w:val="14"/>
                <w:highlight w:val="yellow"/>
                <w:lang w:eastAsia="en-GB"/>
              </w:rPr>
            </w:pPr>
            <w:r w:rsidRPr="005519C5">
              <w:rPr>
                <w:sz w:val="14"/>
                <w:szCs w:val="14"/>
                <w:lang w:eastAsia="en-GB"/>
              </w:rPr>
              <w:t>Louisiana</w:t>
            </w:r>
          </w:p>
          <w:p w14:paraId="09243DB9" w14:textId="77777777" w:rsidR="00927EF9" w:rsidRPr="005519C5" w:rsidRDefault="00927EF9" w:rsidP="005455F2">
            <w:pPr>
              <w:numPr>
                <w:ilvl w:val="255"/>
                <w:numId w:val="0"/>
              </w:numPr>
              <w:spacing w:after="0" w:line="240" w:lineRule="auto"/>
              <w:jc w:val="left"/>
              <w:rPr>
                <w:sz w:val="14"/>
                <w:szCs w:val="14"/>
                <w:lang w:eastAsia="en-GB"/>
              </w:rPr>
            </w:pPr>
            <w:r w:rsidRPr="005519C5">
              <w:rPr>
                <w:sz w:val="14"/>
                <w:szCs w:val="14"/>
                <w:lang w:eastAsia="en-GB"/>
              </w:rPr>
              <w:t>1. Sales-Tax Exclusion for Installation of Board Roads in Oil-fields</w:t>
            </w:r>
          </w:p>
          <w:p w14:paraId="4E608C2B" w14:textId="77777777" w:rsidR="00927EF9" w:rsidRPr="005519C5" w:rsidRDefault="00927EF9" w:rsidP="005455F2">
            <w:pPr>
              <w:spacing w:after="0" w:line="240" w:lineRule="auto"/>
              <w:jc w:val="left"/>
              <w:rPr>
                <w:sz w:val="14"/>
                <w:szCs w:val="14"/>
                <w:lang w:eastAsia="en-GB"/>
              </w:rPr>
            </w:pPr>
            <w:r w:rsidRPr="005519C5">
              <w:rPr>
                <w:sz w:val="14"/>
                <w:szCs w:val="14"/>
                <w:lang w:eastAsia="en-GB"/>
              </w:rPr>
              <w:t xml:space="preserve">2. Sales-Tax Exclusion on Drilling Rigs/Sales-Tax Exemption for Repairs and Materials Used on Drilling Rigs </w:t>
            </w:r>
          </w:p>
          <w:p w14:paraId="68EE1CAB" w14:textId="77777777" w:rsidR="00927EF9" w:rsidRPr="005519C5" w:rsidRDefault="00927EF9" w:rsidP="005455F2">
            <w:pPr>
              <w:spacing w:after="0" w:line="240" w:lineRule="auto"/>
              <w:jc w:val="left"/>
              <w:rPr>
                <w:sz w:val="14"/>
                <w:szCs w:val="14"/>
                <w:lang w:eastAsia="en-GB"/>
              </w:rPr>
            </w:pPr>
            <w:r w:rsidRPr="005519C5">
              <w:rPr>
                <w:sz w:val="14"/>
                <w:szCs w:val="14"/>
                <w:lang w:eastAsia="en-GB"/>
              </w:rPr>
              <w:t>3. Excess of Percentage over Cost Depletion</w:t>
            </w:r>
          </w:p>
          <w:p w14:paraId="11CEBE2A" w14:textId="77777777" w:rsidR="00927EF9" w:rsidRPr="005519C5" w:rsidRDefault="00927EF9" w:rsidP="005455F2">
            <w:pPr>
              <w:numPr>
                <w:ilvl w:val="255"/>
                <w:numId w:val="0"/>
              </w:numPr>
              <w:spacing w:after="0" w:line="240" w:lineRule="auto"/>
              <w:jc w:val="left"/>
              <w:rPr>
                <w:sz w:val="14"/>
                <w:szCs w:val="14"/>
                <w:lang w:eastAsia="en-GB"/>
              </w:rPr>
            </w:pPr>
            <w:r w:rsidRPr="005519C5">
              <w:rPr>
                <w:sz w:val="14"/>
                <w:szCs w:val="14"/>
                <w:lang w:eastAsia="en-GB"/>
              </w:rPr>
              <w:t>4. Natural Gas Severance Tax Suspension for Horizontal Wells</w:t>
            </w:r>
          </w:p>
          <w:p w14:paraId="43621644" w14:textId="77777777" w:rsidR="00927EF9" w:rsidRPr="005519C5" w:rsidRDefault="00927EF9" w:rsidP="005455F2">
            <w:pPr>
              <w:numPr>
                <w:ilvl w:val="255"/>
                <w:numId w:val="0"/>
              </w:numPr>
              <w:spacing w:after="0" w:line="240" w:lineRule="auto"/>
              <w:jc w:val="left"/>
              <w:rPr>
                <w:sz w:val="14"/>
                <w:szCs w:val="14"/>
                <w:lang w:eastAsia="en-GB"/>
              </w:rPr>
            </w:pPr>
            <w:r w:rsidRPr="005519C5">
              <w:rPr>
                <w:sz w:val="14"/>
                <w:szCs w:val="14"/>
                <w:lang w:eastAsia="en-GB"/>
              </w:rPr>
              <w:t>5. Natural Gas Severance Tax Suspension for Inactive Wells</w:t>
            </w:r>
          </w:p>
          <w:p w14:paraId="24FD13B5" w14:textId="77777777" w:rsidR="00927EF9" w:rsidRPr="005519C5" w:rsidRDefault="00927EF9" w:rsidP="005455F2">
            <w:pPr>
              <w:numPr>
                <w:ilvl w:val="255"/>
                <w:numId w:val="0"/>
              </w:numPr>
              <w:spacing w:after="0" w:line="240" w:lineRule="auto"/>
              <w:jc w:val="left"/>
              <w:rPr>
                <w:sz w:val="14"/>
                <w:szCs w:val="14"/>
                <w:lang w:eastAsia="en-GB"/>
              </w:rPr>
            </w:pPr>
            <w:r w:rsidRPr="005519C5">
              <w:rPr>
                <w:sz w:val="14"/>
                <w:szCs w:val="14"/>
                <w:lang w:eastAsia="en-GB"/>
              </w:rPr>
              <w:t>6. Natural Gas Severance Tax Suspension for Deep Wells</w:t>
            </w:r>
          </w:p>
          <w:p w14:paraId="1BE9DAE7" w14:textId="77777777" w:rsidR="00927EF9" w:rsidRPr="005519C5" w:rsidRDefault="00927EF9" w:rsidP="005455F2">
            <w:pPr>
              <w:spacing w:after="0" w:line="240" w:lineRule="auto"/>
              <w:jc w:val="left"/>
              <w:rPr>
                <w:sz w:val="14"/>
                <w:szCs w:val="14"/>
                <w:lang w:eastAsia="en-GB"/>
              </w:rPr>
            </w:pPr>
            <w:r w:rsidRPr="005519C5">
              <w:rPr>
                <w:sz w:val="14"/>
                <w:szCs w:val="14"/>
                <w:lang w:eastAsia="en-GB"/>
              </w:rPr>
              <w:t>7. Reduced Severance Tax on Incapable Oil Well Gas</w:t>
            </w:r>
          </w:p>
          <w:p w14:paraId="3D5A3CD2" w14:textId="27B47B52" w:rsidR="00BC3BEE" w:rsidRPr="005519C5" w:rsidRDefault="00927EF9" w:rsidP="005455F2">
            <w:pPr>
              <w:spacing w:after="0" w:line="240" w:lineRule="auto"/>
              <w:jc w:val="left"/>
              <w:rPr>
                <w:color w:val="000000" w:themeColor="text1"/>
                <w:sz w:val="14"/>
                <w:szCs w:val="14"/>
                <w:lang w:eastAsia="en-GB"/>
              </w:rPr>
            </w:pPr>
            <w:r w:rsidRPr="005519C5">
              <w:rPr>
                <w:sz w:val="14"/>
                <w:szCs w:val="14"/>
                <w:lang w:eastAsia="en-GB"/>
              </w:rPr>
              <w:t>8.Reduced Severance Tax on Incapable Gas Well Gas</w:t>
            </w:r>
          </w:p>
        </w:tc>
      </w:tr>
      <w:tr w:rsidR="00927EF9" w14:paraId="3EBD7B99" w14:textId="77777777" w:rsidTr="00D31A2E">
        <w:tc>
          <w:tcPr>
            <w:tcW w:w="1111" w:type="dxa"/>
            <w:tcBorders>
              <w:bottom w:val="single" w:sz="4" w:space="0" w:color="auto"/>
            </w:tcBorders>
            <w:shd w:val="clear" w:color="auto" w:fill="auto"/>
          </w:tcPr>
          <w:p w14:paraId="63B48F30" w14:textId="77777777" w:rsidR="00927EF9" w:rsidRDefault="00927EF9" w:rsidP="005455F2">
            <w:pPr>
              <w:keepNext/>
              <w:keepLines/>
              <w:spacing w:after="0" w:line="240" w:lineRule="auto"/>
              <w:jc w:val="center"/>
              <w:rPr>
                <w:b/>
                <w:sz w:val="14"/>
                <w:szCs w:val="14"/>
              </w:rPr>
            </w:pPr>
            <w:r>
              <w:rPr>
                <w:b/>
                <w:sz w:val="14"/>
                <w:szCs w:val="14"/>
              </w:rPr>
              <w:lastRenderedPageBreak/>
              <w:t>1</w:t>
            </w:r>
          </w:p>
        </w:tc>
        <w:tc>
          <w:tcPr>
            <w:tcW w:w="1418" w:type="dxa"/>
            <w:tcBorders>
              <w:bottom w:val="single" w:sz="4" w:space="0" w:color="auto"/>
            </w:tcBorders>
            <w:shd w:val="clear" w:color="auto" w:fill="auto"/>
          </w:tcPr>
          <w:p w14:paraId="20E61E7F" w14:textId="77777777" w:rsidR="00927EF9" w:rsidRDefault="00927EF9" w:rsidP="005455F2">
            <w:pPr>
              <w:keepNext/>
              <w:keepLines/>
              <w:spacing w:after="0" w:line="240" w:lineRule="auto"/>
              <w:jc w:val="center"/>
              <w:rPr>
                <w:b/>
                <w:sz w:val="14"/>
                <w:szCs w:val="14"/>
              </w:rPr>
            </w:pPr>
            <w:r>
              <w:rPr>
                <w:b/>
                <w:sz w:val="14"/>
                <w:szCs w:val="14"/>
              </w:rPr>
              <w:t>2</w:t>
            </w:r>
          </w:p>
        </w:tc>
        <w:tc>
          <w:tcPr>
            <w:tcW w:w="1276" w:type="dxa"/>
            <w:tcBorders>
              <w:bottom w:val="single" w:sz="4" w:space="0" w:color="auto"/>
            </w:tcBorders>
            <w:shd w:val="clear" w:color="auto" w:fill="auto"/>
          </w:tcPr>
          <w:p w14:paraId="372CC3DB" w14:textId="77777777" w:rsidR="00927EF9" w:rsidRDefault="00927EF9" w:rsidP="005455F2">
            <w:pPr>
              <w:keepNext/>
              <w:keepLines/>
              <w:spacing w:after="0" w:line="240" w:lineRule="auto"/>
              <w:jc w:val="center"/>
              <w:rPr>
                <w:b/>
                <w:sz w:val="14"/>
                <w:szCs w:val="14"/>
              </w:rPr>
            </w:pPr>
            <w:r>
              <w:rPr>
                <w:b/>
                <w:sz w:val="14"/>
                <w:szCs w:val="14"/>
              </w:rPr>
              <w:t>3</w:t>
            </w:r>
          </w:p>
        </w:tc>
        <w:tc>
          <w:tcPr>
            <w:tcW w:w="1417" w:type="dxa"/>
            <w:tcBorders>
              <w:bottom w:val="single" w:sz="4" w:space="0" w:color="auto"/>
            </w:tcBorders>
            <w:shd w:val="clear" w:color="auto" w:fill="auto"/>
          </w:tcPr>
          <w:p w14:paraId="4B627A9B" w14:textId="77777777" w:rsidR="00927EF9" w:rsidRDefault="00927EF9" w:rsidP="005455F2">
            <w:pPr>
              <w:keepNext/>
              <w:keepLines/>
              <w:spacing w:after="0" w:line="240" w:lineRule="auto"/>
              <w:jc w:val="center"/>
              <w:rPr>
                <w:b/>
                <w:sz w:val="14"/>
                <w:szCs w:val="14"/>
              </w:rPr>
            </w:pPr>
            <w:r>
              <w:rPr>
                <w:b/>
                <w:sz w:val="14"/>
                <w:szCs w:val="14"/>
              </w:rPr>
              <w:t>4</w:t>
            </w:r>
          </w:p>
        </w:tc>
        <w:tc>
          <w:tcPr>
            <w:tcW w:w="1134" w:type="dxa"/>
            <w:tcBorders>
              <w:bottom w:val="single" w:sz="4" w:space="0" w:color="auto"/>
            </w:tcBorders>
            <w:shd w:val="clear" w:color="auto" w:fill="auto"/>
          </w:tcPr>
          <w:p w14:paraId="1C06622E" w14:textId="77777777" w:rsidR="00927EF9" w:rsidRDefault="00927EF9" w:rsidP="005455F2">
            <w:pPr>
              <w:keepNext/>
              <w:keepLines/>
              <w:spacing w:after="0" w:line="240" w:lineRule="auto"/>
              <w:jc w:val="center"/>
              <w:rPr>
                <w:b/>
                <w:sz w:val="14"/>
                <w:szCs w:val="14"/>
              </w:rPr>
            </w:pPr>
            <w:r>
              <w:rPr>
                <w:b/>
                <w:sz w:val="14"/>
                <w:szCs w:val="14"/>
              </w:rPr>
              <w:t>5</w:t>
            </w:r>
          </w:p>
        </w:tc>
        <w:tc>
          <w:tcPr>
            <w:tcW w:w="1134" w:type="dxa"/>
            <w:tcBorders>
              <w:bottom w:val="single" w:sz="4" w:space="0" w:color="auto"/>
            </w:tcBorders>
            <w:shd w:val="clear" w:color="auto" w:fill="auto"/>
          </w:tcPr>
          <w:p w14:paraId="3BF13855" w14:textId="77777777" w:rsidR="00927EF9" w:rsidRDefault="00927EF9" w:rsidP="005455F2">
            <w:pPr>
              <w:keepNext/>
              <w:keepLines/>
              <w:spacing w:after="0" w:line="240" w:lineRule="auto"/>
              <w:jc w:val="center"/>
              <w:rPr>
                <w:b/>
                <w:sz w:val="14"/>
                <w:szCs w:val="14"/>
              </w:rPr>
            </w:pPr>
            <w:r>
              <w:rPr>
                <w:b/>
                <w:sz w:val="14"/>
                <w:szCs w:val="14"/>
              </w:rPr>
              <w:t>6</w:t>
            </w:r>
          </w:p>
        </w:tc>
        <w:tc>
          <w:tcPr>
            <w:tcW w:w="1276" w:type="dxa"/>
            <w:tcBorders>
              <w:bottom w:val="single" w:sz="4" w:space="0" w:color="auto"/>
            </w:tcBorders>
            <w:shd w:val="clear" w:color="auto" w:fill="auto"/>
          </w:tcPr>
          <w:p w14:paraId="300AE282" w14:textId="77777777" w:rsidR="00927EF9" w:rsidRDefault="00927EF9" w:rsidP="005455F2">
            <w:pPr>
              <w:keepNext/>
              <w:keepLines/>
              <w:spacing w:after="0" w:line="240" w:lineRule="auto"/>
              <w:jc w:val="center"/>
              <w:rPr>
                <w:b/>
                <w:sz w:val="14"/>
                <w:szCs w:val="14"/>
              </w:rPr>
            </w:pPr>
            <w:r>
              <w:rPr>
                <w:b/>
                <w:sz w:val="14"/>
                <w:szCs w:val="14"/>
              </w:rPr>
              <w:t>7</w:t>
            </w:r>
          </w:p>
        </w:tc>
        <w:tc>
          <w:tcPr>
            <w:tcW w:w="1134" w:type="dxa"/>
            <w:tcBorders>
              <w:bottom w:val="single" w:sz="4" w:space="0" w:color="auto"/>
            </w:tcBorders>
            <w:shd w:val="clear" w:color="auto" w:fill="auto"/>
          </w:tcPr>
          <w:p w14:paraId="2CA04F99" w14:textId="77777777" w:rsidR="00927EF9" w:rsidRDefault="00927EF9" w:rsidP="005455F2">
            <w:pPr>
              <w:keepNext/>
              <w:keepLines/>
              <w:spacing w:after="0" w:line="240" w:lineRule="auto"/>
              <w:jc w:val="center"/>
              <w:rPr>
                <w:b/>
                <w:sz w:val="14"/>
                <w:szCs w:val="14"/>
              </w:rPr>
            </w:pPr>
            <w:r>
              <w:rPr>
                <w:b/>
                <w:sz w:val="14"/>
                <w:szCs w:val="14"/>
              </w:rPr>
              <w:t>8</w:t>
            </w:r>
          </w:p>
        </w:tc>
        <w:tc>
          <w:tcPr>
            <w:tcW w:w="1134" w:type="dxa"/>
            <w:tcBorders>
              <w:bottom w:val="single" w:sz="4" w:space="0" w:color="auto"/>
            </w:tcBorders>
            <w:shd w:val="clear" w:color="auto" w:fill="auto"/>
          </w:tcPr>
          <w:p w14:paraId="1D1A672B" w14:textId="77777777" w:rsidR="00927EF9" w:rsidRDefault="00927EF9" w:rsidP="005455F2">
            <w:pPr>
              <w:keepNext/>
              <w:keepLines/>
              <w:spacing w:after="0" w:line="240" w:lineRule="auto"/>
              <w:jc w:val="center"/>
              <w:rPr>
                <w:b/>
                <w:sz w:val="14"/>
                <w:szCs w:val="14"/>
              </w:rPr>
            </w:pPr>
            <w:r>
              <w:rPr>
                <w:b/>
                <w:sz w:val="14"/>
                <w:szCs w:val="14"/>
              </w:rPr>
              <w:t>9</w:t>
            </w:r>
          </w:p>
        </w:tc>
        <w:tc>
          <w:tcPr>
            <w:tcW w:w="1136" w:type="dxa"/>
            <w:tcBorders>
              <w:bottom w:val="single" w:sz="4" w:space="0" w:color="auto"/>
            </w:tcBorders>
            <w:shd w:val="clear" w:color="auto" w:fill="auto"/>
          </w:tcPr>
          <w:p w14:paraId="18F49425" w14:textId="77777777" w:rsidR="00927EF9" w:rsidRDefault="00927EF9" w:rsidP="005455F2">
            <w:pPr>
              <w:keepNext/>
              <w:keepLines/>
              <w:spacing w:after="0" w:line="240" w:lineRule="auto"/>
              <w:jc w:val="center"/>
              <w:rPr>
                <w:b/>
                <w:sz w:val="14"/>
                <w:szCs w:val="14"/>
              </w:rPr>
            </w:pPr>
            <w:r>
              <w:rPr>
                <w:b/>
                <w:sz w:val="14"/>
                <w:szCs w:val="14"/>
              </w:rPr>
              <w:t>10</w:t>
            </w:r>
          </w:p>
        </w:tc>
        <w:tc>
          <w:tcPr>
            <w:tcW w:w="2354" w:type="dxa"/>
            <w:tcBorders>
              <w:bottom w:val="single" w:sz="4" w:space="0" w:color="auto"/>
            </w:tcBorders>
            <w:shd w:val="clear" w:color="auto" w:fill="auto"/>
          </w:tcPr>
          <w:p w14:paraId="79E419C4" w14:textId="77777777" w:rsidR="00927EF9" w:rsidRDefault="00927EF9" w:rsidP="005455F2">
            <w:pPr>
              <w:keepNext/>
              <w:keepLines/>
              <w:spacing w:after="0" w:line="240" w:lineRule="auto"/>
              <w:jc w:val="center"/>
              <w:rPr>
                <w:b/>
                <w:sz w:val="14"/>
                <w:szCs w:val="14"/>
              </w:rPr>
            </w:pPr>
            <w:r>
              <w:rPr>
                <w:b/>
                <w:sz w:val="14"/>
                <w:szCs w:val="14"/>
              </w:rPr>
              <w:t>11</w:t>
            </w:r>
          </w:p>
        </w:tc>
      </w:tr>
      <w:tr w:rsidR="00BC3BEE" w14:paraId="492236F8" w14:textId="77777777" w:rsidTr="00D31A2E">
        <w:trPr>
          <w:trHeight w:val="5619"/>
        </w:trPr>
        <w:tc>
          <w:tcPr>
            <w:tcW w:w="1111" w:type="dxa"/>
            <w:tcBorders>
              <w:top w:val="single" w:sz="4" w:space="0" w:color="auto"/>
              <w:bottom w:val="single" w:sz="4" w:space="0" w:color="auto"/>
            </w:tcBorders>
            <w:shd w:val="clear" w:color="auto" w:fill="auto"/>
          </w:tcPr>
          <w:p w14:paraId="1BBC1254" w14:textId="29086641" w:rsidR="00BC3BEE" w:rsidRDefault="00927EF9" w:rsidP="005455F2">
            <w:pPr>
              <w:spacing w:after="0" w:line="240" w:lineRule="auto"/>
              <w:jc w:val="left"/>
              <w:rPr>
                <w:rFonts w:eastAsia="Verdana" w:cs="Verdana"/>
                <w:sz w:val="14"/>
                <w:szCs w:val="14"/>
              </w:rPr>
            </w:pPr>
            <w:r>
              <w:rPr>
                <w:rFonts w:eastAsia="Verdana" w:cs="Verdana"/>
                <w:sz w:val="14"/>
                <w:szCs w:val="14"/>
              </w:rPr>
              <w:t>United States (Cont'd)</w:t>
            </w:r>
          </w:p>
        </w:tc>
        <w:tc>
          <w:tcPr>
            <w:tcW w:w="1418" w:type="dxa"/>
            <w:tcBorders>
              <w:bottom w:val="single" w:sz="4" w:space="0" w:color="auto"/>
            </w:tcBorders>
            <w:shd w:val="clear" w:color="auto" w:fill="auto"/>
          </w:tcPr>
          <w:p w14:paraId="1917DB1D" w14:textId="77777777" w:rsidR="00BC3BEE" w:rsidRDefault="00BC3BEE" w:rsidP="005455F2">
            <w:pPr>
              <w:spacing w:after="0" w:line="240" w:lineRule="auto"/>
              <w:jc w:val="left"/>
              <w:rPr>
                <w:rFonts w:eastAsia="Verdana" w:cs="Verdana"/>
                <w:sz w:val="14"/>
                <w:szCs w:val="14"/>
              </w:rPr>
            </w:pPr>
          </w:p>
        </w:tc>
        <w:tc>
          <w:tcPr>
            <w:tcW w:w="1276" w:type="dxa"/>
            <w:tcBorders>
              <w:bottom w:val="single" w:sz="4" w:space="0" w:color="auto"/>
            </w:tcBorders>
            <w:shd w:val="clear" w:color="auto" w:fill="auto"/>
          </w:tcPr>
          <w:p w14:paraId="433D9CA9" w14:textId="77777777" w:rsidR="00BC3BEE" w:rsidRDefault="00BC3BEE" w:rsidP="005455F2">
            <w:pPr>
              <w:spacing w:after="0" w:line="240" w:lineRule="auto"/>
              <w:jc w:val="center"/>
              <w:rPr>
                <w:rFonts w:eastAsia="Verdana" w:cs="Verdana"/>
                <w:sz w:val="14"/>
                <w:szCs w:val="14"/>
              </w:rPr>
            </w:pPr>
          </w:p>
        </w:tc>
        <w:tc>
          <w:tcPr>
            <w:tcW w:w="1417" w:type="dxa"/>
            <w:tcBorders>
              <w:bottom w:val="single" w:sz="4" w:space="0" w:color="auto"/>
            </w:tcBorders>
            <w:shd w:val="clear" w:color="auto" w:fill="auto"/>
          </w:tcPr>
          <w:p w14:paraId="2DAFD0EB" w14:textId="77777777" w:rsidR="00BC3BEE" w:rsidRDefault="00BC3BEE" w:rsidP="005455F2">
            <w:pPr>
              <w:spacing w:after="0" w:line="240" w:lineRule="auto"/>
              <w:jc w:val="center"/>
              <w:rPr>
                <w:rFonts w:eastAsia="Verdana" w:cs="Verdana"/>
                <w:sz w:val="14"/>
                <w:szCs w:val="14"/>
              </w:rPr>
            </w:pPr>
          </w:p>
        </w:tc>
        <w:tc>
          <w:tcPr>
            <w:tcW w:w="1134" w:type="dxa"/>
            <w:tcBorders>
              <w:bottom w:val="single" w:sz="4" w:space="0" w:color="auto"/>
            </w:tcBorders>
            <w:shd w:val="clear" w:color="auto" w:fill="auto"/>
          </w:tcPr>
          <w:p w14:paraId="4CEE92D3" w14:textId="77777777" w:rsidR="00BC3BEE" w:rsidRDefault="00BC3BEE" w:rsidP="005455F2">
            <w:pPr>
              <w:spacing w:after="0" w:line="240" w:lineRule="auto"/>
              <w:jc w:val="center"/>
              <w:rPr>
                <w:bCs/>
                <w:sz w:val="14"/>
                <w:szCs w:val="14"/>
              </w:rPr>
            </w:pPr>
          </w:p>
        </w:tc>
        <w:tc>
          <w:tcPr>
            <w:tcW w:w="1134" w:type="dxa"/>
            <w:tcBorders>
              <w:bottom w:val="single" w:sz="4" w:space="0" w:color="auto"/>
            </w:tcBorders>
            <w:shd w:val="clear" w:color="auto" w:fill="auto"/>
          </w:tcPr>
          <w:p w14:paraId="77837F1E" w14:textId="77777777" w:rsidR="00BC3BEE" w:rsidRDefault="00BC3BEE" w:rsidP="005455F2">
            <w:pPr>
              <w:spacing w:after="0" w:line="240" w:lineRule="auto"/>
              <w:jc w:val="center"/>
              <w:rPr>
                <w:bCs/>
                <w:sz w:val="14"/>
                <w:szCs w:val="14"/>
              </w:rPr>
            </w:pPr>
          </w:p>
        </w:tc>
        <w:tc>
          <w:tcPr>
            <w:tcW w:w="1276" w:type="dxa"/>
            <w:tcBorders>
              <w:bottom w:val="single" w:sz="4" w:space="0" w:color="auto"/>
            </w:tcBorders>
            <w:shd w:val="clear" w:color="auto" w:fill="auto"/>
          </w:tcPr>
          <w:p w14:paraId="0AB09345" w14:textId="77777777" w:rsidR="00BC3BEE" w:rsidRDefault="00BC3BEE" w:rsidP="005455F2">
            <w:pPr>
              <w:spacing w:after="0" w:line="240" w:lineRule="auto"/>
              <w:jc w:val="center"/>
              <w:rPr>
                <w:rFonts w:eastAsia="Verdana" w:cs="Verdana"/>
                <w:sz w:val="14"/>
                <w:szCs w:val="14"/>
              </w:rPr>
            </w:pPr>
          </w:p>
        </w:tc>
        <w:tc>
          <w:tcPr>
            <w:tcW w:w="1134" w:type="dxa"/>
            <w:tcBorders>
              <w:bottom w:val="single" w:sz="4" w:space="0" w:color="auto"/>
            </w:tcBorders>
            <w:shd w:val="clear" w:color="auto" w:fill="auto"/>
          </w:tcPr>
          <w:p w14:paraId="330E6ACD" w14:textId="77777777" w:rsidR="00BC3BEE" w:rsidRDefault="00BC3BEE" w:rsidP="005455F2">
            <w:pPr>
              <w:spacing w:after="0" w:line="240" w:lineRule="auto"/>
              <w:jc w:val="center"/>
              <w:rPr>
                <w:rFonts w:eastAsia="Verdana" w:cs="Verdana"/>
                <w:sz w:val="14"/>
                <w:szCs w:val="14"/>
              </w:rPr>
            </w:pPr>
          </w:p>
        </w:tc>
        <w:tc>
          <w:tcPr>
            <w:tcW w:w="1134" w:type="dxa"/>
            <w:tcBorders>
              <w:bottom w:val="single" w:sz="4" w:space="0" w:color="auto"/>
            </w:tcBorders>
            <w:shd w:val="clear" w:color="auto" w:fill="auto"/>
          </w:tcPr>
          <w:p w14:paraId="4B23FECF" w14:textId="77777777" w:rsidR="00BC3BEE" w:rsidRDefault="00BC3BEE" w:rsidP="005455F2">
            <w:pPr>
              <w:spacing w:after="0" w:line="240" w:lineRule="auto"/>
              <w:jc w:val="center"/>
              <w:rPr>
                <w:sz w:val="14"/>
                <w:szCs w:val="14"/>
                <w:lang w:eastAsia="en-GB"/>
              </w:rPr>
            </w:pPr>
          </w:p>
        </w:tc>
        <w:tc>
          <w:tcPr>
            <w:tcW w:w="1136" w:type="dxa"/>
            <w:tcBorders>
              <w:bottom w:val="single" w:sz="4" w:space="0" w:color="auto"/>
            </w:tcBorders>
            <w:shd w:val="clear" w:color="auto" w:fill="auto"/>
          </w:tcPr>
          <w:p w14:paraId="3EF317DA" w14:textId="77777777" w:rsidR="00BC3BEE" w:rsidRDefault="00BC3BEE" w:rsidP="005455F2">
            <w:pPr>
              <w:spacing w:after="0" w:line="240" w:lineRule="auto"/>
              <w:jc w:val="center"/>
              <w:rPr>
                <w:rFonts w:eastAsia="Verdana" w:cs="Verdana"/>
                <w:sz w:val="14"/>
                <w:szCs w:val="14"/>
              </w:rPr>
            </w:pPr>
          </w:p>
        </w:tc>
        <w:tc>
          <w:tcPr>
            <w:tcW w:w="2354" w:type="dxa"/>
            <w:tcBorders>
              <w:bottom w:val="single" w:sz="4" w:space="0" w:color="auto"/>
            </w:tcBorders>
            <w:shd w:val="clear" w:color="auto" w:fill="auto"/>
          </w:tcPr>
          <w:p w14:paraId="5EC431B9" w14:textId="77777777" w:rsidR="00927EF9" w:rsidRDefault="00927EF9" w:rsidP="005455F2">
            <w:pPr>
              <w:numPr>
                <w:ilvl w:val="255"/>
                <w:numId w:val="0"/>
              </w:numPr>
              <w:spacing w:after="0" w:line="240" w:lineRule="auto"/>
              <w:jc w:val="left"/>
              <w:rPr>
                <w:sz w:val="14"/>
                <w:szCs w:val="14"/>
                <w:lang w:eastAsia="en-GB"/>
              </w:rPr>
            </w:pPr>
            <w:r w:rsidRPr="005519C5">
              <w:rPr>
                <w:sz w:val="14"/>
                <w:szCs w:val="14"/>
                <w:lang w:eastAsia="en-GB"/>
              </w:rPr>
              <w:t xml:space="preserve">9. Oil Deduction Severance Tax on Transportation Fees </w:t>
            </w:r>
          </w:p>
          <w:p w14:paraId="2C19E2EE" w14:textId="6E4B6DE7" w:rsidR="00927EF9" w:rsidRPr="005519C5" w:rsidRDefault="00927EF9" w:rsidP="005455F2">
            <w:pPr>
              <w:numPr>
                <w:ilvl w:val="255"/>
                <w:numId w:val="0"/>
              </w:numPr>
              <w:spacing w:after="0" w:line="240" w:lineRule="auto"/>
              <w:jc w:val="left"/>
              <w:rPr>
                <w:sz w:val="14"/>
                <w:szCs w:val="14"/>
                <w:lang w:eastAsia="en-GB"/>
              </w:rPr>
            </w:pPr>
            <w:r w:rsidRPr="005519C5">
              <w:rPr>
                <w:sz w:val="14"/>
                <w:szCs w:val="14"/>
                <w:lang w:eastAsia="en-GB"/>
              </w:rPr>
              <w:t>10. Severance Tax Suspension on Oil from Horizontal Wells</w:t>
            </w:r>
          </w:p>
          <w:p w14:paraId="78238CC3" w14:textId="77777777" w:rsidR="00927EF9" w:rsidRPr="005519C5" w:rsidRDefault="00927EF9" w:rsidP="005455F2">
            <w:pPr>
              <w:numPr>
                <w:ilvl w:val="255"/>
                <w:numId w:val="0"/>
              </w:numPr>
              <w:spacing w:after="0" w:line="240" w:lineRule="auto"/>
              <w:jc w:val="left"/>
              <w:rPr>
                <w:sz w:val="14"/>
                <w:szCs w:val="14"/>
                <w:lang w:eastAsia="en-GB"/>
              </w:rPr>
            </w:pPr>
            <w:r w:rsidRPr="005519C5">
              <w:rPr>
                <w:sz w:val="14"/>
                <w:szCs w:val="14"/>
                <w:lang w:eastAsia="en-GB"/>
              </w:rPr>
              <w:t>11. Severance Tax Suspension on Oil from Inactive Wells</w:t>
            </w:r>
          </w:p>
          <w:p w14:paraId="06DC1FE9" w14:textId="77777777" w:rsidR="00927EF9" w:rsidRPr="005519C5" w:rsidRDefault="00927EF9" w:rsidP="005455F2">
            <w:pPr>
              <w:numPr>
                <w:ilvl w:val="255"/>
                <w:numId w:val="0"/>
              </w:numPr>
              <w:spacing w:after="0" w:line="240" w:lineRule="auto"/>
              <w:jc w:val="left"/>
              <w:rPr>
                <w:sz w:val="14"/>
                <w:szCs w:val="14"/>
                <w:lang w:eastAsia="en-GB"/>
              </w:rPr>
            </w:pPr>
            <w:r w:rsidRPr="005519C5">
              <w:rPr>
                <w:sz w:val="14"/>
                <w:szCs w:val="14"/>
                <w:lang w:eastAsia="en-GB"/>
              </w:rPr>
              <w:t>12. Severance Tax Suspension on Oil from Deep Wells</w:t>
            </w:r>
          </w:p>
          <w:p w14:paraId="45C0E5EA" w14:textId="77777777" w:rsidR="00927EF9" w:rsidRPr="005519C5" w:rsidRDefault="00927EF9" w:rsidP="005455F2">
            <w:pPr>
              <w:numPr>
                <w:ilvl w:val="255"/>
                <w:numId w:val="0"/>
              </w:numPr>
              <w:spacing w:after="0" w:line="240" w:lineRule="auto"/>
              <w:jc w:val="left"/>
              <w:rPr>
                <w:sz w:val="14"/>
                <w:szCs w:val="14"/>
                <w:lang w:eastAsia="en-GB"/>
              </w:rPr>
            </w:pPr>
            <w:r w:rsidRPr="005519C5">
              <w:rPr>
                <w:sz w:val="14"/>
                <w:szCs w:val="14"/>
                <w:lang w:eastAsia="en-GB"/>
              </w:rPr>
              <w:t>13. Severance Tax Suspension on Oil from Tertiary Recover</w:t>
            </w:r>
          </w:p>
          <w:p w14:paraId="14412BA9" w14:textId="77777777" w:rsidR="00927EF9" w:rsidRPr="005519C5" w:rsidRDefault="00927EF9" w:rsidP="005455F2">
            <w:pPr>
              <w:numPr>
                <w:ilvl w:val="255"/>
                <w:numId w:val="0"/>
              </w:numPr>
              <w:spacing w:after="0" w:line="240" w:lineRule="auto"/>
              <w:jc w:val="left"/>
              <w:rPr>
                <w:sz w:val="14"/>
                <w:szCs w:val="14"/>
                <w:lang w:eastAsia="en-GB"/>
              </w:rPr>
            </w:pPr>
            <w:r w:rsidRPr="005519C5">
              <w:rPr>
                <w:sz w:val="14"/>
                <w:szCs w:val="14"/>
                <w:lang w:eastAsia="en-GB"/>
              </w:rPr>
              <w:t xml:space="preserve">14. Reduced Severance Tax Rate on Incapable Oil Wells </w:t>
            </w:r>
          </w:p>
          <w:p w14:paraId="2334AA38" w14:textId="77777777" w:rsidR="00927EF9" w:rsidRPr="005519C5" w:rsidRDefault="00927EF9" w:rsidP="005455F2">
            <w:pPr>
              <w:numPr>
                <w:ilvl w:val="255"/>
                <w:numId w:val="0"/>
              </w:numPr>
              <w:spacing w:after="0" w:line="240" w:lineRule="auto"/>
              <w:jc w:val="left"/>
              <w:rPr>
                <w:sz w:val="14"/>
                <w:szCs w:val="14"/>
                <w:lang w:eastAsia="en-GB"/>
              </w:rPr>
            </w:pPr>
            <w:r w:rsidRPr="005519C5">
              <w:rPr>
                <w:sz w:val="14"/>
                <w:szCs w:val="14"/>
                <w:lang w:eastAsia="en-GB"/>
              </w:rPr>
              <w:t>15. Reduced Severance Tax Rate on Oil from Stripper Wells</w:t>
            </w:r>
          </w:p>
          <w:p w14:paraId="3672E62F" w14:textId="77777777" w:rsidR="00927EF9" w:rsidRPr="005519C5" w:rsidRDefault="00927EF9" w:rsidP="005455F2">
            <w:pPr>
              <w:numPr>
                <w:ilvl w:val="255"/>
                <w:numId w:val="0"/>
              </w:numPr>
              <w:spacing w:after="0" w:line="240" w:lineRule="auto"/>
              <w:jc w:val="left"/>
              <w:rPr>
                <w:sz w:val="14"/>
                <w:szCs w:val="14"/>
                <w:lang w:eastAsia="en-GB"/>
              </w:rPr>
            </w:pPr>
            <w:r w:rsidRPr="005519C5">
              <w:rPr>
                <w:sz w:val="14"/>
                <w:szCs w:val="14"/>
                <w:lang w:eastAsia="en-GB"/>
              </w:rPr>
              <w:t>16. Severance Tax Exclusion on Flared or Vented Natural Gas</w:t>
            </w:r>
          </w:p>
          <w:p w14:paraId="70F5699F" w14:textId="77777777" w:rsidR="00927EF9" w:rsidRPr="005519C5" w:rsidRDefault="00927EF9" w:rsidP="005455F2">
            <w:pPr>
              <w:numPr>
                <w:ilvl w:val="255"/>
                <w:numId w:val="0"/>
              </w:numPr>
              <w:spacing w:after="0" w:line="240" w:lineRule="auto"/>
              <w:jc w:val="left"/>
              <w:rPr>
                <w:sz w:val="14"/>
                <w:szCs w:val="14"/>
              </w:rPr>
            </w:pPr>
            <w:r w:rsidRPr="005519C5">
              <w:rPr>
                <w:sz w:val="14"/>
                <w:szCs w:val="14"/>
                <w:lang w:eastAsia="en-GB"/>
              </w:rPr>
              <w:t>17. Severance Tax Exclusion for Natural Gas Used in Field Operations</w:t>
            </w:r>
          </w:p>
          <w:p w14:paraId="11E1DCB8" w14:textId="77777777" w:rsidR="00927EF9" w:rsidRPr="005519C5" w:rsidRDefault="00927EF9" w:rsidP="005455F2">
            <w:pPr>
              <w:spacing w:after="0" w:line="240" w:lineRule="auto"/>
              <w:jc w:val="left"/>
              <w:rPr>
                <w:color w:val="000000" w:themeColor="text1"/>
                <w:sz w:val="14"/>
                <w:szCs w:val="14"/>
                <w:lang w:eastAsia="en-GB"/>
              </w:rPr>
            </w:pPr>
            <w:r w:rsidRPr="005519C5">
              <w:rPr>
                <w:sz w:val="14"/>
                <w:szCs w:val="14"/>
                <w:lang w:eastAsia="en-GB"/>
              </w:rPr>
              <w:t>North Dakota</w:t>
            </w:r>
          </w:p>
          <w:p w14:paraId="20DD3E4F" w14:textId="77777777" w:rsidR="00927EF9" w:rsidRPr="005519C5" w:rsidRDefault="00927EF9" w:rsidP="005455F2">
            <w:pPr>
              <w:spacing w:after="0" w:line="240" w:lineRule="auto"/>
              <w:jc w:val="left"/>
              <w:rPr>
                <w:sz w:val="14"/>
                <w:szCs w:val="14"/>
                <w:lang w:eastAsia="en-GB"/>
              </w:rPr>
            </w:pPr>
            <w:r w:rsidRPr="005519C5">
              <w:rPr>
                <w:sz w:val="14"/>
                <w:szCs w:val="14"/>
                <w:lang w:eastAsia="en-GB"/>
              </w:rPr>
              <w:t>1. Gas Gross Production Tax Exemptions + Oil Extraction Tax Exemptions/Reduced Tax Rate for Certain Wells Outside the Bakken and Three Forks Region</w:t>
            </w:r>
          </w:p>
          <w:p w14:paraId="62AC30C4" w14:textId="77777777" w:rsidR="00927EF9" w:rsidRPr="005519C5" w:rsidRDefault="00927EF9" w:rsidP="005455F2">
            <w:pPr>
              <w:spacing w:after="0" w:line="240" w:lineRule="auto"/>
              <w:jc w:val="left"/>
              <w:rPr>
                <w:sz w:val="14"/>
                <w:szCs w:val="14"/>
                <w:lang w:eastAsia="en-GB"/>
              </w:rPr>
            </w:pPr>
            <w:r w:rsidRPr="005519C5">
              <w:rPr>
                <w:sz w:val="14"/>
                <w:szCs w:val="14"/>
                <w:lang w:eastAsia="en-GB"/>
              </w:rPr>
              <w:t>2. Sales tax exemption for oil/Sales tax exemption for CO</w:t>
            </w:r>
            <w:r w:rsidRPr="005519C5">
              <w:rPr>
                <w:sz w:val="14"/>
                <w:szCs w:val="14"/>
                <w:vertAlign w:val="subscript"/>
                <w:lang w:eastAsia="en-GB"/>
              </w:rPr>
              <w:t>2</w:t>
            </w:r>
            <w:r w:rsidRPr="005519C5">
              <w:rPr>
                <w:sz w:val="14"/>
                <w:szCs w:val="14"/>
                <w:lang w:eastAsia="en-GB"/>
              </w:rPr>
              <w:t xml:space="preserve"> used for enhance oil recovery/Sales tax exemption for natural gas </w:t>
            </w:r>
          </w:p>
          <w:p w14:paraId="02D7C7C4" w14:textId="77777777" w:rsidR="00927EF9" w:rsidRPr="005519C5" w:rsidRDefault="00927EF9" w:rsidP="005455F2">
            <w:pPr>
              <w:spacing w:after="0" w:line="240" w:lineRule="auto"/>
              <w:jc w:val="left"/>
              <w:rPr>
                <w:sz w:val="14"/>
                <w:szCs w:val="14"/>
              </w:rPr>
            </w:pPr>
            <w:r w:rsidRPr="005519C5">
              <w:rPr>
                <w:sz w:val="14"/>
                <w:szCs w:val="14"/>
                <w:lang w:eastAsia="en-GB"/>
              </w:rPr>
              <w:t>Oklahoma</w:t>
            </w:r>
          </w:p>
          <w:p w14:paraId="2B1767A5" w14:textId="77777777" w:rsidR="00927EF9" w:rsidRPr="005519C5" w:rsidRDefault="00927EF9" w:rsidP="005455F2">
            <w:pPr>
              <w:numPr>
                <w:ilvl w:val="255"/>
                <w:numId w:val="0"/>
              </w:numPr>
              <w:spacing w:after="0" w:line="240" w:lineRule="auto"/>
              <w:jc w:val="left"/>
              <w:rPr>
                <w:sz w:val="14"/>
                <w:szCs w:val="14"/>
                <w:lang w:eastAsia="en-GB"/>
              </w:rPr>
            </w:pPr>
            <w:r w:rsidRPr="005519C5">
              <w:rPr>
                <w:sz w:val="14"/>
                <w:szCs w:val="14"/>
                <w:lang w:eastAsia="en-GB"/>
              </w:rPr>
              <w:t>1. Sales Tax Exemption for Electricity Used in Enhanced Oil Recovery</w:t>
            </w:r>
          </w:p>
          <w:p w14:paraId="3BEFFCAF" w14:textId="77777777" w:rsidR="00927EF9" w:rsidRDefault="00927EF9" w:rsidP="005455F2">
            <w:pPr>
              <w:spacing w:after="0" w:line="240" w:lineRule="auto"/>
              <w:jc w:val="left"/>
              <w:rPr>
                <w:sz w:val="14"/>
                <w:szCs w:val="14"/>
                <w:lang w:eastAsia="en-GB"/>
              </w:rPr>
            </w:pPr>
            <w:r w:rsidRPr="005519C5">
              <w:rPr>
                <w:sz w:val="14"/>
                <w:szCs w:val="14"/>
                <w:lang w:eastAsia="en-GB"/>
              </w:rPr>
              <w:t>2. Cost of Complying with Sulphur Regulations</w:t>
            </w:r>
          </w:p>
          <w:p w14:paraId="00BDAAF5" w14:textId="77777777" w:rsidR="00927EF9" w:rsidRPr="005519C5" w:rsidRDefault="00927EF9" w:rsidP="005455F2">
            <w:pPr>
              <w:spacing w:after="0" w:line="240" w:lineRule="auto"/>
              <w:jc w:val="left"/>
              <w:rPr>
                <w:sz w:val="14"/>
                <w:szCs w:val="14"/>
                <w:lang w:eastAsia="en-GB"/>
              </w:rPr>
            </w:pPr>
            <w:r w:rsidRPr="005519C5">
              <w:rPr>
                <w:sz w:val="14"/>
                <w:szCs w:val="14"/>
                <w:lang w:eastAsia="en-GB"/>
              </w:rPr>
              <w:t xml:space="preserve">3. Full Expensing of Capital Investments in Qualified New Refinery Capacity </w:t>
            </w:r>
          </w:p>
          <w:p w14:paraId="07542344" w14:textId="77777777" w:rsidR="00927EF9" w:rsidRPr="005519C5" w:rsidRDefault="00927EF9" w:rsidP="005455F2">
            <w:pPr>
              <w:spacing w:after="0" w:line="240" w:lineRule="auto"/>
              <w:jc w:val="left"/>
              <w:rPr>
                <w:sz w:val="14"/>
                <w:szCs w:val="14"/>
                <w:lang w:eastAsia="en-GB"/>
              </w:rPr>
            </w:pPr>
            <w:r w:rsidRPr="005519C5">
              <w:rPr>
                <w:sz w:val="14"/>
                <w:szCs w:val="14"/>
                <w:lang w:eastAsia="en-GB"/>
              </w:rPr>
              <w:t xml:space="preserve">4. Gross Production Tax Rebate for Re-established Production </w:t>
            </w:r>
          </w:p>
          <w:p w14:paraId="41D9AC44" w14:textId="77777777" w:rsidR="00927EF9" w:rsidRPr="005519C5" w:rsidRDefault="00927EF9" w:rsidP="005455F2">
            <w:pPr>
              <w:spacing w:after="0" w:line="240" w:lineRule="auto"/>
              <w:jc w:val="left"/>
              <w:rPr>
                <w:sz w:val="14"/>
                <w:szCs w:val="14"/>
                <w:lang w:eastAsia="en-GB"/>
              </w:rPr>
            </w:pPr>
            <w:r w:rsidRPr="005519C5">
              <w:rPr>
                <w:sz w:val="14"/>
                <w:szCs w:val="14"/>
                <w:lang w:eastAsia="en-GB"/>
              </w:rPr>
              <w:t>5. Gross Production Tax Rebate for Production Enhancement/Enhanced Oil Recovery Deduction</w:t>
            </w:r>
          </w:p>
          <w:p w14:paraId="0EE6D912" w14:textId="3AB3EE8F" w:rsidR="00BC3BEE" w:rsidRPr="005519C5" w:rsidRDefault="00927EF9" w:rsidP="005455F2">
            <w:pPr>
              <w:numPr>
                <w:ilvl w:val="255"/>
                <w:numId w:val="0"/>
              </w:numPr>
              <w:spacing w:after="0" w:line="240" w:lineRule="auto"/>
              <w:jc w:val="left"/>
              <w:rPr>
                <w:color w:val="000000" w:themeColor="text1"/>
                <w:sz w:val="14"/>
                <w:szCs w:val="14"/>
                <w:lang w:eastAsia="en-GB"/>
              </w:rPr>
            </w:pPr>
            <w:r w:rsidRPr="005519C5">
              <w:rPr>
                <w:sz w:val="14"/>
                <w:szCs w:val="14"/>
                <w:lang w:eastAsia="en-GB"/>
              </w:rPr>
              <w:t>6. Gross Production Tax Rebate for 3D Seismic Wells</w:t>
            </w:r>
          </w:p>
        </w:tc>
      </w:tr>
      <w:tr w:rsidR="00927EF9" w14:paraId="0009279A" w14:textId="77777777" w:rsidTr="00D31A2E">
        <w:tc>
          <w:tcPr>
            <w:tcW w:w="1111" w:type="dxa"/>
            <w:tcBorders>
              <w:top w:val="single" w:sz="4" w:space="0" w:color="auto"/>
              <w:bottom w:val="single" w:sz="4" w:space="0" w:color="auto"/>
            </w:tcBorders>
            <w:shd w:val="clear" w:color="auto" w:fill="auto"/>
          </w:tcPr>
          <w:p w14:paraId="6E8D806A" w14:textId="77777777" w:rsidR="00927EF9" w:rsidRDefault="00927EF9" w:rsidP="005455F2">
            <w:pPr>
              <w:keepNext/>
              <w:keepLines/>
              <w:spacing w:after="0" w:line="240" w:lineRule="auto"/>
              <w:jc w:val="center"/>
              <w:rPr>
                <w:b/>
                <w:sz w:val="14"/>
                <w:szCs w:val="14"/>
              </w:rPr>
            </w:pPr>
            <w:r>
              <w:rPr>
                <w:b/>
                <w:sz w:val="14"/>
                <w:szCs w:val="14"/>
              </w:rPr>
              <w:lastRenderedPageBreak/>
              <w:t>1</w:t>
            </w:r>
          </w:p>
        </w:tc>
        <w:tc>
          <w:tcPr>
            <w:tcW w:w="1418" w:type="dxa"/>
            <w:tcBorders>
              <w:top w:val="single" w:sz="4" w:space="0" w:color="auto"/>
              <w:bottom w:val="single" w:sz="4" w:space="0" w:color="auto"/>
            </w:tcBorders>
            <w:shd w:val="clear" w:color="auto" w:fill="auto"/>
          </w:tcPr>
          <w:p w14:paraId="458447E3" w14:textId="77777777" w:rsidR="00927EF9" w:rsidRDefault="00927EF9" w:rsidP="005455F2">
            <w:pPr>
              <w:keepNext/>
              <w:keepLines/>
              <w:spacing w:after="0" w:line="240" w:lineRule="auto"/>
              <w:jc w:val="center"/>
              <w:rPr>
                <w:b/>
                <w:sz w:val="14"/>
                <w:szCs w:val="14"/>
              </w:rPr>
            </w:pPr>
            <w:r>
              <w:rPr>
                <w:b/>
                <w:sz w:val="14"/>
                <w:szCs w:val="14"/>
              </w:rPr>
              <w:t>2</w:t>
            </w:r>
          </w:p>
        </w:tc>
        <w:tc>
          <w:tcPr>
            <w:tcW w:w="1276" w:type="dxa"/>
            <w:tcBorders>
              <w:top w:val="single" w:sz="4" w:space="0" w:color="auto"/>
              <w:bottom w:val="single" w:sz="4" w:space="0" w:color="auto"/>
            </w:tcBorders>
            <w:shd w:val="clear" w:color="auto" w:fill="auto"/>
          </w:tcPr>
          <w:p w14:paraId="7EC6A029" w14:textId="77777777" w:rsidR="00927EF9" w:rsidRDefault="00927EF9" w:rsidP="005455F2">
            <w:pPr>
              <w:keepNext/>
              <w:keepLines/>
              <w:spacing w:after="0" w:line="240" w:lineRule="auto"/>
              <w:jc w:val="center"/>
              <w:rPr>
                <w:b/>
                <w:sz w:val="14"/>
                <w:szCs w:val="14"/>
              </w:rPr>
            </w:pPr>
            <w:r>
              <w:rPr>
                <w:b/>
                <w:sz w:val="14"/>
                <w:szCs w:val="14"/>
              </w:rPr>
              <w:t>3</w:t>
            </w:r>
          </w:p>
        </w:tc>
        <w:tc>
          <w:tcPr>
            <w:tcW w:w="1417" w:type="dxa"/>
            <w:tcBorders>
              <w:top w:val="single" w:sz="4" w:space="0" w:color="auto"/>
              <w:bottom w:val="single" w:sz="4" w:space="0" w:color="auto"/>
            </w:tcBorders>
            <w:shd w:val="clear" w:color="auto" w:fill="auto"/>
          </w:tcPr>
          <w:p w14:paraId="24FB36CA" w14:textId="77777777" w:rsidR="00927EF9" w:rsidRDefault="00927EF9" w:rsidP="005455F2">
            <w:pPr>
              <w:keepNext/>
              <w:keepLines/>
              <w:spacing w:after="0" w:line="240" w:lineRule="auto"/>
              <w:jc w:val="center"/>
              <w:rPr>
                <w:b/>
                <w:sz w:val="14"/>
                <w:szCs w:val="14"/>
              </w:rPr>
            </w:pPr>
            <w:r>
              <w:rPr>
                <w:b/>
                <w:sz w:val="14"/>
                <w:szCs w:val="14"/>
              </w:rPr>
              <w:t>4</w:t>
            </w:r>
          </w:p>
        </w:tc>
        <w:tc>
          <w:tcPr>
            <w:tcW w:w="1134" w:type="dxa"/>
            <w:tcBorders>
              <w:top w:val="single" w:sz="4" w:space="0" w:color="auto"/>
              <w:bottom w:val="single" w:sz="4" w:space="0" w:color="auto"/>
            </w:tcBorders>
            <w:shd w:val="clear" w:color="auto" w:fill="auto"/>
          </w:tcPr>
          <w:p w14:paraId="54719A74" w14:textId="77777777" w:rsidR="00927EF9" w:rsidRDefault="00927EF9" w:rsidP="005455F2">
            <w:pPr>
              <w:keepNext/>
              <w:keepLines/>
              <w:spacing w:after="0" w:line="240" w:lineRule="auto"/>
              <w:jc w:val="center"/>
              <w:rPr>
                <w:b/>
                <w:sz w:val="14"/>
                <w:szCs w:val="14"/>
              </w:rPr>
            </w:pPr>
            <w:r>
              <w:rPr>
                <w:b/>
                <w:sz w:val="14"/>
                <w:szCs w:val="14"/>
              </w:rPr>
              <w:t>5</w:t>
            </w:r>
          </w:p>
        </w:tc>
        <w:tc>
          <w:tcPr>
            <w:tcW w:w="1134" w:type="dxa"/>
            <w:tcBorders>
              <w:top w:val="single" w:sz="4" w:space="0" w:color="auto"/>
              <w:bottom w:val="single" w:sz="4" w:space="0" w:color="auto"/>
            </w:tcBorders>
            <w:shd w:val="clear" w:color="auto" w:fill="auto"/>
          </w:tcPr>
          <w:p w14:paraId="253F4163" w14:textId="77777777" w:rsidR="00927EF9" w:rsidRDefault="00927EF9" w:rsidP="005455F2">
            <w:pPr>
              <w:keepNext/>
              <w:keepLines/>
              <w:spacing w:after="0" w:line="240" w:lineRule="auto"/>
              <w:jc w:val="center"/>
              <w:rPr>
                <w:b/>
                <w:sz w:val="14"/>
                <w:szCs w:val="14"/>
              </w:rPr>
            </w:pPr>
            <w:r>
              <w:rPr>
                <w:b/>
                <w:sz w:val="14"/>
                <w:szCs w:val="14"/>
              </w:rPr>
              <w:t>6</w:t>
            </w:r>
          </w:p>
        </w:tc>
        <w:tc>
          <w:tcPr>
            <w:tcW w:w="1276" w:type="dxa"/>
            <w:tcBorders>
              <w:top w:val="single" w:sz="4" w:space="0" w:color="auto"/>
              <w:bottom w:val="single" w:sz="4" w:space="0" w:color="auto"/>
            </w:tcBorders>
            <w:shd w:val="clear" w:color="auto" w:fill="auto"/>
          </w:tcPr>
          <w:p w14:paraId="06BC465D" w14:textId="77777777" w:rsidR="00927EF9" w:rsidRDefault="00927EF9" w:rsidP="005455F2">
            <w:pPr>
              <w:keepNext/>
              <w:keepLines/>
              <w:spacing w:after="0" w:line="240" w:lineRule="auto"/>
              <w:jc w:val="center"/>
              <w:rPr>
                <w:b/>
                <w:sz w:val="14"/>
                <w:szCs w:val="14"/>
              </w:rPr>
            </w:pPr>
            <w:r>
              <w:rPr>
                <w:b/>
                <w:sz w:val="14"/>
                <w:szCs w:val="14"/>
              </w:rPr>
              <w:t>7</w:t>
            </w:r>
          </w:p>
        </w:tc>
        <w:tc>
          <w:tcPr>
            <w:tcW w:w="1134" w:type="dxa"/>
            <w:tcBorders>
              <w:top w:val="single" w:sz="4" w:space="0" w:color="auto"/>
              <w:bottom w:val="single" w:sz="4" w:space="0" w:color="auto"/>
            </w:tcBorders>
            <w:shd w:val="clear" w:color="auto" w:fill="auto"/>
          </w:tcPr>
          <w:p w14:paraId="7FE417A0" w14:textId="77777777" w:rsidR="00927EF9" w:rsidRDefault="00927EF9" w:rsidP="005455F2">
            <w:pPr>
              <w:keepNext/>
              <w:keepLines/>
              <w:spacing w:after="0" w:line="240" w:lineRule="auto"/>
              <w:jc w:val="center"/>
              <w:rPr>
                <w:b/>
                <w:sz w:val="14"/>
                <w:szCs w:val="14"/>
              </w:rPr>
            </w:pPr>
            <w:r>
              <w:rPr>
                <w:b/>
                <w:sz w:val="14"/>
                <w:szCs w:val="14"/>
              </w:rPr>
              <w:t>8</w:t>
            </w:r>
          </w:p>
        </w:tc>
        <w:tc>
          <w:tcPr>
            <w:tcW w:w="1134" w:type="dxa"/>
            <w:tcBorders>
              <w:top w:val="single" w:sz="4" w:space="0" w:color="auto"/>
              <w:bottom w:val="single" w:sz="4" w:space="0" w:color="auto"/>
            </w:tcBorders>
            <w:shd w:val="clear" w:color="auto" w:fill="auto"/>
          </w:tcPr>
          <w:p w14:paraId="6C6B5E04" w14:textId="77777777" w:rsidR="00927EF9" w:rsidRDefault="00927EF9" w:rsidP="005455F2">
            <w:pPr>
              <w:keepNext/>
              <w:keepLines/>
              <w:spacing w:after="0" w:line="240" w:lineRule="auto"/>
              <w:jc w:val="center"/>
              <w:rPr>
                <w:b/>
                <w:sz w:val="14"/>
                <w:szCs w:val="14"/>
              </w:rPr>
            </w:pPr>
            <w:r>
              <w:rPr>
                <w:b/>
                <w:sz w:val="14"/>
                <w:szCs w:val="14"/>
              </w:rPr>
              <w:t>9</w:t>
            </w:r>
          </w:p>
        </w:tc>
        <w:tc>
          <w:tcPr>
            <w:tcW w:w="1136" w:type="dxa"/>
            <w:tcBorders>
              <w:top w:val="single" w:sz="4" w:space="0" w:color="auto"/>
              <w:bottom w:val="single" w:sz="4" w:space="0" w:color="auto"/>
            </w:tcBorders>
            <w:shd w:val="clear" w:color="auto" w:fill="auto"/>
          </w:tcPr>
          <w:p w14:paraId="6E02BA42" w14:textId="77777777" w:rsidR="00927EF9" w:rsidRDefault="00927EF9" w:rsidP="005455F2">
            <w:pPr>
              <w:keepNext/>
              <w:keepLines/>
              <w:spacing w:after="0" w:line="240" w:lineRule="auto"/>
              <w:jc w:val="center"/>
              <w:rPr>
                <w:b/>
                <w:sz w:val="14"/>
                <w:szCs w:val="14"/>
              </w:rPr>
            </w:pPr>
            <w:r>
              <w:rPr>
                <w:b/>
                <w:sz w:val="14"/>
                <w:szCs w:val="14"/>
              </w:rPr>
              <w:t>10</w:t>
            </w:r>
          </w:p>
        </w:tc>
        <w:tc>
          <w:tcPr>
            <w:tcW w:w="2354" w:type="dxa"/>
            <w:tcBorders>
              <w:top w:val="single" w:sz="4" w:space="0" w:color="auto"/>
              <w:bottom w:val="single" w:sz="4" w:space="0" w:color="auto"/>
            </w:tcBorders>
            <w:shd w:val="clear" w:color="auto" w:fill="auto"/>
          </w:tcPr>
          <w:p w14:paraId="79B06B16" w14:textId="77777777" w:rsidR="00927EF9" w:rsidRDefault="00927EF9" w:rsidP="005455F2">
            <w:pPr>
              <w:keepNext/>
              <w:keepLines/>
              <w:spacing w:after="0" w:line="240" w:lineRule="auto"/>
              <w:jc w:val="center"/>
              <w:rPr>
                <w:b/>
                <w:sz w:val="14"/>
                <w:szCs w:val="14"/>
              </w:rPr>
            </w:pPr>
            <w:r>
              <w:rPr>
                <w:b/>
                <w:sz w:val="14"/>
                <w:szCs w:val="14"/>
              </w:rPr>
              <w:t>11</w:t>
            </w:r>
          </w:p>
        </w:tc>
      </w:tr>
      <w:tr w:rsidR="00BC3BEE" w14:paraId="7B844322" w14:textId="77777777" w:rsidTr="00D31A2E">
        <w:trPr>
          <w:trHeight w:val="5619"/>
        </w:trPr>
        <w:tc>
          <w:tcPr>
            <w:tcW w:w="1111" w:type="dxa"/>
            <w:tcBorders>
              <w:top w:val="single" w:sz="4" w:space="0" w:color="auto"/>
              <w:bottom w:val="double" w:sz="6" w:space="0" w:color="auto"/>
            </w:tcBorders>
            <w:shd w:val="clear" w:color="auto" w:fill="auto"/>
          </w:tcPr>
          <w:p w14:paraId="14D0827F" w14:textId="42479186" w:rsidR="00BC3BEE" w:rsidRDefault="00927EF9" w:rsidP="005455F2">
            <w:pPr>
              <w:spacing w:after="0" w:line="240" w:lineRule="auto"/>
              <w:jc w:val="left"/>
              <w:rPr>
                <w:rFonts w:eastAsia="Verdana" w:cs="Verdana"/>
                <w:sz w:val="14"/>
                <w:szCs w:val="14"/>
              </w:rPr>
            </w:pPr>
            <w:r>
              <w:rPr>
                <w:rFonts w:eastAsia="Verdana" w:cs="Verdana"/>
                <w:sz w:val="14"/>
                <w:szCs w:val="14"/>
              </w:rPr>
              <w:t>United States (Cont'd)</w:t>
            </w:r>
          </w:p>
        </w:tc>
        <w:tc>
          <w:tcPr>
            <w:tcW w:w="1418" w:type="dxa"/>
            <w:tcBorders>
              <w:top w:val="single" w:sz="4" w:space="0" w:color="auto"/>
              <w:bottom w:val="double" w:sz="6" w:space="0" w:color="auto"/>
            </w:tcBorders>
            <w:shd w:val="clear" w:color="auto" w:fill="auto"/>
          </w:tcPr>
          <w:p w14:paraId="1E2AFD42" w14:textId="77777777" w:rsidR="00BC3BEE" w:rsidRDefault="00BC3BEE" w:rsidP="005455F2">
            <w:pPr>
              <w:spacing w:after="0" w:line="240" w:lineRule="auto"/>
              <w:jc w:val="left"/>
              <w:rPr>
                <w:rFonts w:eastAsia="Verdana" w:cs="Verdana"/>
                <w:sz w:val="14"/>
                <w:szCs w:val="14"/>
              </w:rPr>
            </w:pPr>
          </w:p>
        </w:tc>
        <w:tc>
          <w:tcPr>
            <w:tcW w:w="1276" w:type="dxa"/>
            <w:tcBorders>
              <w:top w:val="single" w:sz="4" w:space="0" w:color="auto"/>
              <w:bottom w:val="double" w:sz="6" w:space="0" w:color="auto"/>
            </w:tcBorders>
            <w:shd w:val="clear" w:color="auto" w:fill="auto"/>
          </w:tcPr>
          <w:p w14:paraId="72428C83" w14:textId="77777777" w:rsidR="00BC3BEE" w:rsidRDefault="00BC3BEE" w:rsidP="005455F2">
            <w:pPr>
              <w:spacing w:after="0" w:line="240" w:lineRule="auto"/>
              <w:jc w:val="center"/>
              <w:rPr>
                <w:rFonts w:eastAsia="Verdana" w:cs="Verdana"/>
                <w:sz w:val="14"/>
                <w:szCs w:val="14"/>
              </w:rPr>
            </w:pPr>
          </w:p>
        </w:tc>
        <w:tc>
          <w:tcPr>
            <w:tcW w:w="1417" w:type="dxa"/>
            <w:tcBorders>
              <w:top w:val="single" w:sz="4" w:space="0" w:color="auto"/>
              <w:bottom w:val="double" w:sz="6" w:space="0" w:color="auto"/>
            </w:tcBorders>
            <w:shd w:val="clear" w:color="auto" w:fill="auto"/>
          </w:tcPr>
          <w:p w14:paraId="7E157EFD" w14:textId="77777777" w:rsidR="00BC3BEE" w:rsidRDefault="00BC3BEE" w:rsidP="005455F2">
            <w:pPr>
              <w:spacing w:after="0" w:line="240" w:lineRule="auto"/>
              <w:jc w:val="center"/>
              <w:rPr>
                <w:rFonts w:eastAsia="Verdana" w:cs="Verdana"/>
                <w:sz w:val="14"/>
                <w:szCs w:val="14"/>
              </w:rPr>
            </w:pPr>
          </w:p>
        </w:tc>
        <w:tc>
          <w:tcPr>
            <w:tcW w:w="1134" w:type="dxa"/>
            <w:tcBorders>
              <w:top w:val="single" w:sz="4" w:space="0" w:color="auto"/>
              <w:bottom w:val="double" w:sz="6" w:space="0" w:color="auto"/>
            </w:tcBorders>
            <w:shd w:val="clear" w:color="auto" w:fill="auto"/>
          </w:tcPr>
          <w:p w14:paraId="19B5A46D" w14:textId="77777777" w:rsidR="00BC3BEE" w:rsidRDefault="00BC3BEE" w:rsidP="005455F2">
            <w:pPr>
              <w:spacing w:after="0" w:line="240" w:lineRule="auto"/>
              <w:jc w:val="center"/>
              <w:rPr>
                <w:bCs/>
                <w:sz w:val="14"/>
                <w:szCs w:val="14"/>
              </w:rPr>
            </w:pPr>
          </w:p>
        </w:tc>
        <w:tc>
          <w:tcPr>
            <w:tcW w:w="1134" w:type="dxa"/>
            <w:tcBorders>
              <w:top w:val="single" w:sz="4" w:space="0" w:color="auto"/>
              <w:bottom w:val="double" w:sz="6" w:space="0" w:color="auto"/>
            </w:tcBorders>
            <w:shd w:val="clear" w:color="auto" w:fill="auto"/>
          </w:tcPr>
          <w:p w14:paraId="6871AE74" w14:textId="77777777" w:rsidR="00BC3BEE" w:rsidRDefault="00BC3BEE" w:rsidP="005455F2">
            <w:pPr>
              <w:spacing w:after="0" w:line="240" w:lineRule="auto"/>
              <w:jc w:val="center"/>
              <w:rPr>
                <w:bCs/>
                <w:sz w:val="14"/>
                <w:szCs w:val="14"/>
              </w:rPr>
            </w:pPr>
          </w:p>
        </w:tc>
        <w:tc>
          <w:tcPr>
            <w:tcW w:w="1276" w:type="dxa"/>
            <w:tcBorders>
              <w:top w:val="single" w:sz="4" w:space="0" w:color="auto"/>
              <w:bottom w:val="double" w:sz="6" w:space="0" w:color="auto"/>
            </w:tcBorders>
            <w:shd w:val="clear" w:color="auto" w:fill="auto"/>
          </w:tcPr>
          <w:p w14:paraId="6C3E9591" w14:textId="77777777" w:rsidR="00BC3BEE" w:rsidRDefault="00BC3BEE" w:rsidP="005455F2">
            <w:pPr>
              <w:spacing w:after="0" w:line="240" w:lineRule="auto"/>
              <w:jc w:val="center"/>
              <w:rPr>
                <w:rFonts w:eastAsia="Verdana" w:cs="Verdana"/>
                <w:sz w:val="14"/>
                <w:szCs w:val="14"/>
              </w:rPr>
            </w:pPr>
          </w:p>
        </w:tc>
        <w:tc>
          <w:tcPr>
            <w:tcW w:w="1134" w:type="dxa"/>
            <w:tcBorders>
              <w:top w:val="single" w:sz="4" w:space="0" w:color="auto"/>
              <w:bottom w:val="double" w:sz="6" w:space="0" w:color="auto"/>
            </w:tcBorders>
            <w:shd w:val="clear" w:color="auto" w:fill="auto"/>
          </w:tcPr>
          <w:p w14:paraId="37FCDE6D" w14:textId="77777777" w:rsidR="00BC3BEE" w:rsidRDefault="00BC3BEE" w:rsidP="005455F2">
            <w:pPr>
              <w:spacing w:after="0" w:line="240" w:lineRule="auto"/>
              <w:jc w:val="center"/>
              <w:rPr>
                <w:rFonts w:eastAsia="Verdana" w:cs="Verdana"/>
                <w:sz w:val="14"/>
                <w:szCs w:val="14"/>
              </w:rPr>
            </w:pPr>
          </w:p>
        </w:tc>
        <w:tc>
          <w:tcPr>
            <w:tcW w:w="1134" w:type="dxa"/>
            <w:tcBorders>
              <w:top w:val="single" w:sz="4" w:space="0" w:color="auto"/>
              <w:bottom w:val="double" w:sz="6" w:space="0" w:color="auto"/>
            </w:tcBorders>
            <w:shd w:val="clear" w:color="auto" w:fill="auto"/>
          </w:tcPr>
          <w:p w14:paraId="7AEDD416" w14:textId="77777777" w:rsidR="00BC3BEE" w:rsidRDefault="00BC3BEE" w:rsidP="005455F2">
            <w:pPr>
              <w:spacing w:after="0" w:line="240" w:lineRule="auto"/>
              <w:jc w:val="center"/>
              <w:rPr>
                <w:sz w:val="14"/>
                <w:szCs w:val="14"/>
                <w:lang w:eastAsia="en-GB"/>
              </w:rPr>
            </w:pPr>
          </w:p>
        </w:tc>
        <w:tc>
          <w:tcPr>
            <w:tcW w:w="1136" w:type="dxa"/>
            <w:tcBorders>
              <w:top w:val="single" w:sz="4" w:space="0" w:color="auto"/>
              <w:bottom w:val="double" w:sz="6" w:space="0" w:color="auto"/>
            </w:tcBorders>
            <w:shd w:val="clear" w:color="auto" w:fill="auto"/>
          </w:tcPr>
          <w:p w14:paraId="10EE3DB1" w14:textId="77777777" w:rsidR="00BC3BEE" w:rsidRDefault="00BC3BEE" w:rsidP="005455F2">
            <w:pPr>
              <w:spacing w:after="0" w:line="240" w:lineRule="auto"/>
              <w:jc w:val="center"/>
              <w:rPr>
                <w:rFonts w:eastAsia="Verdana" w:cs="Verdana"/>
                <w:sz w:val="14"/>
                <w:szCs w:val="14"/>
              </w:rPr>
            </w:pPr>
          </w:p>
        </w:tc>
        <w:tc>
          <w:tcPr>
            <w:tcW w:w="2354" w:type="dxa"/>
            <w:tcBorders>
              <w:top w:val="single" w:sz="4" w:space="0" w:color="auto"/>
              <w:bottom w:val="double" w:sz="6" w:space="0" w:color="auto"/>
            </w:tcBorders>
            <w:shd w:val="clear" w:color="auto" w:fill="auto"/>
          </w:tcPr>
          <w:p w14:paraId="1373433C" w14:textId="77777777" w:rsidR="00927EF9" w:rsidRPr="005519C5" w:rsidRDefault="00927EF9" w:rsidP="005455F2">
            <w:pPr>
              <w:numPr>
                <w:ilvl w:val="255"/>
                <w:numId w:val="0"/>
              </w:numPr>
              <w:spacing w:after="0" w:line="240" w:lineRule="auto"/>
              <w:jc w:val="left"/>
              <w:rPr>
                <w:sz w:val="14"/>
                <w:szCs w:val="14"/>
                <w:lang w:eastAsia="en-GB"/>
              </w:rPr>
            </w:pPr>
            <w:r w:rsidRPr="005519C5">
              <w:rPr>
                <w:sz w:val="14"/>
                <w:szCs w:val="14"/>
                <w:lang w:eastAsia="en-GB"/>
              </w:rPr>
              <w:t>7. Gross Production Tax Exemption for O&amp;G Owned by Government</w:t>
            </w:r>
          </w:p>
          <w:p w14:paraId="4EFF7EE5" w14:textId="77777777" w:rsidR="00927EF9" w:rsidRDefault="00927EF9" w:rsidP="005455F2">
            <w:pPr>
              <w:numPr>
                <w:ilvl w:val="255"/>
                <w:numId w:val="0"/>
              </w:numPr>
              <w:spacing w:after="0" w:line="240" w:lineRule="auto"/>
              <w:jc w:val="left"/>
              <w:rPr>
                <w:sz w:val="14"/>
                <w:szCs w:val="14"/>
                <w:lang w:eastAsia="en-GB"/>
              </w:rPr>
            </w:pPr>
            <w:r w:rsidRPr="005519C5">
              <w:rPr>
                <w:sz w:val="14"/>
                <w:szCs w:val="14"/>
                <w:lang w:eastAsia="en-GB"/>
              </w:rPr>
              <w:t>8. Gas Marketing Deduction Against Gross Production Tax</w:t>
            </w:r>
          </w:p>
          <w:p w14:paraId="0CE9F826" w14:textId="3B769359" w:rsidR="00927EF9" w:rsidRPr="005519C5" w:rsidRDefault="00927EF9" w:rsidP="005455F2">
            <w:pPr>
              <w:numPr>
                <w:ilvl w:val="255"/>
                <w:numId w:val="0"/>
              </w:numPr>
              <w:spacing w:after="0" w:line="240" w:lineRule="auto"/>
              <w:jc w:val="left"/>
              <w:rPr>
                <w:sz w:val="14"/>
                <w:szCs w:val="14"/>
                <w:lang w:eastAsia="en-GB"/>
              </w:rPr>
            </w:pPr>
            <w:r w:rsidRPr="005519C5">
              <w:rPr>
                <w:sz w:val="14"/>
                <w:szCs w:val="14"/>
                <w:lang w:eastAsia="en-GB"/>
              </w:rPr>
              <w:t>9. Gross Production Tax Rebate for Horizontally Drilled Wells</w:t>
            </w:r>
          </w:p>
          <w:p w14:paraId="06E18287" w14:textId="77777777" w:rsidR="00927EF9" w:rsidRPr="005519C5" w:rsidRDefault="00927EF9" w:rsidP="005455F2">
            <w:pPr>
              <w:numPr>
                <w:ilvl w:val="255"/>
                <w:numId w:val="0"/>
              </w:numPr>
              <w:spacing w:after="0" w:line="240" w:lineRule="auto"/>
              <w:jc w:val="left"/>
              <w:rPr>
                <w:sz w:val="14"/>
                <w:szCs w:val="14"/>
                <w:lang w:eastAsia="en-GB"/>
              </w:rPr>
            </w:pPr>
            <w:r w:rsidRPr="005519C5">
              <w:rPr>
                <w:sz w:val="14"/>
                <w:szCs w:val="14"/>
                <w:lang w:eastAsia="en-GB"/>
              </w:rPr>
              <w:t xml:space="preserve">10. Gross Production Tax Rebate for New Discovery Wells </w:t>
            </w:r>
          </w:p>
          <w:p w14:paraId="14593BC7" w14:textId="77777777" w:rsidR="00927EF9" w:rsidRPr="005519C5" w:rsidRDefault="00927EF9" w:rsidP="005455F2">
            <w:pPr>
              <w:spacing w:after="0" w:line="240" w:lineRule="auto"/>
              <w:jc w:val="left"/>
              <w:rPr>
                <w:sz w:val="14"/>
                <w:szCs w:val="14"/>
                <w:lang w:eastAsia="en-GB"/>
              </w:rPr>
            </w:pPr>
            <w:r w:rsidRPr="005519C5">
              <w:rPr>
                <w:sz w:val="14"/>
                <w:szCs w:val="14"/>
                <w:lang w:eastAsia="en-GB"/>
              </w:rPr>
              <w:t xml:space="preserve">Pennsylvania </w:t>
            </w:r>
          </w:p>
          <w:p w14:paraId="3E5706C0" w14:textId="77777777" w:rsidR="00927EF9" w:rsidRPr="005519C5" w:rsidRDefault="00927EF9" w:rsidP="005455F2">
            <w:pPr>
              <w:spacing w:after="0" w:line="240" w:lineRule="auto"/>
              <w:jc w:val="left"/>
              <w:rPr>
                <w:sz w:val="14"/>
                <w:szCs w:val="14"/>
                <w:lang w:eastAsia="en-GB"/>
              </w:rPr>
            </w:pPr>
            <w:r w:rsidRPr="005519C5">
              <w:rPr>
                <w:sz w:val="14"/>
                <w:szCs w:val="14"/>
                <w:lang w:eastAsia="en-GB"/>
              </w:rPr>
              <w:t xml:space="preserve">1. Realty-Transfer Tax Exemption for Resource Leases </w:t>
            </w:r>
          </w:p>
          <w:p w14:paraId="2BAADC34" w14:textId="77777777" w:rsidR="00927EF9" w:rsidRPr="005519C5" w:rsidRDefault="00927EF9" w:rsidP="005455F2">
            <w:pPr>
              <w:spacing w:after="0" w:line="240" w:lineRule="auto"/>
              <w:jc w:val="left"/>
              <w:rPr>
                <w:sz w:val="14"/>
                <w:szCs w:val="14"/>
                <w:lang w:eastAsia="en-GB"/>
              </w:rPr>
            </w:pPr>
            <w:r w:rsidRPr="005519C5">
              <w:rPr>
                <w:sz w:val="14"/>
                <w:szCs w:val="14"/>
                <w:lang w:eastAsia="en-GB"/>
              </w:rPr>
              <w:t>Texas</w:t>
            </w:r>
          </w:p>
          <w:p w14:paraId="54CE724F" w14:textId="77777777" w:rsidR="00927EF9" w:rsidRPr="005519C5" w:rsidRDefault="00927EF9" w:rsidP="005455F2">
            <w:pPr>
              <w:spacing w:after="0" w:line="240" w:lineRule="auto"/>
              <w:jc w:val="left"/>
              <w:rPr>
                <w:sz w:val="14"/>
                <w:szCs w:val="14"/>
                <w:lang w:eastAsia="en-GB"/>
              </w:rPr>
            </w:pPr>
            <w:r w:rsidRPr="005519C5">
              <w:rPr>
                <w:sz w:val="14"/>
                <w:szCs w:val="14"/>
                <w:lang w:eastAsia="en-GB"/>
              </w:rPr>
              <w:t xml:space="preserve">1. Sales Tax Exemption for Oil &amp; Gas Equipment </w:t>
            </w:r>
          </w:p>
          <w:p w14:paraId="0F041C1D" w14:textId="77777777" w:rsidR="00927EF9" w:rsidRPr="005519C5" w:rsidRDefault="00927EF9" w:rsidP="005455F2">
            <w:pPr>
              <w:spacing w:after="0" w:line="240" w:lineRule="auto"/>
              <w:jc w:val="left"/>
              <w:rPr>
                <w:sz w:val="14"/>
                <w:szCs w:val="14"/>
                <w:lang w:eastAsia="en-GB"/>
              </w:rPr>
            </w:pPr>
            <w:r w:rsidRPr="005519C5">
              <w:rPr>
                <w:sz w:val="14"/>
                <w:szCs w:val="14"/>
                <w:lang w:eastAsia="en-GB"/>
              </w:rPr>
              <w:t xml:space="preserve">2. Severance Tax Exemptions for Crude Oil and Natural Gas </w:t>
            </w:r>
          </w:p>
          <w:p w14:paraId="2BB74F17" w14:textId="77777777" w:rsidR="00927EF9" w:rsidRPr="005519C5" w:rsidRDefault="00927EF9" w:rsidP="005455F2">
            <w:pPr>
              <w:spacing w:after="0" w:line="240" w:lineRule="auto"/>
              <w:jc w:val="left"/>
              <w:rPr>
                <w:sz w:val="14"/>
                <w:szCs w:val="14"/>
                <w:lang w:eastAsia="en-GB"/>
              </w:rPr>
            </w:pPr>
            <w:r w:rsidRPr="005519C5">
              <w:rPr>
                <w:sz w:val="14"/>
                <w:szCs w:val="14"/>
                <w:lang w:eastAsia="en-GB"/>
              </w:rPr>
              <w:t>West Virginia</w:t>
            </w:r>
          </w:p>
          <w:p w14:paraId="3261F4EE" w14:textId="77777777" w:rsidR="00927EF9" w:rsidRPr="005519C5" w:rsidRDefault="00927EF9" w:rsidP="005455F2">
            <w:pPr>
              <w:spacing w:after="0" w:line="240" w:lineRule="auto"/>
              <w:jc w:val="left"/>
              <w:rPr>
                <w:sz w:val="14"/>
                <w:szCs w:val="14"/>
                <w:lang w:eastAsia="en-GB"/>
              </w:rPr>
            </w:pPr>
            <w:r w:rsidRPr="005519C5">
              <w:rPr>
                <w:sz w:val="14"/>
                <w:szCs w:val="14"/>
                <w:lang w:eastAsia="en-GB"/>
              </w:rPr>
              <w:t xml:space="preserve">1. Exclusion of Low Volume Oil &amp; Gas Wells </w:t>
            </w:r>
          </w:p>
          <w:p w14:paraId="72FE248D" w14:textId="77777777" w:rsidR="00927EF9" w:rsidRPr="005519C5" w:rsidRDefault="00927EF9" w:rsidP="005455F2">
            <w:pPr>
              <w:spacing w:after="0" w:line="240" w:lineRule="auto"/>
              <w:jc w:val="left"/>
              <w:rPr>
                <w:sz w:val="14"/>
                <w:szCs w:val="14"/>
                <w:lang w:eastAsia="en-GB"/>
              </w:rPr>
            </w:pPr>
            <w:r w:rsidRPr="005519C5">
              <w:rPr>
                <w:sz w:val="14"/>
                <w:szCs w:val="14"/>
                <w:lang w:eastAsia="en-GB"/>
              </w:rPr>
              <w:t xml:space="preserve">Wyoming </w:t>
            </w:r>
          </w:p>
          <w:p w14:paraId="1ACD2A1D" w14:textId="77777777" w:rsidR="00927EF9" w:rsidRPr="005519C5" w:rsidRDefault="00927EF9" w:rsidP="005455F2">
            <w:pPr>
              <w:spacing w:after="0" w:line="240" w:lineRule="auto"/>
              <w:jc w:val="left"/>
              <w:rPr>
                <w:sz w:val="14"/>
                <w:szCs w:val="14"/>
                <w:lang w:eastAsia="en-GB"/>
              </w:rPr>
            </w:pPr>
            <w:r w:rsidRPr="005519C5">
              <w:rPr>
                <w:sz w:val="14"/>
                <w:szCs w:val="14"/>
                <w:lang w:eastAsia="en-GB"/>
              </w:rPr>
              <w:t xml:space="preserve">1. Sales-Tax Exemption for Transporting Drilling Rigs/Sales-Tax Exemption for Certain Well Services/Sales-Tax Exemption for CO2 Used in Tertiary Production </w:t>
            </w:r>
          </w:p>
          <w:p w14:paraId="4BD55BCC" w14:textId="77777777" w:rsidR="00927EF9" w:rsidRPr="005519C5" w:rsidRDefault="00927EF9" w:rsidP="005455F2">
            <w:pPr>
              <w:spacing w:after="0" w:line="240" w:lineRule="auto"/>
              <w:jc w:val="left"/>
              <w:rPr>
                <w:sz w:val="14"/>
                <w:szCs w:val="14"/>
                <w:lang w:eastAsia="en-GB"/>
              </w:rPr>
            </w:pPr>
            <w:r w:rsidRPr="005519C5">
              <w:rPr>
                <w:sz w:val="14"/>
                <w:szCs w:val="14"/>
                <w:lang w:eastAsia="en-GB"/>
              </w:rPr>
              <w:t>2. Severance-Tax Reduction for Stripper Wells</w:t>
            </w:r>
          </w:p>
          <w:p w14:paraId="532F82F7" w14:textId="77777777" w:rsidR="00927EF9" w:rsidRPr="005519C5" w:rsidRDefault="00927EF9" w:rsidP="005455F2">
            <w:pPr>
              <w:spacing w:after="0" w:line="240" w:lineRule="auto"/>
              <w:jc w:val="left"/>
              <w:rPr>
                <w:color w:val="000000" w:themeColor="text1"/>
                <w:sz w:val="14"/>
                <w:szCs w:val="14"/>
                <w:lang w:eastAsia="en-GB"/>
              </w:rPr>
            </w:pPr>
            <w:r w:rsidRPr="005519C5">
              <w:rPr>
                <w:sz w:val="14"/>
                <w:szCs w:val="14"/>
                <w:lang w:eastAsia="en-GB"/>
              </w:rPr>
              <w:t>Direct Subsidies:</w:t>
            </w:r>
          </w:p>
          <w:p w14:paraId="60C0201C" w14:textId="77777777" w:rsidR="00927EF9" w:rsidRPr="005519C5" w:rsidRDefault="00927EF9" w:rsidP="005455F2">
            <w:pPr>
              <w:spacing w:after="0" w:line="240" w:lineRule="auto"/>
              <w:jc w:val="left"/>
              <w:rPr>
                <w:sz w:val="14"/>
                <w:szCs w:val="14"/>
                <w:lang w:eastAsia="en-GB"/>
              </w:rPr>
            </w:pPr>
            <w:r w:rsidRPr="005519C5">
              <w:rPr>
                <w:sz w:val="14"/>
                <w:szCs w:val="14"/>
                <w:lang w:eastAsia="en-GB"/>
              </w:rPr>
              <w:t>1. Research and development grants of DOE</w:t>
            </w:r>
          </w:p>
          <w:p w14:paraId="459CBEF8" w14:textId="77777777" w:rsidR="00927EF9" w:rsidRPr="005519C5" w:rsidRDefault="00927EF9" w:rsidP="005455F2">
            <w:pPr>
              <w:spacing w:after="0" w:line="240" w:lineRule="auto"/>
              <w:jc w:val="left"/>
              <w:rPr>
                <w:sz w:val="14"/>
                <w:szCs w:val="14"/>
                <w:lang w:eastAsia="en-GB"/>
              </w:rPr>
            </w:pPr>
            <w:r w:rsidRPr="005519C5">
              <w:rPr>
                <w:sz w:val="14"/>
                <w:szCs w:val="14"/>
                <w:lang w:eastAsia="en-GB"/>
              </w:rPr>
              <w:t>2. Texas Economic Development Act</w:t>
            </w:r>
          </w:p>
          <w:p w14:paraId="2957000B" w14:textId="77777777" w:rsidR="00927EF9" w:rsidRPr="005519C5" w:rsidRDefault="00927EF9" w:rsidP="005455F2">
            <w:pPr>
              <w:spacing w:after="0" w:line="240" w:lineRule="auto"/>
              <w:jc w:val="left"/>
              <w:rPr>
                <w:sz w:val="14"/>
                <w:szCs w:val="14"/>
                <w:lang w:eastAsia="en-GB"/>
              </w:rPr>
            </w:pPr>
            <w:r w:rsidRPr="005519C5">
              <w:rPr>
                <w:sz w:val="14"/>
                <w:szCs w:val="14"/>
                <w:lang w:eastAsia="en-GB"/>
              </w:rPr>
              <w:t>3. Texas Enterprise Fund</w:t>
            </w:r>
          </w:p>
          <w:p w14:paraId="09A97892" w14:textId="77777777" w:rsidR="00927EF9" w:rsidRPr="005519C5" w:rsidRDefault="00927EF9" w:rsidP="005455F2">
            <w:pPr>
              <w:spacing w:after="0" w:line="240" w:lineRule="auto"/>
              <w:jc w:val="left"/>
              <w:rPr>
                <w:sz w:val="14"/>
                <w:szCs w:val="14"/>
                <w:lang w:eastAsia="en-GB"/>
              </w:rPr>
            </w:pPr>
            <w:r w:rsidRPr="005519C5">
              <w:rPr>
                <w:sz w:val="14"/>
                <w:szCs w:val="14"/>
                <w:lang w:eastAsia="en-GB"/>
              </w:rPr>
              <w:t>4. Centers of Energy Excellence Program</w:t>
            </w:r>
          </w:p>
          <w:p w14:paraId="458332F5" w14:textId="77777777" w:rsidR="00927EF9" w:rsidRPr="005519C5" w:rsidRDefault="00927EF9" w:rsidP="005455F2">
            <w:pPr>
              <w:spacing w:after="0" w:line="240" w:lineRule="auto"/>
              <w:jc w:val="left"/>
              <w:rPr>
                <w:sz w:val="14"/>
                <w:szCs w:val="14"/>
                <w:lang w:eastAsia="en-GB"/>
              </w:rPr>
            </w:pPr>
            <w:r w:rsidRPr="005519C5">
              <w:rPr>
                <w:sz w:val="14"/>
                <w:szCs w:val="14"/>
                <w:lang w:eastAsia="en-GB"/>
              </w:rPr>
              <w:t>5. Industrial Tax Exemption Program</w:t>
            </w:r>
          </w:p>
          <w:p w14:paraId="5546CA81" w14:textId="77777777" w:rsidR="00927EF9" w:rsidRPr="005519C5" w:rsidRDefault="00927EF9" w:rsidP="005455F2">
            <w:pPr>
              <w:spacing w:after="0" w:line="240" w:lineRule="auto"/>
              <w:jc w:val="left"/>
              <w:rPr>
                <w:sz w:val="14"/>
                <w:szCs w:val="14"/>
                <w:lang w:eastAsia="en-GB"/>
              </w:rPr>
            </w:pPr>
            <w:r w:rsidRPr="005519C5">
              <w:rPr>
                <w:sz w:val="14"/>
                <w:szCs w:val="14"/>
                <w:lang w:eastAsia="en-GB"/>
              </w:rPr>
              <w:t>6. MEGA Job Creation Tax Credits</w:t>
            </w:r>
          </w:p>
          <w:p w14:paraId="17D3871D" w14:textId="77777777" w:rsidR="00927EF9" w:rsidRPr="005519C5" w:rsidRDefault="00927EF9" w:rsidP="005455F2">
            <w:pPr>
              <w:spacing w:after="0" w:line="240" w:lineRule="auto"/>
              <w:jc w:val="left"/>
              <w:rPr>
                <w:sz w:val="14"/>
                <w:szCs w:val="14"/>
                <w:lang w:eastAsia="en-GB"/>
              </w:rPr>
            </w:pPr>
            <w:r w:rsidRPr="005519C5">
              <w:rPr>
                <w:sz w:val="14"/>
                <w:szCs w:val="14"/>
                <w:lang w:eastAsia="en-GB"/>
              </w:rPr>
              <w:t>7.Industrial Facilities Exemption-P.A.198</w:t>
            </w:r>
          </w:p>
          <w:p w14:paraId="28F32B9E" w14:textId="77777777" w:rsidR="00927EF9" w:rsidRPr="005519C5" w:rsidRDefault="00927EF9" w:rsidP="005455F2">
            <w:pPr>
              <w:spacing w:after="0" w:line="240" w:lineRule="auto"/>
              <w:jc w:val="left"/>
              <w:rPr>
                <w:sz w:val="14"/>
                <w:szCs w:val="14"/>
                <w:lang w:eastAsia="en-GB"/>
              </w:rPr>
            </w:pPr>
            <w:r w:rsidRPr="005519C5">
              <w:rPr>
                <w:sz w:val="14"/>
                <w:szCs w:val="14"/>
                <w:lang w:eastAsia="en-GB"/>
              </w:rPr>
              <w:t>8. Payment in Lieu of Tax, PILOT</w:t>
            </w:r>
          </w:p>
          <w:p w14:paraId="1EC15FC8" w14:textId="13DD1C33" w:rsidR="00BC3BEE" w:rsidRPr="005519C5" w:rsidRDefault="00927EF9" w:rsidP="005455F2">
            <w:pPr>
              <w:spacing w:after="0" w:line="240" w:lineRule="auto"/>
              <w:jc w:val="left"/>
              <w:rPr>
                <w:color w:val="000000" w:themeColor="text1"/>
                <w:sz w:val="14"/>
                <w:szCs w:val="14"/>
                <w:lang w:eastAsia="en-GB"/>
              </w:rPr>
            </w:pPr>
            <w:r w:rsidRPr="005519C5">
              <w:rPr>
                <w:sz w:val="14"/>
                <w:szCs w:val="14"/>
                <w:lang w:eastAsia="en-GB"/>
              </w:rPr>
              <w:t>9. FastTrack Economic Development Fund Grants</w:t>
            </w:r>
          </w:p>
        </w:tc>
      </w:tr>
    </w:tbl>
    <w:p w14:paraId="29582A54" w14:textId="77777777" w:rsidR="001E4498" w:rsidRDefault="00BD1AA3" w:rsidP="005455F2">
      <w:pPr>
        <w:pStyle w:val="Caption"/>
        <w:spacing w:line="240" w:lineRule="auto"/>
      </w:pPr>
      <w:r>
        <w:br w:type="page"/>
      </w:r>
      <w:r>
        <w:lastRenderedPageBreak/>
        <w:t xml:space="preserve">Reviews/Other </w:t>
      </w:r>
      <w:r w:rsidRPr="00335297">
        <w:t>subsequent</w:t>
      </w:r>
      <w:r>
        <w:t xml:space="preserve"> proceedings</w:t>
      </w:r>
    </w:p>
    <w:tbl>
      <w:tblPr>
        <w:tblW w:w="5000"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11"/>
        <w:gridCol w:w="1881"/>
        <w:gridCol w:w="1238"/>
        <w:gridCol w:w="1559"/>
        <w:gridCol w:w="1418"/>
        <w:gridCol w:w="1275"/>
        <w:gridCol w:w="1134"/>
        <w:gridCol w:w="1276"/>
        <w:gridCol w:w="1134"/>
        <w:gridCol w:w="1134"/>
        <w:gridCol w:w="1364"/>
      </w:tblGrid>
      <w:tr w:rsidR="001E4498" w14:paraId="6A9E6D2A" w14:textId="77777777" w:rsidTr="00617FAB">
        <w:tc>
          <w:tcPr>
            <w:tcW w:w="1111" w:type="dxa"/>
            <w:vMerge w:val="restart"/>
            <w:tcBorders>
              <w:top w:val="double" w:sz="6" w:space="0" w:color="auto"/>
              <w:left w:val="double" w:sz="6" w:space="0" w:color="auto"/>
              <w:bottom w:val="single" w:sz="4" w:space="0" w:color="auto"/>
              <w:right w:val="single" w:sz="4" w:space="0" w:color="auto"/>
              <w:tl2br w:val="nil"/>
              <w:tr2bl w:val="nil"/>
            </w:tcBorders>
            <w:shd w:val="clear" w:color="auto" w:fill="auto"/>
          </w:tcPr>
          <w:p w14:paraId="365CA5EB" w14:textId="77777777" w:rsidR="001E4498" w:rsidRDefault="00BD1AA3" w:rsidP="005455F2">
            <w:pPr>
              <w:spacing w:after="0" w:line="240" w:lineRule="auto"/>
              <w:jc w:val="center"/>
              <w:rPr>
                <w:b/>
                <w:sz w:val="14"/>
                <w:szCs w:val="14"/>
              </w:rPr>
            </w:pPr>
            <w:r>
              <w:rPr>
                <w:b/>
                <w:sz w:val="14"/>
                <w:szCs w:val="14"/>
              </w:rPr>
              <w:t>Country or customs territory</w:t>
            </w:r>
          </w:p>
        </w:tc>
        <w:tc>
          <w:tcPr>
            <w:tcW w:w="1881" w:type="dxa"/>
            <w:vMerge w:val="restart"/>
            <w:tcBorders>
              <w:top w:val="double" w:sz="6" w:space="0" w:color="auto"/>
              <w:left w:val="single" w:sz="4" w:space="0" w:color="auto"/>
              <w:bottom w:val="single" w:sz="4" w:space="0" w:color="auto"/>
              <w:right w:val="single" w:sz="4" w:space="0" w:color="auto"/>
              <w:tl2br w:val="nil"/>
              <w:tr2bl w:val="nil"/>
            </w:tcBorders>
            <w:shd w:val="clear" w:color="auto" w:fill="auto"/>
          </w:tcPr>
          <w:p w14:paraId="1B55F433" w14:textId="77777777" w:rsidR="001E4498" w:rsidRDefault="00BD1AA3" w:rsidP="005455F2">
            <w:pPr>
              <w:spacing w:after="0" w:line="240" w:lineRule="auto"/>
              <w:jc w:val="center"/>
              <w:rPr>
                <w:b/>
                <w:sz w:val="14"/>
                <w:szCs w:val="14"/>
              </w:rPr>
            </w:pPr>
            <w:r>
              <w:rPr>
                <w:b/>
                <w:sz w:val="14"/>
                <w:szCs w:val="14"/>
              </w:rPr>
              <w:t>Product</w:t>
            </w:r>
          </w:p>
        </w:tc>
        <w:tc>
          <w:tcPr>
            <w:tcW w:w="1238" w:type="dxa"/>
            <w:vMerge w:val="restart"/>
            <w:tcBorders>
              <w:top w:val="double" w:sz="6" w:space="0" w:color="auto"/>
              <w:left w:val="single" w:sz="4" w:space="0" w:color="auto"/>
              <w:bottom w:val="single" w:sz="4" w:space="0" w:color="auto"/>
              <w:right w:val="single" w:sz="4" w:space="0" w:color="auto"/>
              <w:tl2br w:val="nil"/>
              <w:tr2bl w:val="nil"/>
            </w:tcBorders>
            <w:shd w:val="clear" w:color="auto" w:fill="auto"/>
          </w:tcPr>
          <w:p w14:paraId="4B861B79" w14:textId="77777777" w:rsidR="001E4498" w:rsidRDefault="00BD1AA3" w:rsidP="005455F2">
            <w:pPr>
              <w:spacing w:after="0" w:line="240" w:lineRule="auto"/>
              <w:jc w:val="center"/>
              <w:rPr>
                <w:b/>
                <w:sz w:val="14"/>
                <w:szCs w:val="14"/>
              </w:rPr>
            </w:pPr>
            <w:r>
              <w:rPr>
                <w:b/>
                <w:sz w:val="14"/>
                <w:szCs w:val="14"/>
              </w:rPr>
              <w:t>Initiation</w:t>
            </w:r>
          </w:p>
        </w:tc>
        <w:tc>
          <w:tcPr>
            <w:tcW w:w="1559" w:type="dxa"/>
            <w:vMerge w:val="restart"/>
            <w:tcBorders>
              <w:top w:val="double" w:sz="6" w:space="0" w:color="auto"/>
              <w:left w:val="single" w:sz="4" w:space="0" w:color="auto"/>
              <w:bottom w:val="single" w:sz="4" w:space="0" w:color="auto"/>
              <w:right w:val="single" w:sz="4" w:space="0" w:color="auto"/>
              <w:tl2br w:val="nil"/>
              <w:tr2bl w:val="nil"/>
            </w:tcBorders>
            <w:shd w:val="clear" w:color="auto" w:fill="auto"/>
          </w:tcPr>
          <w:p w14:paraId="72D8CDB7" w14:textId="77777777" w:rsidR="001E4498" w:rsidRDefault="00BD1AA3" w:rsidP="005455F2">
            <w:pPr>
              <w:spacing w:after="0" w:line="240" w:lineRule="auto"/>
              <w:jc w:val="center"/>
              <w:rPr>
                <w:b/>
                <w:sz w:val="14"/>
                <w:szCs w:val="14"/>
              </w:rPr>
            </w:pPr>
            <w:r>
              <w:rPr>
                <w:b/>
                <w:sz w:val="14"/>
                <w:szCs w:val="14"/>
              </w:rPr>
              <w:t>Preliminary results/ determination</w:t>
            </w:r>
          </w:p>
        </w:tc>
        <w:tc>
          <w:tcPr>
            <w:tcW w:w="2693" w:type="dxa"/>
            <w:gridSpan w:val="2"/>
            <w:tcBorders>
              <w:top w:val="double" w:sz="6" w:space="0" w:color="auto"/>
              <w:left w:val="single" w:sz="4" w:space="0" w:color="auto"/>
              <w:bottom w:val="single" w:sz="4" w:space="0" w:color="auto"/>
              <w:right w:val="single" w:sz="4" w:space="0" w:color="auto"/>
              <w:tl2br w:val="nil"/>
              <w:tr2bl w:val="nil"/>
            </w:tcBorders>
            <w:shd w:val="clear" w:color="auto" w:fill="auto"/>
          </w:tcPr>
          <w:p w14:paraId="0258E0BE" w14:textId="77777777" w:rsidR="001E4498" w:rsidRDefault="00BD1AA3" w:rsidP="005455F2">
            <w:pPr>
              <w:spacing w:after="0" w:line="240" w:lineRule="auto"/>
              <w:jc w:val="center"/>
              <w:rPr>
                <w:b/>
                <w:sz w:val="14"/>
                <w:szCs w:val="14"/>
              </w:rPr>
            </w:pPr>
            <w:r>
              <w:rPr>
                <w:b/>
                <w:sz w:val="14"/>
                <w:szCs w:val="14"/>
              </w:rPr>
              <w:t>Final results</w:t>
            </w:r>
          </w:p>
        </w:tc>
        <w:tc>
          <w:tcPr>
            <w:tcW w:w="1134" w:type="dxa"/>
            <w:vMerge w:val="restart"/>
            <w:tcBorders>
              <w:top w:val="double" w:sz="6" w:space="0" w:color="auto"/>
              <w:left w:val="single" w:sz="4" w:space="0" w:color="auto"/>
              <w:bottom w:val="single" w:sz="4" w:space="0" w:color="auto"/>
              <w:right w:val="single" w:sz="4" w:space="0" w:color="auto"/>
              <w:tl2br w:val="nil"/>
              <w:tr2bl w:val="nil"/>
            </w:tcBorders>
            <w:shd w:val="clear" w:color="auto" w:fill="auto"/>
          </w:tcPr>
          <w:p w14:paraId="26B284DC" w14:textId="77777777" w:rsidR="001E4498" w:rsidRDefault="00BD1AA3" w:rsidP="005455F2">
            <w:pPr>
              <w:spacing w:after="0" w:line="240" w:lineRule="auto"/>
              <w:jc w:val="center"/>
              <w:rPr>
                <w:b/>
                <w:sz w:val="14"/>
                <w:szCs w:val="14"/>
              </w:rPr>
            </w:pPr>
            <w:r>
              <w:rPr>
                <w:b/>
                <w:sz w:val="14"/>
                <w:szCs w:val="14"/>
              </w:rPr>
              <w:t>Revocation of Measures</w:t>
            </w:r>
          </w:p>
        </w:tc>
        <w:tc>
          <w:tcPr>
            <w:tcW w:w="1276" w:type="dxa"/>
            <w:vMerge w:val="restart"/>
            <w:tcBorders>
              <w:top w:val="double" w:sz="6" w:space="0" w:color="auto"/>
              <w:left w:val="single" w:sz="4" w:space="0" w:color="auto"/>
              <w:bottom w:val="single" w:sz="4" w:space="0" w:color="auto"/>
              <w:right w:val="single" w:sz="4" w:space="0" w:color="auto"/>
              <w:tl2br w:val="nil"/>
              <w:tr2bl w:val="nil"/>
            </w:tcBorders>
            <w:shd w:val="clear" w:color="auto" w:fill="auto"/>
          </w:tcPr>
          <w:p w14:paraId="299FA95E" w14:textId="77777777" w:rsidR="001E4498" w:rsidRDefault="00BD1AA3" w:rsidP="005455F2">
            <w:pPr>
              <w:spacing w:after="0" w:line="240" w:lineRule="auto"/>
              <w:jc w:val="center"/>
              <w:rPr>
                <w:b/>
                <w:sz w:val="14"/>
                <w:szCs w:val="14"/>
              </w:rPr>
            </w:pPr>
            <w:r>
              <w:rPr>
                <w:b/>
                <w:sz w:val="14"/>
                <w:szCs w:val="14"/>
              </w:rPr>
              <w:t>Other (e.g., procedures not affecting the duty level)</w:t>
            </w:r>
          </w:p>
        </w:tc>
        <w:tc>
          <w:tcPr>
            <w:tcW w:w="2268" w:type="dxa"/>
            <w:gridSpan w:val="2"/>
            <w:vMerge w:val="restart"/>
            <w:tcBorders>
              <w:top w:val="double" w:sz="6" w:space="0" w:color="auto"/>
              <w:left w:val="single" w:sz="4" w:space="0" w:color="auto"/>
              <w:bottom w:val="single" w:sz="4" w:space="0" w:color="auto"/>
              <w:right w:val="single" w:sz="4" w:space="0" w:color="auto"/>
              <w:tl2br w:val="nil"/>
              <w:tr2bl w:val="nil"/>
            </w:tcBorders>
            <w:shd w:val="clear" w:color="auto" w:fill="auto"/>
          </w:tcPr>
          <w:p w14:paraId="6D314387" w14:textId="77777777" w:rsidR="001E4498" w:rsidRDefault="00BD1AA3" w:rsidP="005455F2">
            <w:pPr>
              <w:spacing w:after="0" w:line="240" w:lineRule="auto"/>
              <w:jc w:val="center"/>
              <w:rPr>
                <w:b/>
                <w:sz w:val="14"/>
                <w:szCs w:val="14"/>
              </w:rPr>
            </w:pPr>
            <w:r>
              <w:rPr>
                <w:b/>
                <w:sz w:val="14"/>
                <w:szCs w:val="14"/>
              </w:rPr>
              <w:t>Trade Data</w:t>
            </w:r>
          </w:p>
          <w:p w14:paraId="15F87DB8" w14:textId="77777777" w:rsidR="001E4498" w:rsidRDefault="00BD1AA3" w:rsidP="005455F2">
            <w:pPr>
              <w:spacing w:after="0" w:line="240" w:lineRule="auto"/>
              <w:jc w:val="center"/>
              <w:rPr>
                <w:b/>
                <w:sz w:val="14"/>
                <w:szCs w:val="14"/>
              </w:rPr>
            </w:pPr>
            <w:r>
              <w:rPr>
                <w:b/>
                <w:sz w:val="14"/>
                <w:szCs w:val="14"/>
              </w:rPr>
              <w:t>(if available from published report(s) on proceeding)</w:t>
            </w:r>
          </w:p>
        </w:tc>
        <w:tc>
          <w:tcPr>
            <w:tcW w:w="1364" w:type="dxa"/>
            <w:vMerge w:val="restart"/>
            <w:tcBorders>
              <w:top w:val="double" w:sz="6" w:space="0" w:color="auto"/>
              <w:left w:val="single" w:sz="4" w:space="0" w:color="auto"/>
              <w:bottom w:val="single" w:sz="4" w:space="0" w:color="auto"/>
              <w:right w:val="double" w:sz="6" w:space="0" w:color="auto"/>
              <w:tl2br w:val="nil"/>
              <w:tr2bl w:val="nil"/>
            </w:tcBorders>
            <w:shd w:val="clear" w:color="auto" w:fill="auto"/>
          </w:tcPr>
          <w:p w14:paraId="78FBB011" w14:textId="77777777" w:rsidR="001E4498" w:rsidRDefault="00BD1AA3" w:rsidP="005455F2">
            <w:pPr>
              <w:spacing w:after="0" w:line="240" w:lineRule="auto"/>
              <w:jc w:val="center"/>
              <w:rPr>
                <w:sz w:val="14"/>
                <w:szCs w:val="14"/>
              </w:rPr>
            </w:pPr>
            <w:r>
              <w:rPr>
                <w:b/>
                <w:sz w:val="14"/>
                <w:szCs w:val="14"/>
              </w:rPr>
              <w:t>Countervailed programme(s)</w:t>
            </w:r>
          </w:p>
        </w:tc>
      </w:tr>
      <w:tr w:rsidR="001E4498" w14:paraId="3479FB3F" w14:textId="77777777" w:rsidTr="00617FAB">
        <w:tc>
          <w:tcPr>
            <w:tcW w:w="1111" w:type="dxa"/>
            <w:vMerge/>
            <w:shd w:val="clear" w:color="auto" w:fill="auto"/>
          </w:tcPr>
          <w:p w14:paraId="5ACEE129" w14:textId="77777777" w:rsidR="001E4498" w:rsidRDefault="001E4498" w:rsidP="005455F2">
            <w:pPr>
              <w:spacing w:after="0" w:line="240" w:lineRule="auto"/>
              <w:rPr>
                <w:b/>
                <w:sz w:val="14"/>
                <w:szCs w:val="14"/>
              </w:rPr>
            </w:pPr>
          </w:p>
        </w:tc>
        <w:tc>
          <w:tcPr>
            <w:tcW w:w="1881" w:type="dxa"/>
            <w:vMerge/>
            <w:shd w:val="clear" w:color="auto" w:fill="auto"/>
          </w:tcPr>
          <w:p w14:paraId="4DA0DA3B" w14:textId="77777777" w:rsidR="001E4498" w:rsidRDefault="001E4498" w:rsidP="005455F2">
            <w:pPr>
              <w:spacing w:after="0" w:line="240" w:lineRule="auto"/>
              <w:rPr>
                <w:b/>
                <w:sz w:val="14"/>
                <w:szCs w:val="14"/>
              </w:rPr>
            </w:pPr>
          </w:p>
        </w:tc>
        <w:tc>
          <w:tcPr>
            <w:tcW w:w="1238" w:type="dxa"/>
            <w:vMerge/>
            <w:shd w:val="clear" w:color="auto" w:fill="auto"/>
          </w:tcPr>
          <w:p w14:paraId="2EE0D856" w14:textId="77777777" w:rsidR="001E4498" w:rsidRDefault="001E4498" w:rsidP="005455F2">
            <w:pPr>
              <w:spacing w:after="0" w:line="240" w:lineRule="auto"/>
              <w:rPr>
                <w:b/>
                <w:sz w:val="14"/>
                <w:szCs w:val="14"/>
              </w:rPr>
            </w:pPr>
          </w:p>
        </w:tc>
        <w:tc>
          <w:tcPr>
            <w:tcW w:w="1559" w:type="dxa"/>
            <w:vMerge/>
            <w:shd w:val="clear" w:color="auto" w:fill="auto"/>
          </w:tcPr>
          <w:p w14:paraId="02D818FD" w14:textId="77777777" w:rsidR="001E4498" w:rsidRDefault="001E4498" w:rsidP="005455F2">
            <w:pPr>
              <w:spacing w:after="0" w:line="240" w:lineRule="auto"/>
              <w:rPr>
                <w:b/>
                <w:sz w:val="14"/>
                <w:szCs w:val="14"/>
              </w:rPr>
            </w:pPr>
          </w:p>
        </w:tc>
        <w:tc>
          <w:tcPr>
            <w:tcW w:w="1418" w:type="dxa"/>
            <w:shd w:val="clear" w:color="auto" w:fill="auto"/>
          </w:tcPr>
          <w:p w14:paraId="374348CC" w14:textId="77777777" w:rsidR="001E4498" w:rsidRDefault="00BD1AA3" w:rsidP="005455F2">
            <w:pPr>
              <w:spacing w:after="0" w:line="240" w:lineRule="auto"/>
              <w:jc w:val="center"/>
              <w:rPr>
                <w:b/>
                <w:sz w:val="14"/>
                <w:szCs w:val="14"/>
              </w:rPr>
            </w:pPr>
            <w:r>
              <w:rPr>
                <w:b/>
                <w:sz w:val="14"/>
                <w:szCs w:val="14"/>
              </w:rPr>
              <w:t>Definitive duty</w:t>
            </w:r>
          </w:p>
        </w:tc>
        <w:tc>
          <w:tcPr>
            <w:tcW w:w="1275" w:type="dxa"/>
            <w:shd w:val="clear" w:color="auto" w:fill="auto"/>
          </w:tcPr>
          <w:p w14:paraId="2B4C9E5E" w14:textId="77777777" w:rsidR="001E4498" w:rsidRDefault="00BD1AA3" w:rsidP="005455F2">
            <w:pPr>
              <w:spacing w:after="0" w:line="240" w:lineRule="auto"/>
              <w:jc w:val="center"/>
              <w:rPr>
                <w:b/>
                <w:sz w:val="14"/>
                <w:szCs w:val="14"/>
              </w:rPr>
            </w:pPr>
            <w:r>
              <w:rPr>
                <w:b/>
                <w:sz w:val="14"/>
                <w:szCs w:val="14"/>
              </w:rPr>
              <w:t>Undertaking</w:t>
            </w:r>
          </w:p>
        </w:tc>
        <w:tc>
          <w:tcPr>
            <w:tcW w:w="1134" w:type="dxa"/>
            <w:vMerge/>
            <w:shd w:val="clear" w:color="auto" w:fill="auto"/>
          </w:tcPr>
          <w:p w14:paraId="356447FA" w14:textId="77777777" w:rsidR="001E4498" w:rsidRDefault="001E4498" w:rsidP="005455F2">
            <w:pPr>
              <w:spacing w:after="0" w:line="240" w:lineRule="auto"/>
              <w:rPr>
                <w:b/>
                <w:sz w:val="14"/>
                <w:szCs w:val="14"/>
              </w:rPr>
            </w:pPr>
          </w:p>
        </w:tc>
        <w:tc>
          <w:tcPr>
            <w:tcW w:w="1276" w:type="dxa"/>
            <w:vMerge/>
            <w:shd w:val="clear" w:color="auto" w:fill="auto"/>
          </w:tcPr>
          <w:p w14:paraId="632A14C4" w14:textId="77777777" w:rsidR="001E4498" w:rsidRDefault="001E4498" w:rsidP="005455F2">
            <w:pPr>
              <w:spacing w:after="0" w:line="240" w:lineRule="auto"/>
              <w:rPr>
                <w:b/>
                <w:sz w:val="14"/>
                <w:szCs w:val="14"/>
              </w:rPr>
            </w:pPr>
          </w:p>
        </w:tc>
        <w:tc>
          <w:tcPr>
            <w:tcW w:w="2268" w:type="dxa"/>
            <w:gridSpan w:val="2"/>
            <w:vMerge/>
            <w:shd w:val="clear" w:color="auto" w:fill="auto"/>
          </w:tcPr>
          <w:p w14:paraId="606B7FF6" w14:textId="77777777" w:rsidR="001E4498" w:rsidRDefault="001E4498" w:rsidP="005455F2">
            <w:pPr>
              <w:spacing w:after="0" w:line="240" w:lineRule="auto"/>
              <w:rPr>
                <w:b/>
                <w:sz w:val="14"/>
                <w:szCs w:val="14"/>
              </w:rPr>
            </w:pPr>
          </w:p>
        </w:tc>
        <w:tc>
          <w:tcPr>
            <w:tcW w:w="1364" w:type="dxa"/>
            <w:vMerge/>
            <w:shd w:val="clear" w:color="auto" w:fill="auto"/>
          </w:tcPr>
          <w:p w14:paraId="1718FBA1" w14:textId="77777777" w:rsidR="001E4498" w:rsidRDefault="001E4498" w:rsidP="005455F2">
            <w:pPr>
              <w:spacing w:after="0" w:line="240" w:lineRule="auto"/>
              <w:rPr>
                <w:sz w:val="14"/>
                <w:szCs w:val="14"/>
              </w:rPr>
            </w:pPr>
          </w:p>
        </w:tc>
      </w:tr>
      <w:tr w:rsidR="001E4498" w14:paraId="192FA152" w14:textId="77777777" w:rsidTr="00617FAB">
        <w:tc>
          <w:tcPr>
            <w:tcW w:w="1111" w:type="dxa"/>
            <w:vMerge/>
            <w:shd w:val="clear" w:color="auto" w:fill="auto"/>
          </w:tcPr>
          <w:p w14:paraId="46A87CB9" w14:textId="77777777" w:rsidR="001E4498" w:rsidRDefault="001E4498" w:rsidP="005455F2">
            <w:pPr>
              <w:spacing w:after="0" w:line="240" w:lineRule="auto"/>
              <w:jc w:val="center"/>
              <w:rPr>
                <w:sz w:val="14"/>
                <w:szCs w:val="14"/>
              </w:rPr>
            </w:pPr>
          </w:p>
        </w:tc>
        <w:tc>
          <w:tcPr>
            <w:tcW w:w="1881" w:type="dxa"/>
            <w:shd w:val="clear" w:color="auto" w:fill="auto"/>
          </w:tcPr>
          <w:p w14:paraId="48C5A112" w14:textId="77777777" w:rsidR="001E4498" w:rsidRDefault="00BD1AA3" w:rsidP="005455F2">
            <w:pPr>
              <w:spacing w:after="0" w:line="240" w:lineRule="auto"/>
              <w:jc w:val="center"/>
              <w:rPr>
                <w:sz w:val="14"/>
                <w:szCs w:val="14"/>
              </w:rPr>
            </w:pPr>
            <w:r>
              <w:rPr>
                <w:sz w:val="14"/>
                <w:szCs w:val="14"/>
              </w:rPr>
              <w:t>Description; HS 6-digit category covering investigated product</w:t>
            </w:r>
            <w:r>
              <w:rPr>
                <w:sz w:val="14"/>
                <w:szCs w:val="14"/>
                <w:vertAlign w:val="superscript"/>
              </w:rPr>
              <w:t>3</w:t>
            </w:r>
            <w:r>
              <w:rPr>
                <w:sz w:val="14"/>
                <w:szCs w:val="14"/>
              </w:rPr>
              <w:t>;</w:t>
            </w:r>
            <w:r>
              <w:rPr>
                <w:sz w:val="14"/>
                <w:szCs w:val="14"/>
              </w:rPr>
              <w:br/>
              <w:t>ID number;</w:t>
            </w:r>
          </w:p>
          <w:p w14:paraId="60C0FD8A" w14:textId="1895AAD3" w:rsidR="001E4498" w:rsidRDefault="00BD1AA3" w:rsidP="005455F2">
            <w:pPr>
              <w:spacing w:after="0" w:line="240" w:lineRule="auto"/>
              <w:jc w:val="center"/>
              <w:rPr>
                <w:i/>
                <w:sz w:val="14"/>
                <w:szCs w:val="14"/>
              </w:rPr>
            </w:pPr>
            <w:r>
              <w:rPr>
                <w:sz w:val="14"/>
                <w:szCs w:val="14"/>
              </w:rPr>
              <w:t>(*) if investigation of &gt;1</w:t>
            </w:r>
            <w:r w:rsidR="005F68A0">
              <w:rPr>
                <w:sz w:val="14"/>
                <w:szCs w:val="14"/>
              </w:rPr>
              <w:t> </w:t>
            </w:r>
            <w:r>
              <w:rPr>
                <w:sz w:val="14"/>
                <w:szCs w:val="14"/>
              </w:rPr>
              <w:t>country</w:t>
            </w:r>
          </w:p>
        </w:tc>
        <w:tc>
          <w:tcPr>
            <w:tcW w:w="1238" w:type="dxa"/>
            <w:shd w:val="clear" w:color="auto" w:fill="auto"/>
          </w:tcPr>
          <w:p w14:paraId="66CB7457" w14:textId="77777777" w:rsidR="001E4498" w:rsidRDefault="00BD1AA3" w:rsidP="005455F2">
            <w:pPr>
              <w:spacing w:after="0" w:line="240" w:lineRule="auto"/>
              <w:jc w:val="center"/>
              <w:rPr>
                <w:sz w:val="14"/>
                <w:szCs w:val="14"/>
              </w:rPr>
            </w:pPr>
            <w:r>
              <w:rPr>
                <w:sz w:val="14"/>
                <w:szCs w:val="14"/>
              </w:rPr>
              <w:t>Date, Type of Review or Procedure (code), Period Covered</w:t>
            </w:r>
          </w:p>
        </w:tc>
        <w:tc>
          <w:tcPr>
            <w:tcW w:w="1559" w:type="dxa"/>
            <w:shd w:val="clear" w:color="auto" w:fill="auto"/>
          </w:tcPr>
          <w:p w14:paraId="263B2C50" w14:textId="77777777" w:rsidR="001E4498" w:rsidRDefault="00BD1AA3" w:rsidP="005455F2">
            <w:pPr>
              <w:spacing w:after="0" w:line="240" w:lineRule="auto"/>
              <w:jc w:val="center"/>
              <w:rPr>
                <w:sz w:val="14"/>
                <w:szCs w:val="14"/>
              </w:rPr>
            </w:pPr>
            <w:r>
              <w:rPr>
                <w:sz w:val="14"/>
                <w:szCs w:val="14"/>
              </w:rPr>
              <w:t>Effective date; range of individual amounts of subsidy;</w:t>
            </w:r>
            <w:r>
              <w:rPr>
                <w:sz w:val="14"/>
                <w:szCs w:val="14"/>
              </w:rPr>
              <w:br/>
              <w:t>"other" rates;</w:t>
            </w:r>
            <w:r>
              <w:rPr>
                <w:sz w:val="14"/>
                <w:szCs w:val="14"/>
              </w:rPr>
              <w:br/>
              <w:t>[range of applied rates if different, reason]</w:t>
            </w:r>
          </w:p>
        </w:tc>
        <w:tc>
          <w:tcPr>
            <w:tcW w:w="1418" w:type="dxa"/>
            <w:shd w:val="clear" w:color="auto" w:fill="auto"/>
          </w:tcPr>
          <w:p w14:paraId="471FB275" w14:textId="77777777" w:rsidR="001E4498" w:rsidRDefault="00BD1AA3" w:rsidP="005455F2">
            <w:pPr>
              <w:spacing w:after="0" w:line="240" w:lineRule="auto"/>
              <w:jc w:val="center"/>
              <w:rPr>
                <w:b/>
                <w:sz w:val="14"/>
                <w:szCs w:val="14"/>
              </w:rPr>
            </w:pPr>
            <w:r>
              <w:rPr>
                <w:sz w:val="14"/>
                <w:szCs w:val="14"/>
              </w:rPr>
              <w:t>Effective date, range of individual amounts of subsidy;</w:t>
            </w:r>
            <w:r>
              <w:rPr>
                <w:sz w:val="14"/>
                <w:szCs w:val="14"/>
              </w:rPr>
              <w:br/>
              <w:t>"other" rates; [range of applied rates if different, reason]</w:t>
            </w:r>
          </w:p>
        </w:tc>
        <w:tc>
          <w:tcPr>
            <w:tcW w:w="1275" w:type="dxa"/>
            <w:shd w:val="clear" w:color="auto" w:fill="auto"/>
          </w:tcPr>
          <w:p w14:paraId="260E1197" w14:textId="77777777" w:rsidR="001E4498" w:rsidRDefault="00BD1AA3" w:rsidP="005455F2">
            <w:pPr>
              <w:spacing w:after="0" w:line="240" w:lineRule="auto"/>
              <w:jc w:val="center"/>
              <w:rPr>
                <w:sz w:val="14"/>
                <w:szCs w:val="14"/>
                <w:vertAlign w:val="superscript"/>
              </w:rPr>
            </w:pPr>
            <w:r>
              <w:rPr>
                <w:sz w:val="14"/>
                <w:szCs w:val="14"/>
              </w:rPr>
              <w:t>Effective date; range of individual amounts of subsidy or minimum prices;</w:t>
            </w:r>
            <w:r>
              <w:rPr>
                <w:sz w:val="14"/>
                <w:szCs w:val="14"/>
              </w:rPr>
              <w:br/>
              <w:t>or other outcome (code)</w:t>
            </w:r>
          </w:p>
        </w:tc>
        <w:tc>
          <w:tcPr>
            <w:tcW w:w="1134" w:type="dxa"/>
            <w:shd w:val="clear" w:color="auto" w:fill="auto"/>
          </w:tcPr>
          <w:p w14:paraId="04C59497" w14:textId="77777777" w:rsidR="001E4498" w:rsidRDefault="00BD1AA3" w:rsidP="005455F2">
            <w:pPr>
              <w:spacing w:after="0" w:line="240" w:lineRule="auto"/>
              <w:jc w:val="center"/>
              <w:rPr>
                <w:sz w:val="14"/>
                <w:szCs w:val="14"/>
              </w:rPr>
            </w:pPr>
            <w:r>
              <w:rPr>
                <w:sz w:val="14"/>
                <w:szCs w:val="14"/>
              </w:rPr>
              <w:t>Date,</w:t>
            </w:r>
          </w:p>
          <w:p w14:paraId="2AE22A51" w14:textId="77777777" w:rsidR="001E4498" w:rsidRDefault="00BD1AA3" w:rsidP="005455F2">
            <w:pPr>
              <w:spacing w:after="0" w:line="240" w:lineRule="auto"/>
              <w:jc w:val="center"/>
              <w:rPr>
                <w:sz w:val="14"/>
                <w:szCs w:val="14"/>
              </w:rPr>
            </w:pPr>
            <w:r>
              <w:rPr>
                <w:sz w:val="14"/>
                <w:szCs w:val="14"/>
              </w:rPr>
              <w:t>reason</w:t>
            </w:r>
          </w:p>
        </w:tc>
        <w:tc>
          <w:tcPr>
            <w:tcW w:w="1276" w:type="dxa"/>
            <w:shd w:val="clear" w:color="auto" w:fill="auto"/>
          </w:tcPr>
          <w:p w14:paraId="417E2783" w14:textId="77777777" w:rsidR="001E4498" w:rsidRDefault="00BD1AA3" w:rsidP="005455F2">
            <w:pPr>
              <w:spacing w:after="0" w:line="240" w:lineRule="auto"/>
              <w:jc w:val="center"/>
              <w:rPr>
                <w:i/>
                <w:sz w:val="14"/>
                <w:szCs w:val="14"/>
              </w:rPr>
            </w:pPr>
            <w:r>
              <w:rPr>
                <w:sz w:val="14"/>
                <w:szCs w:val="14"/>
              </w:rPr>
              <w:t>Date,</w:t>
            </w:r>
            <w:r>
              <w:rPr>
                <w:i/>
                <w:sz w:val="14"/>
                <w:szCs w:val="14"/>
              </w:rPr>
              <w:t xml:space="preserve"> </w:t>
            </w:r>
            <w:r>
              <w:rPr>
                <w:sz w:val="14"/>
                <w:szCs w:val="14"/>
              </w:rPr>
              <w:t>explanation</w:t>
            </w:r>
          </w:p>
        </w:tc>
        <w:tc>
          <w:tcPr>
            <w:tcW w:w="1134" w:type="dxa"/>
            <w:shd w:val="clear" w:color="auto" w:fill="auto"/>
          </w:tcPr>
          <w:p w14:paraId="1FBEAE60" w14:textId="77777777" w:rsidR="001E4498" w:rsidRDefault="00BD1AA3" w:rsidP="005455F2">
            <w:pPr>
              <w:spacing w:after="0" w:line="240" w:lineRule="auto"/>
              <w:jc w:val="center"/>
              <w:rPr>
                <w:sz w:val="14"/>
                <w:szCs w:val="14"/>
              </w:rPr>
            </w:pPr>
            <w:r>
              <w:rPr>
                <w:sz w:val="14"/>
                <w:szCs w:val="14"/>
              </w:rPr>
              <w:t>Import volume or value (units/ currency); product coverage, period, if different from cols. 2/3</w:t>
            </w:r>
          </w:p>
        </w:tc>
        <w:tc>
          <w:tcPr>
            <w:tcW w:w="1134" w:type="dxa"/>
            <w:shd w:val="clear" w:color="auto" w:fill="auto"/>
          </w:tcPr>
          <w:p w14:paraId="71344DEC" w14:textId="77777777" w:rsidR="001E4498" w:rsidRDefault="00BD1AA3" w:rsidP="005455F2">
            <w:pPr>
              <w:spacing w:after="0" w:line="240" w:lineRule="auto"/>
              <w:jc w:val="center"/>
              <w:rPr>
                <w:sz w:val="14"/>
                <w:szCs w:val="14"/>
              </w:rPr>
            </w:pPr>
            <w:r>
              <w:rPr>
                <w:sz w:val="14"/>
                <w:szCs w:val="14"/>
              </w:rPr>
              <w:t>Import volume as % of apparent domestic consumption or as % of total imports</w:t>
            </w:r>
          </w:p>
        </w:tc>
        <w:tc>
          <w:tcPr>
            <w:tcW w:w="1364" w:type="dxa"/>
            <w:shd w:val="clear" w:color="auto" w:fill="auto"/>
          </w:tcPr>
          <w:p w14:paraId="7E9E47A6" w14:textId="77777777" w:rsidR="001E4498" w:rsidRDefault="00BD1AA3" w:rsidP="005455F2">
            <w:pPr>
              <w:spacing w:after="0" w:line="240" w:lineRule="auto"/>
              <w:jc w:val="center"/>
              <w:rPr>
                <w:sz w:val="14"/>
                <w:szCs w:val="14"/>
              </w:rPr>
            </w:pPr>
            <w:r>
              <w:rPr>
                <w:sz w:val="14"/>
                <w:szCs w:val="14"/>
              </w:rPr>
              <w:t>Name(s) of the subsidy programme(s) countervailed</w:t>
            </w:r>
          </w:p>
        </w:tc>
      </w:tr>
      <w:tr w:rsidR="001E4498" w14:paraId="06F51CA9" w14:textId="77777777" w:rsidTr="00617FAB">
        <w:tc>
          <w:tcPr>
            <w:tcW w:w="1111" w:type="dxa"/>
            <w:tcBorders>
              <w:bottom w:val="single" w:sz="4" w:space="0" w:color="auto"/>
            </w:tcBorders>
            <w:shd w:val="clear" w:color="auto" w:fill="auto"/>
          </w:tcPr>
          <w:p w14:paraId="534C7D90" w14:textId="77777777" w:rsidR="001E4498" w:rsidRDefault="00BD1AA3" w:rsidP="005455F2">
            <w:pPr>
              <w:spacing w:after="0" w:line="240" w:lineRule="auto"/>
              <w:jc w:val="center"/>
              <w:rPr>
                <w:b/>
                <w:sz w:val="14"/>
                <w:szCs w:val="14"/>
              </w:rPr>
            </w:pPr>
            <w:r>
              <w:rPr>
                <w:b/>
                <w:sz w:val="14"/>
                <w:szCs w:val="14"/>
              </w:rPr>
              <w:t>1</w:t>
            </w:r>
          </w:p>
        </w:tc>
        <w:tc>
          <w:tcPr>
            <w:tcW w:w="1881" w:type="dxa"/>
            <w:tcBorders>
              <w:bottom w:val="single" w:sz="4" w:space="0" w:color="auto"/>
            </w:tcBorders>
            <w:shd w:val="clear" w:color="auto" w:fill="auto"/>
          </w:tcPr>
          <w:p w14:paraId="3879CEAF" w14:textId="77777777" w:rsidR="001E4498" w:rsidRDefault="00BD1AA3" w:rsidP="005455F2">
            <w:pPr>
              <w:spacing w:after="0" w:line="240" w:lineRule="auto"/>
              <w:jc w:val="center"/>
              <w:rPr>
                <w:b/>
                <w:sz w:val="14"/>
                <w:szCs w:val="14"/>
              </w:rPr>
            </w:pPr>
            <w:r>
              <w:rPr>
                <w:b/>
                <w:sz w:val="14"/>
                <w:szCs w:val="14"/>
              </w:rPr>
              <w:t>2</w:t>
            </w:r>
          </w:p>
        </w:tc>
        <w:tc>
          <w:tcPr>
            <w:tcW w:w="1238" w:type="dxa"/>
            <w:tcBorders>
              <w:bottom w:val="single" w:sz="4" w:space="0" w:color="auto"/>
            </w:tcBorders>
            <w:shd w:val="clear" w:color="auto" w:fill="auto"/>
          </w:tcPr>
          <w:p w14:paraId="33FAF374" w14:textId="77777777" w:rsidR="001E4498" w:rsidRDefault="00BD1AA3" w:rsidP="005455F2">
            <w:pPr>
              <w:spacing w:after="0" w:line="240" w:lineRule="auto"/>
              <w:jc w:val="center"/>
              <w:rPr>
                <w:b/>
                <w:sz w:val="14"/>
                <w:szCs w:val="14"/>
              </w:rPr>
            </w:pPr>
            <w:r>
              <w:rPr>
                <w:b/>
                <w:sz w:val="14"/>
                <w:szCs w:val="14"/>
              </w:rPr>
              <w:t>3</w:t>
            </w:r>
          </w:p>
        </w:tc>
        <w:tc>
          <w:tcPr>
            <w:tcW w:w="1559" w:type="dxa"/>
            <w:tcBorders>
              <w:bottom w:val="single" w:sz="4" w:space="0" w:color="auto"/>
            </w:tcBorders>
            <w:shd w:val="clear" w:color="auto" w:fill="auto"/>
          </w:tcPr>
          <w:p w14:paraId="3D5A87DA" w14:textId="77777777" w:rsidR="001E4498" w:rsidRDefault="00BD1AA3" w:rsidP="005455F2">
            <w:pPr>
              <w:spacing w:after="0" w:line="240" w:lineRule="auto"/>
              <w:jc w:val="center"/>
              <w:rPr>
                <w:b/>
                <w:sz w:val="14"/>
                <w:szCs w:val="14"/>
              </w:rPr>
            </w:pPr>
            <w:r>
              <w:rPr>
                <w:b/>
                <w:sz w:val="14"/>
                <w:szCs w:val="14"/>
              </w:rPr>
              <w:t>4</w:t>
            </w:r>
          </w:p>
        </w:tc>
        <w:tc>
          <w:tcPr>
            <w:tcW w:w="1418" w:type="dxa"/>
            <w:tcBorders>
              <w:bottom w:val="single" w:sz="4" w:space="0" w:color="auto"/>
            </w:tcBorders>
            <w:shd w:val="clear" w:color="auto" w:fill="auto"/>
          </w:tcPr>
          <w:p w14:paraId="551A8073" w14:textId="77777777" w:rsidR="001E4498" w:rsidRDefault="00BD1AA3" w:rsidP="005455F2">
            <w:pPr>
              <w:spacing w:after="0" w:line="240" w:lineRule="auto"/>
              <w:jc w:val="center"/>
              <w:rPr>
                <w:b/>
                <w:sz w:val="14"/>
                <w:szCs w:val="14"/>
              </w:rPr>
            </w:pPr>
            <w:r>
              <w:rPr>
                <w:b/>
                <w:sz w:val="14"/>
                <w:szCs w:val="14"/>
              </w:rPr>
              <w:t>5</w:t>
            </w:r>
          </w:p>
        </w:tc>
        <w:tc>
          <w:tcPr>
            <w:tcW w:w="1275" w:type="dxa"/>
            <w:tcBorders>
              <w:bottom w:val="single" w:sz="4" w:space="0" w:color="auto"/>
            </w:tcBorders>
            <w:shd w:val="clear" w:color="auto" w:fill="auto"/>
          </w:tcPr>
          <w:p w14:paraId="74BE95D7" w14:textId="77777777" w:rsidR="001E4498" w:rsidRDefault="00BD1AA3" w:rsidP="005455F2">
            <w:pPr>
              <w:spacing w:after="0" w:line="240" w:lineRule="auto"/>
              <w:jc w:val="center"/>
              <w:rPr>
                <w:b/>
                <w:sz w:val="14"/>
                <w:szCs w:val="14"/>
              </w:rPr>
            </w:pPr>
            <w:r>
              <w:rPr>
                <w:b/>
                <w:sz w:val="14"/>
                <w:szCs w:val="14"/>
              </w:rPr>
              <w:t>6</w:t>
            </w:r>
          </w:p>
        </w:tc>
        <w:tc>
          <w:tcPr>
            <w:tcW w:w="1134" w:type="dxa"/>
            <w:tcBorders>
              <w:bottom w:val="single" w:sz="4" w:space="0" w:color="auto"/>
            </w:tcBorders>
            <w:shd w:val="clear" w:color="auto" w:fill="auto"/>
          </w:tcPr>
          <w:p w14:paraId="4E873FAF" w14:textId="77777777" w:rsidR="001E4498" w:rsidRDefault="00BD1AA3" w:rsidP="005455F2">
            <w:pPr>
              <w:spacing w:after="0" w:line="240" w:lineRule="auto"/>
              <w:jc w:val="center"/>
              <w:rPr>
                <w:b/>
                <w:sz w:val="14"/>
                <w:szCs w:val="14"/>
              </w:rPr>
            </w:pPr>
            <w:r>
              <w:rPr>
                <w:b/>
                <w:sz w:val="14"/>
                <w:szCs w:val="14"/>
              </w:rPr>
              <w:t>7</w:t>
            </w:r>
          </w:p>
        </w:tc>
        <w:tc>
          <w:tcPr>
            <w:tcW w:w="1276" w:type="dxa"/>
            <w:tcBorders>
              <w:bottom w:val="single" w:sz="4" w:space="0" w:color="auto"/>
            </w:tcBorders>
            <w:shd w:val="clear" w:color="auto" w:fill="auto"/>
          </w:tcPr>
          <w:p w14:paraId="35A2E9AD" w14:textId="77777777" w:rsidR="001E4498" w:rsidRDefault="00BD1AA3" w:rsidP="005455F2">
            <w:pPr>
              <w:spacing w:after="0" w:line="240" w:lineRule="auto"/>
              <w:jc w:val="center"/>
              <w:rPr>
                <w:b/>
                <w:sz w:val="14"/>
                <w:szCs w:val="14"/>
              </w:rPr>
            </w:pPr>
            <w:r>
              <w:rPr>
                <w:b/>
                <w:sz w:val="14"/>
                <w:szCs w:val="14"/>
              </w:rPr>
              <w:t>8</w:t>
            </w:r>
          </w:p>
        </w:tc>
        <w:tc>
          <w:tcPr>
            <w:tcW w:w="1134" w:type="dxa"/>
            <w:tcBorders>
              <w:bottom w:val="single" w:sz="4" w:space="0" w:color="auto"/>
            </w:tcBorders>
            <w:shd w:val="clear" w:color="auto" w:fill="auto"/>
          </w:tcPr>
          <w:p w14:paraId="45EB682A" w14:textId="77777777" w:rsidR="001E4498" w:rsidRDefault="00BD1AA3" w:rsidP="005455F2">
            <w:pPr>
              <w:spacing w:after="0" w:line="240" w:lineRule="auto"/>
              <w:jc w:val="center"/>
              <w:rPr>
                <w:b/>
                <w:sz w:val="14"/>
                <w:szCs w:val="14"/>
              </w:rPr>
            </w:pPr>
            <w:r>
              <w:rPr>
                <w:b/>
                <w:sz w:val="14"/>
                <w:szCs w:val="14"/>
              </w:rPr>
              <w:t>9</w:t>
            </w:r>
          </w:p>
        </w:tc>
        <w:tc>
          <w:tcPr>
            <w:tcW w:w="1134" w:type="dxa"/>
            <w:tcBorders>
              <w:bottom w:val="single" w:sz="4" w:space="0" w:color="auto"/>
            </w:tcBorders>
            <w:shd w:val="clear" w:color="auto" w:fill="auto"/>
          </w:tcPr>
          <w:p w14:paraId="7307F6AF" w14:textId="77777777" w:rsidR="001E4498" w:rsidRDefault="00BD1AA3" w:rsidP="005455F2">
            <w:pPr>
              <w:spacing w:after="0" w:line="240" w:lineRule="auto"/>
              <w:jc w:val="center"/>
              <w:rPr>
                <w:b/>
                <w:sz w:val="14"/>
                <w:szCs w:val="14"/>
              </w:rPr>
            </w:pPr>
            <w:r>
              <w:rPr>
                <w:b/>
                <w:sz w:val="14"/>
                <w:szCs w:val="14"/>
              </w:rPr>
              <w:t>10</w:t>
            </w:r>
          </w:p>
        </w:tc>
        <w:tc>
          <w:tcPr>
            <w:tcW w:w="1364" w:type="dxa"/>
            <w:tcBorders>
              <w:bottom w:val="single" w:sz="4" w:space="0" w:color="auto"/>
            </w:tcBorders>
            <w:shd w:val="clear" w:color="auto" w:fill="auto"/>
          </w:tcPr>
          <w:p w14:paraId="138F9934" w14:textId="77777777" w:rsidR="001E4498" w:rsidRDefault="00BD1AA3" w:rsidP="005455F2">
            <w:pPr>
              <w:spacing w:after="0" w:line="240" w:lineRule="auto"/>
              <w:jc w:val="center"/>
              <w:rPr>
                <w:sz w:val="14"/>
                <w:szCs w:val="14"/>
              </w:rPr>
            </w:pPr>
            <w:r>
              <w:rPr>
                <w:b/>
                <w:sz w:val="14"/>
                <w:szCs w:val="14"/>
              </w:rPr>
              <w:t>11</w:t>
            </w:r>
          </w:p>
        </w:tc>
      </w:tr>
      <w:tr w:rsidR="001E4498" w14:paraId="0067D3AD" w14:textId="77777777" w:rsidTr="00617FAB">
        <w:tc>
          <w:tcPr>
            <w:tcW w:w="1111" w:type="dxa"/>
            <w:tcBorders>
              <w:bottom w:val="double" w:sz="6" w:space="0" w:color="auto"/>
            </w:tcBorders>
            <w:shd w:val="clear" w:color="auto" w:fill="auto"/>
          </w:tcPr>
          <w:p w14:paraId="04593ECA" w14:textId="77777777" w:rsidR="001E4498" w:rsidRDefault="00BD1AA3" w:rsidP="005455F2">
            <w:pPr>
              <w:spacing w:after="0" w:line="240" w:lineRule="auto"/>
              <w:jc w:val="left"/>
              <w:rPr>
                <w:sz w:val="14"/>
                <w:szCs w:val="14"/>
              </w:rPr>
            </w:pPr>
            <w:r>
              <w:rPr>
                <w:rFonts w:eastAsia="Verdana" w:cs="Verdana"/>
                <w:sz w:val="14"/>
                <w:szCs w:val="14"/>
              </w:rPr>
              <w:t>United States</w:t>
            </w:r>
          </w:p>
        </w:tc>
        <w:tc>
          <w:tcPr>
            <w:tcW w:w="1881" w:type="dxa"/>
            <w:tcBorders>
              <w:bottom w:val="double" w:sz="6" w:space="0" w:color="auto"/>
            </w:tcBorders>
            <w:shd w:val="clear" w:color="auto" w:fill="auto"/>
          </w:tcPr>
          <w:p w14:paraId="6ECA721E" w14:textId="77777777" w:rsidR="001E4498" w:rsidRDefault="00BD1AA3" w:rsidP="005455F2">
            <w:pPr>
              <w:spacing w:after="0" w:line="240" w:lineRule="auto"/>
              <w:jc w:val="left"/>
              <w:rPr>
                <w:rFonts w:eastAsia="Verdana" w:cs="Verdana"/>
                <w:sz w:val="14"/>
                <w:szCs w:val="14"/>
              </w:rPr>
            </w:pPr>
            <w:r>
              <w:rPr>
                <w:rFonts w:eastAsia="Verdana" w:cs="Verdana"/>
                <w:sz w:val="14"/>
                <w:szCs w:val="14"/>
              </w:rPr>
              <w:t xml:space="preserve">Distillers dried grains with or without </w:t>
            </w:r>
            <w:r w:rsidRPr="00CE1DBB">
              <w:rPr>
                <w:rFonts w:eastAsia="Verdana" w:cs="Verdana"/>
                <w:sz w:val="14"/>
                <w:szCs w:val="14"/>
                <w:lang w:val="en-US"/>
              </w:rPr>
              <w:t>solubles</w:t>
            </w:r>
          </w:p>
          <w:p w14:paraId="6788E594" w14:textId="77777777" w:rsidR="001E4498" w:rsidRDefault="00BD1AA3" w:rsidP="005455F2">
            <w:pPr>
              <w:spacing w:after="0" w:line="240" w:lineRule="auto"/>
              <w:jc w:val="left"/>
              <w:rPr>
                <w:rFonts w:eastAsia="Verdana" w:cs="Verdana"/>
                <w:sz w:val="14"/>
                <w:szCs w:val="14"/>
              </w:rPr>
            </w:pPr>
            <w:r>
              <w:rPr>
                <w:rFonts w:eastAsia="Verdana" w:cs="Verdana"/>
                <w:sz w:val="14"/>
                <w:szCs w:val="14"/>
              </w:rPr>
              <w:t>23033000</w:t>
            </w:r>
          </w:p>
          <w:p w14:paraId="09DC4233" w14:textId="77777777" w:rsidR="001E4498" w:rsidRDefault="00BD1AA3" w:rsidP="005455F2">
            <w:pPr>
              <w:spacing w:after="0" w:line="240" w:lineRule="auto"/>
              <w:jc w:val="left"/>
              <w:rPr>
                <w:sz w:val="14"/>
                <w:szCs w:val="14"/>
              </w:rPr>
            </w:pPr>
            <w:r>
              <w:rPr>
                <w:rFonts w:eastAsia="Verdana" w:cs="Verdana"/>
                <w:sz w:val="14"/>
                <w:szCs w:val="14"/>
              </w:rPr>
              <w:t>16-0001</w:t>
            </w:r>
          </w:p>
        </w:tc>
        <w:tc>
          <w:tcPr>
            <w:tcW w:w="1238" w:type="dxa"/>
            <w:tcBorders>
              <w:bottom w:val="double" w:sz="6" w:space="0" w:color="auto"/>
            </w:tcBorders>
            <w:shd w:val="clear" w:color="auto" w:fill="auto"/>
          </w:tcPr>
          <w:p w14:paraId="61E4536D" w14:textId="77777777" w:rsidR="001E4498" w:rsidRDefault="00BD1AA3" w:rsidP="005455F2">
            <w:pPr>
              <w:spacing w:after="0" w:line="240" w:lineRule="auto"/>
              <w:jc w:val="center"/>
              <w:rPr>
                <w:rFonts w:eastAsia="Verdana" w:cs="Verdana"/>
                <w:sz w:val="14"/>
                <w:szCs w:val="14"/>
              </w:rPr>
            </w:pPr>
            <w:r>
              <w:rPr>
                <w:rFonts w:eastAsia="Verdana" w:cs="Verdana"/>
                <w:sz w:val="14"/>
                <w:szCs w:val="14"/>
              </w:rPr>
              <w:t>12.01.2022</w:t>
            </w:r>
          </w:p>
          <w:p w14:paraId="0F615F95" w14:textId="77777777" w:rsidR="001E4498" w:rsidRDefault="00BD1AA3" w:rsidP="005455F2">
            <w:pPr>
              <w:spacing w:after="0" w:line="240" w:lineRule="auto"/>
              <w:jc w:val="center"/>
              <w:rPr>
                <w:rFonts w:eastAsia="Verdana" w:cs="Verdana"/>
                <w:sz w:val="14"/>
                <w:szCs w:val="14"/>
              </w:rPr>
            </w:pPr>
            <w:r>
              <w:rPr>
                <w:rFonts w:eastAsia="Verdana" w:cs="Verdana"/>
                <w:sz w:val="14"/>
                <w:szCs w:val="14"/>
              </w:rPr>
              <w:t>Sunset/Expiry review</w:t>
            </w:r>
          </w:p>
          <w:p w14:paraId="259C8895" w14:textId="77777777" w:rsidR="001E4498" w:rsidRDefault="00BD1AA3" w:rsidP="005455F2">
            <w:pPr>
              <w:spacing w:after="0" w:line="240" w:lineRule="auto"/>
              <w:jc w:val="center"/>
              <w:rPr>
                <w:rFonts w:eastAsia="Verdana" w:cs="Verdana"/>
                <w:sz w:val="14"/>
                <w:szCs w:val="14"/>
              </w:rPr>
            </w:pPr>
            <w:r>
              <w:rPr>
                <w:rFonts w:eastAsia="Verdana" w:cs="Verdana"/>
                <w:sz w:val="14"/>
                <w:szCs w:val="14"/>
              </w:rPr>
              <w:t>S: 01.07.2020-30.06.2021</w:t>
            </w:r>
          </w:p>
          <w:p w14:paraId="0130917A" w14:textId="77777777" w:rsidR="001E4498" w:rsidRDefault="00BD1AA3" w:rsidP="005455F2">
            <w:pPr>
              <w:spacing w:after="0" w:line="240" w:lineRule="auto"/>
              <w:jc w:val="center"/>
              <w:rPr>
                <w:sz w:val="14"/>
                <w:szCs w:val="14"/>
              </w:rPr>
            </w:pPr>
            <w:r>
              <w:rPr>
                <w:rFonts w:eastAsia="Verdana" w:cs="Verdana"/>
                <w:sz w:val="14"/>
                <w:szCs w:val="14"/>
              </w:rPr>
              <w:t>I: 01.01.2017-30.06.2021</w:t>
            </w:r>
          </w:p>
        </w:tc>
        <w:tc>
          <w:tcPr>
            <w:tcW w:w="1559" w:type="dxa"/>
            <w:tcBorders>
              <w:bottom w:val="double" w:sz="6" w:space="0" w:color="auto"/>
            </w:tcBorders>
            <w:shd w:val="clear" w:color="auto" w:fill="auto"/>
          </w:tcPr>
          <w:p w14:paraId="3F49A487" w14:textId="77777777" w:rsidR="001E4498" w:rsidRDefault="00BD1AA3" w:rsidP="005455F2">
            <w:pPr>
              <w:spacing w:after="0" w:line="240" w:lineRule="auto"/>
              <w:jc w:val="center"/>
              <w:rPr>
                <w:sz w:val="14"/>
                <w:szCs w:val="14"/>
              </w:rPr>
            </w:pPr>
            <w:r>
              <w:rPr>
                <w:sz w:val="14"/>
                <w:szCs w:val="14"/>
              </w:rPr>
              <w:t>-</w:t>
            </w:r>
          </w:p>
        </w:tc>
        <w:tc>
          <w:tcPr>
            <w:tcW w:w="1418" w:type="dxa"/>
            <w:tcBorders>
              <w:bottom w:val="double" w:sz="6" w:space="0" w:color="auto"/>
            </w:tcBorders>
            <w:shd w:val="clear" w:color="auto" w:fill="auto"/>
          </w:tcPr>
          <w:p w14:paraId="07399328" w14:textId="77777777" w:rsidR="001E4498" w:rsidRDefault="00BD1AA3" w:rsidP="005455F2">
            <w:pPr>
              <w:spacing w:after="0" w:line="240" w:lineRule="auto"/>
              <w:jc w:val="center"/>
              <w:rPr>
                <w:sz w:val="14"/>
                <w:szCs w:val="14"/>
              </w:rPr>
            </w:pPr>
            <w:r>
              <w:rPr>
                <w:sz w:val="14"/>
                <w:szCs w:val="14"/>
              </w:rPr>
              <w:t>-</w:t>
            </w:r>
          </w:p>
        </w:tc>
        <w:tc>
          <w:tcPr>
            <w:tcW w:w="1275" w:type="dxa"/>
            <w:tcBorders>
              <w:bottom w:val="double" w:sz="6" w:space="0" w:color="auto"/>
            </w:tcBorders>
            <w:shd w:val="clear" w:color="auto" w:fill="auto"/>
          </w:tcPr>
          <w:p w14:paraId="46CF28BE" w14:textId="77777777" w:rsidR="001E4498" w:rsidRDefault="00BD1AA3" w:rsidP="005455F2">
            <w:pPr>
              <w:spacing w:after="0" w:line="240" w:lineRule="auto"/>
              <w:jc w:val="center"/>
              <w:rPr>
                <w:sz w:val="14"/>
                <w:szCs w:val="14"/>
              </w:rPr>
            </w:pPr>
            <w:r>
              <w:rPr>
                <w:sz w:val="14"/>
                <w:szCs w:val="14"/>
              </w:rPr>
              <w:t>-</w:t>
            </w:r>
          </w:p>
        </w:tc>
        <w:tc>
          <w:tcPr>
            <w:tcW w:w="1134" w:type="dxa"/>
            <w:tcBorders>
              <w:bottom w:val="double" w:sz="6" w:space="0" w:color="auto"/>
            </w:tcBorders>
            <w:shd w:val="clear" w:color="auto" w:fill="auto"/>
          </w:tcPr>
          <w:p w14:paraId="145AD83E" w14:textId="77777777" w:rsidR="001E4498" w:rsidRDefault="00BD1AA3" w:rsidP="005455F2">
            <w:pPr>
              <w:spacing w:after="0" w:line="240" w:lineRule="auto"/>
              <w:jc w:val="center"/>
              <w:rPr>
                <w:sz w:val="14"/>
                <w:szCs w:val="14"/>
              </w:rPr>
            </w:pPr>
            <w:r>
              <w:rPr>
                <w:sz w:val="14"/>
                <w:szCs w:val="14"/>
              </w:rPr>
              <w:t>-</w:t>
            </w:r>
          </w:p>
        </w:tc>
        <w:tc>
          <w:tcPr>
            <w:tcW w:w="1276" w:type="dxa"/>
            <w:tcBorders>
              <w:bottom w:val="double" w:sz="6" w:space="0" w:color="auto"/>
            </w:tcBorders>
            <w:shd w:val="clear" w:color="auto" w:fill="auto"/>
          </w:tcPr>
          <w:p w14:paraId="7C26867B" w14:textId="77777777" w:rsidR="001E4498" w:rsidRDefault="00BD1AA3" w:rsidP="005455F2">
            <w:pPr>
              <w:spacing w:after="0" w:line="240" w:lineRule="auto"/>
              <w:jc w:val="center"/>
              <w:rPr>
                <w:rFonts w:eastAsia="Verdana" w:cs="Verdana"/>
                <w:sz w:val="14"/>
                <w:szCs w:val="14"/>
              </w:rPr>
            </w:pPr>
            <w:r>
              <w:rPr>
                <w:rFonts w:eastAsia="Verdana" w:cs="Verdana"/>
                <w:sz w:val="14"/>
                <w:szCs w:val="14"/>
              </w:rPr>
              <w:t>Duty remains in force pending the outcome of the review</w:t>
            </w:r>
          </w:p>
          <w:p w14:paraId="6D021338" w14:textId="77777777" w:rsidR="001E4498" w:rsidRDefault="00BD1AA3" w:rsidP="005455F2">
            <w:pPr>
              <w:spacing w:after="0" w:line="240" w:lineRule="auto"/>
              <w:jc w:val="center"/>
              <w:rPr>
                <w:rFonts w:eastAsia="Verdana" w:cs="Verdana"/>
                <w:sz w:val="14"/>
                <w:szCs w:val="14"/>
              </w:rPr>
            </w:pPr>
            <w:r>
              <w:rPr>
                <w:rFonts w:eastAsia="Verdana" w:cs="Verdana"/>
                <w:sz w:val="14"/>
                <w:szCs w:val="14"/>
              </w:rPr>
              <w:t>11.01.2022 (P)</w:t>
            </w:r>
          </w:p>
          <w:p w14:paraId="03A832F9" w14:textId="77777777" w:rsidR="001E4498" w:rsidRDefault="00BD1AA3" w:rsidP="005455F2">
            <w:pPr>
              <w:spacing w:after="0" w:line="240" w:lineRule="auto"/>
              <w:jc w:val="center"/>
              <w:rPr>
                <w:rFonts w:eastAsia="Verdana" w:cs="Verdana"/>
                <w:sz w:val="14"/>
                <w:szCs w:val="14"/>
              </w:rPr>
            </w:pPr>
            <w:r>
              <w:rPr>
                <w:rFonts w:eastAsia="Verdana" w:cs="Verdana"/>
                <w:sz w:val="14"/>
                <w:szCs w:val="14"/>
              </w:rPr>
              <w:t>12.01.2022 (C)</w:t>
            </w:r>
          </w:p>
          <w:p w14:paraId="66B83606" w14:textId="77777777" w:rsidR="001E4498" w:rsidRDefault="00BD1AA3" w:rsidP="005455F2">
            <w:pPr>
              <w:spacing w:after="0" w:line="240" w:lineRule="auto"/>
              <w:jc w:val="center"/>
              <w:rPr>
                <w:sz w:val="14"/>
                <w:szCs w:val="14"/>
              </w:rPr>
            </w:pPr>
            <w:r>
              <w:rPr>
                <w:rFonts w:eastAsia="Verdana" w:cs="Verdana"/>
                <w:sz w:val="14"/>
                <w:szCs w:val="14"/>
              </w:rPr>
              <w:t>Measure extended up to: 11.01.2023</w:t>
            </w:r>
          </w:p>
        </w:tc>
        <w:tc>
          <w:tcPr>
            <w:tcW w:w="1134" w:type="dxa"/>
            <w:tcBorders>
              <w:bottom w:val="double" w:sz="6" w:space="0" w:color="auto"/>
            </w:tcBorders>
            <w:shd w:val="clear" w:color="auto" w:fill="auto"/>
          </w:tcPr>
          <w:p w14:paraId="43FD6D87" w14:textId="77777777" w:rsidR="001E4498" w:rsidRDefault="00BD1AA3" w:rsidP="005455F2">
            <w:pPr>
              <w:spacing w:after="0" w:line="240" w:lineRule="auto"/>
              <w:jc w:val="center"/>
              <w:rPr>
                <w:sz w:val="14"/>
                <w:szCs w:val="14"/>
              </w:rPr>
            </w:pPr>
            <w:r>
              <w:rPr>
                <w:sz w:val="14"/>
                <w:szCs w:val="14"/>
              </w:rPr>
              <w:t>-</w:t>
            </w:r>
          </w:p>
        </w:tc>
        <w:tc>
          <w:tcPr>
            <w:tcW w:w="1134" w:type="dxa"/>
            <w:tcBorders>
              <w:bottom w:val="double" w:sz="6" w:space="0" w:color="auto"/>
            </w:tcBorders>
            <w:shd w:val="clear" w:color="auto" w:fill="auto"/>
          </w:tcPr>
          <w:p w14:paraId="6C5FBCB7" w14:textId="77777777" w:rsidR="001E4498" w:rsidRDefault="00BD1AA3" w:rsidP="005455F2">
            <w:pPr>
              <w:spacing w:after="0" w:line="240" w:lineRule="auto"/>
              <w:jc w:val="center"/>
              <w:rPr>
                <w:sz w:val="14"/>
                <w:szCs w:val="14"/>
              </w:rPr>
            </w:pPr>
            <w:r>
              <w:rPr>
                <w:sz w:val="14"/>
                <w:szCs w:val="14"/>
              </w:rPr>
              <w:t>-</w:t>
            </w:r>
          </w:p>
        </w:tc>
        <w:tc>
          <w:tcPr>
            <w:tcW w:w="1364" w:type="dxa"/>
            <w:tcBorders>
              <w:bottom w:val="double" w:sz="6" w:space="0" w:color="auto"/>
            </w:tcBorders>
            <w:shd w:val="clear" w:color="auto" w:fill="auto"/>
          </w:tcPr>
          <w:p w14:paraId="2FD7AF2B" w14:textId="77777777" w:rsidR="001E4498" w:rsidRDefault="00BD1AA3" w:rsidP="005455F2">
            <w:pPr>
              <w:spacing w:after="0" w:line="240" w:lineRule="auto"/>
              <w:jc w:val="center"/>
              <w:rPr>
                <w:sz w:val="14"/>
                <w:szCs w:val="14"/>
              </w:rPr>
            </w:pPr>
            <w:r>
              <w:rPr>
                <w:sz w:val="14"/>
                <w:szCs w:val="14"/>
              </w:rPr>
              <w:t>-</w:t>
            </w:r>
          </w:p>
        </w:tc>
      </w:tr>
    </w:tbl>
    <w:p w14:paraId="2A30392A" w14:textId="77777777" w:rsidR="001E4498" w:rsidRDefault="00BD1AA3" w:rsidP="005455F2">
      <w:pPr>
        <w:pStyle w:val="NoteText"/>
        <w:spacing w:before="120" w:after="0" w:line="240" w:lineRule="auto"/>
      </w:pPr>
      <w:r>
        <w:t>P</w:t>
      </w:r>
      <w:r>
        <w:tab/>
        <w:t>-</w:t>
      </w:r>
      <w:r>
        <w:tab/>
        <w:t>Publication date</w:t>
      </w:r>
    </w:p>
    <w:p w14:paraId="170DC545" w14:textId="77777777" w:rsidR="001E4498" w:rsidRDefault="00BD1AA3" w:rsidP="005455F2">
      <w:pPr>
        <w:pStyle w:val="NoteText"/>
        <w:spacing w:after="0" w:line="240" w:lineRule="auto"/>
      </w:pPr>
      <w:r>
        <w:t>C</w:t>
      </w:r>
      <w:r>
        <w:tab/>
        <w:t>-</w:t>
      </w:r>
      <w:r>
        <w:tab/>
        <w:t>Date of commencement of duty collection</w:t>
      </w:r>
    </w:p>
    <w:p w14:paraId="0655B519" w14:textId="07173B0A" w:rsidR="001E4498" w:rsidRDefault="00BD1AA3" w:rsidP="005455F2">
      <w:pPr>
        <w:pStyle w:val="NoteText"/>
        <w:spacing w:line="240" w:lineRule="auto"/>
      </w:pPr>
      <w:r>
        <w:t>SIPDC</w:t>
      </w:r>
      <w:r w:rsidR="00720D4F">
        <w:tab/>
      </w:r>
      <w:r>
        <w:t>-</w:t>
      </w:r>
      <w:r w:rsidR="00720D4F">
        <w:tab/>
      </w:r>
      <w:r>
        <w:t>Subsidized imports as % of domestic consumption</w:t>
      </w:r>
    </w:p>
    <w:p w14:paraId="21112912" w14:textId="77777777" w:rsidR="001E4498" w:rsidRDefault="001E4498" w:rsidP="005455F2">
      <w:pPr>
        <w:spacing w:line="240" w:lineRule="auto"/>
        <w:ind w:left="567" w:hanging="567"/>
        <w:rPr>
          <w:szCs w:val="14"/>
        </w:rPr>
      </w:pPr>
    </w:p>
    <w:p w14:paraId="74BEDDB1" w14:textId="77777777" w:rsidR="001E4498" w:rsidRDefault="001E4498" w:rsidP="005455F2">
      <w:pPr>
        <w:spacing w:line="240" w:lineRule="auto"/>
        <w:ind w:left="567" w:hanging="567"/>
        <w:rPr>
          <w:lang w:eastAsia="en-GB"/>
        </w:rPr>
        <w:sectPr w:rsidR="001E4498" w:rsidSect="002B5749">
          <w:headerReference w:type="even" r:id="rId16"/>
          <w:headerReference w:type="default" r:id="rId17"/>
          <w:headerReference w:type="first" r:id="rId18"/>
          <w:pgSz w:w="16838" w:h="11906" w:orient="landscape"/>
          <w:pgMar w:top="1440" w:right="1701" w:bottom="1440" w:left="567" w:header="720" w:footer="720" w:gutter="0"/>
          <w:cols w:space="720"/>
          <w:docGrid w:linePitch="360"/>
        </w:sectPr>
      </w:pPr>
    </w:p>
    <w:p w14:paraId="594BCB9B" w14:textId="77777777" w:rsidR="001E4498" w:rsidRDefault="00BD1AA3" w:rsidP="005455F2">
      <w:pPr>
        <w:pStyle w:val="Title"/>
        <w:spacing w:line="240" w:lineRule="auto"/>
        <w:rPr>
          <w:caps w:val="0"/>
          <w:kern w:val="0"/>
          <w:lang w:eastAsia="en-GB"/>
        </w:rPr>
      </w:pPr>
      <w:r>
        <w:rPr>
          <w:caps w:val="0"/>
          <w:kern w:val="0"/>
          <w:lang w:eastAsia="en-GB"/>
        </w:rPr>
        <w:lastRenderedPageBreak/>
        <w:t>ANNEXES</w:t>
      </w:r>
    </w:p>
    <w:p w14:paraId="4BCEE056" w14:textId="77777777" w:rsidR="001E4498" w:rsidRDefault="00BD1AA3" w:rsidP="005455F2">
      <w:pPr>
        <w:pStyle w:val="Title2"/>
        <w:spacing w:line="240" w:lineRule="auto"/>
      </w:pPr>
      <w:r>
        <w:t>DEFINITIVE COUNTERVAILING MEASURES IN FORCE</w:t>
      </w:r>
      <w:r>
        <w:br/>
        <w:t>AS of 30 June 2022</w:t>
      </w:r>
    </w:p>
    <w:tbl>
      <w:tblPr>
        <w:tblW w:w="5000" w:type="pct"/>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709"/>
        <w:gridCol w:w="2167"/>
        <w:gridCol w:w="1204"/>
        <w:gridCol w:w="1985"/>
        <w:gridCol w:w="1915"/>
      </w:tblGrid>
      <w:tr w:rsidR="001E4498" w14:paraId="37998203" w14:textId="77777777">
        <w:tc>
          <w:tcPr>
            <w:tcW w:w="1709" w:type="dxa"/>
            <w:tcBorders>
              <w:top w:val="double" w:sz="6" w:space="0" w:color="auto"/>
              <w:left w:val="double" w:sz="6" w:space="0" w:color="auto"/>
              <w:bottom w:val="single" w:sz="4" w:space="0" w:color="auto"/>
              <w:right w:val="single" w:sz="4" w:space="0" w:color="auto"/>
              <w:tl2br w:val="nil"/>
              <w:tr2bl w:val="nil"/>
            </w:tcBorders>
            <w:shd w:val="clear" w:color="auto" w:fill="auto"/>
          </w:tcPr>
          <w:p w14:paraId="5A8113B7"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center"/>
              <w:rPr>
                <w:b/>
                <w:sz w:val="16"/>
                <w:szCs w:val="16"/>
              </w:rPr>
            </w:pPr>
            <w:r>
              <w:rPr>
                <w:b/>
                <w:sz w:val="16"/>
                <w:szCs w:val="16"/>
              </w:rPr>
              <w:t>Country/Customs Territory</w:t>
            </w:r>
          </w:p>
        </w:tc>
        <w:tc>
          <w:tcPr>
            <w:tcW w:w="2167" w:type="dxa"/>
            <w:tcBorders>
              <w:top w:val="double" w:sz="6" w:space="0" w:color="auto"/>
              <w:left w:val="single" w:sz="4" w:space="0" w:color="auto"/>
              <w:bottom w:val="single" w:sz="4" w:space="0" w:color="auto"/>
              <w:right w:val="single" w:sz="4" w:space="0" w:color="auto"/>
              <w:tl2br w:val="nil"/>
              <w:tr2bl w:val="nil"/>
            </w:tcBorders>
            <w:shd w:val="clear" w:color="auto" w:fill="auto"/>
          </w:tcPr>
          <w:p w14:paraId="24DE3078"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center"/>
              <w:rPr>
                <w:b/>
                <w:sz w:val="16"/>
                <w:szCs w:val="16"/>
              </w:rPr>
            </w:pPr>
            <w:r>
              <w:rPr>
                <w:b/>
                <w:sz w:val="16"/>
                <w:szCs w:val="16"/>
              </w:rPr>
              <w:t>Product,</w:t>
            </w:r>
            <w:r>
              <w:rPr>
                <w:b/>
                <w:sz w:val="16"/>
                <w:szCs w:val="16"/>
              </w:rPr>
              <w:br/>
              <w:t>investigation</w:t>
            </w:r>
            <w:r>
              <w:rPr>
                <w:b/>
                <w:sz w:val="16"/>
                <w:szCs w:val="16"/>
              </w:rPr>
              <w:br/>
              <w:t>ID number</w:t>
            </w:r>
          </w:p>
        </w:tc>
        <w:tc>
          <w:tcPr>
            <w:tcW w:w="1204" w:type="dxa"/>
            <w:tcBorders>
              <w:top w:val="double" w:sz="6" w:space="0" w:color="auto"/>
              <w:left w:val="single" w:sz="4" w:space="0" w:color="auto"/>
              <w:bottom w:val="single" w:sz="4" w:space="0" w:color="auto"/>
              <w:right w:val="single" w:sz="4" w:space="0" w:color="auto"/>
              <w:tl2br w:val="nil"/>
              <w:tr2bl w:val="nil"/>
            </w:tcBorders>
            <w:shd w:val="clear" w:color="auto" w:fill="auto"/>
          </w:tcPr>
          <w:p w14:paraId="7AF62F07"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center"/>
              <w:rPr>
                <w:b/>
                <w:sz w:val="16"/>
                <w:szCs w:val="16"/>
              </w:rPr>
            </w:pPr>
            <w:r>
              <w:rPr>
                <w:b/>
                <w:sz w:val="16"/>
                <w:szCs w:val="16"/>
              </w:rPr>
              <w:t>Measure(s)</w:t>
            </w:r>
          </w:p>
        </w:tc>
        <w:tc>
          <w:tcPr>
            <w:tcW w:w="1985" w:type="dxa"/>
            <w:tcBorders>
              <w:top w:val="double" w:sz="6" w:space="0" w:color="auto"/>
              <w:left w:val="single" w:sz="4" w:space="0" w:color="auto"/>
              <w:bottom w:val="single" w:sz="4" w:space="0" w:color="auto"/>
              <w:right w:val="single" w:sz="4" w:space="0" w:color="auto"/>
              <w:tl2br w:val="nil"/>
              <w:tr2bl w:val="nil"/>
            </w:tcBorders>
            <w:shd w:val="clear" w:color="auto" w:fill="auto"/>
          </w:tcPr>
          <w:p w14:paraId="51770BAA"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center"/>
              <w:rPr>
                <w:b/>
                <w:sz w:val="16"/>
                <w:szCs w:val="16"/>
              </w:rPr>
            </w:pPr>
            <w:r>
              <w:rPr>
                <w:b/>
                <w:sz w:val="16"/>
                <w:szCs w:val="16"/>
              </w:rPr>
              <w:t>Date of original imposition; publication reference</w:t>
            </w:r>
          </w:p>
        </w:tc>
        <w:tc>
          <w:tcPr>
            <w:tcW w:w="1915" w:type="dxa"/>
            <w:tcBorders>
              <w:top w:val="double" w:sz="6" w:space="0" w:color="auto"/>
              <w:left w:val="single" w:sz="4" w:space="0" w:color="auto"/>
              <w:bottom w:val="single" w:sz="4" w:space="0" w:color="auto"/>
              <w:right w:val="double" w:sz="6" w:space="0" w:color="auto"/>
              <w:tl2br w:val="nil"/>
              <w:tr2bl w:val="nil"/>
            </w:tcBorders>
            <w:shd w:val="clear" w:color="auto" w:fill="auto"/>
          </w:tcPr>
          <w:p w14:paraId="5F0756CB"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center"/>
              <w:rPr>
                <w:b/>
                <w:sz w:val="16"/>
                <w:szCs w:val="16"/>
              </w:rPr>
            </w:pPr>
            <w:r>
              <w:rPr>
                <w:b/>
                <w:sz w:val="16"/>
                <w:szCs w:val="16"/>
              </w:rPr>
              <w:t>Date(s) of extension; publication reference(s)</w:t>
            </w:r>
          </w:p>
        </w:tc>
      </w:tr>
      <w:tr w:rsidR="001E4498" w14:paraId="56243C01" w14:textId="77777777">
        <w:tc>
          <w:tcPr>
            <w:tcW w:w="1709" w:type="dxa"/>
            <w:tcBorders>
              <w:top w:val="single" w:sz="4" w:space="0" w:color="auto"/>
              <w:left w:val="double" w:sz="6" w:space="0" w:color="auto"/>
              <w:bottom w:val="single" w:sz="4" w:space="0" w:color="auto"/>
              <w:right w:val="single" w:sz="4" w:space="0" w:color="auto"/>
              <w:tl2br w:val="nil"/>
              <w:tr2bl w:val="nil"/>
            </w:tcBorders>
            <w:shd w:val="clear" w:color="auto" w:fill="auto"/>
          </w:tcPr>
          <w:p w14:paraId="171D85E2"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left"/>
              <w:rPr>
                <w:bCs/>
                <w:sz w:val="16"/>
                <w:szCs w:val="16"/>
              </w:rPr>
            </w:pPr>
            <w:r>
              <w:rPr>
                <w:rFonts w:eastAsia="Verdana" w:cs="Verdana"/>
                <w:sz w:val="16"/>
                <w:szCs w:val="16"/>
              </w:rPr>
              <w:t>Australia</w:t>
            </w:r>
          </w:p>
        </w:tc>
        <w:tc>
          <w:tcPr>
            <w:tcW w:w="2167"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2A5EBF1"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left"/>
              <w:rPr>
                <w:rFonts w:eastAsia="Verdana" w:cs="Verdana"/>
                <w:sz w:val="16"/>
                <w:szCs w:val="16"/>
              </w:rPr>
            </w:pPr>
            <w:r>
              <w:rPr>
                <w:rFonts w:eastAsia="Verdana" w:cs="Verdana"/>
                <w:sz w:val="16"/>
                <w:szCs w:val="16"/>
              </w:rPr>
              <w:t>Barley</w:t>
            </w:r>
          </w:p>
          <w:p w14:paraId="12596946"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left"/>
              <w:rPr>
                <w:bCs/>
                <w:sz w:val="16"/>
                <w:szCs w:val="16"/>
              </w:rPr>
            </w:pPr>
            <w:r>
              <w:rPr>
                <w:rFonts w:eastAsia="Verdana" w:cs="Verdana"/>
                <w:sz w:val="16"/>
                <w:szCs w:val="16"/>
              </w:rPr>
              <w:t>18-0003</w:t>
            </w:r>
          </w:p>
        </w:tc>
        <w:tc>
          <w:tcPr>
            <w:tcW w:w="1204"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B286B6A"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center"/>
              <w:rPr>
                <w:bCs/>
                <w:sz w:val="16"/>
                <w:szCs w:val="16"/>
              </w:rPr>
            </w:pPr>
            <w:r>
              <w:rPr>
                <w:rFonts w:eastAsia="Verdana" w:cs="Verdana"/>
                <w:sz w:val="16"/>
                <w:szCs w:val="16"/>
              </w:rPr>
              <w:t>Duties</w:t>
            </w:r>
          </w:p>
        </w:tc>
        <w:tc>
          <w:tcPr>
            <w:tcW w:w="198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8AD71D7"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center"/>
              <w:rPr>
                <w:rFonts w:eastAsia="Verdana" w:cs="Verdana"/>
                <w:sz w:val="16"/>
                <w:szCs w:val="16"/>
              </w:rPr>
            </w:pPr>
            <w:r>
              <w:rPr>
                <w:rFonts w:eastAsia="Verdana" w:cs="Verdana"/>
                <w:sz w:val="16"/>
                <w:szCs w:val="16"/>
              </w:rPr>
              <w:t>19.05.2020</w:t>
            </w:r>
          </w:p>
          <w:p w14:paraId="20F4FEA7"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center"/>
              <w:rPr>
                <w:bCs/>
                <w:sz w:val="16"/>
                <w:szCs w:val="16"/>
              </w:rPr>
            </w:pPr>
            <w:r>
              <w:rPr>
                <w:rFonts w:eastAsia="Verdana" w:cs="Verdana"/>
                <w:sz w:val="16"/>
                <w:szCs w:val="16"/>
              </w:rPr>
              <w:t>Gazette, 2020 No. 15 of 18.05.2020</w:t>
            </w:r>
          </w:p>
        </w:tc>
        <w:tc>
          <w:tcPr>
            <w:tcW w:w="1915" w:type="dxa"/>
            <w:tcBorders>
              <w:top w:val="single" w:sz="4" w:space="0" w:color="auto"/>
              <w:left w:val="single" w:sz="4" w:space="0" w:color="auto"/>
              <w:bottom w:val="single" w:sz="4" w:space="0" w:color="auto"/>
              <w:right w:val="double" w:sz="6" w:space="0" w:color="auto"/>
              <w:tl2br w:val="nil"/>
              <w:tr2bl w:val="nil"/>
            </w:tcBorders>
            <w:shd w:val="clear" w:color="auto" w:fill="auto"/>
          </w:tcPr>
          <w:p w14:paraId="71DA1353"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center"/>
              <w:rPr>
                <w:bCs/>
                <w:sz w:val="16"/>
                <w:szCs w:val="16"/>
              </w:rPr>
            </w:pPr>
            <w:r>
              <w:rPr>
                <w:bCs/>
                <w:sz w:val="16"/>
                <w:szCs w:val="16"/>
              </w:rPr>
              <w:t>-</w:t>
            </w:r>
          </w:p>
        </w:tc>
      </w:tr>
      <w:tr w:rsidR="001E4498" w14:paraId="4508771D" w14:textId="77777777">
        <w:tc>
          <w:tcPr>
            <w:tcW w:w="1709" w:type="dxa"/>
            <w:tcBorders>
              <w:top w:val="single" w:sz="4" w:space="0" w:color="auto"/>
              <w:left w:val="double" w:sz="6" w:space="0" w:color="auto"/>
              <w:bottom w:val="single" w:sz="4" w:space="0" w:color="auto"/>
              <w:right w:val="single" w:sz="4" w:space="0" w:color="auto"/>
              <w:tl2br w:val="nil"/>
              <w:tr2bl w:val="nil"/>
            </w:tcBorders>
            <w:shd w:val="clear" w:color="auto" w:fill="auto"/>
          </w:tcPr>
          <w:p w14:paraId="471EDF16"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left"/>
              <w:rPr>
                <w:bCs/>
                <w:sz w:val="16"/>
                <w:szCs w:val="16"/>
              </w:rPr>
            </w:pPr>
            <w:r>
              <w:rPr>
                <w:rFonts w:eastAsia="Verdana" w:cs="Verdana"/>
                <w:sz w:val="16"/>
                <w:szCs w:val="16"/>
              </w:rPr>
              <w:t>European Union</w:t>
            </w:r>
            <w:r>
              <w:rPr>
                <w:rStyle w:val="FootnoteReference"/>
                <w:rFonts w:eastAsia="Verdana" w:cs="Verdana"/>
                <w:sz w:val="16"/>
                <w:szCs w:val="16"/>
              </w:rPr>
              <w:footnoteReference w:id="5"/>
            </w:r>
          </w:p>
        </w:tc>
        <w:tc>
          <w:tcPr>
            <w:tcW w:w="2167"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B75F224"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left"/>
              <w:rPr>
                <w:rFonts w:eastAsia="Verdana" w:cs="Verdana"/>
                <w:sz w:val="16"/>
                <w:szCs w:val="16"/>
              </w:rPr>
            </w:pPr>
            <w:r>
              <w:rPr>
                <w:rFonts w:eastAsia="Verdana" w:cs="Verdana"/>
                <w:sz w:val="16"/>
                <w:szCs w:val="16"/>
              </w:rPr>
              <w:t>Potato starch</w:t>
            </w:r>
          </w:p>
          <w:p w14:paraId="16D70D92"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left"/>
              <w:rPr>
                <w:bCs/>
                <w:sz w:val="16"/>
                <w:szCs w:val="16"/>
              </w:rPr>
            </w:pPr>
            <w:r>
              <w:rPr>
                <w:rFonts w:eastAsia="Verdana" w:cs="Verdana"/>
                <w:sz w:val="16"/>
                <w:szCs w:val="16"/>
              </w:rPr>
              <w:t>10-0001</w:t>
            </w:r>
          </w:p>
        </w:tc>
        <w:tc>
          <w:tcPr>
            <w:tcW w:w="1204"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330603F"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center"/>
              <w:rPr>
                <w:bCs/>
                <w:sz w:val="16"/>
                <w:szCs w:val="16"/>
              </w:rPr>
            </w:pPr>
            <w:r>
              <w:rPr>
                <w:rFonts w:eastAsia="Verdana" w:cs="Verdana"/>
                <w:sz w:val="16"/>
                <w:szCs w:val="16"/>
              </w:rPr>
              <w:t>Duties</w:t>
            </w:r>
          </w:p>
        </w:tc>
        <w:tc>
          <w:tcPr>
            <w:tcW w:w="198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1E9324C"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center"/>
              <w:rPr>
                <w:rFonts w:eastAsia="Verdana" w:cs="Verdana"/>
                <w:sz w:val="16"/>
                <w:szCs w:val="16"/>
              </w:rPr>
            </w:pPr>
            <w:r>
              <w:rPr>
                <w:rFonts w:eastAsia="Verdana" w:cs="Verdana"/>
                <w:sz w:val="16"/>
                <w:szCs w:val="16"/>
              </w:rPr>
              <w:t>17.09.2011</w:t>
            </w:r>
          </w:p>
          <w:p w14:paraId="6A3B462E"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center"/>
              <w:rPr>
                <w:bCs/>
                <w:sz w:val="16"/>
                <w:szCs w:val="16"/>
              </w:rPr>
            </w:pPr>
            <w:r>
              <w:rPr>
                <w:rFonts w:eastAsia="Verdana" w:cs="Verdana"/>
                <w:sz w:val="16"/>
                <w:szCs w:val="16"/>
              </w:rPr>
              <w:t>Gazette, 2011 No. 54 of 17.09.2011</w:t>
            </w:r>
          </w:p>
        </w:tc>
        <w:tc>
          <w:tcPr>
            <w:tcW w:w="1915" w:type="dxa"/>
            <w:tcBorders>
              <w:top w:val="single" w:sz="4" w:space="0" w:color="auto"/>
              <w:left w:val="single" w:sz="4" w:space="0" w:color="auto"/>
              <w:bottom w:val="single" w:sz="4" w:space="0" w:color="auto"/>
              <w:right w:val="double" w:sz="6" w:space="0" w:color="auto"/>
              <w:tl2br w:val="nil"/>
              <w:tr2bl w:val="nil"/>
            </w:tcBorders>
            <w:shd w:val="clear" w:color="auto" w:fill="auto"/>
          </w:tcPr>
          <w:p w14:paraId="7F0031DE"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center"/>
              <w:rPr>
                <w:rFonts w:eastAsia="Verdana" w:cs="Verdana"/>
                <w:sz w:val="16"/>
                <w:szCs w:val="16"/>
              </w:rPr>
            </w:pPr>
            <w:r>
              <w:rPr>
                <w:rFonts w:eastAsia="Verdana" w:cs="Verdana"/>
                <w:sz w:val="16"/>
                <w:szCs w:val="16"/>
              </w:rPr>
              <w:t>15.09.2017</w:t>
            </w:r>
          </w:p>
          <w:p w14:paraId="45861CB7"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center"/>
              <w:rPr>
                <w:bCs/>
                <w:sz w:val="16"/>
                <w:szCs w:val="16"/>
              </w:rPr>
            </w:pPr>
            <w:r>
              <w:rPr>
                <w:rFonts w:eastAsia="Verdana" w:cs="Verdana"/>
                <w:sz w:val="16"/>
                <w:szCs w:val="16"/>
              </w:rPr>
              <w:t>Gazette, 2017 No. 38 of 15.09.2017</w:t>
            </w:r>
          </w:p>
        </w:tc>
      </w:tr>
      <w:tr w:rsidR="001E4498" w14:paraId="04F18FF7" w14:textId="77777777">
        <w:tc>
          <w:tcPr>
            <w:tcW w:w="1709" w:type="dxa"/>
            <w:tcBorders>
              <w:top w:val="single" w:sz="4" w:space="0" w:color="auto"/>
              <w:left w:val="double" w:sz="6" w:space="0" w:color="auto"/>
              <w:bottom w:val="single" w:sz="4" w:space="0" w:color="auto"/>
              <w:right w:val="single" w:sz="4" w:space="0" w:color="auto"/>
              <w:tl2br w:val="nil"/>
              <w:tr2bl w:val="nil"/>
            </w:tcBorders>
            <w:shd w:val="clear" w:color="auto" w:fill="auto"/>
          </w:tcPr>
          <w:p w14:paraId="70CE7D2E"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left"/>
              <w:rPr>
                <w:bCs/>
                <w:sz w:val="16"/>
                <w:szCs w:val="16"/>
              </w:rPr>
            </w:pPr>
            <w:r>
              <w:rPr>
                <w:rFonts w:eastAsia="Verdana" w:cs="Verdana"/>
                <w:sz w:val="16"/>
                <w:szCs w:val="16"/>
              </w:rPr>
              <w:t>India</w:t>
            </w:r>
          </w:p>
        </w:tc>
        <w:tc>
          <w:tcPr>
            <w:tcW w:w="2167"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CA55242"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left"/>
              <w:rPr>
                <w:rFonts w:eastAsia="Verdana" w:cs="Verdana"/>
                <w:sz w:val="16"/>
                <w:szCs w:val="16"/>
              </w:rPr>
            </w:pPr>
            <w:r>
              <w:rPr>
                <w:rFonts w:eastAsia="Verdana" w:cs="Verdana"/>
                <w:sz w:val="16"/>
                <w:szCs w:val="16"/>
              </w:rPr>
              <w:t>Ortho chloro para nitroaniline</w:t>
            </w:r>
          </w:p>
          <w:p w14:paraId="2D519441"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left"/>
              <w:rPr>
                <w:bCs/>
                <w:sz w:val="16"/>
                <w:szCs w:val="16"/>
              </w:rPr>
            </w:pPr>
            <w:r>
              <w:rPr>
                <w:rFonts w:eastAsia="Verdana" w:cs="Verdana"/>
                <w:sz w:val="16"/>
                <w:szCs w:val="16"/>
              </w:rPr>
              <w:t>17-0001</w:t>
            </w:r>
          </w:p>
        </w:tc>
        <w:tc>
          <w:tcPr>
            <w:tcW w:w="1204"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DB15922"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center"/>
              <w:rPr>
                <w:bCs/>
                <w:sz w:val="16"/>
                <w:szCs w:val="16"/>
              </w:rPr>
            </w:pPr>
            <w:r>
              <w:rPr>
                <w:rFonts w:eastAsia="Verdana" w:cs="Verdana"/>
                <w:sz w:val="16"/>
                <w:szCs w:val="16"/>
              </w:rPr>
              <w:t>Duties</w:t>
            </w:r>
          </w:p>
        </w:tc>
        <w:tc>
          <w:tcPr>
            <w:tcW w:w="198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7B526D3"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center"/>
              <w:rPr>
                <w:rFonts w:eastAsia="Verdana" w:cs="Verdana"/>
                <w:sz w:val="16"/>
                <w:szCs w:val="16"/>
              </w:rPr>
            </w:pPr>
            <w:r>
              <w:rPr>
                <w:rFonts w:eastAsia="Verdana" w:cs="Verdana"/>
                <w:sz w:val="16"/>
                <w:szCs w:val="16"/>
              </w:rPr>
              <w:t>13.02.2018</w:t>
            </w:r>
          </w:p>
          <w:p w14:paraId="4B9F2C57"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center"/>
              <w:rPr>
                <w:bCs/>
                <w:sz w:val="16"/>
                <w:szCs w:val="16"/>
              </w:rPr>
            </w:pPr>
            <w:r>
              <w:rPr>
                <w:rFonts w:eastAsia="Verdana" w:cs="Verdana"/>
                <w:sz w:val="16"/>
                <w:szCs w:val="16"/>
              </w:rPr>
              <w:t>Gazette, 2018 No. 18 of 13.02.2018</w:t>
            </w:r>
          </w:p>
        </w:tc>
        <w:tc>
          <w:tcPr>
            <w:tcW w:w="1915" w:type="dxa"/>
            <w:tcBorders>
              <w:top w:val="single" w:sz="4" w:space="0" w:color="auto"/>
              <w:left w:val="single" w:sz="4" w:space="0" w:color="auto"/>
              <w:bottom w:val="single" w:sz="4" w:space="0" w:color="auto"/>
              <w:right w:val="double" w:sz="6" w:space="0" w:color="auto"/>
              <w:tl2br w:val="nil"/>
              <w:tr2bl w:val="nil"/>
            </w:tcBorders>
            <w:shd w:val="clear" w:color="auto" w:fill="auto"/>
          </w:tcPr>
          <w:p w14:paraId="3474EE95"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center"/>
              <w:rPr>
                <w:bCs/>
                <w:sz w:val="16"/>
                <w:szCs w:val="16"/>
              </w:rPr>
            </w:pPr>
            <w:r>
              <w:rPr>
                <w:bCs/>
                <w:sz w:val="16"/>
                <w:szCs w:val="16"/>
              </w:rPr>
              <w:t>-</w:t>
            </w:r>
          </w:p>
        </w:tc>
      </w:tr>
      <w:tr w:rsidR="001E4498" w14:paraId="68E341B4" w14:textId="77777777">
        <w:tc>
          <w:tcPr>
            <w:tcW w:w="1709" w:type="dxa"/>
            <w:tcBorders>
              <w:top w:val="single" w:sz="4" w:space="0" w:color="auto"/>
              <w:left w:val="double" w:sz="6" w:space="0" w:color="auto"/>
              <w:bottom w:val="single" w:sz="4" w:space="0" w:color="auto"/>
              <w:right w:val="single" w:sz="4" w:space="0" w:color="auto"/>
              <w:tl2br w:val="nil"/>
              <w:tr2bl w:val="nil"/>
            </w:tcBorders>
            <w:shd w:val="clear" w:color="auto" w:fill="auto"/>
          </w:tcPr>
          <w:p w14:paraId="422CB54C"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left"/>
              <w:rPr>
                <w:bCs/>
                <w:sz w:val="16"/>
                <w:szCs w:val="16"/>
              </w:rPr>
            </w:pPr>
            <w:r>
              <w:rPr>
                <w:rFonts w:eastAsia="Verdana" w:cs="Verdana"/>
                <w:sz w:val="16"/>
                <w:szCs w:val="16"/>
              </w:rPr>
              <w:t>United Kingdom</w:t>
            </w:r>
          </w:p>
        </w:tc>
        <w:tc>
          <w:tcPr>
            <w:tcW w:w="2167"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833F1C9"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left"/>
              <w:rPr>
                <w:rFonts w:eastAsia="Verdana" w:cs="Verdana"/>
                <w:sz w:val="16"/>
                <w:szCs w:val="16"/>
              </w:rPr>
            </w:pPr>
            <w:r>
              <w:rPr>
                <w:rFonts w:eastAsia="Verdana" w:cs="Verdana"/>
                <w:sz w:val="16"/>
                <w:szCs w:val="16"/>
              </w:rPr>
              <w:t>Potato starch</w:t>
            </w:r>
          </w:p>
          <w:p w14:paraId="0BCF894F"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left"/>
              <w:rPr>
                <w:bCs/>
                <w:sz w:val="16"/>
                <w:szCs w:val="16"/>
              </w:rPr>
            </w:pPr>
            <w:r>
              <w:rPr>
                <w:rFonts w:eastAsia="Verdana" w:cs="Verdana"/>
                <w:sz w:val="16"/>
                <w:szCs w:val="16"/>
              </w:rPr>
              <w:t>10-0001-UK</w:t>
            </w:r>
            <w:r>
              <w:rPr>
                <w:rStyle w:val="FootnoteReference"/>
              </w:rPr>
              <w:footnoteReference w:id="6"/>
            </w:r>
          </w:p>
        </w:tc>
        <w:tc>
          <w:tcPr>
            <w:tcW w:w="1204"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D631994"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center"/>
              <w:rPr>
                <w:bCs/>
                <w:sz w:val="16"/>
                <w:szCs w:val="16"/>
              </w:rPr>
            </w:pPr>
            <w:r>
              <w:rPr>
                <w:rFonts w:eastAsia="Verdana" w:cs="Verdana"/>
                <w:sz w:val="16"/>
                <w:szCs w:val="16"/>
              </w:rPr>
              <w:t>Duties</w:t>
            </w:r>
          </w:p>
        </w:tc>
        <w:tc>
          <w:tcPr>
            <w:tcW w:w="198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DD92239"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center"/>
              <w:rPr>
                <w:rFonts w:eastAsia="Verdana" w:cs="Verdana"/>
                <w:sz w:val="16"/>
                <w:szCs w:val="16"/>
              </w:rPr>
            </w:pPr>
            <w:r>
              <w:rPr>
                <w:rFonts w:eastAsia="Verdana" w:cs="Verdana"/>
                <w:sz w:val="16"/>
                <w:szCs w:val="16"/>
              </w:rPr>
              <w:t>01.01.2021</w:t>
            </w:r>
          </w:p>
          <w:p w14:paraId="3E02CE48"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center"/>
              <w:rPr>
                <w:bCs/>
                <w:sz w:val="16"/>
                <w:szCs w:val="16"/>
              </w:rPr>
            </w:pPr>
            <w:r>
              <w:rPr>
                <w:rFonts w:eastAsia="Verdana" w:cs="Verdana"/>
                <w:sz w:val="16"/>
                <w:szCs w:val="16"/>
              </w:rPr>
              <w:t>Gazette, 2011 No. 54 of 01.01.2021</w:t>
            </w:r>
          </w:p>
        </w:tc>
        <w:tc>
          <w:tcPr>
            <w:tcW w:w="1915" w:type="dxa"/>
            <w:tcBorders>
              <w:top w:val="single" w:sz="4" w:space="0" w:color="auto"/>
              <w:left w:val="single" w:sz="4" w:space="0" w:color="auto"/>
              <w:bottom w:val="single" w:sz="4" w:space="0" w:color="auto"/>
              <w:right w:val="double" w:sz="6" w:space="0" w:color="auto"/>
              <w:tl2br w:val="nil"/>
              <w:tr2bl w:val="nil"/>
            </w:tcBorders>
            <w:shd w:val="clear" w:color="auto" w:fill="auto"/>
          </w:tcPr>
          <w:p w14:paraId="0CB07773"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center"/>
              <w:rPr>
                <w:bCs/>
                <w:sz w:val="16"/>
                <w:szCs w:val="16"/>
              </w:rPr>
            </w:pPr>
            <w:r>
              <w:rPr>
                <w:bCs/>
                <w:sz w:val="16"/>
                <w:szCs w:val="16"/>
              </w:rPr>
              <w:t>-</w:t>
            </w:r>
          </w:p>
        </w:tc>
      </w:tr>
      <w:tr w:rsidR="001E4498" w14:paraId="0E920FAE" w14:textId="77777777">
        <w:trPr>
          <w:trHeight w:val="624"/>
        </w:trPr>
        <w:tc>
          <w:tcPr>
            <w:tcW w:w="1709" w:type="dxa"/>
            <w:tcBorders>
              <w:top w:val="single" w:sz="4" w:space="0" w:color="auto"/>
              <w:left w:val="double" w:sz="6" w:space="0" w:color="auto"/>
              <w:bottom w:val="single" w:sz="4" w:space="0" w:color="FFFFFF" w:themeColor="background1"/>
              <w:right w:val="single" w:sz="4" w:space="0" w:color="auto"/>
              <w:tl2br w:val="nil"/>
              <w:tr2bl w:val="nil"/>
            </w:tcBorders>
            <w:shd w:val="clear" w:color="auto" w:fill="auto"/>
          </w:tcPr>
          <w:p w14:paraId="715C88CE"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left"/>
              <w:rPr>
                <w:bCs/>
                <w:sz w:val="16"/>
                <w:szCs w:val="16"/>
              </w:rPr>
            </w:pPr>
            <w:r>
              <w:rPr>
                <w:rFonts w:eastAsia="Verdana" w:cs="Verdana"/>
                <w:sz w:val="16"/>
                <w:szCs w:val="16"/>
              </w:rPr>
              <w:t>United States</w:t>
            </w:r>
          </w:p>
        </w:tc>
        <w:tc>
          <w:tcPr>
            <w:tcW w:w="2167" w:type="dxa"/>
            <w:tcBorders>
              <w:top w:val="single" w:sz="4" w:space="0" w:color="auto"/>
              <w:left w:val="single" w:sz="4" w:space="0" w:color="auto"/>
              <w:right w:val="single" w:sz="4" w:space="0" w:color="auto"/>
              <w:tl2br w:val="nil"/>
              <w:tr2bl w:val="nil"/>
            </w:tcBorders>
            <w:shd w:val="clear" w:color="auto" w:fill="auto"/>
          </w:tcPr>
          <w:p w14:paraId="05F92EB1"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left"/>
              <w:rPr>
                <w:rFonts w:eastAsia="Verdana" w:cs="Verdana"/>
                <w:sz w:val="16"/>
                <w:szCs w:val="16"/>
              </w:rPr>
            </w:pPr>
            <w:r>
              <w:rPr>
                <w:rFonts w:eastAsia="Verdana" w:cs="Verdana"/>
                <w:sz w:val="16"/>
                <w:szCs w:val="16"/>
              </w:rPr>
              <w:t>Solar-grade polysilicon</w:t>
            </w:r>
          </w:p>
          <w:p w14:paraId="4380E67C"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left"/>
              <w:rPr>
                <w:bCs/>
                <w:sz w:val="16"/>
                <w:szCs w:val="16"/>
              </w:rPr>
            </w:pPr>
            <w:r>
              <w:rPr>
                <w:rFonts w:eastAsia="Verdana" w:cs="Verdana"/>
                <w:sz w:val="16"/>
                <w:szCs w:val="16"/>
              </w:rPr>
              <w:t>12-0007</w:t>
            </w:r>
          </w:p>
        </w:tc>
        <w:tc>
          <w:tcPr>
            <w:tcW w:w="1204" w:type="dxa"/>
            <w:tcBorders>
              <w:top w:val="single" w:sz="4" w:space="0" w:color="auto"/>
              <w:left w:val="single" w:sz="4" w:space="0" w:color="auto"/>
              <w:right w:val="single" w:sz="4" w:space="0" w:color="auto"/>
              <w:tl2br w:val="nil"/>
              <w:tr2bl w:val="nil"/>
            </w:tcBorders>
            <w:shd w:val="clear" w:color="auto" w:fill="auto"/>
          </w:tcPr>
          <w:p w14:paraId="43170700"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center"/>
              <w:rPr>
                <w:bCs/>
                <w:sz w:val="16"/>
                <w:szCs w:val="16"/>
              </w:rPr>
            </w:pPr>
            <w:r>
              <w:rPr>
                <w:rFonts w:eastAsia="Verdana" w:cs="Verdana"/>
                <w:sz w:val="16"/>
                <w:szCs w:val="16"/>
              </w:rPr>
              <w:t>Duties</w:t>
            </w:r>
          </w:p>
        </w:tc>
        <w:tc>
          <w:tcPr>
            <w:tcW w:w="198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57470AD"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center"/>
              <w:rPr>
                <w:rFonts w:eastAsia="Verdana" w:cs="Verdana"/>
                <w:sz w:val="16"/>
                <w:szCs w:val="16"/>
              </w:rPr>
            </w:pPr>
            <w:r>
              <w:rPr>
                <w:rFonts w:eastAsia="Verdana" w:cs="Verdana"/>
                <w:sz w:val="16"/>
                <w:szCs w:val="16"/>
              </w:rPr>
              <w:t>20.01.2014</w:t>
            </w:r>
          </w:p>
          <w:p w14:paraId="3F138958"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center"/>
              <w:rPr>
                <w:bCs/>
                <w:sz w:val="16"/>
                <w:szCs w:val="16"/>
              </w:rPr>
            </w:pPr>
            <w:r>
              <w:rPr>
                <w:rFonts w:eastAsia="Verdana" w:cs="Verdana"/>
                <w:sz w:val="16"/>
                <w:szCs w:val="16"/>
              </w:rPr>
              <w:t>Gazette, 2014 No. 04 of 20.01.2014</w:t>
            </w:r>
          </w:p>
        </w:tc>
        <w:tc>
          <w:tcPr>
            <w:tcW w:w="1915" w:type="dxa"/>
            <w:tcBorders>
              <w:top w:val="single" w:sz="4" w:space="0" w:color="auto"/>
              <w:left w:val="single" w:sz="4" w:space="0" w:color="auto"/>
              <w:right w:val="double" w:sz="6" w:space="0" w:color="auto"/>
              <w:tl2br w:val="nil"/>
              <w:tr2bl w:val="nil"/>
            </w:tcBorders>
            <w:shd w:val="clear" w:color="auto" w:fill="auto"/>
          </w:tcPr>
          <w:p w14:paraId="6B88CF68"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center"/>
              <w:rPr>
                <w:rFonts w:eastAsia="Verdana" w:cs="Verdana"/>
                <w:sz w:val="16"/>
                <w:szCs w:val="16"/>
              </w:rPr>
            </w:pPr>
            <w:r>
              <w:rPr>
                <w:rFonts w:eastAsia="Verdana" w:cs="Verdana"/>
                <w:sz w:val="16"/>
                <w:szCs w:val="16"/>
              </w:rPr>
              <w:t>20.01.2020</w:t>
            </w:r>
          </w:p>
          <w:p w14:paraId="7A89ABD5"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center"/>
              <w:rPr>
                <w:bCs/>
                <w:sz w:val="16"/>
                <w:szCs w:val="16"/>
              </w:rPr>
            </w:pPr>
            <w:r>
              <w:rPr>
                <w:rFonts w:eastAsia="Verdana" w:cs="Verdana"/>
                <w:sz w:val="16"/>
                <w:szCs w:val="16"/>
              </w:rPr>
              <w:t>Gazette, 2020 No. 02 of 20.01.2020</w:t>
            </w:r>
          </w:p>
        </w:tc>
      </w:tr>
      <w:tr w:rsidR="001E4498" w14:paraId="319F0D6D" w14:textId="77777777">
        <w:tc>
          <w:tcPr>
            <w:tcW w:w="1709" w:type="dxa"/>
            <w:tcBorders>
              <w:top w:val="single" w:sz="4" w:space="0" w:color="FFFFFF" w:themeColor="background1"/>
              <w:left w:val="double" w:sz="6" w:space="0" w:color="auto"/>
              <w:bottom w:val="nil"/>
              <w:right w:val="single" w:sz="4" w:space="0" w:color="auto"/>
              <w:tl2br w:val="nil"/>
              <w:tr2bl w:val="nil"/>
            </w:tcBorders>
            <w:shd w:val="clear" w:color="auto" w:fill="auto"/>
          </w:tcPr>
          <w:p w14:paraId="14703F16" w14:textId="77777777" w:rsidR="001E4498" w:rsidRDefault="001E4498"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left"/>
              <w:rPr>
                <w:bCs/>
                <w:sz w:val="16"/>
                <w:szCs w:val="16"/>
              </w:rPr>
            </w:pPr>
          </w:p>
        </w:tc>
        <w:tc>
          <w:tcPr>
            <w:tcW w:w="2167"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130DD4D"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left"/>
              <w:rPr>
                <w:rFonts w:eastAsia="Verdana" w:cs="Verdana"/>
                <w:sz w:val="16"/>
                <w:szCs w:val="16"/>
              </w:rPr>
            </w:pPr>
            <w:r>
              <w:rPr>
                <w:rFonts w:eastAsia="Verdana" w:cs="Verdana"/>
                <w:sz w:val="16"/>
                <w:szCs w:val="16"/>
              </w:rPr>
              <w:t>Distillers dried grains with or without solubles</w:t>
            </w:r>
          </w:p>
          <w:p w14:paraId="3AA69031"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left"/>
              <w:rPr>
                <w:bCs/>
                <w:sz w:val="16"/>
                <w:szCs w:val="16"/>
              </w:rPr>
            </w:pPr>
            <w:r>
              <w:rPr>
                <w:rFonts w:eastAsia="Verdana" w:cs="Verdana"/>
                <w:sz w:val="16"/>
                <w:szCs w:val="16"/>
              </w:rPr>
              <w:t>16-0001</w:t>
            </w:r>
          </w:p>
        </w:tc>
        <w:tc>
          <w:tcPr>
            <w:tcW w:w="1204"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2F66AA4"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center"/>
              <w:rPr>
                <w:bCs/>
                <w:sz w:val="16"/>
                <w:szCs w:val="16"/>
              </w:rPr>
            </w:pPr>
            <w:r>
              <w:rPr>
                <w:rFonts w:eastAsia="Verdana" w:cs="Verdana"/>
                <w:sz w:val="16"/>
                <w:szCs w:val="16"/>
              </w:rPr>
              <w:t>Duties</w:t>
            </w:r>
          </w:p>
        </w:tc>
        <w:tc>
          <w:tcPr>
            <w:tcW w:w="198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265C9F4"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center"/>
              <w:rPr>
                <w:rFonts w:eastAsia="Verdana" w:cs="Verdana"/>
                <w:sz w:val="16"/>
                <w:szCs w:val="16"/>
              </w:rPr>
            </w:pPr>
            <w:r>
              <w:rPr>
                <w:rFonts w:eastAsia="Verdana" w:cs="Verdana"/>
                <w:sz w:val="16"/>
                <w:szCs w:val="16"/>
              </w:rPr>
              <w:t>12.01.2017</w:t>
            </w:r>
          </w:p>
          <w:p w14:paraId="76016E34"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center"/>
              <w:rPr>
                <w:bCs/>
                <w:sz w:val="16"/>
                <w:szCs w:val="16"/>
              </w:rPr>
            </w:pPr>
            <w:r>
              <w:rPr>
                <w:rFonts w:eastAsia="Verdana" w:cs="Verdana"/>
                <w:sz w:val="16"/>
                <w:szCs w:val="16"/>
              </w:rPr>
              <w:t>Gazette, 2016 No. 80 of 12.01.2017</w:t>
            </w:r>
          </w:p>
        </w:tc>
        <w:tc>
          <w:tcPr>
            <w:tcW w:w="1915" w:type="dxa"/>
            <w:tcBorders>
              <w:top w:val="single" w:sz="4" w:space="0" w:color="auto"/>
              <w:left w:val="single" w:sz="4" w:space="0" w:color="auto"/>
              <w:bottom w:val="single" w:sz="4" w:space="0" w:color="auto"/>
              <w:right w:val="double" w:sz="6" w:space="0" w:color="auto"/>
              <w:tl2br w:val="nil"/>
              <w:tr2bl w:val="nil"/>
            </w:tcBorders>
            <w:shd w:val="clear" w:color="auto" w:fill="auto"/>
          </w:tcPr>
          <w:p w14:paraId="2FEDB58E"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center"/>
              <w:rPr>
                <w:rFonts w:eastAsia="Verdana" w:cs="Verdana"/>
                <w:sz w:val="16"/>
                <w:szCs w:val="16"/>
              </w:rPr>
            </w:pPr>
            <w:r>
              <w:rPr>
                <w:rFonts w:eastAsia="Verdana" w:cs="Verdana"/>
                <w:sz w:val="16"/>
                <w:szCs w:val="16"/>
              </w:rPr>
              <w:t>12.01.2022*</w:t>
            </w:r>
          </w:p>
          <w:p w14:paraId="4D5ADB62" w14:textId="625903E3"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center"/>
              <w:rPr>
                <w:bCs/>
                <w:sz w:val="16"/>
                <w:szCs w:val="16"/>
              </w:rPr>
            </w:pPr>
            <w:r>
              <w:rPr>
                <w:rFonts w:eastAsia="Verdana" w:cs="Verdana"/>
                <w:sz w:val="16"/>
                <w:szCs w:val="16"/>
              </w:rPr>
              <w:t>Gazette</w:t>
            </w:r>
            <w:r w:rsidR="006E2156">
              <w:rPr>
                <w:rFonts w:eastAsia="Verdana" w:cs="Verdana"/>
                <w:sz w:val="16"/>
                <w:szCs w:val="16"/>
              </w:rPr>
              <w:t>,</w:t>
            </w:r>
            <w:r>
              <w:rPr>
                <w:rFonts w:eastAsia="Verdana" w:cs="Verdana"/>
                <w:sz w:val="16"/>
                <w:szCs w:val="16"/>
              </w:rPr>
              <w:t xml:space="preserve"> 2022 No. 06 of 11.01.2022</w:t>
            </w:r>
          </w:p>
        </w:tc>
      </w:tr>
      <w:tr w:rsidR="001E4498" w14:paraId="10A98737" w14:textId="77777777">
        <w:tc>
          <w:tcPr>
            <w:tcW w:w="1709" w:type="dxa"/>
            <w:tcBorders>
              <w:top w:val="nil"/>
              <w:left w:val="double" w:sz="6" w:space="0" w:color="auto"/>
              <w:bottom w:val="double" w:sz="6" w:space="0" w:color="auto"/>
              <w:right w:val="single" w:sz="4" w:space="0" w:color="auto"/>
              <w:tl2br w:val="nil"/>
              <w:tr2bl w:val="nil"/>
            </w:tcBorders>
            <w:shd w:val="clear" w:color="auto" w:fill="auto"/>
          </w:tcPr>
          <w:p w14:paraId="3DD2EBBC" w14:textId="77777777" w:rsidR="001E4498" w:rsidRDefault="001E4498"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left"/>
              <w:rPr>
                <w:bCs/>
                <w:sz w:val="16"/>
                <w:szCs w:val="16"/>
              </w:rPr>
            </w:pPr>
          </w:p>
        </w:tc>
        <w:tc>
          <w:tcPr>
            <w:tcW w:w="2167" w:type="dxa"/>
            <w:tcBorders>
              <w:top w:val="single" w:sz="4" w:space="0" w:color="auto"/>
              <w:left w:val="single" w:sz="4" w:space="0" w:color="auto"/>
              <w:bottom w:val="double" w:sz="6" w:space="0" w:color="auto"/>
              <w:right w:val="single" w:sz="4" w:space="0" w:color="auto"/>
              <w:tl2br w:val="nil"/>
              <w:tr2bl w:val="nil"/>
            </w:tcBorders>
            <w:shd w:val="clear" w:color="auto" w:fill="auto"/>
          </w:tcPr>
          <w:p w14:paraId="5FAA5CAB"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left"/>
              <w:rPr>
                <w:rFonts w:eastAsia="Verdana" w:cs="Verdana"/>
                <w:sz w:val="16"/>
                <w:szCs w:val="16"/>
              </w:rPr>
            </w:pPr>
            <w:r>
              <w:rPr>
                <w:rFonts w:eastAsia="Verdana" w:cs="Verdana"/>
                <w:sz w:val="16"/>
                <w:szCs w:val="16"/>
              </w:rPr>
              <w:t>n-Propanol (NPA)</w:t>
            </w:r>
          </w:p>
          <w:p w14:paraId="25B1F001"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left"/>
              <w:rPr>
                <w:bCs/>
                <w:sz w:val="16"/>
                <w:szCs w:val="16"/>
              </w:rPr>
            </w:pPr>
            <w:r>
              <w:rPr>
                <w:rFonts w:eastAsia="Verdana" w:cs="Verdana"/>
                <w:sz w:val="16"/>
                <w:szCs w:val="16"/>
              </w:rPr>
              <w:t>19-0001</w:t>
            </w:r>
          </w:p>
        </w:tc>
        <w:tc>
          <w:tcPr>
            <w:tcW w:w="1204" w:type="dxa"/>
            <w:tcBorders>
              <w:top w:val="single" w:sz="4" w:space="0" w:color="auto"/>
              <w:left w:val="single" w:sz="4" w:space="0" w:color="auto"/>
              <w:bottom w:val="double" w:sz="6" w:space="0" w:color="auto"/>
              <w:right w:val="single" w:sz="4" w:space="0" w:color="auto"/>
              <w:tl2br w:val="nil"/>
              <w:tr2bl w:val="nil"/>
            </w:tcBorders>
            <w:shd w:val="clear" w:color="auto" w:fill="auto"/>
          </w:tcPr>
          <w:p w14:paraId="36510EB6"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center"/>
              <w:rPr>
                <w:bCs/>
                <w:sz w:val="16"/>
                <w:szCs w:val="16"/>
              </w:rPr>
            </w:pPr>
            <w:r>
              <w:rPr>
                <w:rFonts w:eastAsia="Verdana" w:cs="Verdana"/>
                <w:sz w:val="16"/>
                <w:szCs w:val="16"/>
              </w:rPr>
              <w:t>Duties</w:t>
            </w:r>
          </w:p>
        </w:tc>
        <w:tc>
          <w:tcPr>
            <w:tcW w:w="1985" w:type="dxa"/>
            <w:tcBorders>
              <w:top w:val="single" w:sz="4" w:space="0" w:color="auto"/>
              <w:left w:val="single" w:sz="4" w:space="0" w:color="auto"/>
              <w:bottom w:val="double" w:sz="6" w:space="0" w:color="auto"/>
              <w:right w:val="single" w:sz="4" w:space="0" w:color="auto"/>
              <w:tl2br w:val="nil"/>
              <w:tr2bl w:val="nil"/>
            </w:tcBorders>
            <w:shd w:val="clear" w:color="auto" w:fill="auto"/>
          </w:tcPr>
          <w:p w14:paraId="5EAE265F"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center"/>
              <w:rPr>
                <w:rFonts w:eastAsia="Verdana" w:cs="Verdana"/>
                <w:sz w:val="16"/>
                <w:szCs w:val="16"/>
              </w:rPr>
            </w:pPr>
            <w:r>
              <w:rPr>
                <w:rFonts w:eastAsia="Verdana" w:cs="Verdana"/>
                <w:sz w:val="16"/>
                <w:szCs w:val="16"/>
              </w:rPr>
              <w:t>18.11.2020</w:t>
            </w:r>
          </w:p>
          <w:p w14:paraId="5A02E493"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center"/>
              <w:rPr>
                <w:bCs/>
                <w:sz w:val="16"/>
                <w:szCs w:val="16"/>
              </w:rPr>
            </w:pPr>
            <w:r>
              <w:rPr>
                <w:rFonts w:eastAsia="Verdana" w:cs="Verdana"/>
                <w:sz w:val="16"/>
                <w:szCs w:val="16"/>
              </w:rPr>
              <w:t>Gazette, 2020 No. 47 of 17.11.2020</w:t>
            </w:r>
          </w:p>
        </w:tc>
        <w:tc>
          <w:tcPr>
            <w:tcW w:w="1915" w:type="dxa"/>
            <w:tcBorders>
              <w:top w:val="single" w:sz="4" w:space="0" w:color="auto"/>
              <w:left w:val="single" w:sz="4" w:space="0" w:color="auto"/>
              <w:bottom w:val="double" w:sz="6" w:space="0" w:color="auto"/>
              <w:right w:val="double" w:sz="6" w:space="0" w:color="auto"/>
              <w:tl2br w:val="nil"/>
              <w:tr2bl w:val="nil"/>
            </w:tcBorders>
            <w:shd w:val="clear" w:color="auto" w:fill="auto"/>
          </w:tcPr>
          <w:p w14:paraId="3C07C1FB"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center"/>
              <w:rPr>
                <w:bCs/>
                <w:sz w:val="16"/>
                <w:szCs w:val="16"/>
              </w:rPr>
            </w:pPr>
            <w:r>
              <w:rPr>
                <w:bCs/>
                <w:sz w:val="16"/>
                <w:szCs w:val="16"/>
              </w:rPr>
              <w:t>-</w:t>
            </w:r>
          </w:p>
        </w:tc>
      </w:tr>
    </w:tbl>
    <w:p w14:paraId="57FB9FA5" w14:textId="6B28695C" w:rsidR="00E72622" w:rsidRDefault="00E72622" w:rsidP="00E72622">
      <w:pPr>
        <w:pStyle w:val="NoteText"/>
        <w:spacing w:before="120" w:after="0" w:line="240" w:lineRule="auto"/>
        <w:rPr>
          <w:rFonts w:ascii="Arial" w:eastAsia="Arial" w:hAnsi="Arial" w:cs="Arial"/>
          <w:sz w:val="20"/>
          <w:szCs w:val="20"/>
          <w:lang w:eastAsia="es-ES"/>
        </w:rPr>
      </w:pPr>
      <w:r>
        <w:t>(*) Duty extended pending outcome of the final findings of the Sunset Review investigation.</w:t>
      </w:r>
    </w:p>
    <w:p w14:paraId="02B37849" w14:textId="77777777" w:rsidR="001E4498" w:rsidRDefault="001E4498" w:rsidP="005455F2">
      <w:pPr>
        <w:spacing w:after="120" w:line="240" w:lineRule="auto"/>
      </w:pPr>
    </w:p>
    <w:p w14:paraId="3A1A3D0C" w14:textId="77777777" w:rsidR="001E4498" w:rsidRDefault="00BD1AA3" w:rsidP="005455F2">
      <w:pPr>
        <w:pStyle w:val="Title2"/>
        <w:spacing w:line="240" w:lineRule="auto"/>
      </w:pPr>
      <w:r>
        <w:t>TERMINATION OF MEASURES DURING THE PERIOD</w:t>
      </w:r>
      <w:r>
        <w:br/>
        <w:t>1 January THROUGH 30 June 2022</w:t>
      </w:r>
    </w:p>
    <w:tbl>
      <w:tblPr>
        <w:tblW w:w="5000" w:type="pct"/>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45"/>
        <w:gridCol w:w="2400"/>
        <w:gridCol w:w="2252"/>
        <w:gridCol w:w="2083"/>
      </w:tblGrid>
      <w:tr w:rsidR="001E4498" w14:paraId="36A1DC98" w14:textId="77777777" w:rsidTr="003D71FD">
        <w:tc>
          <w:tcPr>
            <w:tcW w:w="2261" w:type="dxa"/>
            <w:tcBorders>
              <w:top w:val="double" w:sz="6" w:space="0" w:color="auto"/>
              <w:bottom w:val="single" w:sz="4" w:space="0" w:color="auto"/>
            </w:tcBorders>
            <w:shd w:val="clear" w:color="auto" w:fill="auto"/>
          </w:tcPr>
          <w:p w14:paraId="1BA4B581"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center"/>
              <w:rPr>
                <w:b/>
                <w:sz w:val="16"/>
              </w:rPr>
            </w:pPr>
            <w:r>
              <w:rPr>
                <w:b/>
                <w:sz w:val="16"/>
              </w:rPr>
              <w:t>Country/Customs Territory</w:t>
            </w:r>
          </w:p>
        </w:tc>
        <w:tc>
          <w:tcPr>
            <w:tcW w:w="2417" w:type="dxa"/>
            <w:tcBorders>
              <w:top w:val="double" w:sz="6" w:space="0" w:color="auto"/>
              <w:bottom w:val="single" w:sz="4" w:space="0" w:color="auto"/>
            </w:tcBorders>
            <w:shd w:val="clear" w:color="auto" w:fill="auto"/>
          </w:tcPr>
          <w:p w14:paraId="18D3CC90"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center"/>
              <w:rPr>
                <w:b/>
                <w:sz w:val="16"/>
              </w:rPr>
            </w:pPr>
            <w:r>
              <w:rPr>
                <w:b/>
                <w:sz w:val="16"/>
              </w:rPr>
              <w:t>Product,</w:t>
            </w:r>
          </w:p>
          <w:p w14:paraId="105B7AB8"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center"/>
              <w:rPr>
                <w:b/>
                <w:sz w:val="16"/>
              </w:rPr>
            </w:pPr>
            <w:r>
              <w:rPr>
                <w:b/>
                <w:sz w:val="16"/>
              </w:rPr>
              <w:t>investigation ID number</w:t>
            </w:r>
          </w:p>
        </w:tc>
        <w:tc>
          <w:tcPr>
            <w:tcW w:w="2268" w:type="dxa"/>
            <w:tcBorders>
              <w:top w:val="double" w:sz="6" w:space="0" w:color="auto"/>
              <w:bottom w:val="single" w:sz="4" w:space="0" w:color="auto"/>
            </w:tcBorders>
            <w:shd w:val="clear" w:color="auto" w:fill="auto"/>
          </w:tcPr>
          <w:p w14:paraId="207FA67C"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center"/>
              <w:rPr>
                <w:b/>
                <w:sz w:val="16"/>
              </w:rPr>
            </w:pPr>
            <w:r>
              <w:rPr>
                <w:b/>
                <w:sz w:val="16"/>
              </w:rPr>
              <w:t>Date of termination</w:t>
            </w:r>
          </w:p>
        </w:tc>
        <w:tc>
          <w:tcPr>
            <w:tcW w:w="2098" w:type="dxa"/>
            <w:tcBorders>
              <w:top w:val="double" w:sz="6" w:space="0" w:color="auto"/>
              <w:bottom w:val="single" w:sz="4" w:space="0" w:color="auto"/>
            </w:tcBorders>
            <w:shd w:val="clear" w:color="auto" w:fill="auto"/>
          </w:tcPr>
          <w:p w14:paraId="5C229B04"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after="0" w:line="240" w:lineRule="auto"/>
              <w:jc w:val="center"/>
              <w:rPr>
                <w:b/>
                <w:sz w:val="16"/>
              </w:rPr>
            </w:pPr>
            <w:r>
              <w:rPr>
                <w:b/>
                <w:sz w:val="16"/>
              </w:rPr>
              <w:t>Reason for termination</w:t>
            </w:r>
          </w:p>
        </w:tc>
      </w:tr>
      <w:tr w:rsidR="001E4498" w14:paraId="46C7A862" w14:textId="77777777" w:rsidTr="003D71FD">
        <w:tc>
          <w:tcPr>
            <w:tcW w:w="9044" w:type="dxa"/>
            <w:gridSpan w:val="4"/>
            <w:tcBorders>
              <w:top w:val="single" w:sz="4" w:space="0" w:color="auto"/>
              <w:bottom w:val="double" w:sz="6" w:space="0" w:color="auto"/>
            </w:tcBorders>
            <w:shd w:val="clear" w:color="auto" w:fill="auto"/>
          </w:tcPr>
          <w:p w14:paraId="7A987B85" w14:textId="77777777" w:rsidR="001E4498" w:rsidRDefault="00BD1AA3" w:rsidP="005455F2">
            <w:pPr>
              <w:tabs>
                <w:tab w:val="left" w:pos="-1440"/>
                <w:tab w:val="left" w:pos="-720"/>
                <w:tab w:val="left" w:pos="0"/>
                <w:tab w:val="left" w:pos="1440"/>
                <w:tab w:val="left" w:pos="2160"/>
                <w:tab w:val="left" w:pos="2880"/>
                <w:tab w:val="left" w:pos="3600"/>
                <w:tab w:val="left" w:pos="4320"/>
                <w:tab w:val="left" w:pos="5022"/>
                <w:tab w:val="left" w:pos="5760"/>
              </w:tabs>
              <w:suppressAutoHyphens/>
              <w:spacing w:before="120" w:after="120" w:line="240" w:lineRule="auto"/>
              <w:jc w:val="center"/>
              <w:rPr>
                <w:rFonts w:eastAsia="Times New Roman"/>
                <w:bCs/>
                <w:sz w:val="16"/>
                <w:szCs w:val="16"/>
              </w:rPr>
            </w:pPr>
            <w:r>
              <w:rPr>
                <w:bCs/>
                <w:sz w:val="16"/>
              </w:rPr>
              <w:t>NIL</w:t>
            </w:r>
          </w:p>
        </w:tc>
      </w:tr>
    </w:tbl>
    <w:p w14:paraId="7493963C" w14:textId="77777777" w:rsidR="001E4498" w:rsidRDefault="001E4498" w:rsidP="005455F2">
      <w:pPr>
        <w:spacing w:line="240" w:lineRule="auto"/>
        <w:rPr>
          <w:lang w:eastAsia="en-GB"/>
        </w:rPr>
      </w:pPr>
    </w:p>
    <w:p w14:paraId="5CF76572" w14:textId="77777777" w:rsidR="001E4498" w:rsidRDefault="00BD1AA3" w:rsidP="005455F2">
      <w:pPr>
        <w:spacing w:line="240" w:lineRule="auto"/>
        <w:jc w:val="center"/>
        <w:rPr>
          <w:b/>
          <w:lang w:eastAsia="en-GB"/>
        </w:rPr>
      </w:pPr>
      <w:r>
        <w:rPr>
          <w:b/>
          <w:lang w:eastAsia="en-GB"/>
        </w:rPr>
        <w:t>__________</w:t>
      </w:r>
    </w:p>
    <w:sectPr w:rsidR="001E4498" w:rsidSect="002B5749">
      <w:headerReference w:type="even" r:id="rId19"/>
      <w:headerReference w:type="default" r:id="rId20"/>
      <w:headerReference w:type="first" r:id="rId21"/>
      <w:footnotePr>
        <w:numRestart w:val="eachSect"/>
      </w:footnotePr>
      <w:pgSz w:w="11906" w:h="16838"/>
      <w:pgMar w:top="1701"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E">
      <wne:acd wne:acdName="acd0"/>
    </wne:keymap>
    <wne:keymap wne:kcmPrimary="0650">
      <wne:fci wne:fciName="FormatParagraph" wne:swArg="0000"/>
    </wne:keymap>
    <wne:keymap wne:kcmPrimary="0678">
      <wne:acd wne:acdName="acd1"/>
    </wne:keymap>
    <wne:keymap wne:kcmPrimary="0679">
      <wne:acd wne:acdName="acd2"/>
    </wne:keymap>
    <wne:keymap wne:kcmPrimary="067A">
      <wne:acd wne:acdName="acd3"/>
    </wne:keymap>
    <wne:keymap wne:kcmPrimary="067B">
      <wne:acd wne:acdName="acd4"/>
    </wne:keymap>
  </wne:keymaps>
  <wne:toolbars>
    <wne:acdManifest>
      <wne:acdEntry wne:acdName="acd0"/>
      <wne:acdEntry wne:acdName="acd1"/>
      <wne:acdEntry wne:acdName="acd2"/>
      <wne:acdEntry wne:acdName="acd3"/>
      <wne:acdEntry wne:acdName="acd4"/>
    </wne:acdManifest>
  </wne:toolbars>
  <wne:acds>
    <wne:acd wne:argValue="AQAAAAAA" wne:acdName="acd0" wne:fciIndexBasedOn="0065"/>
    <wne:acd wne:argValue="AQAAAD4A" wne:acdName="acd1" wne:fciIndexBasedOn="0065"/>
    <wne:acd wne:argValue="AgBUAGkAdABsAGUAIAAyAA==" wne:acdName="acd2" wne:fciIndexBasedOn="0065"/>
    <wne:acd wne:argValue="AgBUAGkAdABsAGUAIAAzAA==" wne:acdName="acd3" wne:fciIndexBasedOn="0065"/>
    <wne:acd wne:argValue="AgBUAGkAdABsAGUAIABDAG8AdQBuAHQAcgB5A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F322A" w14:textId="77777777" w:rsidR="000E0363" w:rsidRDefault="000E0363">
      <w:pPr>
        <w:spacing w:after="0" w:line="240" w:lineRule="auto"/>
      </w:pPr>
      <w:r>
        <w:separator/>
      </w:r>
    </w:p>
  </w:endnote>
  <w:endnote w:type="continuationSeparator" w:id="0">
    <w:p w14:paraId="459ADC2E" w14:textId="77777777" w:rsidR="000E0363" w:rsidRDefault="000E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87E5" w14:textId="5B39CEC2" w:rsidR="001E4498" w:rsidRDefault="002B5749" w:rsidP="002B5749">
    <w:pPr>
      <w:pStyle w:val="Footer"/>
      <w:spacing w:line="240" w:lineRule="auto"/>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BFC82" w14:textId="77B85A41" w:rsidR="001E4498" w:rsidRDefault="002B5749" w:rsidP="002B5749">
    <w:pPr>
      <w:pStyle w:val="Footer"/>
      <w:spacing w:line="240" w:lineRule="auto"/>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252C" w14:textId="0EB6C467" w:rsidR="001E4498" w:rsidRPr="002B5749" w:rsidRDefault="002B5749" w:rsidP="002B5749">
    <w:pPr>
      <w:pStyle w:val="Footer"/>
      <w:spacing w:line="240" w:lineRule="auto"/>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B5D7B" w14:textId="77777777" w:rsidR="000E0363" w:rsidRDefault="000E0363" w:rsidP="002660EE">
      <w:pPr>
        <w:spacing w:after="0" w:line="240" w:lineRule="auto"/>
      </w:pPr>
      <w:r>
        <w:separator/>
      </w:r>
    </w:p>
  </w:footnote>
  <w:footnote w:type="continuationSeparator" w:id="0">
    <w:p w14:paraId="574E886E" w14:textId="77777777" w:rsidR="000E0363" w:rsidRDefault="000E0363">
      <w:r>
        <w:continuationSeparator/>
      </w:r>
    </w:p>
  </w:footnote>
  <w:footnote w:id="1">
    <w:p w14:paraId="313657F4" w14:textId="0446B65E" w:rsidR="001E4498" w:rsidRPr="006E2156" w:rsidRDefault="00BD1AA3" w:rsidP="002B5749">
      <w:pPr>
        <w:pStyle w:val="FootnoteText"/>
        <w:spacing w:after="0" w:line="240" w:lineRule="auto"/>
      </w:pPr>
      <w:r w:rsidRPr="005455F2">
        <w:rPr>
          <w:rStyle w:val="FootnoteReference"/>
        </w:rPr>
        <w:footnoteRef/>
      </w:r>
      <w:r w:rsidRPr="005455F2">
        <w:rPr>
          <w:rStyle w:val="FootnoteReference"/>
        </w:rPr>
        <w:t xml:space="preserve"> </w:t>
      </w:r>
      <w:r w:rsidRPr="005455F2">
        <w:t xml:space="preserve">Website address where published reports on investigations are available: </w:t>
      </w:r>
      <w:hyperlink r:id="rId1" w:history="1">
        <w:r w:rsidRPr="005455F2">
          <w:rPr>
            <w:rStyle w:val="Hyperlink"/>
          </w:rPr>
          <w:t>http://cacs.mofcom.gov.cn/index.shtml</w:t>
        </w:r>
      </w:hyperlink>
      <w:r w:rsidRPr="005455F2">
        <w:t>.</w:t>
      </w:r>
    </w:p>
  </w:footnote>
  <w:footnote w:id="2">
    <w:p w14:paraId="0CD8E676" w14:textId="77777777" w:rsidR="001E4498" w:rsidRDefault="00BD1AA3" w:rsidP="002B5749">
      <w:pPr>
        <w:pStyle w:val="FootnoteText"/>
        <w:spacing w:after="0" w:line="240" w:lineRule="auto"/>
      </w:pPr>
      <w:r>
        <w:rPr>
          <w:rStyle w:val="FootnoteReference"/>
        </w:rPr>
        <w:footnoteRef/>
      </w:r>
      <w:r>
        <w:t xml:space="preserve"> All terms and column headings used in this format have the meanings assigned to them in the instructions.</w:t>
      </w:r>
    </w:p>
  </w:footnote>
  <w:footnote w:id="3">
    <w:p w14:paraId="780E06E5" w14:textId="77777777" w:rsidR="001E4498" w:rsidRDefault="00BD1AA3" w:rsidP="002B5749">
      <w:pPr>
        <w:pStyle w:val="FootnoteText"/>
        <w:spacing w:after="0" w:line="240" w:lineRule="auto"/>
      </w:pPr>
      <w:r>
        <w:rPr>
          <w:rStyle w:val="FootnoteReference"/>
        </w:rPr>
        <w:footnoteRef/>
      </w:r>
      <w:r>
        <w:t xml:space="preserve"> For reference purposes only.</w:t>
      </w:r>
    </w:p>
  </w:footnote>
  <w:footnote w:id="4">
    <w:p w14:paraId="4D2B6AB7" w14:textId="78E52F24" w:rsidR="00302CE0" w:rsidRDefault="00302CE0">
      <w:pPr>
        <w:pStyle w:val="FootnoteText"/>
      </w:pPr>
      <w:r>
        <w:rPr>
          <w:rStyle w:val="FootnoteReference"/>
        </w:rPr>
        <w:footnoteRef/>
      </w:r>
      <w:r>
        <w:t xml:space="preserve"> </w:t>
      </w:r>
      <w:r w:rsidRPr="00302CE0">
        <w:t>According to Customs Import and Export Tariff of People's Republic of China (2022), the HS Code of the investigated product should be adjusted into 39072990</w:t>
      </w:r>
      <w:r>
        <w:t>.</w:t>
      </w:r>
    </w:p>
  </w:footnote>
  <w:footnote w:id="5">
    <w:p w14:paraId="15A9BB23" w14:textId="34039D07" w:rsidR="001E4498" w:rsidRDefault="00BD1AA3" w:rsidP="006E2156">
      <w:pPr>
        <w:pStyle w:val="FootnoteText"/>
        <w:spacing w:after="0" w:line="240" w:lineRule="auto"/>
      </w:pPr>
      <w:r>
        <w:rPr>
          <w:rStyle w:val="FootnoteReference"/>
        </w:rPr>
        <w:footnoteRef/>
      </w:r>
      <w:r>
        <w:rPr>
          <w:vertAlign w:val="superscript"/>
        </w:rPr>
        <w:t xml:space="preserve"> </w:t>
      </w:r>
      <w:r>
        <w:t xml:space="preserve">European Union (27 </w:t>
      </w:r>
      <w:r w:rsidR="00E72622">
        <w:t>member States</w:t>
      </w:r>
      <w:r>
        <w:t>).</w:t>
      </w:r>
    </w:p>
  </w:footnote>
  <w:footnote w:id="6">
    <w:p w14:paraId="2B7CDA39" w14:textId="5EED68C8" w:rsidR="001E4498" w:rsidRDefault="00BD1AA3" w:rsidP="006E2156">
      <w:pPr>
        <w:pStyle w:val="FootnoteText"/>
        <w:spacing w:after="0" w:line="240" w:lineRule="auto"/>
      </w:pPr>
      <w:r>
        <w:rPr>
          <w:rStyle w:val="FootnoteReference"/>
        </w:rPr>
        <w:footnoteRef/>
      </w:r>
      <w:r>
        <w:t xml:space="preserve"> According to the Public Notice of the Ministry of Commerce of the People's Republic of China (Gazette 2021 No. 03), the trade remedy measures applied to the European Union before 31</w:t>
      </w:r>
      <w:r w:rsidR="00C15E42">
        <w:t xml:space="preserve"> December </w:t>
      </w:r>
      <w:r>
        <w:t>2020 would continue to apply to the United Kingdom with the implementation period unchanged.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68B4" w14:textId="77777777" w:rsidR="002B5749" w:rsidRPr="002B5749" w:rsidRDefault="002B5749" w:rsidP="002B5749">
    <w:pPr>
      <w:pStyle w:val="Header"/>
      <w:spacing w:after="240" w:line="240" w:lineRule="auto"/>
      <w:jc w:val="center"/>
    </w:pPr>
    <w:r w:rsidRPr="002B5749">
      <w:t>G/SCM/N/392/CHN</w:t>
    </w:r>
  </w:p>
  <w:p w14:paraId="4594ACEA" w14:textId="77777777" w:rsidR="002B5749" w:rsidRPr="002B5749" w:rsidRDefault="002B5749" w:rsidP="002B5749">
    <w:pPr>
      <w:pStyle w:val="Header"/>
      <w:pBdr>
        <w:bottom w:val="single" w:sz="4" w:space="1" w:color="auto"/>
      </w:pBdr>
      <w:spacing w:line="240" w:lineRule="auto"/>
      <w:jc w:val="center"/>
    </w:pPr>
    <w:r w:rsidRPr="002B5749">
      <w:t xml:space="preserve">- </w:t>
    </w:r>
    <w:r w:rsidRPr="002B5749">
      <w:fldChar w:fldCharType="begin"/>
    </w:r>
    <w:r w:rsidRPr="002B5749">
      <w:instrText xml:space="preserve"> PAGE  \* Arabic  \* MERGEFORMAT </w:instrText>
    </w:r>
    <w:r w:rsidRPr="002B5749">
      <w:fldChar w:fldCharType="separate"/>
    </w:r>
    <w:r w:rsidRPr="002B5749">
      <w:t>1</w:t>
    </w:r>
    <w:r w:rsidRPr="002B5749">
      <w:fldChar w:fldCharType="end"/>
    </w:r>
    <w:r w:rsidRPr="002B574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7CCC" w14:textId="77777777" w:rsidR="002B5749" w:rsidRPr="002B5749" w:rsidRDefault="002B5749" w:rsidP="002B5749">
    <w:pPr>
      <w:pStyle w:val="Header"/>
      <w:spacing w:after="240" w:line="240" w:lineRule="auto"/>
      <w:jc w:val="center"/>
    </w:pPr>
    <w:r w:rsidRPr="002B5749">
      <w:t>G/SCM/N/392/CHN</w:t>
    </w:r>
  </w:p>
  <w:p w14:paraId="572266CA" w14:textId="77777777" w:rsidR="002B5749" w:rsidRPr="002B5749" w:rsidRDefault="002B5749" w:rsidP="002B5749">
    <w:pPr>
      <w:pStyle w:val="Header"/>
      <w:pBdr>
        <w:bottom w:val="single" w:sz="4" w:space="1" w:color="auto"/>
      </w:pBdr>
      <w:spacing w:line="240" w:lineRule="auto"/>
      <w:jc w:val="center"/>
    </w:pPr>
    <w:r w:rsidRPr="002B5749">
      <w:t xml:space="preserve">- </w:t>
    </w:r>
    <w:r w:rsidRPr="002B5749">
      <w:fldChar w:fldCharType="begin"/>
    </w:r>
    <w:r w:rsidRPr="002B5749">
      <w:instrText xml:space="preserve"> PAGE  \* Arabic  \* MERGEFORMAT </w:instrText>
    </w:r>
    <w:r w:rsidRPr="002B5749">
      <w:fldChar w:fldCharType="separate"/>
    </w:r>
    <w:r w:rsidRPr="002B5749">
      <w:t>1</w:t>
    </w:r>
    <w:r w:rsidRPr="002B5749">
      <w:fldChar w:fldCharType="end"/>
    </w:r>
    <w:r w:rsidRPr="002B574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2B5749" w:rsidRPr="002B5749" w14:paraId="557806B5" w14:textId="77777777" w:rsidTr="002B5749">
      <w:trPr>
        <w:trHeight w:val="240"/>
        <w:jc w:val="center"/>
      </w:trPr>
      <w:tc>
        <w:tcPr>
          <w:tcW w:w="2053" w:type="pct"/>
          <w:shd w:val="clear" w:color="auto" w:fill="auto"/>
          <w:tcMar>
            <w:left w:w="108" w:type="dxa"/>
            <w:right w:w="108" w:type="dxa"/>
          </w:tcMar>
          <w:vAlign w:val="center"/>
        </w:tcPr>
        <w:p w14:paraId="3999F646" w14:textId="77777777" w:rsidR="002B5749" w:rsidRPr="002B5749" w:rsidRDefault="002B5749" w:rsidP="002B5749">
          <w:pPr>
            <w:spacing w:line="240" w:lineRule="auto"/>
            <w:rPr>
              <w:rFonts w:eastAsia="Verdana" w:cs="Verdana"/>
              <w:noProof/>
              <w:szCs w:val="18"/>
              <w:lang w:eastAsia="en-GB"/>
            </w:rPr>
          </w:pPr>
          <w:bookmarkStart w:id="1" w:name="bmkRestricted" w:colFirst="1" w:colLast="1"/>
          <w:bookmarkStart w:id="2" w:name="bmkMasthead"/>
        </w:p>
      </w:tc>
      <w:tc>
        <w:tcPr>
          <w:tcW w:w="2947" w:type="pct"/>
          <w:gridSpan w:val="2"/>
          <w:shd w:val="clear" w:color="auto" w:fill="auto"/>
          <w:tcMar>
            <w:left w:w="108" w:type="dxa"/>
            <w:right w:w="108" w:type="dxa"/>
          </w:tcMar>
          <w:vAlign w:val="center"/>
        </w:tcPr>
        <w:p w14:paraId="6289A47C" w14:textId="77777777" w:rsidR="002B5749" w:rsidRPr="002B5749" w:rsidRDefault="002B5749" w:rsidP="002B5749">
          <w:pPr>
            <w:spacing w:line="240" w:lineRule="auto"/>
            <w:jc w:val="right"/>
            <w:rPr>
              <w:rFonts w:eastAsia="Verdana" w:cs="Verdana"/>
              <w:b/>
              <w:color w:val="FF0000"/>
              <w:szCs w:val="18"/>
            </w:rPr>
          </w:pPr>
        </w:p>
      </w:tc>
    </w:tr>
    <w:tr w:rsidR="002B5749" w:rsidRPr="002B5749" w14:paraId="71139C5F" w14:textId="77777777" w:rsidTr="002B5749">
      <w:trPr>
        <w:trHeight w:val="213"/>
        <w:jc w:val="center"/>
      </w:trPr>
      <w:tc>
        <w:tcPr>
          <w:tcW w:w="2053" w:type="pct"/>
          <w:vMerge w:val="restart"/>
          <w:shd w:val="clear" w:color="auto" w:fill="auto"/>
          <w:tcMar>
            <w:left w:w="0" w:type="dxa"/>
            <w:right w:w="0" w:type="dxa"/>
          </w:tcMar>
        </w:tcPr>
        <w:p w14:paraId="78A6298A" w14:textId="0107FE9A" w:rsidR="002B5749" w:rsidRPr="002B5749" w:rsidRDefault="002B5749" w:rsidP="002B5749">
          <w:pPr>
            <w:spacing w:line="240" w:lineRule="auto"/>
            <w:jc w:val="left"/>
            <w:rPr>
              <w:rFonts w:eastAsia="Verdana" w:cs="Verdana"/>
              <w:szCs w:val="18"/>
            </w:rPr>
          </w:pPr>
          <w:bookmarkStart w:id="3" w:name="bmkLogo" w:colFirst="0" w:colLast="0"/>
          <w:bookmarkEnd w:id="1"/>
          <w:r w:rsidRPr="002B5749">
            <w:rPr>
              <w:rFonts w:eastAsia="Verdana" w:cs="Verdana"/>
              <w:noProof/>
              <w:szCs w:val="18"/>
            </w:rPr>
            <w:drawing>
              <wp:inline distT="0" distB="0" distL="0" distR="0" wp14:anchorId="2ABF1A3C" wp14:editId="5524FA77">
                <wp:extent cx="2415902" cy="720090"/>
                <wp:effectExtent l="0" t="0" r="3810" b="381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19948088" w14:textId="77777777" w:rsidR="002B5749" w:rsidRPr="002B5749" w:rsidRDefault="002B5749" w:rsidP="002B5749">
          <w:pPr>
            <w:spacing w:line="240" w:lineRule="auto"/>
            <w:jc w:val="right"/>
            <w:rPr>
              <w:rFonts w:eastAsia="Verdana" w:cs="Verdana"/>
              <w:b/>
              <w:szCs w:val="18"/>
            </w:rPr>
          </w:pPr>
        </w:p>
      </w:tc>
    </w:tr>
    <w:tr w:rsidR="002B5749" w:rsidRPr="002B5749" w14:paraId="6FFAC808" w14:textId="77777777" w:rsidTr="002B5749">
      <w:trPr>
        <w:trHeight w:val="868"/>
        <w:jc w:val="center"/>
      </w:trPr>
      <w:tc>
        <w:tcPr>
          <w:tcW w:w="2053" w:type="pct"/>
          <w:vMerge/>
          <w:shd w:val="clear" w:color="auto" w:fill="auto"/>
          <w:tcMar>
            <w:left w:w="108" w:type="dxa"/>
            <w:right w:w="108" w:type="dxa"/>
          </w:tcMar>
        </w:tcPr>
        <w:p w14:paraId="1862E6D8" w14:textId="77777777" w:rsidR="002B5749" w:rsidRPr="002B5749" w:rsidRDefault="002B5749" w:rsidP="002B5749">
          <w:pPr>
            <w:spacing w:line="240" w:lineRule="auto"/>
            <w:jc w:val="left"/>
            <w:rPr>
              <w:rFonts w:eastAsia="Verdana" w:cs="Verdana"/>
              <w:noProof/>
              <w:szCs w:val="18"/>
              <w:lang w:eastAsia="en-GB"/>
            </w:rPr>
          </w:pPr>
          <w:bookmarkStart w:id="4" w:name="bmkSymbols" w:colFirst="1" w:colLast="1"/>
          <w:bookmarkEnd w:id="3"/>
        </w:p>
      </w:tc>
      <w:tc>
        <w:tcPr>
          <w:tcW w:w="2947" w:type="pct"/>
          <w:gridSpan w:val="2"/>
          <w:shd w:val="clear" w:color="auto" w:fill="auto"/>
          <w:tcMar>
            <w:left w:w="108" w:type="dxa"/>
            <w:right w:w="108" w:type="dxa"/>
          </w:tcMar>
        </w:tcPr>
        <w:p w14:paraId="253EA98A" w14:textId="68B4FA29" w:rsidR="002B5749" w:rsidRPr="002B5749" w:rsidRDefault="002B5749" w:rsidP="002B5749">
          <w:pPr>
            <w:spacing w:line="240" w:lineRule="auto"/>
            <w:jc w:val="right"/>
            <w:rPr>
              <w:rFonts w:eastAsia="Verdana" w:cs="Verdana"/>
              <w:b/>
              <w:szCs w:val="18"/>
            </w:rPr>
          </w:pPr>
          <w:r w:rsidRPr="002B5749">
            <w:rPr>
              <w:b/>
              <w:szCs w:val="18"/>
            </w:rPr>
            <w:t>G/SCM/N/392/CHN</w:t>
          </w:r>
        </w:p>
      </w:tc>
    </w:tr>
    <w:tr w:rsidR="002B5749" w:rsidRPr="002B5749" w14:paraId="327DD060" w14:textId="77777777" w:rsidTr="002B5749">
      <w:trPr>
        <w:trHeight w:val="240"/>
        <w:jc w:val="center"/>
      </w:trPr>
      <w:tc>
        <w:tcPr>
          <w:tcW w:w="2053" w:type="pct"/>
          <w:vMerge/>
          <w:shd w:val="clear" w:color="auto" w:fill="auto"/>
          <w:tcMar>
            <w:left w:w="108" w:type="dxa"/>
            <w:right w:w="108" w:type="dxa"/>
          </w:tcMar>
          <w:vAlign w:val="center"/>
        </w:tcPr>
        <w:p w14:paraId="02D8BDE4" w14:textId="77777777" w:rsidR="002B5749" w:rsidRPr="002B5749" w:rsidRDefault="002B5749" w:rsidP="002B5749">
          <w:pPr>
            <w:spacing w:line="240" w:lineRule="auto"/>
            <w:rPr>
              <w:rFonts w:eastAsia="Verdana" w:cs="Verdana"/>
              <w:szCs w:val="18"/>
            </w:rPr>
          </w:pPr>
          <w:bookmarkStart w:id="5" w:name="bmkDate" w:colFirst="1" w:colLast="1"/>
          <w:bookmarkEnd w:id="4"/>
        </w:p>
      </w:tc>
      <w:tc>
        <w:tcPr>
          <w:tcW w:w="2947" w:type="pct"/>
          <w:gridSpan w:val="2"/>
          <w:shd w:val="clear" w:color="auto" w:fill="auto"/>
          <w:tcMar>
            <w:left w:w="108" w:type="dxa"/>
            <w:right w:w="108" w:type="dxa"/>
          </w:tcMar>
          <w:vAlign w:val="center"/>
        </w:tcPr>
        <w:p w14:paraId="4FF9855B" w14:textId="3B7F345D" w:rsidR="002B5749" w:rsidRPr="002B5749" w:rsidRDefault="00CE1DBB" w:rsidP="002B5749">
          <w:pPr>
            <w:spacing w:line="240" w:lineRule="auto"/>
            <w:jc w:val="right"/>
            <w:rPr>
              <w:rFonts w:eastAsia="Verdana" w:cs="Verdana"/>
              <w:szCs w:val="18"/>
            </w:rPr>
          </w:pPr>
          <w:r>
            <w:rPr>
              <w:rFonts w:eastAsia="Verdana" w:cs="Verdana"/>
              <w:szCs w:val="18"/>
            </w:rPr>
            <w:t>12 September</w:t>
          </w:r>
          <w:r w:rsidR="002B5749" w:rsidRPr="002B5749">
            <w:rPr>
              <w:rFonts w:eastAsia="Verdana" w:cs="Verdana"/>
              <w:szCs w:val="18"/>
            </w:rPr>
            <w:t> 2022</w:t>
          </w:r>
        </w:p>
      </w:tc>
    </w:tr>
    <w:tr w:rsidR="002B5749" w:rsidRPr="002B5749" w14:paraId="43574438" w14:textId="77777777" w:rsidTr="002B5749">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1FAFB4F7" w14:textId="71F2FC4B" w:rsidR="002B5749" w:rsidRPr="002B5749" w:rsidRDefault="002B5749" w:rsidP="002B5749">
          <w:pPr>
            <w:spacing w:line="240" w:lineRule="auto"/>
            <w:jc w:val="left"/>
            <w:rPr>
              <w:rFonts w:eastAsia="Verdana" w:cs="Verdana"/>
              <w:b/>
              <w:szCs w:val="18"/>
            </w:rPr>
          </w:pPr>
          <w:bookmarkStart w:id="6" w:name="bmkSerial" w:colFirst="0" w:colLast="0"/>
          <w:bookmarkStart w:id="7" w:name="bmkTotPages" w:colFirst="1" w:colLast="1"/>
          <w:bookmarkEnd w:id="5"/>
          <w:r w:rsidRPr="002B5749">
            <w:rPr>
              <w:rFonts w:eastAsia="Verdana" w:cs="Verdana"/>
              <w:color w:val="FF0000"/>
              <w:szCs w:val="18"/>
            </w:rPr>
            <w:t>(22</w:t>
          </w:r>
          <w:r w:rsidRPr="002B5749">
            <w:rPr>
              <w:rFonts w:eastAsia="Verdana" w:cs="Verdana"/>
              <w:color w:val="FF0000"/>
              <w:szCs w:val="18"/>
            </w:rPr>
            <w:noBreakHyphen/>
          </w:r>
          <w:r w:rsidR="004546B1">
            <w:rPr>
              <w:rFonts w:eastAsia="Verdana" w:cs="Verdana"/>
              <w:color w:val="FF0000"/>
              <w:szCs w:val="18"/>
            </w:rPr>
            <w:t>6714</w:t>
          </w:r>
          <w:r w:rsidRPr="002B5749">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32BE2326" w14:textId="471A5513" w:rsidR="002B5749" w:rsidRPr="002B5749" w:rsidRDefault="002B5749" w:rsidP="002B5749">
          <w:pPr>
            <w:spacing w:line="240" w:lineRule="auto"/>
            <w:jc w:val="right"/>
            <w:rPr>
              <w:rFonts w:eastAsia="Verdana" w:cs="Verdana"/>
              <w:szCs w:val="18"/>
            </w:rPr>
          </w:pPr>
          <w:r w:rsidRPr="002B5749">
            <w:rPr>
              <w:rFonts w:eastAsia="Verdana" w:cs="Verdana"/>
              <w:szCs w:val="18"/>
            </w:rPr>
            <w:t xml:space="preserve">Page: </w:t>
          </w:r>
          <w:r w:rsidRPr="002B5749">
            <w:rPr>
              <w:rFonts w:eastAsia="Verdana" w:cs="Verdana"/>
              <w:szCs w:val="18"/>
            </w:rPr>
            <w:fldChar w:fldCharType="begin"/>
          </w:r>
          <w:r w:rsidRPr="002B5749">
            <w:rPr>
              <w:rFonts w:eastAsia="Verdana" w:cs="Verdana"/>
              <w:szCs w:val="18"/>
            </w:rPr>
            <w:instrText xml:space="preserve"> PAGE  \* Arabic  \* MERGEFORMAT </w:instrText>
          </w:r>
          <w:r w:rsidRPr="002B5749">
            <w:rPr>
              <w:rFonts w:eastAsia="Verdana" w:cs="Verdana"/>
              <w:szCs w:val="18"/>
            </w:rPr>
            <w:fldChar w:fldCharType="separate"/>
          </w:r>
          <w:r w:rsidRPr="002B5749">
            <w:rPr>
              <w:rFonts w:eastAsia="Verdana" w:cs="Verdana"/>
              <w:noProof/>
              <w:szCs w:val="18"/>
            </w:rPr>
            <w:t>1</w:t>
          </w:r>
          <w:r w:rsidRPr="002B5749">
            <w:rPr>
              <w:rFonts w:eastAsia="Verdana" w:cs="Verdana"/>
              <w:szCs w:val="18"/>
            </w:rPr>
            <w:fldChar w:fldCharType="end"/>
          </w:r>
          <w:r w:rsidRPr="002B5749">
            <w:rPr>
              <w:rFonts w:eastAsia="Verdana" w:cs="Verdana"/>
              <w:szCs w:val="18"/>
            </w:rPr>
            <w:t>/</w:t>
          </w:r>
          <w:r w:rsidRPr="002B5749">
            <w:rPr>
              <w:rFonts w:eastAsia="Verdana" w:cs="Verdana"/>
              <w:szCs w:val="18"/>
            </w:rPr>
            <w:fldChar w:fldCharType="begin"/>
          </w:r>
          <w:r w:rsidRPr="002B5749">
            <w:rPr>
              <w:rFonts w:eastAsia="Verdana" w:cs="Verdana"/>
              <w:szCs w:val="18"/>
            </w:rPr>
            <w:instrText xml:space="preserve"> NUMPAGES  \# "0" \* Arabic  \* MERGEFORMAT </w:instrText>
          </w:r>
          <w:r w:rsidRPr="002B5749">
            <w:rPr>
              <w:rFonts w:eastAsia="Verdana" w:cs="Verdana"/>
              <w:szCs w:val="18"/>
            </w:rPr>
            <w:fldChar w:fldCharType="separate"/>
          </w:r>
          <w:r w:rsidRPr="002B5749">
            <w:rPr>
              <w:rFonts w:eastAsia="Verdana" w:cs="Verdana"/>
              <w:noProof/>
              <w:szCs w:val="18"/>
            </w:rPr>
            <w:t>13</w:t>
          </w:r>
          <w:r w:rsidRPr="002B5749">
            <w:rPr>
              <w:rFonts w:eastAsia="Verdana" w:cs="Verdana"/>
              <w:szCs w:val="18"/>
            </w:rPr>
            <w:fldChar w:fldCharType="end"/>
          </w:r>
        </w:p>
      </w:tc>
    </w:tr>
    <w:tr w:rsidR="002B5749" w:rsidRPr="002B5749" w14:paraId="42340515" w14:textId="77777777" w:rsidTr="002B5749">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05A81C98" w14:textId="77777777" w:rsidR="002B5749" w:rsidRPr="002B5749" w:rsidRDefault="002B5749" w:rsidP="002B5749">
          <w:pPr>
            <w:spacing w:after="0" w:line="240" w:lineRule="auto"/>
            <w:jc w:val="left"/>
            <w:rPr>
              <w:b/>
              <w:szCs w:val="18"/>
            </w:rPr>
          </w:pPr>
          <w:bookmarkStart w:id="8" w:name="bmkCommittee" w:colFirst="0" w:colLast="0"/>
          <w:bookmarkStart w:id="9" w:name="bmkLanguage" w:colFirst="1" w:colLast="1"/>
          <w:bookmarkEnd w:id="6"/>
          <w:bookmarkEnd w:id="7"/>
          <w:r w:rsidRPr="002B5749">
            <w:rPr>
              <w:b/>
              <w:szCs w:val="18"/>
            </w:rPr>
            <w:t xml:space="preserve">Committee on Subsidies and </w:t>
          </w:r>
        </w:p>
        <w:p w14:paraId="05E0E2E7" w14:textId="1D5D977D" w:rsidR="002B5749" w:rsidRPr="002B5749" w:rsidRDefault="002B5749" w:rsidP="002B5749">
          <w:pPr>
            <w:spacing w:after="0" w:line="240" w:lineRule="auto"/>
            <w:jc w:val="left"/>
            <w:rPr>
              <w:rFonts w:eastAsia="Verdana" w:cs="Verdana"/>
              <w:szCs w:val="18"/>
            </w:rPr>
          </w:pPr>
          <w:r w:rsidRPr="002B5749">
            <w:rPr>
              <w:b/>
              <w:szCs w:val="18"/>
            </w:rPr>
            <w:t>Countervailing Measures</w:t>
          </w:r>
        </w:p>
      </w:tc>
      <w:tc>
        <w:tcPr>
          <w:tcW w:w="1799" w:type="pct"/>
          <w:tcBorders>
            <w:top w:val="single" w:sz="4" w:space="0" w:color="auto"/>
          </w:tcBorders>
          <w:shd w:val="clear" w:color="auto" w:fill="auto"/>
          <w:tcMar>
            <w:top w:w="113" w:type="dxa"/>
            <w:left w:w="108" w:type="dxa"/>
            <w:bottom w:w="57" w:type="dxa"/>
            <w:right w:w="108" w:type="dxa"/>
          </w:tcMar>
        </w:tcPr>
        <w:p w14:paraId="1F6D6121" w14:textId="06A994C8" w:rsidR="002B5749" w:rsidRPr="002B5749" w:rsidRDefault="002B5749" w:rsidP="002B5749">
          <w:pPr>
            <w:spacing w:line="240" w:lineRule="auto"/>
            <w:jc w:val="right"/>
            <w:rPr>
              <w:rFonts w:eastAsia="Verdana" w:cs="Verdana"/>
              <w:bCs/>
              <w:szCs w:val="18"/>
            </w:rPr>
          </w:pPr>
          <w:r w:rsidRPr="002B5749">
            <w:rPr>
              <w:rFonts w:eastAsia="Verdana" w:cs="Verdana"/>
              <w:bCs/>
              <w:szCs w:val="18"/>
            </w:rPr>
            <w:t>Original: English</w:t>
          </w:r>
        </w:p>
      </w:tc>
    </w:tr>
    <w:bookmarkEnd w:id="2"/>
    <w:bookmarkEnd w:id="8"/>
    <w:bookmarkEnd w:id="9"/>
  </w:tbl>
  <w:p w14:paraId="00F26317" w14:textId="77777777" w:rsidR="001E4498" w:rsidRPr="002B5749" w:rsidRDefault="001E4498" w:rsidP="002B5749">
    <w:pPr>
      <w:pStyle w:val="Header"/>
      <w:spacing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1816" w14:textId="77777777" w:rsidR="002B5749" w:rsidRPr="002B5749" w:rsidRDefault="002B5749" w:rsidP="002B5749">
    <w:pPr>
      <w:pStyle w:val="Header"/>
      <w:framePr w:w="737" w:h="9027" w:hRule="exact" w:wrap="around" w:vAnchor="page" w:hAnchor="page" w:x="15383" w:y="1441"/>
      <w:spacing w:after="240" w:line="240" w:lineRule="auto"/>
      <w:jc w:val="center"/>
      <w:textDirection w:val="tbRl"/>
    </w:pPr>
    <w:r w:rsidRPr="002B5749">
      <w:t>G/SCM/N/392/CHN</w:t>
    </w:r>
  </w:p>
  <w:p w14:paraId="6F4EF129" w14:textId="77777777" w:rsidR="002B5749" w:rsidRPr="002B5749" w:rsidRDefault="002B5749" w:rsidP="002B5749">
    <w:pPr>
      <w:pStyle w:val="Header"/>
      <w:framePr w:w="737" w:h="9027" w:hRule="exact" w:wrap="around" w:vAnchor="page" w:hAnchor="page" w:x="15383" w:y="1441"/>
      <w:pBdr>
        <w:bottom w:val="single" w:sz="4" w:space="1" w:color="auto"/>
      </w:pBdr>
      <w:spacing w:line="240" w:lineRule="auto"/>
      <w:jc w:val="center"/>
      <w:textDirection w:val="tbRl"/>
    </w:pPr>
    <w:r w:rsidRPr="002B5749">
      <w:t xml:space="preserve">- </w:t>
    </w:r>
    <w:r w:rsidRPr="002B5749">
      <w:fldChar w:fldCharType="begin"/>
    </w:r>
    <w:r w:rsidRPr="002B5749">
      <w:instrText xml:space="preserve"> PAGE  \* Arabic  \* MERGEFORMAT </w:instrText>
    </w:r>
    <w:r w:rsidRPr="002B5749">
      <w:fldChar w:fldCharType="separate"/>
    </w:r>
    <w:r w:rsidRPr="002B5749">
      <w:t>1</w:t>
    </w:r>
    <w:r w:rsidRPr="002B5749">
      <w:fldChar w:fldCharType="end"/>
    </w:r>
    <w:r w:rsidRPr="002B5749">
      <w:t xml:space="preserve"> -</w:t>
    </w:r>
  </w:p>
  <w:p w14:paraId="54C8C9BA" w14:textId="4B7C5BE4" w:rsidR="002B5749" w:rsidRDefault="002B5749" w:rsidP="002B5749">
    <w:pPr>
      <w:pStyle w:val="Header"/>
      <w:framePr w:w="737" w:h="9027" w:hRule="exact" w:wrap="around" w:vAnchor="page" w:hAnchor="page" w:x="15383" w:y="1441"/>
      <w:spacing w:line="240" w:lineRule="auto"/>
      <w:textDirection w:val="tbRl"/>
    </w:pPr>
  </w:p>
  <w:p w14:paraId="3D8364CD" w14:textId="1EFA1335" w:rsidR="001E4498" w:rsidRPr="002B5749" w:rsidRDefault="002B5749" w:rsidP="002B5749">
    <w:pPr>
      <w:pStyle w:val="Header"/>
      <w:spacing w:line="240" w:lineRule="auto"/>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21CE7" w14:textId="77777777" w:rsidR="002B5749" w:rsidRPr="002B5749" w:rsidRDefault="002B5749" w:rsidP="002B5749">
    <w:pPr>
      <w:pStyle w:val="Header"/>
      <w:framePr w:w="737" w:h="9027" w:hRule="exact" w:wrap="around" w:vAnchor="page" w:hAnchor="page" w:x="15383" w:y="1441"/>
      <w:spacing w:after="240" w:line="240" w:lineRule="auto"/>
      <w:jc w:val="center"/>
      <w:textDirection w:val="tbRl"/>
    </w:pPr>
    <w:r w:rsidRPr="002B5749">
      <w:t>G/SCM/N/392/CHN</w:t>
    </w:r>
  </w:p>
  <w:p w14:paraId="03DBC2C8" w14:textId="77777777" w:rsidR="002B5749" w:rsidRPr="002B5749" w:rsidRDefault="002B5749" w:rsidP="002B5749">
    <w:pPr>
      <w:pStyle w:val="Header"/>
      <w:framePr w:w="737" w:h="9027" w:hRule="exact" w:wrap="around" w:vAnchor="page" w:hAnchor="page" w:x="15383" w:y="1441"/>
      <w:pBdr>
        <w:bottom w:val="single" w:sz="4" w:space="1" w:color="auto"/>
      </w:pBdr>
      <w:spacing w:line="240" w:lineRule="auto"/>
      <w:jc w:val="center"/>
      <w:textDirection w:val="tbRl"/>
    </w:pPr>
    <w:r w:rsidRPr="002B5749">
      <w:t xml:space="preserve">- </w:t>
    </w:r>
    <w:r w:rsidRPr="002B5749">
      <w:fldChar w:fldCharType="begin"/>
    </w:r>
    <w:r w:rsidRPr="002B5749">
      <w:instrText xml:space="preserve"> PAGE  \* Arabic  \* MERGEFORMAT </w:instrText>
    </w:r>
    <w:r w:rsidRPr="002B5749">
      <w:fldChar w:fldCharType="separate"/>
    </w:r>
    <w:r w:rsidRPr="002B5749">
      <w:t>1</w:t>
    </w:r>
    <w:r w:rsidRPr="002B5749">
      <w:fldChar w:fldCharType="end"/>
    </w:r>
    <w:r w:rsidRPr="002B5749">
      <w:t xml:space="preserve"> -</w:t>
    </w:r>
  </w:p>
  <w:p w14:paraId="4A3DB30E" w14:textId="0B1D368B" w:rsidR="002B5749" w:rsidRDefault="002B5749" w:rsidP="002B5749">
    <w:pPr>
      <w:pStyle w:val="Header"/>
      <w:framePr w:w="737" w:h="9027" w:hRule="exact" w:wrap="around" w:vAnchor="page" w:hAnchor="page" w:x="15383" w:y="1441"/>
      <w:spacing w:line="240" w:lineRule="auto"/>
      <w:textDirection w:val="tbRl"/>
    </w:pPr>
  </w:p>
  <w:p w14:paraId="26758C22" w14:textId="3E72F8ED" w:rsidR="001E4498" w:rsidRPr="002B5749" w:rsidRDefault="002B5749" w:rsidP="002B5749">
    <w:pPr>
      <w:pStyle w:val="Header"/>
      <w:spacing w:line="240" w:lineRule="auto"/>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7736E" w14:textId="77777777" w:rsidR="002B5749" w:rsidRPr="002B5749" w:rsidRDefault="002B5749" w:rsidP="002B5749">
    <w:pPr>
      <w:pStyle w:val="Header"/>
      <w:framePr w:w="737" w:h="9027" w:hRule="exact" w:wrap="around" w:vAnchor="page" w:hAnchor="page" w:x="15383" w:y="1441"/>
      <w:spacing w:after="240" w:line="240" w:lineRule="auto"/>
      <w:jc w:val="center"/>
      <w:textDirection w:val="tbRl"/>
    </w:pPr>
    <w:r w:rsidRPr="002B5749">
      <w:t>G/SCM/N/392/CHN</w:t>
    </w:r>
  </w:p>
  <w:p w14:paraId="6CD431A1" w14:textId="77777777" w:rsidR="002B5749" w:rsidRPr="002B5749" w:rsidRDefault="002B5749" w:rsidP="002B5749">
    <w:pPr>
      <w:pStyle w:val="Header"/>
      <w:framePr w:w="737" w:h="9027" w:hRule="exact" w:wrap="around" w:vAnchor="page" w:hAnchor="page" w:x="15383" w:y="1441"/>
      <w:pBdr>
        <w:bottom w:val="single" w:sz="4" w:space="1" w:color="auto"/>
      </w:pBdr>
      <w:spacing w:line="240" w:lineRule="auto"/>
      <w:jc w:val="center"/>
      <w:textDirection w:val="tbRl"/>
    </w:pPr>
    <w:r w:rsidRPr="002B5749">
      <w:t xml:space="preserve">- </w:t>
    </w:r>
    <w:r w:rsidRPr="002B5749">
      <w:fldChar w:fldCharType="begin"/>
    </w:r>
    <w:r w:rsidRPr="002B5749">
      <w:instrText xml:space="preserve"> PAGE  \* Arabic  \* MERGEFORMAT </w:instrText>
    </w:r>
    <w:r w:rsidRPr="002B5749">
      <w:fldChar w:fldCharType="separate"/>
    </w:r>
    <w:r w:rsidRPr="002B5749">
      <w:t>1</w:t>
    </w:r>
    <w:r w:rsidRPr="002B5749">
      <w:fldChar w:fldCharType="end"/>
    </w:r>
    <w:r w:rsidRPr="002B5749">
      <w:t xml:space="preserve"> -</w:t>
    </w:r>
  </w:p>
  <w:p w14:paraId="6C8EEFF3" w14:textId="61FA91C7" w:rsidR="002B5749" w:rsidRDefault="002B5749" w:rsidP="002B5749">
    <w:pPr>
      <w:pStyle w:val="Header"/>
      <w:framePr w:w="737" w:h="9027" w:hRule="exact" w:wrap="around" w:vAnchor="page" w:hAnchor="page" w:x="15383" w:y="1441"/>
      <w:spacing w:line="240" w:lineRule="auto"/>
      <w:textDirection w:val="tbRl"/>
    </w:pPr>
  </w:p>
  <w:p w14:paraId="5E6B1D7D" w14:textId="0112A90C" w:rsidR="001E4498" w:rsidRPr="002B5749" w:rsidRDefault="002B5749" w:rsidP="002B5749">
    <w:pPr>
      <w:pStyle w:val="Header"/>
      <w:spacing w:line="240" w:lineRule="auto"/>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5DFB0" w14:textId="77777777" w:rsidR="002B5749" w:rsidRPr="002B5749" w:rsidRDefault="002B5749" w:rsidP="002B5749">
    <w:pPr>
      <w:pStyle w:val="Header"/>
      <w:spacing w:after="240" w:line="240" w:lineRule="auto"/>
      <w:jc w:val="center"/>
    </w:pPr>
    <w:r w:rsidRPr="002B5749">
      <w:t>G/SCM/N/392/CHN</w:t>
    </w:r>
  </w:p>
  <w:p w14:paraId="6CA32000" w14:textId="77777777" w:rsidR="002B5749" w:rsidRPr="002B5749" w:rsidRDefault="002B5749" w:rsidP="002B5749">
    <w:pPr>
      <w:pStyle w:val="Header"/>
      <w:pBdr>
        <w:bottom w:val="single" w:sz="4" w:space="1" w:color="auto"/>
      </w:pBdr>
      <w:spacing w:line="240" w:lineRule="auto"/>
      <w:jc w:val="center"/>
    </w:pPr>
    <w:r w:rsidRPr="002B5749">
      <w:t xml:space="preserve">- </w:t>
    </w:r>
    <w:r w:rsidRPr="002B5749">
      <w:fldChar w:fldCharType="begin"/>
    </w:r>
    <w:r w:rsidRPr="002B5749">
      <w:instrText xml:space="preserve"> PAGE  \* Arabic  \* MERGEFORMAT </w:instrText>
    </w:r>
    <w:r w:rsidRPr="002B5749">
      <w:fldChar w:fldCharType="separate"/>
    </w:r>
    <w:r w:rsidRPr="002B5749">
      <w:t>1</w:t>
    </w:r>
    <w:r w:rsidRPr="002B5749">
      <w:fldChar w:fldCharType="end"/>
    </w:r>
    <w:r w:rsidRPr="002B5749">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D83C" w14:textId="77777777" w:rsidR="002B5749" w:rsidRPr="002B5749" w:rsidRDefault="002B5749" w:rsidP="002B5749">
    <w:pPr>
      <w:pStyle w:val="Header"/>
      <w:spacing w:after="240" w:line="240" w:lineRule="auto"/>
      <w:jc w:val="center"/>
    </w:pPr>
    <w:r w:rsidRPr="002B5749">
      <w:t>G/SCM/N/392/CHN</w:t>
    </w:r>
  </w:p>
  <w:p w14:paraId="3DCD2334" w14:textId="77777777" w:rsidR="002B5749" w:rsidRPr="002B5749" w:rsidRDefault="002B5749" w:rsidP="002B5749">
    <w:pPr>
      <w:pStyle w:val="Header"/>
      <w:pBdr>
        <w:bottom w:val="single" w:sz="4" w:space="1" w:color="auto"/>
      </w:pBdr>
      <w:spacing w:line="240" w:lineRule="auto"/>
      <w:jc w:val="center"/>
    </w:pPr>
    <w:r w:rsidRPr="002B5749">
      <w:t xml:space="preserve">- </w:t>
    </w:r>
    <w:r w:rsidRPr="002B5749">
      <w:fldChar w:fldCharType="begin"/>
    </w:r>
    <w:r w:rsidRPr="002B5749">
      <w:instrText xml:space="preserve"> PAGE  \* Arabic  \* MERGEFORMAT </w:instrText>
    </w:r>
    <w:r w:rsidRPr="002B5749">
      <w:fldChar w:fldCharType="separate"/>
    </w:r>
    <w:r w:rsidRPr="002B5749">
      <w:t>1</w:t>
    </w:r>
    <w:r w:rsidRPr="002B5749">
      <w:fldChar w:fldCharType="end"/>
    </w:r>
    <w:r w:rsidRPr="002B5749">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21B2" w14:textId="77777777" w:rsidR="002B5749" w:rsidRPr="002B5749" w:rsidRDefault="002B5749" w:rsidP="002B5749">
    <w:pPr>
      <w:pStyle w:val="Header"/>
      <w:spacing w:after="240" w:line="240" w:lineRule="auto"/>
      <w:jc w:val="center"/>
    </w:pPr>
    <w:r w:rsidRPr="002B5749">
      <w:t>G/SCM/N/392/CHN</w:t>
    </w:r>
  </w:p>
  <w:p w14:paraId="14FA598C" w14:textId="77777777" w:rsidR="002B5749" w:rsidRPr="002B5749" w:rsidRDefault="002B5749" w:rsidP="002B5749">
    <w:pPr>
      <w:pStyle w:val="Header"/>
      <w:pBdr>
        <w:bottom w:val="single" w:sz="4" w:space="1" w:color="auto"/>
      </w:pBdr>
      <w:spacing w:line="240" w:lineRule="auto"/>
      <w:jc w:val="center"/>
    </w:pPr>
    <w:r w:rsidRPr="002B5749">
      <w:t xml:space="preserve">- </w:t>
    </w:r>
    <w:r w:rsidRPr="002B5749">
      <w:fldChar w:fldCharType="begin"/>
    </w:r>
    <w:r w:rsidRPr="002B5749">
      <w:instrText xml:space="preserve"> PAGE  \* Arabic  \* MERGEFORMAT </w:instrText>
    </w:r>
    <w:r w:rsidRPr="002B5749">
      <w:fldChar w:fldCharType="separate"/>
    </w:r>
    <w:r w:rsidRPr="002B5749">
      <w:t>1</w:t>
    </w:r>
    <w:r w:rsidRPr="002B5749">
      <w:fldChar w:fldCharType="end"/>
    </w:r>
    <w:r w:rsidRPr="002B574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FFFFF7C"/>
    <w:lvl w:ilvl="0">
      <w:start w:val="1"/>
      <w:numFmt w:val="decimal"/>
      <w:pStyle w:val="ListBullet"/>
      <w:lvlText w:val=""/>
      <w:lvlJc w:val="left"/>
      <w:pPr>
        <w:tabs>
          <w:tab w:val="left" w:pos="567"/>
        </w:tabs>
        <w:ind w:left="567" w:hanging="567"/>
      </w:pPr>
      <w:rPr>
        <w:rFonts w:ascii="Symbol" w:hAnsi="Symbol" w:hint="default"/>
      </w:rPr>
    </w:lvl>
    <w:lvl w:ilvl="1">
      <w:start w:val="1"/>
      <w:numFmt w:val="lowerLetter"/>
      <w:pStyle w:val="ListBullet2"/>
      <w:lvlText w:val=""/>
      <w:lvlJc w:val="left"/>
      <w:pPr>
        <w:tabs>
          <w:tab w:val="left" w:pos="907"/>
        </w:tabs>
        <w:ind w:left="907" w:hanging="340"/>
      </w:pPr>
      <w:rPr>
        <w:rFonts w:ascii="Symbol" w:hAnsi="Symbol" w:hint="default"/>
      </w:rPr>
    </w:lvl>
    <w:lvl w:ilvl="2">
      <w:start w:val="1"/>
      <w:numFmt w:val="lowerRoman"/>
      <w:pStyle w:val="ListBullet3"/>
      <w:lvlText w:val=""/>
      <w:lvlJc w:val="left"/>
      <w:pPr>
        <w:tabs>
          <w:tab w:val="left" w:pos="1247"/>
        </w:tabs>
        <w:ind w:left="1247" w:hanging="340"/>
      </w:pPr>
      <w:rPr>
        <w:rFonts w:ascii="Symbol" w:hAnsi="Symbol" w:hint="default"/>
      </w:rPr>
    </w:lvl>
    <w:lvl w:ilvl="3">
      <w:start w:val="1"/>
      <w:numFmt w:val="decimal"/>
      <w:pStyle w:val="ListBullet4"/>
      <w:lvlText w:val=""/>
      <w:lvlJc w:val="left"/>
      <w:pPr>
        <w:tabs>
          <w:tab w:val="left" w:pos="1587"/>
        </w:tabs>
        <w:ind w:left="1587" w:hanging="340"/>
      </w:pPr>
      <w:rPr>
        <w:rFonts w:ascii="Symbol" w:hAnsi="Symbol" w:hint="default"/>
      </w:rPr>
    </w:lvl>
    <w:lvl w:ilvl="4">
      <w:start w:val="1"/>
      <w:numFmt w:val="lowerLetter"/>
      <w:pStyle w:val="ListBullet5"/>
      <w:lvlText w:val=""/>
      <w:lvlJc w:val="left"/>
      <w:pPr>
        <w:tabs>
          <w:tab w:val="left"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15:restartNumberingAfterBreak="0">
    <w:nsid w:val="FFFFFF7E"/>
    <w:multiLevelType w:val="multilevel"/>
    <w:tmpl w:val="FFFFFF7E"/>
    <w:lvl w:ilvl="0">
      <w:start w:val="1"/>
      <w:numFmt w:val="decimal"/>
      <w:pStyle w:val="Heading1"/>
      <w:suff w:val="space"/>
      <w:lvlText w:val="%1 "/>
      <w:lvlJc w:val="left"/>
      <w:pPr>
        <w:tabs>
          <w:tab w:val="left" w:pos="567"/>
        </w:tabs>
        <w:ind w:left="0" w:firstLine="0"/>
      </w:pPr>
      <w:rPr>
        <w:rFonts w:ascii="Verdana" w:hAnsi="Verdana"/>
        <w:caps/>
        <w:smallCaps w:val="0"/>
      </w:rPr>
    </w:lvl>
    <w:lvl w:ilvl="1">
      <w:start w:val="1"/>
      <w:numFmt w:val="decimal"/>
      <w:pStyle w:val="Heading2"/>
      <w:suff w:val="space"/>
      <w:lvlText w:val="%1.%2 "/>
      <w:lvlJc w:val="left"/>
      <w:pPr>
        <w:tabs>
          <w:tab w:val="left" w:pos="567"/>
        </w:tabs>
        <w:ind w:left="0" w:firstLine="0"/>
      </w:pPr>
      <w:rPr>
        <w:rFonts w:ascii="Verdana" w:hAnsi="Verdana"/>
      </w:rPr>
    </w:lvl>
    <w:lvl w:ilvl="2">
      <w:start w:val="1"/>
      <w:numFmt w:val="decimal"/>
      <w:pStyle w:val="Heading3"/>
      <w:suff w:val="space"/>
      <w:lvlText w:val="%1.%2.%3 "/>
      <w:lvlJc w:val="left"/>
      <w:pPr>
        <w:tabs>
          <w:tab w:val="left" w:pos="567"/>
        </w:tabs>
        <w:ind w:left="0" w:firstLine="0"/>
      </w:pPr>
      <w:rPr>
        <w:rFonts w:ascii="Verdana" w:hAnsi="Verdana"/>
      </w:rPr>
    </w:lvl>
    <w:lvl w:ilvl="3">
      <w:start w:val="1"/>
      <w:numFmt w:val="decimal"/>
      <w:pStyle w:val="Heading4"/>
      <w:suff w:val="space"/>
      <w:lvlText w:val="%1.%2.%3.%4 "/>
      <w:lvlJc w:val="left"/>
      <w:pPr>
        <w:tabs>
          <w:tab w:val="left" w:pos="1134"/>
        </w:tabs>
        <w:ind w:left="0" w:firstLine="0"/>
      </w:pPr>
      <w:rPr>
        <w:rFonts w:ascii="Verdana" w:hAnsi="Verdana"/>
      </w:rPr>
    </w:lvl>
    <w:lvl w:ilvl="4">
      <w:start w:val="1"/>
      <w:numFmt w:val="decimal"/>
      <w:pStyle w:val="Heading5"/>
      <w:suff w:val="space"/>
      <w:lvlText w:val="%1.%2.%3.%4.%5 "/>
      <w:lvlJc w:val="left"/>
      <w:pPr>
        <w:tabs>
          <w:tab w:val="left" w:pos="1134"/>
        </w:tabs>
        <w:ind w:left="0" w:firstLine="0"/>
      </w:pPr>
      <w:rPr>
        <w:rFonts w:ascii="Verdana" w:hAnsi="Verdana"/>
      </w:rPr>
    </w:lvl>
    <w:lvl w:ilvl="5">
      <w:start w:val="1"/>
      <w:numFmt w:val="decimal"/>
      <w:pStyle w:val="Heading6"/>
      <w:suff w:val="space"/>
      <w:lvlText w:val="%1.%2.%3.%4.%5.%6 "/>
      <w:lvlJc w:val="left"/>
      <w:pPr>
        <w:tabs>
          <w:tab w:val="left" w:pos="1134"/>
        </w:tabs>
        <w:ind w:left="0" w:firstLine="0"/>
      </w:pPr>
      <w:rPr>
        <w:rFonts w:ascii="Verdana" w:hAnsi="Verdana"/>
      </w:rPr>
    </w:lvl>
    <w:lvl w:ilvl="6">
      <w:start w:val="1"/>
      <w:numFmt w:val="decimal"/>
      <w:lvlRestart w:val="0"/>
      <w:pStyle w:val="BodyText"/>
      <w:suff w:val="space"/>
      <w:lvlText w:val="%7. "/>
      <w:lvlJc w:val="left"/>
      <w:pPr>
        <w:tabs>
          <w:tab w:val="left" w:pos="567"/>
        </w:tabs>
        <w:ind w:left="0" w:firstLine="0"/>
      </w:pPr>
      <w:rPr>
        <w:rFonts w:ascii="Verdana" w:hAnsi="Verdana"/>
      </w:rPr>
    </w:lvl>
    <w:lvl w:ilvl="7">
      <w:start w:val="1"/>
      <w:numFmt w:val="lowerLetter"/>
      <w:pStyle w:val="BodyText2"/>
      <w:lvlText w:val="%8."/>
      <w:lvlJc w:val="left"/>
      <w:pPr>
        <w:tabs>
          <w:tab w:val="left" w:pos="907"/>
        </w:tabs>
        <w:ind w:left="907" w:hanging="340"/>
      </w:pPr>
      <w:rPr>
        <w:rFonts w:ascii="Verdana" w:hAnsi="Verdana"/>
      </w:rPr>
    </w:lvl>
    <w:lvl w:ilvl="8">
      <w:start w:val="1"/>
      <w:numFmt w:val="lowerRoman"/>
      <w:pStyle w:val="BodyText3"/>
      <w:lvlText w:val="%9."/>
      <w:lvlJc w:val="left"/>
      <w:pPr>
        <w:tabs>
          <w:tab w:val="left" w:pos="1247"/>
        </w:tabs>
        <w:ind w:left="1247" w:hanging="340"/>
      </w:pPr>
      <w:rPr>
        <w:rFonts w:ascii="Verdana" w:hAnsi="Verdana"/>
      </w:r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4"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5" w15:restartNumberingAfterBreak="0">
    <w:nsid w:val="138C1C7B"/>
    <w:multiLevelType w:val="multilevel"/>
    <w:tmpl w:val="138C1C7B"/>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3D526BA"/>
    <w:multiLevelType w:val="multilevel"/>
    <w:tmpl w:val="63D526BA"/>
    <w:lvl w:ilvl="0">
      <w:start w:val="1"/>
      <w:numFmt w:val="decimal"/>
      <w:pStyle w:val="SummaryText"/>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3"/>
  </w:num>
  <w:num w:numId="3">
    <w:abstractNumId w:val="0"/>
  </w:num>
  <w:num w:numId="4">
    <w:abstractNumId w:val="4"/>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61D"/>
    <w:rsid w:val="F5A9FB3E"/>
    <w:rsid w:val="FEBFF129"/>
    <w:rsid w:val="000015E5"/>
    <w:rsid w:val="00001CAE"/>
    <w:rsid w:val="00001EF1"/>
    <w:rsid w:val="0000212A"/>
    <w:rsid w:val="000042A2"/>
    <w:rsid w:val="00007EEB"/>
    <w:rsid w:val="00010210"/>
    <w:rsid w:val="000115F2"/>
    <w:rsid w:val="00011874"/>
    <w:rsid w:val="00012476"/>
    <w:rsid w:val="000139AA"/>
    <w:rsid w:val="00013EB2"/>
    <w:rsid w:val="000154CC"/>
    <w:rsid w:val="00016CB8"/>
    <w:rsid w:val="00021705"/>
    <w:rsid w:val="000246DA"/>
    <w:rsid w:val="0002714A"/>
    <w:rsid w:val="000272F6"/>
    <w:rsid w:val="00030E2B"/>
    <w:rsid w:val="00032E37"/>
    <w:rsid w:val="00033B87"/>
    <w:rsid w:val="00035255"/>
    <w:rsid w:val="00035269"/>
    <w:rsid w:val="00035790"/>
    <w:rsid w:val="00036D33"/>
    <w:rsid w:val="00037AC4"/>
    <w:rsid w:val="00037DF7"/>
    <w:rsid w:val="00037E23"/>
    <w:rsid w:val="0004189D"/>
    <w:rsid w:val="000435AC"/>
    <w:rsid w:val="000438F2"/>
    <w:rsid w:val="0004452B"/>
    <w:rsid w:val="00044560"/>
    <w:rsid w:val="00044E0D"/>
    <w:rsid w:val="0004665E"/>
    <w:rsid w:val="00046C02"/>
    <w:rsid w:val="00047716"/>
    <w:rsid w:val="00047753"/>
    <w:rsid w:val="00050D58"/>
    <w:rsid w:val="00050DAA"/>
    <w:rsid w:val="00051E8D"/>
    <w:rsid w:val="0005301E"/>
    <w:rsid w:val="00053AD0"/>
    <w:rsid w:val="00055E7E"/>
    <w:rsid w:val="00055F92"/>
    <w:rsid w:val="000565C3"/>
    <w:rsid w:val="00057165"/>
    <w:rsid w:val="00057267"/>
    <w:rsid w:val="0006100A"/>
    <w:rsid w:val="00062F6C"/>
    <w:rsid w:val="00063010"/>
    <w:rsid w:val="000640A4"/>
    <w:rsid w:val="0006455F"/>
    <w:rsid w:val="00064B28"/>
    <w:rsid w:val="00066BEF"/>
    <w:rsid w:val="000715EE"/>
    <w:rsid w:val="00071C81"/>
    <w:rsid w:val="00071E9B"/>
    <w:rsid w:val="000720E6"/>
    <w:rsid w:val="00072CDB"/>
    <w:rsid w:val="00073FA2"/>
    <w:rsid w:val="000752A1"/>
    <w:rsid w:val="00075397"/>
    <w:rsid w:val="00076DF7"/>
    <w:rsid w:val="00077067"/>
    <w:rsid w:val="0008029A"/>
    <w:rsid w:val="000820D0"/>
    <w:rsid w:val="00082C77"/>
    <w:rsid w:val="00082E2C"/>
    <w:rsid w:val="00083ACC"/>
    <w:rsid w:val="0008400F"/>
    <w:rsid w:val="00085170"/>
    <w:rsid w:val="000901DD"/>
    <w:rsid w:val="00091E87"/>
    <w:rsid w:val="00091FF8"/>
    <w:rsid w:val="000920E1"/>
    <w:rsid w:val="0009368B"/>
    <w:rsid w:val="00093FBF"/>
    <w:rsid w:val="00094A6A"/>
    <w:rsid w:val="000950BF"/>
    <w:rsid w:val="00096518"/>
    <w:rsid w:val="000A0BDA"/>
    <w:rsid w:val="000A13B8"/>
    <w:rsid w:val="000A1A4C"/>
    <w:rsid w:val="000A257F"/>
    <w:rsid w:val="000A2917"/>
    <w:rsid w:val="000A2930"/>
    <w:rsid w:val="000A3561"/>
    <w:rsid w:val="000A4945"/>
    <w:rsid w:val="000A4A26"/>
    <w:rsid w:val="000A4AAB"/>
    <w:rsid w:val="000A5E56"/>
    <w:rsid w:val="000A63BB"/>
    <w:rsid w:val="000A65F5"/>
    <w:rsid w:val="000A770C"/>
    <w:rsid w:val="000A7F36"/>
    <w:rsid w:val="000A7FFB"/>
    <w:rsid w:val="000B05B1"/>
    <w:rsid w:val="000B0D67"/>
    <w:rsid w:val="000B1366"/>
    <w:rsid w:val="000B2496"/>
    <w:rsid w:val="000B31E1"/>
    <w:rsid w:val="000B41CF"/>
    <w:rsid w:val="000B4612"/>
    <w:rsid w:val="000B4B27"/>
    <w:rsid w:val="000B6CB2"/>
    <w:rsid w:val="000C186B"/>
    <w:rsid w:val="000C232C"/>
    <w:rsid w:val="000C232E"/>
    <w:rsid w:val="000C35E4"/>
    <w:rsid w:val="000C7C96"/>
    <w:rsid w:val="000D1E00"/>
    <w:rsid w:val="000D20A3"/>
    <w:rsid w:val="000D25D6"/>
    <w:rsid w:val="000D2A4B"/>
    <w:rsid w:val="000D327A"/>
    <w:rsid w:val="000D3D73"/>
    <w:rsid w:val="000D4284"/>
    <w:rsid w:val="000D647F"/>
    <w:rsid w:val="000D7F26"/>
    <w:rsid w:val="000E0363"/>
    <w:rsid w:val="000E0B62"/>
    <w:rsid w:val="000E17D8"/>
    <w:rsid w:val="000E2AAD"/>
    <w:rsid w:val="000E2D5B"/>
    <w:rsid w:val="000E4A2D"/>
    <w:rsid w:val="000E584D"/>
    <w:rsid w:val="000E7673"/>
    <w:rsid w:val="000E7E44"/>
    <w:rsid w:val="000F09A8"/>
    <w:rsid w:val="000F14F1"/>
    <w:rsid w:val="000F359B"/>
    <w:rsid w:val="000F3670"/>
    <w:rsid w:val="000F3EAF"/>
    <w:rsid w:val="000F4D31"/>
    <w:rsid w:val="000F56FA"/>
    <w:rsid w:val="000F6CCF"/>
    <w:rsid w:val="000F75E2"/>
    <w:rsid w:val="000F7716"/>
    <w:rsid w:val="000F785B"/>
    <w:rsid w:val="00102713"/>
    <w:rsid w:val="00102C20"/>
    <w:rsid w:val="00102EF2"/>
    <w:rsid w:val="001059B7"/>
    <w:rsid w:val="00111107"/>
    <w:rsid w:val="0011356B"/>
    <w:rsid w:val="00115368"/>
    <w:rsid w:val="00116070"/>
    <w:rsid w:val="00121C93"/>
    <w:rsid w:val="00122140"/>
    <w:rsid w:val="00122453"/>
    <w:rsid w:val="001227A0"/>
    <w:rsid w:val="00122E51"/>
    <w:rsid w:val="0012331C"/>
    <w:rsid w:val="00123F54"/>
    <w:rsid w:val="00124D61"/>
    <w:rsid w:val="001259A5"/>
    <w:rsid w:val="00126A7F"/>
    <w:rsid w:val="0012782F"/>
    <w:rsid w:val="001317BB"/>
    <w:rsid w:val="0013337F"/>
    <w:rsid w:val="00134B66"/>
    <w:rsid w:val="001351C4"/>
    <w:rsid w:val="00137AEF"/>
    <w:rsid w:val="001402D2"/>
    <w:rsid w:val="00140889"/>
    <w:rsid w:val="00141B25"/>
    <w:rsid w:val="00141DA7"/>
    <w:rsid w:val="001421F8"/>
    <w:rsid w:val="00143B05"/>
    <w:rsid w:val="00145473"/>
    <w:rsid w:val="0014661C"/>
    <w:rsid w:val="00150306"/>
    <w:rsid w:val="00151838"/>
    <w:rsid w:val="00151D21"/>
    <w:rsid w:val="00151D29"/>
    <w:rsid w:val="00152EE2"/>
    <w:rsid w:val="001532E8"/>
    <w:rsid w:val="00154D63"/>
    <w:rsid w:val="00156402"/>
    <w:rsid w:val="0016037C"/>
    <w:rsid w:val="001635B7"/>
    <w:rsid w:val="001648CA"/>
    <w:rsid w:val="00164937"/>
    <w:rsid w:val="00164DD5"/>
    <w:rsid w:val="00164E23"/>
    <w:rsid w:val="00165466"/>
    <w:rsid w:val="0016555C"/>
    <w:rsid w:val="00165736"/>
    <w:rsid w:val="001668E2"/>
    <w:rsid w:val="00166C2B"/>
    <w:rsid w:val="00167496"/>
    <w:rsid w:val="00167641"/>
    <w:rsid w:val="0016799A"/>
    <w:rsid w:val="00167D11"/>
    <w:rsid w:val="00167E4D"/>
    <w:rsid w:val="0017022A"/>
    <w:rsid w:val="00170577"/>
    <w:rsid w:val="00172D53"/>
    <w:rsid w:val="00173768"/>
    <w:rsid w:val="00173ACC"/>
    <w:rsid w:val="001745C7"/>
    <w:rsid w:val="00182519"/>
    <w:rsid w:val="00182648"/>
    <w:rsid w:val="00182B84"/>
    <w:rsid w:val="001830A7"/>
    <w:rsid w:val="001839E0"/>
    <w:rsid w:val="001839F1"/>
    <w:rsid w:val="0018505B"/>
    <w:rsid w:val="00185ABD"/>
    <w:rsid w:val="00190779"/>
    <w:rsid w:val="001920EF"/>
    <w:rsid w:val="001941AF"/>
    <w:rsid w:val="00194791"/>
    <w:rsid w:val="00195448"/>
    <w:rsid w:val="0019552E"/>
    <w:rsid w:val="001955F0"/>
    <w:rsid w:val="0019727B"/>
    <w:rsid w:val="001A1B98"/>
    <w:rsid w:val="001A380C"/>
    <w:rsid w:val="001A52C8"/>
    <w:rsid w:val="001A54F1"/>
    <w:rsid w:val="001A6A83"/>
    <w:rsid w:val="001A7644"/>
    <w:rsid w:val="001B0359"/>
    <w:rsid w:val="001B1C81"/>
    <w:rsid w:val="001B299B"/>
    <w:rsid w:val="001B3D63"/>
    <w:rsid w:val="001B3F4E"/>
    <w:rsid w:val="001B5891"/>
    <w:rsid w:val="001B63B7"/>
    <w:rsid w:val="001B6A75"/>
    <w:rsid w:val="001C1C45"/>
    <w:rsid w:val="001C31CA"/>
    <w:rsid w:val="001C53C0"/>
    <w:rsid w:val="001C5C94"/>
    <w:rsid w:val="001C5DD9"/>
    <w:rsid w:val="001C70F3"/>
    <w:rsid w:val="001C7211"/>
    <w:rsid w:val="001C76D5"/>
    <w:rsid w:val="001C7B05"/>
    <w:rsid w:val="001D025F"/>
    <w:rsid w:val="001D03AD"/>
    <w:rsid w:val="001D03ED"/>
    <w:rsid w:val="001D2188"/>
    <w:rsid w:val="001D273E"/>
    <w:rsid w:val="001D608B"/>
    <w:rsid w:val="001D645F"/>
    <w:rsid w:val="001D6953"/>
    <w:rsid w:val="001D71F1"/>
    <w:rsid w:val="001D725C"/>
    <w:rsid w:val="001D792D"/>
    <w:rsid w:val="001D79B2"/>
    <w:rsid w:val="001E28D4"/>
    <w:rsid w:val="001E291F"/>
    <w:rsid w:val="001E29E0"/>
    <w:rsid w:val="001E2D1C"/>
    <w:rsid w:val="001E3069"/>
    <w:rsid w:val="001E36EA"/>
    <w:rsid w:val="001E4498"/>
    <w:rsid w:val="001E5615"/>
    <w:rsid w:val="001E6466"/>
    <w:rsid w:val="001E71A4"/>
    <w:rsid w:val="001E78B9"/>
    <w:rsid w:val="001F2AC6"/>
    <w:rsid w:val="001F3F53"/>
    <w:rsid w:val="001F443C"/>
    <w:rsid w:val="001F5A24"/>
    <w:rsid w:val="002067AF"/>
    <w:rsid w:val="0020718F"/>
    <w:rsid w:val="00211AB6"/>
    <w:rsid w:val="002130D5"/>
    <w:rsid w:val="00213854"/>
    <w:rsid w:val="002142B2"/>
    <w:rsid w:val="0021490F"/>
    <w:rsid w:val="002153BB"/>
    <w:rsid w:val="00216546"/>
    <w:rsid w:val="002171D4"/>
    <w:rsid w:val="00220892"/>
    <w:rsid w:val="002220E4"/>
    <w:rsid w:val="002226C1"/>
    <w:rsid w:val="002238B3"/>
    <w:rsid w:val="00224280"/>
    <w:rsid w:val="002266ED"/>
    <w:rsid w:val="00227D9B"/>
    <w:rsid w:val="00227E96"/>
    <w:rsid w:val="002305EB"/>
    <w:rsid w:val="002317FD"/>
    <w:rsid w:val="00231FEC"/>
    <w:rsid w:val="00232B39"/>
    <w:rsid w:val="00233408"/>
    <w:rsid w:val="00233C88"/>
    <w:rsid w:val="002349F5"/>
    <w:rsid w:val="00234BD2"/>
    <w:rsid w:val="002366FD"/>
    <w:rsid w:val="002372BB"/>
    <w:rsid w:val="00237F14"/>
    <w:rsid w:val="00240097"/>
    <w:rsid w:val="002404D2"/>
    <w:rsid w:val="0024213D"/>
    <w:rsid w:val="00242BF4"/>
    <w:rsid w:val="00242E7D"/>
    <w:rsid w:val="00243025"/>
    <w:rsid w:val="002438DD"/>
    <w:rsid w:val="00244F36"/>
    <w:rsid w:val="00244FC5"/>
    <w:rsid w:val="002450CA"/>
    <w:rsid w:val="0024531B"/>
    <w:rsid w:val="00245460"/>
    <w:rsid w:val="00246E45"/>
    <w:rsid w:val="00251E47"/>
    <w:rsid w:val="002522AB"/>
    <w:rsid w:val="00252971"/>
    <w:rsid w:val="00252FB1"/>
    <w:rsid w:val="002542ED"/>
    <w:rsid w:val="00254F37"/>
    <w:rsid w:val="00255E04"/>
    <w:rsid w:val="00256944"/>
    <w:rsid w:val="002608B3"/>
    <w:rsid w:val="00261AC1"/>
    <w:rsid w:val="00264396"/>
    <w:rsid w:val="00264785"/>
    <w:rsid w:val="0026561D"/>
    <w:rsid w:val="00265794"/>
    <w:rsid w:val="00265F55"/>
    <w:rsid w:val="002660EE"/>
    <w:rsid w:val="002700FD"/>
    <w:rsid w:val="002704A9"/>
    <w:rsid w:val="0027067B"/>
    <w:rsid w:val="00271069"/>
    <w:rsid w:val="0027213F"/>
    <w:rsid w:val="00273E82"/>
    <w:rsid w:val="00281A4D"/>
    <w:rsid w:val="002833A7"/>
    <w:rsid w:val="00291D36"/>
    <w:rsid w:val="0029375D"/>
    <w:rsid w:val="00294706"/>
    <w:rsid w:val="002950F1"/>
    <w:rsid w:val="0029582C"/>
    <w:rsid w:val="0029602B"/>
    <w:rsid w:val="00296060"/>
    <w:rsid w:val="00296BA0"/>
    <w:rsid w:val="002973FB"/>
    <w:rsid w:val="00297D0D"/>
    <w:rsid w:val="002A1879"/>
    <w:rsid w:val="002A2F71"/>
    <w:rsid w:val="002A32B2"/>
    <w:rsid w:val="002A353F"/>
    <w:rsid w:val="002A36AE"/>
    <w:rsid w:val="002A4CA2"/>
    <w:rsid w:val="002A5489"/>
    <w:rsid w:val="002A61BA"/>
    <w:rsid w:val="002A7339"/>
    <w:rsid w:val="002B0F04"/>
    <w:rsid w:val="002B1629"/>
    <w:rsid w:val="002B3ADC"/>
    <w:rsid w:val="002B4DAB"/>
    <w:rsid w:val="002B5749"/>
    <w:rsid w:val="002B660B"/>
    <w:rsid w:val="002B6CC9"/>
    <w:rsid w:val="002B6FD1"/>
    <w:rsid w:val="002B7D39"/>
    <w:rsid w:val="002C02DA"/>
    <w:rsid w:val="002C11F7"/>
    <w:rsid w:val="002C1CAA"/>
    <w:rsid w:val="002C1FB8"/>
    <w:rsid w:val="002C3239"/>
    <w:rsid w:val="002C3EF6"/>
    <w:rsid w:val="002C5308"/>
    <w:rsid w:val="002C6A37"/>
    <w:rsid w:val="002C7603"/>
    <w:rsid w:val="002D0A23"/>
    <w:rsid w:val="002D0A7B"/>
    <w:rsid w:val="002D1C22"/>
    <w:rsid w:val="002D2FFF"/>
    <w:rsid w:val="002D4D52"/>
    <w:rsid w:val="002D55C7"/>
    <w:rsid w:val="002E02F3"/>
    <w:rsid w:val="002E0E0C"/>
    <w:rsid w:val="002E160E"/>
    <w:rsid w:val="002E19C3"/>
    <w:rsid w:val="002E2719"/>
    <w:rsid w:val="002E2ADE"/>
    <w:rsid w:val="002E3185"/>
    <w:rsid w:val="002E4BFF"/>
    <w:rsid w:val="002E5FD5"/>
    <w:rsid w:val="002E6737"/>
    <w:rsid w:val="002E6C31"/>
    <w:rsid w:val="002E7EE4"/>
    <w:rsid w:val="002F0468"/>
    <w:rsid w:val="002F0B8C"/>
    <w:rsid w:val="002F0DE1"/>
    <w:rsid w:val="002F174A"/>
    <w:rsid w:val="002F1991"/>
    <w:rsid w:val="002F27E3"/>
    <w:rsid w:val="002F41CC"/>
    <w:rsid w:val="002F5494"/>
    <w:rsid w:val="002F5617"/>
    <w:rsid w:val="002F5AD1"/>
    <w:rsid w:val="002F69BA"/>
    <w:rsid w:val="002F7684"/>
    <w:rsid w:val="002F77D8"/>
    <w:rsid w:val="002F7822"/>
    <w:rsid w:val="002F7A09"/>
    <w:rsid w:val="00300636"/>
    <w:rsid w:val="00301BFE"/>
    <w:rsid w:val="00302CE0"/>
    <w:rsid w:val="0030336D"/>
    <w:rsid w:val="00303446"/>
    <w:rsid w:val="00304725"/>
    <w:rsid w:val="003064BA"/>
    <w:rsid w:val="00306956"/>
    <w:rsid w:val="003107A8"/>
    <w:rsid w:val="003116C0"/>
    <w:rsid w:val="0031188B"/>
    <w:rsid w:val="00312161"/>
    <w:rsid w:val="00312BA0"/>
    <w:rsid w:val="003130FB"/>
    <w:rsid w:val="0031371B"/>
    <w:rsid w:val="00313C39"/>
    <w:rsid w:val="003145A0"/>
    <w:rsid w:val="0031523C"/>
    <w:rsid w:val="0031588A"/>
    <w:rsid w:val="00315B98"/>
    <w:rsid w:val="00316418"/>
    <w:rsid w:val="00320ACA"/>
    <w:rsid w:val="00320E04"/>
    <w:rsid w:val="003219E0"/>
    <w:rsid w:val="00323A25"/>
    <w:rsid w:val="00323F5A"/>
    <w:rsid w:val="00324F37"/>
    <w:rsid w:val="00325CA7"/>
    <w:rsid w:val="00325F23"/>
    <w:rsid w:val="003264AF"/>
    <w:rsid w:val="00326767"/>
    <w:rsid w:val="00327104"/>
    <w:rsid w:val="00330CA2"/>
    <w:rsid w:val="00331391"/>
    <w:rsid w:val="003323BA"/>
    <w:rsid w:val="00333C18"/>
    <w:rsid w:val="00333C3A"/>
    <w:rsid w:val="00334D97"/>
    <w:rsid w:val="00335297"/>
    <w:rsid w:val="003354E6"/>
    <w:rsid w:val="003356DB"/>
    <w:rsid w:val="0033699B"/>
    <w:rsid w:val="00337FDA"/>
    <w:rsid w:val="003414F9"/>
    <w:rsid w:val="00344E14"/>
    <w:rsid w:val="00345D6B"/>
    <w:rsid w:val="00346F45"/>
    <w:rsid w:val="00350A34"/>
    <w:rsid w:val="00350B5B"/>
    <w:rsid w:val="003519B1"/>
    <w:rsid w:val="0035307A"/>
    <w:rsid w:val="00355557"/>
    <w:rsid w:val="00355DFE"/>
    <w:rsid w:val="003572B4"/>
    <w:rsid w:val="00362D4F"/>
    <w:rsid w:val="0036330E"/>
    <w:rsid w:val="00363443"/>
    <w:rsid w:val="00363A0B"/>
    <w:rsid w:val="00363B45"/>
    <w:rsid w:val="00364BED"/>
    <w:rsid w:val="0036611E"/>
    <w:rsid w:val="00370452"/>
    <w:rsid w:val="0037132B"/>
    <w:rsid w:val="003713F8"/>
    <w:rsid w:val="003728BD"/>
    <w:rsid w:val="00372B36"/>
    <w:rsid w:val="003730CA"/>
    <w:rsid w:val="003735DA"/>
    <w:rsid w:val="00374721"/>
    <w:rsid w:val="0037604A"/>
    <w:rsid w:val="003779CA"/>
    <w:rsid w:val="00377DA3"/>
    <w:rsid w:val="0038014D"/>
    <w:rsid w:val="00380556"/>
    <w:rsid w:val="00380C27"/>
    <w:rsid w:val="00383579"/>
    <w:rsid w:val="003844BB"/>
    <w:rsid w:val="00384C44"/>
    <w:rsid w:val="00387469"/>
    <w:rsid w:val="00390B0A"/>
    <w:rsid w:val="00390CBC"/>
    <w:rsid w:val="00392EA4"/>
    <w:rsid w:val="00393A82"/>
    <w:rsid w:val="00393C37"/>
    <w:rsid w:val="003949CD"/>
    <w:rsid w:val="00397470"/>
    <w:rsid w:val="00397DE6"/>
    <w:rsid w:val="003A0001"/>
    <w:rsid w:val="003A0850"/>
    <w:rsid w:val="003A0FDC"/>
    <w:rsid w:val="003A359B"/>
    <w:rsid w:val="003A3C39"/>
    <w:rsid w:val="003A79D0"/>
    <w:rsid w:val="003B0CEC"/>
    <w:rsid w:val="003B2ADE"/>
    <w:rsid w:val="003B2EFF"/>
    <w:rsid w:val="003B31F4"/>
    <w:rsid w:val="003B4686"/>
    <w:rsid w:val="003B520B"/>
    <w:rsid w:val="003B5922"/>
    <w:rsid w:val="003B5FDD"/>
    <w:rsid w:val="003B677E"/>
    <w:rsid w:val="003B74C5"/>
    <w:rsid w:val="003B74E1"/>
    <w:rsid w:val="003C06CB"/>
    <w:rsid w:val="003C1E66"/>
    <w:rsid w:val="003C2086"/>
    <w:rsid w:val="003C2410"/>
    <w:rsid w:val="003C3EF3"/>
    <w:rsid w:val="003C41E5"/>
    <w:rsid w:val="003C6894"/>
    <w:rsid w:val="003C7367"/>
    <w:rsid w:val="003D0B2C"/>
    <w:rsid w:val="003D38FC"/>
    <w:rsid w:val="003D590E"/>
    <w:rsid w:val="003D68D1"/>
    <w:rsid w:val="003D6939"/>
    <w:rsid w:val="003D71FD"/>
    <w:rsid w:val="003D7DE3"/>
    <w:rsid w:val="003E036E"/>
    <w:rsid w:val="003E080D"/>
    <w:rsid w:val="003E0B9E"/>
    <w:rsid w:val="003E14ED"/>
    <w:rsid w:val="003E14F5"/>
    <w:rsid w:val="003E2BDE"/>
    <w:rsid w:val="003E31A5"/>
    <w:rsid w:val="003E4740"/>
    <w:rsid w:val="003E481A"/>
    <w:rsid w:val="003E56C0"/>
    <w:rsid w:val="003E66FA"/>
    <w:rsid w:val="003E6C7B"/>
    <w:rsid w:val="003F129D"/>
    <w:rsid w:val="003F1F77"/>
    <w:rsid w:val="003F20BA"/>
    <w:rsid w:val="003F3014"/>
    <w:rsid w:val="003F3840"/>
    <w:rsid w:val="003F5013"/>
    <w:rsid w:val="003F520B"/>
    <w:rsid w:val="003F6C12"/>
    <w:rsid w:val="00401257"/>
    <w:rsid w:val="004015EF"/>
    <w:rsid w:val="00401C74"/>
    <w:rsid w:val="0040235A"/>
    <w:rsid w:val="00402C22"/>
    <w:rsid w:val="00402E16"/>
    <w:rsid w:val="00402EF5"/>
    <w:rsid w:val="00403E20"/>
    <w:rsid w:val="00404290"/>
    <w:rsid w:val="004045BD"/>
    <w:rsid w:val="0040468A"/>
    <w:rsid w:val="00404FB0"/>
    <w:rsid w:val="00405E4E"/>
    <w:rsid w:val="00411124"/>
    <w:rsid w:val="00412158"/>
    <w:rsid w:val="0041287C"/>
    <w:rsid w:val="004132FD"/>
    <w:rsid w:val="00414422"/>
    <w:rsid w:val="004145C4"/>
    <w:rsid w:val="0041465F"/>
    <w:rsid w:val="00421290"/>
    <w:rsid w:val="00421952"/>
    <w:rsid w:val="004231A5"/>
    <w:rsid w:val="004233C3"/>
    <w:rsid w:val="00424848"/>
    <w:rsid w:val="00427C6C"/>
    <w:rsid w:val="004313EE"/>
    <w:rsid w:val="00431826"/>
    <w:rsid w:val="00431D0F"/>
    <w:rsid w:val="0043249F"/>
    <w:rsid w:val="00432765"/>
    <w:rsid w:val="00432A9C"/>
    <w:rsid w:val="00432AD2"/>
    <w:rsid w:val="00432EA8"/>
    <w:rsid w:val="00433BE2"/>
    <w:rsid w:val="00433DBF"/>
    <w:rsid w:val="00434538"/>
    <w:rsid w:val="00437AFF"/>
    <w:rsid w:val="00437DC9"/>
    <w:rsid w:val="00441785"/>
    <w:rsid w:val="004443E9"/>
    <w:rsid w:val="00444426"/>
    <w:rsid w:val="0044710C"/>
    <w:rsid w:val="00450332"/>
    <w:rsid w:val="00450AE8"/>
    <w:rsid w:val="00452C17"/>
    <w:rsid w:val="004546B1"/>
    <w:rsid w:val="00454AE7"/>
    <w:rsid w:val="004575F8"/>
    <w:rsid w:val="004612F4"/>
    <w:rsid w:val="0046472D"/>
    <w:rsid w:val="00464AF2"/>
    <w:rsid w:val="0046505E"/>
    <w:rsid w:val="00466644"/>
    <w:rsid w:val="004667CE"/>
    <w:rsid w:val="004668FA"/>
    <w:rsid w:val="00467032"/>
    <w:rsid w:val="00467380"/>
    <w:rsid w:val="0046754A"/>
    <w:rsid w:val="004676E5"/>
    <w:rsid w:val="00470A73"/>
    <w:rsid w:val="00473052"/>
    <w:rsid w:val="00473BC3"/>
    <w:rsid w:val="00475021"/>
    <w:rsid w:val="0047674E"/>
    <w:rsid w:val="00476E2C"/>
    <w:rsid w:val="00477D9F"/>
    <w:rsid w:val="00480076"/>
    <w:rsid w:val="004801C8"/>
    <w:rsid w:val="004806B5"/>
    <w:rsid w:val="004813F6"/>
    <w:rsid w:val="004819D8"/>
    <w:rsid w:val="00481A50"/>
    <w:rsid w:val="00482B14"/>
    <w:rsid w:val="00483E9E"/>
    <w:rsid w:val="00486E33"/>
    <w:rsid w:val="0049062D"/>
    <w:rsid w:val="00490EB1"/>
    <w:rsid w:val="004910BC"/>
    <w:rsid w:val="004914D8"/>
    <w:rsid w:val="00492D0D"/>
    <w:rsid w:val="00494860"/>
    <w:rsid w:val="00497711"/>
    <w:rsid w:val="0049785E"/>
    <w:rsid w:val="0049795F"/>
    <w:rsid w:val="00497A00"/>
    <w:rsid w:val="004A1153"/>
    <w:rsid w:val="004A2A7D"/>
    <w:rsid w:val="004A2BD1"/>
    <w:rsid w:val="004A4494"/>
    <w:rsid w:val="004A4E2B"/>
    <w:rsid w:val="004A4E94"/>
    <w:rsid w:val="004A53BA"/>
    <w:rsid w:val="004A6921"/>
    <w:rsid w:val="004A696A"/>
    <w:rsid w:val="004A6C57"/>
    <w:rsid w:val="004A733D"/>
    <w:rsid w:val="004B0552"/>
    <w:rsid w:val="004B3089"/>
    <w:rsid w:val="004B43F9"/>
    <w:rsid w:val="004B6467"/>
    <w:rsid w:val="004B690F"/>
    <w:rsid w:val="004B6DE0"/>
    <w:rsid w:val="004B6FEC"/>
    <w:rsid w:val="004B7C0B"/>
    <w:rsid w:val="004B7EA0"/>
    <w:rsid w:val="004C7629"/>
    <w:rsid w:val="004C7E1C"/>
    <w:rsid w:val="004D1113"/>
    <w:rsid w:val="004D1637"/>
    <w:rsid w:val="004D17E5"/>
    <w:rsid w:val="004D1F6F"/>
    <w:rsid w:val="004D30C1"/>
    <w:rsid w:val="004D3FC9"/>
    <w:rsid w:val="004D4226"/>
    <w:rsid w:val="004D4430"/>
    <w:rsid w:val="004D5494"/>
    <w:rsid w:val="004D55FA"/>
    <w:rsid w:val="004E18FF"/>
    <w:rsid w:val="004E4521"/>
    <w:rsid w:val="004E4B85"/>
    <w:rsid w:val="004E4D50"/>
    <w:rsid w:val="004E5D08"/>
    <w:rsid w:val="004E6566"/>
    <w:rsid w:val="004E75F2"/>
    <w:rsid w:val="004E7D2C"/>
    <w:rsid w:val="004F01C7"/>
    <w:rsid w:val="004F0909"/>
    <w:rsid w:val="004F0992"/>
    <w:rsid w:val="004F0DB3"/>
    <w:rsid w:val="004F143A"/>
    <w:rsid w:val="004F203A"/>
    <w:rsid w:val="004F45E4"/>
    <w:rsid w:val="004F4A41"/>
    <w:rsid w:val="004F4C41"/>
    <w:rsid w:val="004F5622"/>
    <w:rsid w:val="004F649C"/>
    <w:rsid w:val="004F6E9F"/>
    <w:rsid w:val="00500364"/>
    <w:rsid w:val="0050072A"/>
    <w:rsid w:val="00500D10"/>
    <w:rsid w:val="00501A36"/>
    <w:rsid w:val="00502119"/>
    <w:rsid w:val="005022E2"/>
    <w:rsid w:val="005031FC"/>
    <w:rsid w:val="00505655"/>
    <w:rsid w:val="00506410"/>
    <w:rsid w:val="00506557"/>
    <w:rsid w:val="00510818"/>
    <w:rsid w:val="0051300B"/>
    <w:rsid w:val="005176E9"/>
    <w:rsid w:val="00520D38"/>
    <w:rsid w:val="00523B1E"/>
    <w:rsid w:val="00523BEF"/>
    <w:rsid w:val="0052570B"/>
    <w:rsid w:val="00525ADF"/>
    <w:rsid w:val="00526CB5"/>
    <w:rsid w:val="00527FBB"/>
    <w:rsid w:val="00530E72"/>
    <w:rsid w:val="00530F01"/>
    <w:rsid w:val="005336B8"/>
    <w:rsid w:val="005348B2"/>
    <w:rsid w:val="00534A33"/>
    <w:rsid w:val="00535DC7"/>
    <w:rsid w:val="005366DC"/>
    <w:rsid w:val="00536EAD"/>
    <w:rsid w:val="005373EC"/>
    <w:rsid w:val="0053759C"/>
    <w:rsid w:val="00537A0D"/>
    <w:rsid w:val="00540AF8"/>
    <w:rsid w:val="00542808"/>
    <w:rsid w:val="00544658"/>
    <w:rsid w:val="00544695"/>
    <w:rsid w:val="00544862"/>
    <w:rsid w:val="005449E1"/>
    <w:rsid w:val="005455F2"/>
    <w:rsid w:val="00545CB3"/>
    <w:rsid w:val="00546992"/>
    <w:rsid w:val="0055099E"/>
    <w:rsid w:val="00551250"/>
    <w:rsid w:val="005551BD"/>
    <w:rsid w:val="0055573A"/>
    <w:rsid w:val="00555AC9"/>
    <w:rsid w:val="00560BFD"/>
    <w:rsid w:val="00561F42"/>
    <w:rsid w:val="00562C70"/>
    <w:rsid w:val="00563B1F"/>
    <w:rsid w:val="00563D02"/>
    <w:rsid w:val="00563ECF"/>
    <w:rsid w:val="00564BAC"/>
    <w:rsid w:val="00564F6B"/>
    <w:rsid w:val="005675A6"/>
    <w:rsid w:val="005678AE"/>
    <w:rsid w:val="00567C12"/>
    <w:rsid w:val="00571869"/>
    <w:rsid w:val="00571F88"/>
    <w:rsid w:val="00572545"/>
    <w:rsid w:val="00572750"/>
    <w:rsid w:val="00572F66"/>
    <w:rsid w:val="005747C2"/>
    <w:rsid w:val="00575026"/>
    <w:rsid w:val="005757AA"/>
    <w:rsid w:val="00575AF5"/>
    <w:rsid w:val="005766CB"/>
    <w:rsid w:val="00576E16"/>
    <w:rsid w:val="00577DC7"/>
    <w:rsid w:val="0058123F"/>
    <w:rsid w:val="00581A25"/>
    <w:rsid w:val="00582261"/>
    <w:rsid w:val="00582B45"/>
    <w:rsid w:val="005836D9"/>
    <w:rsid w:val="00583E63"/>
    <w:rsid w:val="0058783E"/>
    <w:rsid w:val="00587C7F"/>
    <w:rsid w:val="0059058D"/>
    <w:rsid w:val="00593885"/>
    <w:rsid w:val="005942EA"/>
    <w:rsid w:val="005955A0"/>
    <w:rsid w:val="00596338"/>
    <w:rsid w:val="005A2CB8"/>
    <w:rsid w:val="005A3520"/>
    <w:rsid w:val="005A3E23"/>
    <w:rsid w:val="005A4DB4"/>
    <w:rsid w:val="005A56EB"/>
    <w:rsid w:val="005A5F9B"/>
    <w:rsid w:val="005B04B9"/>
    <w:rsid w:val="005B0FD8"/>
    <w:rsid w:val="005B13F3"/>
    <w:rsid w:val="005B198B"/>
    <w:rsid w:val="005B3882"/>
    <w:rsid w:val="005B4683"/>
    <w:rsid w:val="005B6250"/>
    <w:rsid w:val="005B68C7"/>
    <w:rsid w:val="005B74CC"/>
    <w:rsid w:val="005B7B8C"/>
    <w:rsid w:val="005B7EAF"/>
    <w:rsid w:val="005C175A"/>
    <w:rsid w:val="005C175E"/>
    <w:rsid w:val="005C183F"/>
    <w:rsid w:val="005C2956"/>
    <w:rsid w:val="005C3CD1"/>
    <w:rsid w:val="005C48FF"/>
    <w:rsid w:val="005C5B97"/>
    <w:rsid w:val="005C6C36"/>
    <w:rsid w:val="005C6C4B"/>
    <w:rsid w:val="005C6DA9"/>
    <w:rsid w:val="005C714C"/>
    <w:rsid w:val="005D06BE"/>
    <w:rsid w:val="005D1157"/>
    <w:rsid w:val="005D21C5"/>
    <w:rsid w:val="005D2DE1"/>
    <w:rsid w:val="005D2FCC"/>
    <w:rsid w:val="005D3C4E"/>
    <w:rsid w:val="005D428A"/>
    <w:rsid w:val="005D53C6"/>
    <w:rsid w:val="005D5981"/>
    <w:rsid w:val="005D5C67"/>
    <w:rsid w:val="005D6C74"/>
    <w:rsid w:val="005D700E"/>
    <w:rsid w:val="005E0BE6"/>
    <w:rsid w:val="005E172C"/>
    <w:rsid w:val="005E1D5D"/>
    <w:rsid w:val="005E20D2"/>
    <w:rsid w:val="005E2A2F"/>
    <w:rsid w:val="005E3891"/>
    <w:rsid w:val="005E563D"/>
    <w:rsid w:val="005E5A0C"/>
    <w:rsid w:val="005E68FC"/>
    <w:rsid w:val="005F01D0"/>
    <w:rsid w:val="005F06D5"/>
    <w:rsid w:val="005F15D0"/>
    <w:rsid w:val="005F1E4F"/>
    <w:rsid w:val="005F2BD5"/>
    <w:rsid w:val="005F2CC1"/>
    <w:rsid w:val="005F30CB"/>
    <w:rsid w:val="005F476A"/>
    <w:rsid w:val="005F4F7D"/>
    <w:rsid w:val="005F5A86"/>
    <w:rsid w:val="005F5D54"/>
    <w:rsid w:val="005F68A0"/>
    <w:rsid w:val="005F68E3"/>
    <w:rsid w:val="005F6E99"/>
    <w:rsid w:val="005F70DF"/>
    <w:rsid w:val="005F74B3"/>
    <w:rsid w:val="00600DDB"/>
    <w:rsid w:val="006037E2"/>
    <w:rsid w:val="006056AC"/>
    <w:rsid w:val="00606DD1"/>
    <w:rsid w:val="00610339"/>
    <w:rsid w:val="0061284E"/>
    <w:rsid w:val="00612D10"/>
    <w:rsid w:val="0061325C"/>
    <w:rsid w:val="006132B9"/>
    <w:rsid w:val="006138D7"/>
    <w:rsid w:val="00613DC7"/>
    <w:rsid w:val="00613F84"/>
    <w:rsid w:val="00615AB3"/>
    <w:rsid w:val="00616A5C"/>
    <w:rsid w:val="006171C0"/>
    <w:rsid w:val="0061796D"/>
    <w:rsid w:val="00617FAB"/>
    <w:rsid w:val="00621CEB"/>
    <w:rsid w:val="00622D6D"/>
    <w:rsid w:val="006232BB"/>
    <w:rsid w:val="00623A1A"/>
    <w:rsid w:val="0062410E"/>
    <w:rsid w:val="00624691"/>
    <w:rsid w:val="00625421"/>
    <w:rsid w:val="00625515"/>
    <w:rsid w:val="0062553A"/>
    <w:rsid w:val="00626C6C"/>
    <w:rsid w:val="00626C72"/>
    <w:rsid w:val="0062729F"/>
    <w:rsid w:val="00631D7A"/>
    <w:rsid w:val="006321BA"/>
    <w:rsid w:val="00632D67"/>
    <w:rsid w:val="0063401F"/>
    <w:rsid w:val="006351A7"/>
    <w:rsid w:val="006358E0"/>
    <w:rsid w:val="006360EA"/>
    <w:rsid w:val="00636A3E"/>
    <w:rsid w:val="006374D9"/>
    <w:rsid w:val="006400E9"/>
    <w:rsid w:val="006404FE"/>
    <w:rsid w:val="006412B5"/>
    <w:rsid w:val="006418C7"/>
    <w:rsid w:val="00642624"/>
    <w:rsid w:val="00644940"/>
    <w:rsid w:val="006457FA"/>
    <w:rsid w:val="00645BD4"/>
    <w:rsid w:val="00645FEB"/>
    <w:rsid w:val="0064618C"/>
    <w:rsid w:val="00646446"/>
    <w:rsid w:val="006469EF"/>
    <w:rsid w:val="0065136F"/>
    <w:rsid w:val="00652482"/>
    <w:rsid w:val="0065301B"/>
    <w:rsid w:val="006540EC"/>
    <w:rsid w:val="00654E80"/>
    <w:rsid w:val="006559EC"/>
    <w:rsid w:val="00656301"/>
    <w:rsid w:val="00656C22"/>
    <w:rsid w:val="00657503"/>
    <w:rsid w:val="00657FB1"/>
    <w:rsid w:val="00660000"/>
    <w:rsid w:val="00661035"/>
    <w:rsid w:val="0066148A"/>
    <w:rsid w:val="0066160D"/>
    <w:rsid w:val="00661D21"/>
    <w:rsid w:val="00663A0C"/>
    <w:rsid w:val="00663AE8"/>
    <w:rsid w:val="00663C43"/>
    <w:rsid w:val="00665F02"/>
    <w:rsid w:val="00667DC0"/>
    <w:rsid w:val="00667E90"/>
    <w:rsid w:val="00670957"/>
    <w:rsid w:val="00670C04"/>
    <w:rsid w:val="00670D57"/>
    <w:rsid w:val="00673714"/>
    <w:rsid w:val="00674CCD"/>
    <w:rsid w:val="00676590"/>
    <w:rsid w:val="006766FE"/>
    <w:rsid w:val="00677829"/>
    <w:rsid w:val="006818BB"/>
    <w:rsid w:val="00682BE4"/>
    <w:rsid w:val="006830E7"/>
    <w:rsid w:val="00683B7C"/>
    <w:rsid w:val="00684F67"/>
    <w:rsid w:val="006856BA"/>
    <w:rsid w:val="00685AA2"/>
    <w:rsid w:val="00686403"/>
    <w:rsid w:val="00686B10"/>
    <w:rsid w:val="00690338"/>
    <w:rsid w:val="006905A0"/>
    <w:rsid w:val="00690F93"/>
    <w:rsid w:val="00691540"/>
    <w:rsid w:val="00692479"/>
    <w:rsid w:val="0069583C"/>
    <w:rsid w:val="00696F6C"/>
    <w:rsid w:val="006977F7"/>
    <w:rsid w:val="00697807"/>
    <w:rsid w:val="006A0903"/>
    <w:rsid w:val="006A2A6B"/>
    <w:rsid w:val="006A3FC3"/>
    <w:rsid w:val="006A408E"/>
    <w:rsid w:val="006A4792"/>
    <w:rsid w:val="006A5C61"/>
    <w:rsid w:val="006A5FE1"/>
    <w:rsid w:val="006A61F2"/>
    <w:rsid w:val="006A6880"/>
    <w:rsid w:val="006A79BF"/>
    <w:rsid w:val="006B1A3E"/>
    <w:rsid w:val="006B3D5B"/>
    <w:rsid w:val="006B7C28"/>
    <w:rsid w:val="006C16F7"/>
    <w:rsid w:val="006C427B"/>
    <w:rsid w:val="006C5564"/>
    <w:rsid w:val="006C6F99"/>
    <w:rsid w:val="006C7819"/>
    <w:rsid w:val="006C7EA5"/>
    <w:rsid w:val="006D1CD4"/>
    <w:rsid w:val="006D22C5"/>
    <w:rsid w:val="006D35ED"/>
    <w:rsid w:val="006D4E9F"/>
    <w:rsid w:val="006D5056"/>
    <w:rsid w:val="006D5CBD"/>
    <w:rsid w:val="006D6A06"/>
    <w:rsid w:val="006E0640"/>
    <w:rsid w:val="006E098B"/>
    <w:rsid w:val="006E0C74"/>
    <w:rsid w:val="006E1351"/>
    <w:rsid w:val="006E2156"/>
    <w:rsid w:val="006E2C5C"/>
    <w:rsid w:val="006E30B9"/>
    <w:rsid w:val="006E321D"/>
    <w:rsid w:val="006E421D"/>
    <w:rsid w:val="006E4994"/>
    <w:rsid w:val="006E52D7"/>
    <w:rsid w:val="006E537F"/>
    <w:rsid w:val="006E5A13"/>
    <w:rsid w:val="006E65F2"/>
    <w:rsid w:val="006E6843"/>
    <w:rsid w:val="006E6D46"/>
    <w:rsid w:val="006E7150"/>
    <w:rsid w:val="006E7397"/>
    <w:rsid w:val="006F1887"/>
    <w:rsid w:val="006F1EE0"/>
    <w:rsid w:val="006F299C"/>
    <w:rsid w:val="006F2E98"/>
    <w:rsid w:val="006F48C3"/>
    <w:rsid w:val="006F5826"/>
    <w:rsid w:val="006F6BC7"/>
    <w:rsid w:val="006F6F72"/>
    <w:rsid w:val="00700181"/>
    <w:rsid w:val="007001CF"/>
    <w:rsid w:val="00702AAB"/>
    <w:rsid w:val="00705781"/>
    <w:rsid w:val="00705F9F"/>
    <w:rsid w:val="00707252"/>
    <w:rsid w:val="00707A01"/>
    <w:rsid w:val="00707B6B"/>
    <w:rsid w:val="007128EB"/>
    <w:rsid w:val="007141CF"/>
    <w:rsid w:val="00715BB0"/>
    <w:rsid w:val="00716439"/>
    <w:rsid w:val="00717B15"/>
    <w:rsid w:val="00720D4F"/>
    <w:rsid w:val="0072351D"/>
    <w:rsid w:val="007235F1"/>
    <w:rsid w:val="00723934"/>
    <w:rsid w:val="00723BDD"/>
    <w:rsid w:val="00725A72"/>
    <w:rsid w:val="007261CB"/>
    <w:rsid w:val="007262F4"/>
    <w:rsid w:val="007267D3"/>
    <w:rsid w:val="007300B1"/>
    <w:rsid w:val="007301FA"/>
    <w:rsid w:val="0073187D"/>
    <w:rsid w:val="00733C28"/>
    <w:rsid w:val="00733F33"/>
    <w:rsid w:val="00734277"/>
    <w:rsid w:val="00737B57"/>
    <w:rsid w:val="00740B12"/>
    <w:rsid w:val="00740F97"/>
    <w:rsid w:val="00741977"/>
    <w:rsid w:val="00741CC0"/>
    <w:rsid w:val="00742A2C"/>
    <w:rsid w:val="00743672"/>
    <w:rsid w:val="007445A1"/>
    <w:rsid w:val="007469D1"/>
    <w:rsid w:val="00747016"/>
    <w:rsid w:val="007508D9"/>
    <w:rsid w:val="00752871"/>
    <w:rsid w:val="00753928"/>
    <w:rsid w:val="007546BE"/>
    <w:rsid w:val="007547E6"/>
    <w:rsid w:val="00754860"/>
    <w:rsid w:val="00754A26"/>
    <w:rsid w:val="00755076"/>
    <w:rsid w:val="007577E3"/>
    <w:rsid w:val="007609EA"/>
    <w:rsid w:val="00760DB3"/>
    <w:rsid w:val="00761716"/>
    <w:rsid w:val="00761952"/>
    <w:rsid w:val="00762579"/>
    <w:rsid w:val="0076298A"/>
    <w:rsid w:val="0076367E"/>
    <w:rsid w:val="00763E37"/>
    <w:rsid w:val="0076402C"/>
    <w:rsid w:val="00767DE2"/>
    <w:rsid w:val="00770D8C"/>
    <w:rsid w:val="00774236"/>
    <w:rsid w:val="00774568"/>
    <w:rsid w:val="007754D7"/>
    <w:rsid w:val="00777D97"/>
    <w:rsid w:val="0078067E"/>
    <w:rsid w:val="00780BFB"/>
    <w:rsid w:val="00782342"/>
    <w:rsid w:val="00782B0E"/>
    <w:rsid w:val="00783491"/>
    <w:rsid w:val="00784407"/>
    <w:rsid w:val="00784F4D"/>
    <w:rsid w:val="00786F2D"/>
    <w:rsid w:val="00791203"/>
    <w:rsid w:val="00791545"/>
    <w:rsid w:val="007927C6"/>
    <w:rsid w:val="0079404D"/>
    <w:rsid w:val="00796C29"/>
    <w:rsid w:val="007977B4"/>
    <w:rsid w:val="00797AEB"/>
    <w:rsid w:val="007A098C"/>
    <w:rsid w:val="007A0C11"/>
    <w:rsid w:val="007A16C6"/>
    <w:rsid w:val="007A22A6"/>
    <w:rsid w:val="007A2392"/>
    <w:rsid w:val="007A3E6D"/>
    <w:rsid w:val="007A4A2A"/>
    <w:rsid w:val="007A6A0B"/>
    <w:rsid w:val="007B1A1D"/>
    <w:rsid w:val="007B345C"/>
    <w:rsid w:val="007B379A"/>
    <w:rsid w:val="007B3B69"/>
    <w:rsid w:val="007B457A"/>
    <w:rsid w:val="007B4871"/>
    <w:rsid w:val="007B5411"/>
    <w:rsid w:val="007B5F85"/>
    <w:rsid w:val="007B6244"/>
    <w:rsid w:val="007B768B"/>
    <w:rsid w:val="007B770A"/>
    <w:rsid w:val="007C0522"/>
    <w:rsid w:val="007C0808"/>
    <w:rsid w:val="007C306C"/>
    <w:rsid w:val="007C4814"/>
    <w:rsid w:val="007C4D90"/>
    <w:rsid w:val="007D0A74"/>
    <w:rsid w:val="007D1579"/>
    <w:rsid w:val="007D295C"/>
    <w:rsid w:val="007D328D"/>
    <w:rsid w:val="007D336D"/>
    <w:rsid w:val="007D4D58"/>
    <w:rsid w:val="007D4E11"/>
    <w:rsid w:val="007E25B7"/>
    <w:rsid w:val="007E2BA5"/>
    <w:rsid w:val="007E2DDB"/>
    <w:rsid w:val="007E32BC"/>
    <w:rsid w:val="007E3701"/>
    <w:rsid w:val="007E38BB"/>
    <w:rsid w:val="007E4277"/>
    <w:rsid w:val="007E6507"/>
    <w:rsid w:val="007E7F2D"/>
    <w:rsid w:val="007F10E0"/>
    <w:rsid w:val="007F1DC3"/>
    <w:rsid w:val="007F2A5B"/>
    <w:rsid w:val="007F2B8E"/>
    <w:rsid w:val="007F4376"/>
    <w:rsid w:val="007F437B"/>
    <w:rsid w:val="007F5D6B"/>
    <w:rsid w:val="007F5E56"/>
    <w:rsid w:val="007F75FE"/>
    <w:rsid w:val="007F7F9A"/>
    <w:rsid w:val="00801F82"/>
    <w:rsid w:val="008029D4"/>
    <w:rsid w:val="00803399"/>
    <w:rsid w:val="008043B8"/>
    <w:rsid w:val="00805C9D"/>
    <w:rsid w:val="00806614"/>
    <w:rsid w:val="00807247"/>
    <w:rsid w:val="00810FEA"/>
    <w:rsid w:val="00812C80"/>
    <w:rsid w:val="0081374E"/>
    <w:rsid w:val="00813779"/>
    <w:rsid w:val="00813C20"/>
    <w:rsid w:val="00814181"/>
    <w:rsid w:val="008143C1"/>
    <w:rsid w:val="00814BA4"/>
    <w:rsid w:val="00814D7C"/>
    <w:rsid w:val="008171C9"/>
    <w:rsid w:val="00817422"/>
    <w:rsid w:val="00820758"/>
    <w:rsid w:val="00822013"/>
    <w:rsid w:val="00825E47"/>
    <w:rsid w:val="00825FE2"/>
    <w:rsid w:val="008273C5"/>
    <w:rsid w:val="00827BB8"/>
    <w:rsid w:val="0083067A"/>
    <w:rsid w:val="00830B10"/>
    <w:rsid w:val="00832110"/>
    <w:rsid w:val="008330D3"/>
    <w:rsid w:val="0083310A"/>
    <w:rsid w:val="0083314F"/>
    <w:rsid w:val="008335B7"/>
    <w:rsid w:val="0083677A"/>
    <w:rsid w:val="0083707E"/>
    <w:rsid w:val="00837201"/>
    <w:rsid w:val="00837234"/>
    <w:rsid w:val="00837F05"/>
    <w:rsid w:val="00840C2B"/>
    <w:rsid w:val="00844994"/>
    <w:rsid w:val="00844D73"/>
    <w:rsid w:val="00845793"/>
    <w:rsid w:val="00846EE5"/>
    <w:rsid w:val="008523EF"/>
    <w:rsid w:val="008527E8"/>
    <w:rsid w:val="00853623"/>
    <w:rsid w:val="00854073"/>
    <w:rsid w:val="00854789"/>
    <w:rsid w:val="008561F7"/>
    <w:rsid w:val="00857743"/>
    <w:rsid w:val="0086301C"/>
    <w:rsid w:val="008631E3"/>
    <w:rsid w:val="00865451"/>
    <w:rsid w:val="008662A7"/>
    <w:rsid w:val="00866E93"/>
    <w:rsid w:val="008732F4"/>
    <w:rsid w:val="008739FD"/>
    <w:rsid w:val="00873BAE"/>
    <w:rsid w:val="0087430A"/>
    <w:rsid w:val="00874428"/>
    <w:rsid w:val="0087477D"/>
    <w:rsid w:val="00876951"/>
    <w:rsid w:val="008772D3"/>
    <w:rsid w:val="00880DFA"/>
    <w:rsid w:val="00881ACB"/>
    <w:rsid w:val="0088391A"/>
    <w:rsid w:val="008862EF"/>
    <w:rsid w:val="008870F8"/>
    <w:rsid w:val="0088781B"/>
    <w:rsid w:val="008879A4"/>
    <w:rsid w:val="00887A23"/>
    <w:rsid w:val="008906FD"/>
    <w:rsid w:val="00891052"/>
    <w:rsid w:val="008910B4"/>
    <w:rsid w:val="00891B6C"/>
    <w:rsid w:val="00891D2A"/>
    <w:rsid w:val="00892AF4"/>
    <w:rsid w:val="00892ED3"/>
    <w:rsid w:val="00893B3D"/>
    <w:rsid w:val="00894F63"/>
    <w:rsid w:val="00895F46"/>
    <w:rsid w:val="008A0DCB"/>
    <w:rsid w:val="008A28E7"/>
    <w:rsid w:val="008A324D"/>
    <w:rsid w:val="008A52B4"/>
    <w:rsid w:val="008A5A77"/>
    <w:rsid w:val="008A647F"/>
    <w:rsid w:val="008A6B14"/>
    <w:rsid w:val="008A7CBE"/>
    <w:rsid w:val="008B338A"/>
    <w:rsid w:val="008B3821"/>
    <w:rsid w:val="008B521F"/>
    <w:rsid w:val="008B52A8"/>
    <w:rsid w:val="008B5343"/>
    <w:rsid w:val="008B5514"/>
    <w:rsid w:val="008B6E01"/>
    <w:rsid w:val="008C461F"/>
    <w:rsid w:val="008C462C"/>
    <w:rsid w:val="008C4BEC"/>
    <w:rsid w:val="008C7507"/>
    <w:rsid w:val="008C7717"/>
    <w:rsid w:val="008C7AD3"/>
    <w:rsid w:val="008D00FA"/>
    <w:rsid w:val="008D063F"/>
    <w:rsid w:val="008D14B8"/>
    <w:rsid w:val="008D1B79"/>
    <w:rsid w:val="008D274C"/>
    <w:rsid w:val="008D29FF"/>
    <w:rsid w:val="008D4089"/>
    <w:rsid w:val="008D40D5"/>
    <w:rsid w:val="008D5DBE"/>
    <w:rsid w:val="008D67F0"/>
    <w:rsid w:val="008E07C1"/>
    <w:rsid w:val="008E0C3A"/>
    <w:rsid w:val="008E1093"/>
    <w:rsid w:val="008E27EC"/>
    <w:rsid w:val="008E2FB1"/>
    <w:rsid w:val="008E372C"/>
    <w:rsid w:val="008E3E6A"/>
    <w:rsid w:val="008E4A83"/>
    <w:rsid w:val="008E56D5"/>
    <w:rsid w:val="008E5C89"/>
    <w:rsid w:val="008E6498"/>
    <w:rsid w:val="008E6B02"/>
    <w:rsid w:val="008F0C31"/>
    <w:rsid w:val="008F0C5E"/>
    <w:rsid w:val="008F3F07"/>
    <w:rsid w:val="008F454A"/>
    <w:rsid w:val="008F5B06"/>
    <w:rsid w:val="008F5CEB"/>
    <w:rsid w:val="008F62C5"/>
    <w:rsid w:val="00900940"/>
    <w:rsid w:val="00900B3A"/>
    <w:rsid w:val="0090114D"/>
    <w:rsid w:val="00904B7B"/>
    <w:rsid w:val="0090520D"/>
    <w:rsid w:val="00905447"/>
    <w:rsid w:val="009078B9"/>
    <w:rsid w:val="009079A5"/>
    <w:rsid w:val="00907EE4"/>
    <w:rsid w:val="00910976"/>
    <w:rsid w:val="0091189F"/>
    <w:rsid w:val="00911E46"/>
    <w:rsid w:val="0091339E"/>
    <w:rsid w:val="00913B5C"/>
    <w:rsid w:val="0091408F"/>
    <w:rsid w:val="0091503E"/>
    <w:rsid w:val="00916A23"/>
    <w:rsid w:val="00916A6C"/>
    <w:rsid w:val="00916FF5"/>
    <w:rsid w:val="009170CC"/>
    <w:rsid w:val="009172FD"/>
    <w:rsid w:val="009206F0"/>
    <w:rsid w:val="00920A74"/>
    <w:rsid w:val="00922903"/>
    <w:rsid w:val="00922D69"/>
    <w:rsid w:val="0092385D"/>
    <w:rsid w:val="009261BA"/>
    <w:rsid w:val="009263ED"/>
    <w:rsid w:val="00926F45"/>
    <w:rsid w:val="009270DE"/>
    <w:rsid w:val="00927EF9"/>
    <w:rsid w:val="00933396"/>
    <w:rsid w:val="00933746"/>
    <w:rsid w:val="00933B3E"/>
    <w:rsid w:val="00934536"/>
    <w:rsid w:val="00937518"/>
    <w:rsid w:val="0094243B"/>
    <w:rsid w:val="00943A00"/>
    <w:rsid w:val="00944BB0"/>
    <w:rsid w:val="00946581"/>
    <w:rsid w:val="009466F4"/>
    <w:rsid w:val="00947113"/>
    <w:rsid w:val="00950827"/>
    <w:rsid w:val="009605AF"/>
    <w:rsid w:val="00960BCD"/>
    <w:rsid w:val="0096295F"/>
    <w:rsid w:val="009629D4"/>
    <w:rsid w:val="009638F0"/>
    <w:rsid w:val="00964131"/>
    <w:rsid w:val="00965048"/>
    <w:rsid w:val="00967978"/>
    <w:rsid w:val="00967E74"/>
    <w:rsid w:val="00970B72"/>
    <w:rsid w:val="00970E8F"/>
    <w:rsid w:val="009740B5"/>
    <w:rsid w:val="00974BF2"/>
    <w:rsid w:val="009802C7"/>
    <w:rsid w:val="00980BF5"/>
    <w:rsid w:val="00980F49"/>
    <w:rsid w:val="009830B3"/>
    <w:rsid w:val="0098471E"/>
    <w:rsid w:val="00984A76"/>
    <w:rsid w:val="009860CC"/>
    <w:rsid w:val="0099055D"/>
    <w:rsid w:val="009929C2"/>
    <w:rsid w:val="00993B53"/>
    <w:rsid w:val="0099554D"/>
    <w:rsid w:val="00995F77"/>
    <w:rsid w:val="009961F2"/>
    <w:rsid w:val="00996A8E"/>
    <w:rsid w:val="00996D32"/>
    <w:rsid w:val="00997486"/>
    <w:rsid w:val="009A0CD4"/>
    <w:rsid w:val="009A1E4B"/>
    <w:rsid w:val="009A2526"/>
    <w:rsid w:val="009A5220"/>
    <w:rsid w:val="009A675E"/>
    <w:rsid w:val="009A6F54"/>
    <w:rsid w:val="009B072A"/>
    <w:rsid w:val="009B07FE"/>
    <w:rsid w:val="009B10A8"/>
    <w:rsid w:val="009B1895"/>
    <w:rsid w:val="009B1A7E"/>
    <w:rsid w:val="009B297A"/>
    <w:rsid w:val="009B6085"/>
    <w:rsid w:val="009B64A9"/>
    <w:rsid w:val="009B73E5"/>
    <w:rsid w:val="009B79C3"/>
    <w:rsid w:val="009C0A62"/>
    <w:rsid w:val="009C17B8"/>
    <w:rsid w:val="009C2F6D"/>
    <w:rsid w:val="009C3462"/>
    <w:rsid w:val="009C377A"/>
    <w:rsid w:val="009C3FB8"/>
    <w:rsid w:val="009C4796"/>
    <w:rsid w:val="009C6A71"/>
    <w:rsid w:val="009C6D6E"/>
    <w:rsid w:val="009C72C5"/>
    <w:rsid w:val="009D01BC"/>
    <w:rsid w:val="009D048D"/>
    <w:rsid w:val="009D05BF"/>
    <w:rsid w:val="009D0A5F"/>
    <w:rsid w:val="009D4B48"/>
    <w:rsid w:val="009D6DDE"/>
    <w:rsid w:val="009D766B"/>
    <w:rsid w:val="009E350C"/>
    <w:rsid w:val="009E35AF"/>
    <w:rsid w:val="009E44DA"/>
    <w:rsid w:val="009E4972"/>
    <w:rsid w:val="009E4AC4"/>
    <w:rsid w:val="009E55E8"/>
    <w:rsid w:val="009E598D"/>
    <w:rsid w:val="009E5E69"/>
    <w:rsid w:val="009E619D"/>
    <w:rsid w:val="009E64E2"/>
    <w:rsid w:val="009E6F93"/>
    <w:rsid w:val="009E75EE"/>
    <w:rsid w:val="009E7685"/>
    <w:rsid w:val="009F03B1"/>
    <w:rsid w:val="009F1156"/>
    <w:rsid w:val="009F115A"/>
    <w:rsid w:val="009F131F"/>
    <w:rsid w:val="009F1BD9"/>
    <w:rsid w:val="009F24CE"/>
    <w:rsid w:val="009F3C92"/>
    <w:rsid w:val="009F4957"/>
    <w:rsid w:val="009F502A"/>
    <w:rsid w:val="009F580D"/>
    <w:rsid w:val="009F5FF6"/>
    <w:rsid w:val="009F6915"/>
    <w:rsid w:val="00A01C1C"/>
    <w:rsid w:val="00A01F43"/>
    <w:rsid w:val="00A02584"/>
    <w:rsid w:val="00A02874"/>
    <w:rsid w:val="00A02AA0"/>
    <w:rsid w:val="00A05209"/>
    <w:rsid w:val="00A06B32"/>
    <w:rsid w:val="00A07CE7"/>
    <w:rsid w:val="00A07F1D"/>
    <w:rsid w:val="00A1104C"/>
    <w:rsid w:val="00A11E4C"/>
    <w:rsid w:val="00A126E0"/>
    <w:rsid w:val="00A12C80"/>
    <w:rsid w:val="00A15F5F"/>
    <w:rsid w:val="00A20D04"/>
    <w:rsid w:val="00A22870"/>
    <w:rsid w:val="00A22F67"/>
    <w:rsid w:val="00A24642"/>
    <w:rsid w:val="00A2492D"/>
    <w:rsid w:val="00A2572C"/>
    <w:rsid w:val="00A25E7A"/>
    <w:rsid w:val="00A25EEF"/>
    <w:rsid w:val="00A303CD"/>
    <w:rsid w:val="00A30C6A"/>
    <w:rsid w:val="00A3186C"/>
    <w:rsid w:val="00A32BF0"/>
    <w:rsid w:val="00A34810"/>
    <w:rsid w:val="00A34A71"/>
    <w:rsid w:val="00A366AE"/>
    <w:rsid w:val="00A36D09"/>
    <w:rsid w:val="00A36DE3"/>
    <w:rsid w:val="00A3743B"/>
    <w:rsid w:val="00A3749C"/>
    <w:rsid w:val="00A37B60"/>
    <w:rsid w:val="00A44807"/>
    <w:rsid w:val="00A45668"/>
    <w:rsid w:val="00A4583F"/>
    <w:rsid w:val="00A47276"/>
    <w:rsid w:val="00A47FCE"/>
    <w:rsid w:val="00A50B3F"/>
    <w:rsid w:val="00A51751"/>
    <w:rsid w:val="00A540DA"/>
    <w:rsid w:val="00A5436A"/>
    <w:rsid w:val="00A55AF3"/>
    <w:rsid w:val="00A57495"/>
    <w:rsid w:val="00A5760B"/>
    <w:rsid w:val="00A6057A"/>
    <w:rsid w:val="00A6133D"/>
    <w:rsid w:val="00A617E9"/>
    <w:rsid w:val="00A61C44"/>
    <w:rsid w:val="00A634A0"/>
    <w:rsid w:val="00A64203"/>
    <w:rsid w:val="00A702AC"/>
    <w:rsid w:val="00A72D3A"/>
    <w:rsid w:val="00A74017"/>
    <w:rsid w:val="00A7406F"/>
    <w:rsid w:val="00A7453B"/>
    <w:rsid w:val="00A74CAE"/>
    <w:rsid w:val="00A74D56"/>
    <w:rsid w:val="00A74EF9"/>
    <w:rsid w:val="00A75D52"/>
    <w:rsid w:val="00A7663B"/>
    <w:rsid w:val="00A77671"/>
    <w:rsid w:val="00A80017"/>
    <w:rsid w:val="00A80249"/>
    <w:rsid w:val="00A821FC"/>
    <w:rsid w:val="00A82FE2"/>
    <w:rsid w:val="00A831E8"/>
    <w:rsid w:val="00A83565"/>
    <w:rsid w:val="00A84B46"/>
    <w:rsid w:val="00A84DE0"/>
    <w:rsid w:val="00A86881"/>
    <w:rsid w:val="00A868EA"/>
    <w:rsid w:val="00A86A10"/>
    <w:rsid w:val="00A86F98"/>
    <w:rsid w:val="00A950AF"/>
    <w:rsid w:val="00A958CB"/>
    <w:rsid w:val="00A96436"/>
    <w:rsid w:val="00A97294"/>
    <w:rsid w:val="00AA1BBE"/>
    <w:rsid w:val="00AA1C16"/>
    <w:rsid w:val="00AA2C17"/>
    <w:rsid w:val="00AA2CE4"/>
    <w:rsid w:val="00AA332C"/>
    <w:rsid w:val="00AA3CB0"/>
    <w:rsid w:val="00AA42BD"/>
    <w:rsid w:val="00AA470B"/>
    <w:rsid w:val="00AA51CC"/>
    <w:rsid w:val="00AA61EF"/>
    <w:rsid w:val="00AA6361"/>
    <w:rsid w:val="00AA6D42"/>
    <w:rsid w:val="00AA74E9"/>
    <w:rsid w:val="00AB0AB0"/>
    <w:rsid w:val="00AB1895"/>
    <w:rsid w:val="00AB1AB3"/>
    <w:rsid w:val="00AB4A80"/>
    <w:rsid w:val="00AB5284"/>
    <w:rsid w:val="00AB7D00"/>
    <w:rsid w:val="00AC0D96"/>
    <w:rsid w:val="00AC171B"/>
    <w:rsid w:val="00AC27F8"/>
    <w:rsid w:val="00AC5E31"/>
    <w:rsid w:val="00AC722A"/>
    <w:rsid w:val="00AD020C"/>
    <w:rsid w:val="00AD1EAF"/>
    <w:rsid w:val="00AD26D4"/>
    <w:rsid w:val="00AD4C72"/>
    <w:rsid w:val="00AD56A9"/>
    <w:rsid w:val="00AD5A9D"/>
    <w:rsid w:val="00AD6C88"/>
    <w:rsid w:val="00AD6CD2"/>
    <w:rsid w:val="00AD7911"/>
    <w:rsid w:val="00AE12CB"/>
    <w:rsid w:val="00AE2AEE"/>
    <w:rsid w:val="00AE36C0"/>
    <w:rsid w:val="00AE4031"/>
    <w:rsid w:val="00AE45D1"/>
    <w:rsid w:val="00AF0CD8"/>
    <w:rsid w:val="00AF141B"/>
    <w:rsid w:val="00AF51DA"/>
    <w:rsid w:val="00B00802"/>
    <w:rsid w:val="00B00C33"/>
    <w:rsid w:val="00B011EE"/>
    <w:rsid w:val="00B02CC3"/>
    <w:rsid w:val="00B03FB2"/>
    <w:rsid w:val="00B040EE"/>
    <w:rsid w:val="00B04116"/>
    <w:rsid w:val="00B04BEB"/>
    <w:rsid w:val="00B05E47"/>
    <w:rsid w:val="00B05E68"/>
    <w:rsid w:val="00B109DE"/>
    <w:rsid w:val="00B11F77"/>
    <w:rsid w:val="00B12265"/>
    <w:rsid w:val="00B1289E"/>
    <w:rsid w:val="00B14A85"/>
    <w:rsid w:val="00B15FFC"/>
    <w:rsid w:val="00B1708C"/>
    <w:rsid w:val="00B17332"/>
    <w:rsid w:val="00B179F1"/>
    <w:rsid w:val="00B20689"/>
    <w:rsid w:val="00B206C9"/>
    <w:rsid w:val="00B20F91"/>
    <w:rsid w:val="00B217F8"/>
    <w:rsid w:val="00B22066"/>
    <w:rsid w:val="00B224F6"/>
    <w:rsid w:val="00B2262A"/>
    <w:rsid w:val="00B22652"/>
    <w:rsid w:val="00B230EC"/>
    <w:rsid w:val="00B23C08"/>
    <w:rsid w:val="00B25FAE"/>
    <w:rsid w:val="00B2601D"/>
    <w:rsid w:val="00B33193"/>
    <w:rsid w:val="00B3695F"/>
    <w:rsid w:val="00B36CC5"/>
    <w:rsid w:val="00B41001"/>
    <w:rsid w:val="00B42169"/>
    <w:rsid w:val="00B42867"/>
    <w:rsid w:val="00B42CF3"/>
    <w:rsid w:val="00B433DA"/>
    <w:rsid w:val="00B434FF"/>
    <w:rsid w:val="00B447FC"/>
    <w:rsid w:val="00B4791E"/>
    <w:rsid w:val="00B479F9"/>
    <w:rsid w:val="00B508DD"/>
    <w:rsid w:val="00B5113F"/>
    <w:rsid w:val="00B52280"/>
    <w:rsid w:val="00B529FA"/>
    <w:rsid w:val="00B54746"/>
    <w:rsid w:val="00B561E3"/>
    <w:rsid w:val="00B561E7"/>
    <w:rsid w:val="00B5622E"/>
    <w:rsid w:val="00B566F6"/>
    <w:rsid w:val="00B566F7"/>
    <w:rsid w:val="00B57852"/>
    <w:rsid w:val="00B605D8"/>
    <w:rsid w:val="00B610D0"/>
    <w:rsid w:val="00B61487"/>
    <w:rsid w:val="00B614D1"/>
    <w:rsid w:val="00B649C8"/>
    <w:rsid w:val="00B663C5"/>
    <w:rsid w:val="00B6669B"/>
    <w:rsid w:val="00B6701A"/>
    <w:rsid w:val="00B71050"/>
    <w:rsid w:val="00B71C42"/>
    <w:rsid w:val="00B74111"/>
    <w:rsid w:val="00B747DA"/>
    <w:rsid w:val="00B75231"/>
    <w:rsid w:val="00B75B30"/>
    <w:rsid w:val="00B75E4D"/>
    <w:rsid w:val="00B77C19"/>
    <w:rsid w:val="00B80715"/>
    <w:rsid w:val="00B80D05"/>
    <w:rsid w:val="00B80FFF"/>
    <w:rsid w:val="00B8125F"/>
    <w:rsid w:val="00B83085"/>
    <w:rsid w:val="00B84139"/>
    <w:rsid w:val="00B86B36"/>
    <w:rsid w:val="00B9258A"/>
    <w:rsid w:val="00B93BC4"/>
    <w:rsid w:val="00B945B3"/>
    <w:rsid w:val="00B94A15"/>
    <w:rsid w:val="00B94EDF"/>
    <w:rsid w:val="00B967B1"/>
    <w:rsid w:val="00B967E1"/>
    <w:rsid w:val="00B97BC9"/>
    <w:rsid w:val="00BA2953"/>
    <w:rsid w:val="00BA3514"/>
    <w:rsid w:val="00BA6162"/>
    <w:rsid w:val="00BA63F2"/>
    <w:rsid w:val="00BA70AA"/>
    <w:rsid w:val="00BA7169"/>
    <w:rsid w:val="00BA7601"/>
    <w:rsid w:val="00BA7F0C"/>
    <w:rsid w:val="00BB1192"/>
    <w:rsid w:val="00BB1DF4"/>
    <w:rsid w:val="00BB1F84"/>
    <w:rsid w:val="00BB3071"/>
    <w:rsid w:val="00BB3F3C"/>
    <w:rsid w:val="00BB6A81"/>
    <w:rsid w:val="00BB74AF"/>
    <w:rsid w:val="00BC12F0"/>
    <w:rsid w:val="00BC1577"/>
    <w:rsid w:val="00BC276B"/>
    <w:rsid w:val="00BC2B8F"/>
    <w:rsid w:val="00BC3BEE"/>
    <w:rsid w:val="00BC452C"/>
    <w:rsid w:val="00BC4ADE"/>
    <w:rsid w:val="00BC544F"/>
    <w:rsid w:val="00BC5DA8"/>
    <w:rsid w:val="00BC7604"/>
    <w:rsid w:val="00BC7C50"/>
    <w:rsid w:val="00BD047C"/>
    <w:rsid w:val="00BD0D83"/>
    <w:rsid w:val="00BD11EF"/>
    <w:rsid w:val="00BD1AA3"/>
    <w:rsid w:val="00BD294E"/>
    <w:rsid w:val="00BD2BCC"/>
    <w:rsid w:val="00BD2DB3"/>
    <w:rsid w:val="00BD306A"/>
    <w:rsid w:val="00BD5239"/>
    <w:rsid w:val="00BD5586"/>
    <w:rsid w:val="00BD55B1"/>
    <w:rsid w:val="00BD7F39"/>
    <w:rsid w:val="00BE1DCB"/>
    <w:rsid w:val="00BE1E9C"/>
    <w:rsid w:val="00BE3A19"/>
    <w:rsid w:val="00BE3D10"/>
    <w:rsid w:val="00BE4047"/>
    <w:rsid w:val="00BE41A6"/>
    <w:rsid w:val="00BE42FB"/>
    <w:rsid w:val="00BE5468"/>
    <w:rsid w:val="00BE7D3A"/>
    <w:rsid w:val="00BF12F2"/>
    <w:rsid w:val="00BF306A"/>
    <w:rsid w:val="00BF3418"/>
    <w:rsid w:val="00BF3854"/>
    <w:rsid w:val="00BF3FB6"/>
    <w:rsid w:val="00BF41F4"/>
    <w:rsid w:val="00BF45CB"/>
    <w:rsid w:val="00BF4A39"/>
    <w:rsid w:val="00BF57CB"/>
    <w:rsid w:val="00BF6735"/>
    <w:rsid w:val="00BF7090"/>
    <w:rsid w:val="00BF71CA"/>
    <w:rsid w:val="00BF754B"/>
    <w:rsid w:val="00BF7AF0"/>
    <w:rsid w:val="00C032E7"/>
    <w:rsid w:val="00C033CB"/>
    <w:rsid w:val="00C036A3"/>
    <w:rsid w:val="00C03D2A"/>
    <w:rsid w:val="00C059B1"/>
    <w:rsid w:val="00C064DA"/>
    <w:rsid w:val="00C07A19"/>
    <w:rsid w:val="00C103B2"/>
    <w:rsid w:val="00C103E6"/>
    <w:rsid w:val="00C11EAC"/>
    <w:rsid w:val="00C120DA"/>
    <w:rsid w:val="00C14C4B"/>
    <w:rsid w:val="00C15E16"/>
    <w:rsid w:val="00C15E42"/>
    <w:rsid w:val="00C178F9"/>
    <w:rsid w:val="00C21D17"/>
    <w:rsid w:val="00C241EB"/>
    <w:rsid w:val="00C24ACD"/>
    <w:rsid w:val="00C26C23"/>
    <w:rsid w:val="00C30F2A"/>
    <w:rsid w:val="00C31843"/>
    <w:rsid w:val="00C318AD"/>
    <w:rsid w:val="00C336A9"/>
    <w:rsid w:val="00C34309"/>
    <w:rsid w:val="00C34CA7"/>
    <w:rsid w:val="00C35B30"/>
    <w:rsid w:val="00C35D2E"/>
    <w:rsid w:val="00C36AC1"/>
    <w:rsid w:val="00C420A0"/>
    <w:rsid w:val="00C42C5A"/>
    <w:rsid w:val="00C43456"/>
    <w:rsid w:val="00C43BB1"/>
    <w:rsid w:val="00C450EF"/>
    <w:rsid w:val="00C45388"/>
    <w:rsid w:val="00C45816"/>
    <w:rsid w:val="00C462B8"/>
    <w:rsid w:val="00C46A40"/>
    <w:rsid w:val="00C47932"/>
    <w:rsid w:val="00C47CCA"/>
    <w:rsid w:val="00C50B3B"/>
    <w:rsid w:val="00C546DF"/>
    <w:rsid w:val="00C54838"/>
    <w:rsid w:val="00C54A40"/>
    <w:rsid w:val="00C56987"/>
    <w:rsid w:val="00C6035A"/>
    <w:rsid w:val="00C6041A"/>
    <w:rsid w:val="00C60C56"/>
    <w:rsid w:val="00C61C2C"/>
    <w:rsid w:val="00C620B2"/>
    <w:rsid w:val="00C6298A"/>
    <w:rsid w:val="00C62F14"/>
    <w:rsid w:val="00C635FD"/>
    <w:rsid w:val="00C63DDB"/>
    <w:rsid w:val="00C643E6"/>
    <w:rsid w:val="00C64A95"/>
    <w:rsid w:val="00C655C3"/>
    <w:rsid w:val="00C65A07"/>
    <w:rsid w:val="00C65C0C"/>
    <w:rsid w:val="00C66798"/>
    <w:rsid w:val="00C66DA6"/>
    <w:rsid w:val="00C7066C"/>
    <w:rsid w:val="00C717D5"/>
    <w:rsid w:val="00C71C90"/>
    <w:rsid w:val="00C73328"/>
    <w:rsid w:val="00C74C5D"/>
    <w:rsid w:val="00C754E2"/>
    <w:rsid w:val="00C77BAA"/>
    <w:rsid w:val="00C80103"/>
    <w:rsid w:val="00C80136"/>
    <w:rsid w:val="00C808FC"/>
    <w:rsid w:val="00C828FA"/>
    <w:rsid w:val="00C82BE5"/>
    <w:rsid w:val="00C8335D"/>
    <w:rsid w:val="00C855BC"/>
    <w:rsid w:val="00C87CAC"/>
    <w:rsid w:val="00C87D4B"/>
    <w:rsid w:val="00C9028A"/>
    <w:rsid w:val="00C9038A"/>
    <w:rsid w:val="00C94019"/>
    <w:rsid w:val="00C94637"/>
    <w:rsid w:val="00C95F27"/>
    <w:rsid w:val="00C96125"/>
    <w:rsid w:val="00C96D8B"/>
    <w:rsid w:val="00C97392"/>
    <w:rsid w:val="00C97561"/>
    <w:rsid w:val="00CA17F1"/>
    <w:rsid w:val="00CA44B6"/>
    <w:rsid w:val="00CA5CF7"/>
    <w:rsid w:val="00CA5D4C"/>
    <w:rsid w:val="00CA64E8"/>
    <w:rsid w:val="00CB1278"/>
    <w:rsid w:val="00CB3523"/>
    <w:rsid w:val="00CB353E"/>
    <w:rsid w:val="00CB45BE"/>
    <w:rsid w:val="00CB516C"/>
    <w:rsid w:val="00CB6064"/>
    <w:rsid w:val="00CB7200"/>
    <w:rsid w:val="00CC0962"/>
    <w:rsid w:val="00CC09BC"/>
    <w:rsid w:val="00CC1C24"/>
    <w:rsid w:val="00CC1DE0"/>
    <w:rsid w:val="00CC27AB"/>
    <w:rsid w:val="00CC2D50"/>
    <w:rsid w:val="00CC66AA"/>
    <w:rsid w:val="00CC7573"/>
    <w:rsid w:val="00CD37E2"/>
    <w:rsid w:val="00CD77F5"/>
    <w:rsid w:val="00CD7D97"/>
    <w:rsid w:val="00CE0A42"/>
    <w:rsid w:val="00CE1DBB"/>
    <w:rsid w:val="00CE22E7"/>
    <w:rsid w:val="00CE256C"/>
    <w:rsid w:val="00CE2A5B"/>
    <w:rsid w:val="00CE3EE6"/>
    <w:rsid w:val="00CE4B66"/>
    <w:rsid w:val="00CE4BA1"/>
    <w:rsid w:val="00CE5AA3"/>
    <w:rsid w:val="00CE5F65"/>
    <w:rsid w:val="00CE6F65"/>
    <w:rsid w:val="00CE7BED"/>
    <w:rsid w:val="00CF11CA"/>
    <w:rsid w:val="00CF12D6"/>
    <w:rsid w:val="00CF1525"/>
    <w:rsid w:val="00CF19F6"/>
    <w:rsid w:val="00CF37AC"/>
    <w:rsid w:val="00CF45CE"/>
    <w:rsid w:val="00CF48AE"/>
    <w:rsid w:val="00CF6239"/>
    <w:rsid w:val="00CF7439"/>
    <w:rsid w:val="00CF7F8F"/>
    <w:rsid w:val="00D000C7"/>
    <w:rsid w:val="00D00818"/>
    <w:rsid w:val="00D00DEA"/>
    <w:rsid w:val="00D01A3E"/>
    <w:rsid w:val="00D01B28"/>
    <w:rsid w:val="00D070F5"/>
    <w:rsid w:val="00D07613"/>
    <w:rsid w:val="00D10AED"/>
    <w:rsid w:val="00D1199A"/>
    <w:rsid w:val="00D131F8"/>
    <w:rsid w:val="00D16AF4"/>
    <w:rsid w:val="00D17F23"/>
    <w:rsid w:val="00D204A4"/>
    <w:rsid w:val="00D20C6C"/>
    <w:rsid w:val="00D2137F"/>
    <w:rsid w:val="00D21B5F"/>
    <w:rsid w:val="00D240D6"/>
    <w:rsid w:val="00D245CE"/>
    <w:rsid w:val="00D30BD5"/>
    <w:rsid w:val="00D31502"/>
    <w:rsid w:val="00D31A2E"/>
    <w:rsid w:val="00D3201B"/>
    <w:rsid w:val="00D32891"/>
    <w:rsid w:val="00D333A9"/>
    <w:rsid w:val="00D3393B"/>
    <w:rsid w:val="00D339AC"/>
    <w:rsid w:val="00D3459C"/>
    <w:rsid w:val="00D406C3"/>
    <w:rsid w:val="00D40788"/>
    <w:rsid w:val="00D41D68"/>
    <w:rsid w:val="00D4331F"/>
    <w:rsid w:val="00D44227"/>
    <w:rsid w:val="00D44E9D"/>
    <w:rsid w:val="00D452BA"/>
    <w:rsid w:val="00D45E7E"/>
    <w:rsid w:val="00D47044"/>
    <w:rsid w:val="00D476B5"/>
    <w:rsid w:val="00D47DE9"/>
    <w:rsid w:val="00D50435"/>
    <w:rsid w:val="00D51DA6"/>
    <w:rsid w:val="00D52A9D"/>
    <w:rsid w:val="00D52F4A"/>
    <w:rsid w:val="00D55AAD"/>
    <w:rsid w:val="00D561CB"/>
    <w:rsid w:val="00D56DB4"/>
    <w:rsid w:val="00D56E57"/>
    <w:rsid w:val="00D605CB"/>
    <w:rsid w:val="00D61071"/>
    <w:rsid w:val="00D6120C"/>
    <w:rsid w:val="00D61ED9"/>
    <w:rsid w:val="00D62BB5"/>
    <w:rsid w:val="00D63840"/>
    <w:rsid w:val="00D64EB0"/>
    <w:rsid w:val="00D652F8"/>
    <w:rsid w:val="00D65E33"/>
    <w:rsid w:val="00D66631"/>
    <w:rsid w:val="00D6706A"/>
    <w:rsid w:val="00D706F0"/>
    <w:rsid w:val="00D706FD"/>
    <w:rsid w:val="00D72569"/>
    <w:rsid w:val="00D7420E"/>
    <w:rsid w:val="00D747AE"/>
    <w:rsid w:val="00D74E10"/>
    <w:rsid w:val="00D75166"/>
    <w:rsid w:val="00D75920"/>
    <w:rsid w:val="00D7622B"/>
    <w:rsid w:val="00D77404"/>
    <w:rsid w:val="00D82A55"/>
    <w:rsid w:val="00D82CBC"/>
    <w:rsid w:val="00D833C4"/>
    <w:rsid w:val="00D83899"/>
    <w:rsid w:val="00D853B2"/>
    <w:rsid w:val="00D863C3"/>
    <w:rsid w:val="00D867FB"/>
    <w:rsid w:val="00D91881"/>
    <w:rsid w:val="00D9226C"/>
    <w:rsid w:val="00D94FBA"/>
    <w:rsid w:val="00D9570A"/>
    <w:rsid w:val="00D95A02"/>
    <w:rsid w:val="00D95AD3"/>
    <w:rsid w:val="00DA053D"/>
    <w:rsid w:val="00DA10BD"/>
    <w:rsid w:val="00DA20BD"/>
    <w:rsid w:val="00DA4266"/>
    <w:rsid w:val="00DA4C40"/>
    <w:rsid w:val="00DA6276"/>
    <w:rsid w:val="00DA6735"/>
    <w:rsid w:val="00DB1992"/>
    <w:rsid w:val="00DB3B2D"/>
    <w:rsid w:val="00DB71AA"/>
    <w:rsid w:val="00DB7CBA"/>
    <w:rsid w:val="00DB7FAA"/>
    <w:rsid w:val="00DC0318"/>
    <w:rsid w:val="00DC27C0"/>
    <w:rsid w:val="00DC3824"/>
    <w:rsid w:val="00DC4165"/>
    <w:rsid w:val="00DC441C"/>
    <w:rsid w:val="00DC7247"/>
    <w:rsid w:val="00DC798F"/>
    <w:rsid w:val="00DC7D36"/>
    <w:rsid w:val="00DD1285"/>
    <w:rsid w:val="00DD235E"/>
    <w:rsid w:val="00DD27A6"/>
    <w:rsid w:val="00DD2A40"/>
    <w:rsid w:val="00DD35E3"/>
    <w:rsid w:val="00DD4BB2"/>
    <w:rsid w:val="00DD4E13"/>
    <w:rsid w:val="00DD5223"/>
    <w:rsid w:val="00DD53E2"/>
    <w:rsid w:val="00DD5526"/>
    <w:rsid w:val="00DD7AC2"/>
    <w:rsid w:val="00DE0D54"/>
    <w:rsid w:val="00DE15B6"/>
    <w:rsid w:val="00DE217E"/>
    <w:rsid w:val="00DE34D4"/>
    <w:rsid w:val="00DE37F5"/>
    <w:rsid w:val="00DE3C97"/>
    <w:rsid w:val="00DE492A"/>
    <w:rsid w:val="00DE4BE5"/>
    <w:rsid w:val="00DE50DB"/>
    <w:rsid w:val="00DE6AA5"/>
    <w:rsid w:val="00DF0AB9"/>
    <w:rsid w:val="00DF1C5B"/>
    <w:rsid w:val="00DF2743"/>
    <w:rsid w:val="00DF31DD"/>
    <w:rsid w:val="00DF4328"/>
    <w:rsid w:val="00DF564B"/>
    <w:rsid w:val="00DF6AE1"/>
    <w:rsid w:val="00DF746B"/>
    <w:rsid w:val="00E01499"/>
    <w:rsid w:val="00E04BCA"/>
    <w:rsid w:val="00E04DB6"/>
    <w:rsid w:val="00E05384"/>
    <w:rsid w:val="00E069ED"/>
    <w:rsid w:val="00E075D1"/>
    <w:rsid w:val="00E07B46"/>
    <w:rsid w:val="00E12025"/>
    <w:rsid w:val="00E12717"/>
    <w:rsid w:val="00E13453"/>
    <w:rsid w:val="00E135B4"/>
    <w:rsid w:val="00E14464"/>
    <w:rsid w:val="00E14915"/>
    <w:rsid w:val="00E155A5"/>
    <w:rsid w:val="00E2147B"/>
    <w:rsid w:val="00E226E5"/>
    <w:rsid w:val="00E257EB"/>
    <w:rsid w:val="00E25910"/>
    <w:rsid w:val="00E26C68"/>
    <w:rsid w:val="00E320D8"/>
    <w:rsid w:val="00E33145"/>
    <w:rsid w:val="00E333CC"/>
    <w:rsid w:val="00E35293"/>
    <w:rsid w:val="00E4043A"/>
    <w:rsid w:val="00E40EC3"/>
    <w:rsid w:val="00E44295"/>
    <w:rsid w:val="00E447FD"/>
    <w:rsid w:val="00E44AAD"/>
    <w:rsid w:val="00E45670"/>
    <w:rsid w:val="00E4676C"/>
    <w:rsid w:val="00E46FD5"/>
    <w:rsid w:val="00E50E17"/>
    <w:rsid w:val="00E5189A"/>
    <w:rsid w:val="00E544BB"/>
    <w:rsid w:val="00E5508D"/>
    <w:rsid w:val="00E56545"/>
    <w:rsid w:val="00E57E51"/>
    <w:rsid w:val="00E602AF"/>
    <w:rsid w:val="00E65047"/>
    <w:rsid w:val="00E65949"/>
    <w:rsid w:val="00E659B8"/>
    <w:rsid w:val="00E65B76"/>
    <w:rsid w:val="00E66444"/>
    <w:rsid w:val="00E671BF"/>
    <w:rsid w:val="00E67C6B"/>
    <w:rsid w:val="00E70C92"/>
    <w:rsid w:val="00E7154E"/>
    <w:rsid w:val="00E71B63"/>
    <w:rsid w:val="00E71D4B"/>
    <w:rsid w:val="00E71D66"/>
    <w:rsid w:val="00E72622"/>
    <w:rsid w:val="00E7451C"/>
    <w:rsid w:val="00E748C4"/>
    <w:rsid w:val="00E76774"/>
    <w:rsid w:val="00E77E40"/>
    <w:rsid w:val="00E80766"/>
    <w:rsid w:val="00E82767"/>
    <w:rsid w:val="00E84F44"/>
    <w:rsid w:val="00E9178F"/>
    <w:rsid w:val="00E97136"/>
    <w:rsid w:val="00E97491"/>
    <w:rsid w:val="00EA017E"/>
    <w:rsid w:val="00EA08C3"/>
    <w:rsid w:val="00EA0A83"/>
    <w:rsid w:val="00EA1099"/>
    <w:rsid w:val="00EA15E1"/>
    <w:rsid w:val="00EA160D"/>
    <w:rsid w:val="00EA53E8"/>
    <w:rsid w:val="00EA5D4F"/>
    <w:rsid w:val="00EA664D"/>
    <w:rsid w:val="00EA6E18"/>
    <w:rsid w:val="00EA74DA"/>
    <w:rsid w:val="00EB04F2"/>
    <w:rsid w:val="00EB1E30"/>
    <w:rsid w:val="00EB25D9"/>
    <w:rsid w:val="00EB2DB7"/>
    <w:rsid w:val="00EB6476"/>
    <w:rsid w:val="00EB6735"/>
    <w:rsid w:val="00EB6C56"/>
    <w:rsid w:val="00EC056D"/>
    <w:rsid w:val="00EC25BC"/>
    <w:rsid w:val="00EC2BE1"/>
    <w:rsid w:val="00EC3067"/>
    <w:rsid w:val="00EC31EC"/>
    <w:rsid w:val="00EC53DF"/>
    <w:rsid w:val="00EC62AC"/>
    <w:rsid w:val="00EC72BB"/>
    <w:rsid w:val="00ED0381"/>
    <w:rsid w:val="00ED03B9"/>
    <w:rsid w:val="00ED08D3"/>
    <w:rsid w:val="00ED397B"/>
    <w:rsid w:val="00ED4045"/>
    <w:rsid w:val="00ED488F"/>
    <w:rsid w:val="00ED54E0"/>
    <w:rsid w:val="00ED63B6"/>
    <w:rsid w:val="00ED73B1"/>
    <w:rsid w:val="00ED7E39"/>
    <w:rsid w:val="00EE0573"/>
    <w:rsid w:val="00EE1441"/>
    <w:rsid w:val="00EE188C"/>
    <w:rsid w:val="00EE1AE2"/>
    <w:rsid w:val="00EE1BD5"/>
    <w:rsid w:val="00EE28DA"/>
    <w:rsid w:val="00EE2DFF"/>
    <w:rsid w:val="00EE3A6F"/>
    <w:rsid w:val="00EE4808"/>
    <w:rsid w:val="00EE6215"/>
    <w:rsid w:val="00EE6AA3"/>
    <w:rsid w:val="00EE717C"/>
    <w:rsid w:val="00EE7F5C"/>
    <w:rsid w:val="00EF0DC7"/>
    <w:rsid w:val="00EF1B23"/>
    <w:rsid w:val="00EF63B5"/>
    <w:rsid w:val="00EF6514"/>
    <w:rsid w:val="00F0012A"/>
    <w:rsid w:val="00F00138"/>
    <w:rsid w:val="00F03207"/>
    <w:rsid w:val="00F03866"/>
    <w:rsid w:val="00F03C39"/>
    <w:rsid w:val="00F05111"/>
    <w:rsid w:val="00F06535"/>
    <w:rsid w:val="00F065FB"/>
    <w:rsid w:val="00F06863"/>
    <w:rsid w:val="00F0772E"/>
    <w:rsid w:val="00F15CD6"/>
    <w:rsid w:val="00F15F24"/>
    <w:rsid w:val="00F16F57"/>
    <w:rsid w:val="00F20194"/>
    <w:rsid w:val="00F2105D"/>
    <w:rsid w:val="00F2179C"/>
    <w:rsid w:val="00F21E43"/>
    <w:rsid w:val="00F21FA7"/>
    <w:rsid w:val="00F22314"/>
    <w:rsid w:val="00F22BFA"/>
    <w:rsid w:val="00F23369"/>
    <w:rsid w:val="00F23BFA"/>
    <w:rsid w:val="00F25695"/>
    <w:rsid w:val="00F256E7"/>
    <w:rsid w:val="00F26BC8"/>
    <w:rsid w:val="00F27503"/>
    <w:rsid w:val="00F279E8"/>
    <w:rsid w:val="00F27C98"/>
    <w:rsid w:val="00F30071"/>
    <w:rsid w:val="00F31AC0"/>
    <w:rsid w:val="00F31DA5"/>
    <w:rsid w:val="00F31FCD"/>
    <w:rsid w:val="00F32397"/>
    <w:rsid w:val="00F32B43"/>
    <w:rsid w:val="00F32D90"/>
    <w:rsid w:val="00F34006"/>
    <w:rsid w:val="00F3412B"/>
    <w:rsid w:val="00F35A4A"/>
    <w:rsid w:val="00F35D3C"/>
    <w:rsid w:val="00F369DF"/>
    <w:rsid w:val="00F371AC"/>
    <w:rsid w:val="00F40595"/>
    <w:rsid w:val="00F41F68"/>
    <w:rsid w:val="00F42278"/>
    <w:rsid w:val="00F44403"/>
    <w:rsid w:val="00F44F53"/>
    <w:rsid w:val="00F47F1F"/>
    <w:rsid w:val="00F5487E"/>
    <w:rsid w:val="00F607DB"/>
    <w:rsid w:val="00F6187C"/>
    <w:rsid w:val="00F61ED1"/>
    <w:rsid w:val="00F65556"/>
    <w:rsid w:val="00F657F8"/>
    <w:rsid w:val="00F659A6"/>
    <w:rsid w:val="00F67E11"/>
    <w:rsid w:val="00F7164F"/>
    <w:rsid w:val="00F718F4"/>
    <w:rsid w:val="00F757FC"/>
    <w:rsid w:val="00F7601E"/>
    <w:rsid w:val="00F762C6"/>
    <w:rsid w:val="00F82417"/>
    <w:rsid w:val="00F8502A"/>
    <w:rsid w:val="00F850C1"/>
    <w:rsid w:val="00F853CB"/>
    <w:rsid w:val="00F85696"/>
    <w:rsid w:val="00F856B9"/>
    <w:rsid w:val="00F85A6D"/>
    <w:rsid w:val="00F86C52"/>
    <w:rsid w:val="00F8723F"/>
    <w:rsid w:val="00F87805"/>
    <w:rsid w:val="00F87F48"/>
    <w:rsid w:val="00F90014"/>
    <w:rsid w:val="00F91162"/>
    <w:rsid w:val="00F92005"/>
    <w:rsid w:val="00F92483"/>
    <w:rsid w:val="00F9296B"/>
    <w:rsid w:val="00F934E1"/>
    <w:rsid w:val="00F93601"/>
    <w:rsid w:val="00F93EBE"/>
    <w:rsid w:val="00F94718"/>
    <w:rsid w:val="00F94CBE"/>
    <w:rsid w:val="00FA0282"/>
    <w:rsid w:val="00FA1322"/>
    <w:rsid w:val="00FA22D0"/>
    <w:rsid w:val="00FA5158"/>
    <w:rsid w:val="00FA5847"/>
    <w:rsid w:val="00FA5C92"/>
    <w:rsid w:val="00FA5EBC"/>
    <w:rsid w:val="00FA747A"/>
    <w:rsid w:val="00FA7911"/>
    <w:rsid w:val="00FB01D1"/>
    <w:rsid w:val="00FB0912"/>
    <w:rsid w:val="00FB135C"/>
    <w:rsid w:val="00FB2CD9"/>
    <w:rsid w:val="00FB3879"/>
    <w:rsid w:val="00FB5CF5"/>
    <w:rsid w:val="00FB6F06"/>
    <w:rsid w:val="00FC11C4"/>
    <w:rsid w:val="00FC213C"/>
    <w:rsid w:val="00FC244C"/>
    <w:rsid w:val="00FC2AC1"/>
    <w:rsid w:val="00FC4B56"/>
    <w:rsid w:val="00FC5EE4"/>
    <w:rsid w:val="00FC642A"/>
    <w:rsid w:val="00FD10F6"/>
    <w:rsid w:val="00FD1E1B"/>
    <w:rsid w:val="00FD224A"/>
    <w:rsid w:val="00FD22FB"/>
    <w:rsid w:val="00FD344D"/>
    <w:rsid w:val="00FD4CF8"/>
    <w:rsid w:val="00FD5076"/>
    <w:rsid w:val="00FD6E15"/>
    <w:rsid w:val="00FD6FF1"/>
    <w:rsid w:val="00FD7A10"/>
    <w:rsid w:val="00FE0BDE"/>
    <w:rsid w:val="00FE0C0C"/>
    <w:rsid w:val="00FE2E75"/>
    <w:rsid w:val="00FE3C46"/>
    <w:rsid w:val="00FE4107"/>
    <w:rsid w:val="00FE4B50"/>
    <w:rsid w:val="00FE6654"/>
    <w:rsid w:val="00FF0C72"/>
    <w:rsid w:val="00FF1478"/>
    <w:rsid w:val="00FF28CE"/>
    <w:rsid w:val="00FF442E"/>
    <w:rsid w:val="00FF4616"/>
    <w:rsid w:val="00FF5733"/>
    <w:rsid w:val="00FF5C6C"/>
    <w:rsid w:val="00FF5E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1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spacing w:after="160" w:line="259" w:lineRule="auto"/>
      </w:pPr>
    </w:pPrDefault>
  </w:docDefaults>
  <w:latentStyles w:defLockedState="0" w:defUIPriority="99" w:defSemiHidden="0" w:defUnhideWhenUsed="0" w:defQFormat="1" w:count="376">
    <w:lsdException w:name="Normal" w:uiPriority="0"/>
    <w:lsdException w:name="heading 1" w:uiPriority="2"/>
    <w:lsdException w:name="heading 2" w:uiPriority="2"/>
    <w:lsdException w:name="heading 3" w:uiPriority="2"/>
    <w:lsdException w:name="heading 4" w:uiPriority="2"/>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uiPriority="5"/>
    <w:lsdException w:name="annotation text" w:unhideWhenUsed="1"/>
    <w:lsdException w:name="header" w:uiPriority="3"/>
    <w:lsdException w:name="footer" w:uiPriority="3"/>
    <w:lsdException w:name="index heading" w:semiHidden="1" w:unhideWhenUsed="1"/>
    <w:lsdException w:name="caption" w:uiPriority="6"/>
    <w:lsdException w:name="table of figures" w:uiPriority="39"/>
    <w:lsdException w:name="envelope address" w:semiHidden="1" w:unhideWhenUsed="1"/>
    <w:lsdException w:name="envelope return" w:semiHidden="1" w:unhideWhenUsed="1"/>
    <w:lsdException w:name="footnote reference" w:uiPriority="5"/>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uiPriority="39"/>
    <w:lsdException w:name="macro" w:semiHidden="1" w:unhideWhenUsed="1"/>
    <w:lsdException w:name="toa heading"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lsdException w:name="Closing" w:semiHidden="1" w:unhideWhenUsed="1"/>
    <w:lsdException w:name="Signature" w:semiHidden="1" w:unhideWhenUsed="1"/>
    <w:lsdException w:name="Default Paragraph Font" w:semiHidden="1" w:uiPriority="1" w:unhideWhenUsed="1"/>
    <w:lsdException w:name="Body Text"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lsdException w:name="Body Text 3" w:uiPriority="1"/>
    <w:lsdException w:name="Body Text Indent 2" w:semiHidden="1" w:unhideWhenUsed="1"/>
    <w:lsdException w:name="Body Text Indent 3" w:semiHidden="1" w:unhideWhenUsed="1"/>
    <w:lsdException w:name="Block Text" w:semiHidden="1" w:unhideWhenUsed="1"/>
    <w:lsdException w:name="Hyperlink" w:uiPriority="9" w:unhideWhenUsed="1"/>
    <w:lsdException w:name="FollowedHyperlink" w:uiPriority="9" w:unhideWhenUsed="1"/>
    <w:lsdException w:name="Document Map" w:semiHidden="1" w:unhideWhenUsed="1"/>
    <w:lsdException w:name="Plain Text" w:unhideWhenUsed="1"/>
    <w:lsdException w:name="E-mail Signature" w:semiHidden="1" w:unhideWhenUsed="1"/>
    <w:lsdException w:name="HTML Top of Form" w:semiHidden="1" w:unhideWhenUsed="1" w:qFormat="0"/>
    <w:lsdException w:name="HTML Bottom of Form" w:semiHidden="1" w:unhideWhenUsed="1" w:qFormat="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0"/>
    <w:lsdException w:name="List Paragraph" w:uiPriority="59"/>
    <w:lsdException w:name="Quote" w:uiPriority="59"/>
    <w:lsdException w:name="Intense Quote" w:uiPriority="5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sdException w:name="Mention" w:semiHidden="1" w:unhideWhenUsed="1" w:qFormat="0"/>
    <w:lsdException w:name="Smart Hyperlink" w:semiHidden="1" w:unhideWhenUsed="1" w:qFormat="0"/>
    <w:lsdException w:name="Hashtag" w:semiHidden="1" w:unhideWhenUsed="1" w:qFormat="0"/>
    <w:lsdException w:name="Unresolved Mention" w:semiHidden="1" w:unhideWhenUsed="1" w:qFormat="0"/>
    <w:lsdException w:name="Smart Link" w:semiHidden="1" w:unhideWhenUsed="1" w:qFormat="0"/>
  </w:latentStyles>
  <w:style w:type="paragraph" w:default="1" w:styleId="Normal">
    <w:name w:val="Normal"/>
    <w:qFormat/>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pPr>
      <w:keepNext/>
      <w:keepLines/>
      <w:numPr>
        <w:numId w:val="1"/>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pPr>
      <w:keepNext/>
      <w:keepLines/>
      <w:numPr>
        <w:ilvl w:val="1"/>
        <w:numId w:val="1"/>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pPr>
      <w:keepNext/>
      <w:keepLines/>
      <w:numPr>
        <w:ilvl w:val="2"/>
        <w:numId w:val="1"/>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pPr>
      <w:keepNext/>
      <w:keepLines/>
      <w:numPr>
        <w:ilvl w:val="3"/>
        <w:numId w:val="1"/>
      </w:numPr>
      <w:tabs>
        <w:tab w:val="clear" w:pos="1134"/>
        <w:tab w:val="left"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pPr>
      <w:keepNext/>
      <w:keepLines/>
      <w:numPr>
        <w:ilvl w:val="4"/>
        <w:numId w:val="1"/>
      </w:numPr>
      <w:tabs>
        <w:tab w:val="clear" w:pos="1134"/>
        <w:tab w:val="left"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pPr>
      <w:keepNext/>
      <w:keepLines/>
      <w:numPr>
        <w:ilvl w:val="5"/>
        <w:numId w:val="1"/>
      </w:numPr>
      <w:tabs>
        <w:tab w:val="clear" w:pos="1134"/>
        <w:tab w:val="left"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qFormat/>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qFormat/>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qFormat/>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qFormat/>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paragraph" w:styleId="BodyText">
    <w:name w:val="Body Text"/>
    <w:basedOn w:val="Normal"/>
    <w:link w:val="BodyTextChar"/>
    <w:uiPriority w:val="1"/>
    <w:qFormat/>
    <w:pPr>
      <w:numPr>
        <w:ilvl w:val="6"/>
        <w:numId w:val="1"/>
      </w:numPr>
      <w:spacing w:after="240"/>
    </w:pPr>
  </w:style>
  <w:style w:type="paragraph" w:styleId="List3">
    <w:name w:val="List 3"/>
    <w:basedOn w:val="Normal"/>
    <w:uiPriority w:val="99"/>
    <w:semiHidden/>
    <w:unhideWhenUsed/>
    <w:qFormat/>
    <w:pPr>
      <w:ind w:left="849" w:hanging="283"/>
      <w:contextualSpacing/>
    </w:pPr>
  </w:style>
  <w:style w:type="paragraph" w:styleId="TOC7">
    <w:name w:val="toc 7"/>
    <w:basedOn w:val="Normal"/>
    <w:next w:val="Normal"/>
    <w:uiPriority w:val="39"/>
    <w:qFormat/>
    <w:pPr>
      <w:tabs>
        <w:tab w:val="left" w:pos="0"/>
        <w:tab w:val="right" w:leader="dot" w:pos="9020"/>
      </w:tabs>
      <w:spacing w:before="120" w:after="120"/>
      <w:ind w:right="851"/>
      <w:jc w:val="left"/>
    </w:pPr>
    <w:rPr>
      <w:rFonts w:eastAsia="Calibri" w:cs="Times New Roman"/>
      <w:szCs w:val="18"/>
      <w:lang w:eastAsia="en-GB"/>
    </w:rPr>
  </w:style>
  <w:style w:type="paragraph" w:styleId="ListNumber2">
    <w:name w:val="List Number 2"/>
    <w:basedOn w:val="Normal"/>
    <w:uiPriority w:val="49"/>
    <w:semiHidden/>
    <w:unhideWhenUsed/>
    <w:qFormat/>
    <w:pPr>
      <w:numPr>
        <w:numId w:val="2"/>
      </w:numPr>
      <w:contextualSpacing/>
    </w:pPr>
  </w:style>
  <w:style w:type="paragraph" w:styleId="TableofAuthorities">
    <w:name w:val="table of authorities"/>
    <w:basedOn w:val="Normal"/>
    <w:next w:val="Normal"/>
    <w:uiPriority w:val="39"/>
    <w:qFormat/>
    <w:pPr>
      <w:tabs>
        <w:tab w:val="left" w:pos="0"/>
        <w:tab w:val="right" w:leader="dot" w:pos="9020"/>
      </w:tabs>
      <w:spacing w:before="120" w:after="120"/>
      <w:ind w:right="720"/>
    </w:pPr>
    <w:rPr>
      <w:rFonts w:eastAsia="Times New Roman" w:cs="Times New Roman"/>
      <w:szCs w:val="20"/>
      <w:lang w:eastAsia="en-GB"/>
    </w:rPr>
  </w:style>
  <w:style w:type="paragraph" w:styleId="NoteHeading">
    <w:name w:val="Note Heading"/>
    <w:basedOn w:val="Normal"/>
    <w:next w:val="Normal"/>
    <w:link w:val="NoteHeadingChar"/>
    <w:uiPriority w:val="99"/>
    <w:semiHidden/>
    <w:unhideWhenUsed/>
    <w:qFormat/>
  </w:style>
  <w:style w:type="paragraph" w:styleId="ListBullet4">
    <w:name w:val="List Bullet 4"/>
    <w:basedOn w:val="Normal"/>
    <w:uiPriority w:val="1"/>
    <w:qFormat/>
    <w:pPr>
      <w:numPr>
        <w:ilvl w:val="3"/>
        <w:numId w:val="3"/>
      </w:numPr>
      <w:tabs>
        <w:tab w:val="clear" w:pos="1587"/>
        <w:tab w:val="left" w:pos="1588"/>
      </w:tabs>
      <w:spacing w:after="240"/>
      <w:contextualSpacing/>
    </w:pPr>
  </w:style>
  <w:style w:type="paragraph" w:styleId="Index8">
    <w:name w:val="index 8"/>
    <w:basedOn w:val="Normal"/>
    <w:next w:val="Normal"/>
    <w:uiPriority w:val="99"/>
    <w:semiHidden/>
    <w:unhideWhenUsed/>
    <w:qFormat/>
    <w:pPr>
      <w:ind w:left="1440" w:hanging="180"/>
    </w:pPr>
  </w:style>
  <w:style w:type="paragraph" w:styleId="E-mailSignature">
    <w:name w:val="E-mail Signature"/>
    <w:basedOn w:val="Normal"/>
    <w:link w:val="E-mailSignatureChar"/>
    <w:uiPriority w:val="99"/>
    <w:semiHidden/>
    <w:unhideWhenUsed/>
    <w:qFormat/>
  </w:style>
  <w:style w:type="paragraph" w:styleId="ListNumber">
    <w:name w:val="List Number"/>
    <w:basedOn w:val="Normal"/>
    <w:uiPriority w:val="49"/>
    <w:semiHidden/>
    <w:unhideWhenUsed/>
    <w:qFormat/>
    <w:pPr>
      <w:numPr>
        <w:numId w:val="4"/>
      </w:numPr>
      <w:contextualSpacing/>
    </w:pPr>
  </w:style>
  <w:style w:type="paragraph" w:styleId="NormalIndent">
    <w:name w:val="Normal Indent"/>
    <w:basedOn w:val="Normal"/>
    <w:uiPriority w:val="99"/>
    <w:semiHidden/>
    <w:unhideWhenUsed/>
    <w:qFormat/>
    <w:pPr>
      <w:ind w:left="567"/>
    </w:pPr>
  </w:style>
  <w:style w:type="paragraph" w:styleId="Caption">
    <w:name w:val="caption"/>
    <w:basedOn w:val="Normal"/>
    <w:next w:val="Normal"/>
    <w:uiPriority w:val="6"/>
    <w:qFormat/>
    <w:pPr>
      <w:keepNext/>
      <w:spacing w:before="120" w:after="120"/>
      <w:jc w:val="left"/>
    </w:pPr>
    <w:rPr>
      <w:rFonts w:eastAsia="Times New Roman" w:cs="Times New Roman"/>
      <w:b/>
      <w:bCs/>
      <w:color w:val="006283"/>
      <w:szCs w:val="20"/>
      <w:lang w:eastAsia="en-GB"/>
    </w:rPr>
  </w:style>
  <w:style w:type="paragraph" w:styleId="Index5">
    <w:name w:val="index 5"/>
    <w:basedOn w:val="Normal"/>
    <w:next w:val="Normal"/>
    <w:uiPriority w:val="99"/>
    <w:semiHidden/>
    <w:unhideWhenUsed/>
    <w:qFormat/>
    <w:pPr>
      <w:ind w:left="900" w:hanging="180"/>
    </w:pPr>
  </w:style>
  <w:style w:type="paragraph" w:styleId="ListBullet">
    <w:name w:val="List Bullet"/>
    <w:basedOn w:val="Normal"/>
    <w:uiPriority w:val="1"/>
    <w:qFormat/>
    <w:pPr>
      <w:numPr>
        <w:numId w:val="3"/>
      </w:numPr>
      <w:spacing w:after="240"/>
      <w:contextualSpacing/>
    </w:pPr>
  </w:style>
  <w:style w:type="paragraph" w:styleId="EnvelopeAddress">
    <w:name w:val="envelope address"/>
    <w:basedOn w:val="Normal"/>
    <w:uiPriority w:val="99"/>
    <w:semiHidden/>
    <w:unhideWhenUsed/>
    <w:qFormat/>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TOAHeading">
    <w:name w:val="toa heading"/>
    <w:basedOn w:val="Normal"/>
    <w:next w:val="Normal"/>
    <w:uiPriority w:val="39"/>
    <w:unhideWhenUsed/>
    <w:qFormat/>
    <w:pPr>
      <w:spacing w:before="120"/>
    </w:pPr>
    <w:rPr>
      <w:rFonts w:asciiTheme="majorHAnsi" w:eastAsiaTheme="majorEastAsia" w:hAnsiTheme="majorHAnsi" w:cstheme="majorBidi"/>
      <w:b/>
      <w:bCs/>
      <w:sz w:val="24"/>
      <w:szCs w:val="24"/>
    </w:rPr>
  </w:style>
  <w:style w:type="paragraph" w:styleId="CommentText">
    <w:name w:val="annotation text"/>
    <w:basedOn w:val="Normal"/>
    <w:link w:val="CommentTextChar"/>
    <w:uiPriority w:val="99"/>
    <w:unhideWhenUsed/>
    <w:qFormat/>
    <w:rPr>
      <w:sz w:val="20"/>
      <w:szCs w:val="20"/>
    </w:rPr>
  </w:style>
  <w:style w:type="paragraph" w:styleId="Index6">
    <w:name w:val="index 6"/>
    <w:basedOn w:val="Normal"/>
    <w:next w:val="Normal"/>
    <w:uiPriority w:val="99"/>
    <w:semiHidden/>
    <w:unhideWhenUsed/>
    <w:qFormat/>
    <w:pPr>
      <w:ind w:left="1080" w:hanging="180"/>
    </w:pPr>
  </w:style>
  <w:style w:type="paragraph" w:styleId="Salutation">
    <w:name w:val="Salutation"/>
    <w:basedOn w:val="Normal"/>
    <w:next w:val="Normal"/>
    <w:link w:val="SalutationChar"/>
    <w:uiPriority w:val="99"/>
    <w:semiHidden/>
    <w:unhideWhenUsed/>
    <w:qFormat/>
  </w:style>
  <w:style w:type="paragraph" w:styleId="BodyText3">
    <w:name w:val="Body Text 3"/>
    <w:basedOn w:val="Normal"/>
    <w:link w:val="BodyText3Char"/>
    <w:uiPriority w:val="1"/>
    <w:qFormat/>
    <w:pPr>
      <w:numPr>
        <w:ilvl w:val="8"/>
        <w:numId w:val="1"/>
      </w:numPr>
      <w:spacing w:after="240"/>
    </w:pPr>
    <w:rPr>
      <w:szCs w:val="16"/>
    </w:rPr>
  </w:style>
  <w:style w:type="paragraph" w:styleId="Closing">
    <w:name w:val="Closing"/>
    <w:basedOn w:val="Normal"/>
    <w:link w:val="ClosingChar"/>
    <w:uiPriority w:val="99"/>
    <w:semiHidden/>
    <w:unhideWhenUsed/>
    <w:qFormat/>
    <w:pPr>
      <w:ind w:left="4252"/>
    </w:pPr>
  </w:style>
  <w:style w:type="paragraph" w:styleId="ListBullet3">
    <w:name w:val="List Bullet 3"/>
    <w:basedOn w:val="Normal"/>
    <w:uiPriority w:val="1"/>
    <w:qFormat/>
    <w:pPr>
      <w:numPr>
        <w:ilvl w:val="2"/>
        <w:numId w:val="3"/>
      </w:numPr>
      <w:spacing w:after="240"/>
      <w:contextualSpacing/>
    </w:pPr>
  </w:style>
  <w:style w:type="paragraph" w:styleId="BodyTextIndent">
    <w:name w:val="Body Text Indent"/>
    <w:basedOn w:val="Normal"/>
    <w:link w:val="BodyTextIndentChar"/>
    <w:uiPriority w:val="99"/>
    <w:semiHidden/>
    <w:unhideWhenUsed/>
    <w:qFormat/>
    <w:pPr>
      <w:spacing w:after="120"/>
      <w:ind w:left="283"/>
    </w:pPr>
  </w:style>
  <w:style w:type="paragraph" w:styleId="ListNumber3">
    <w:name w:val="List Number 3"/>
    <w:basedOn w:val="Normal"/>
    <w:uiPriority w:val="49"/>
    <w:semiHidden/>
    <w:unhideWhenUsed/>
    <w:qFormat/>
    <w:pPr>
      <w:contextualSpacing/>
    </w:pPr>
  </w:style>
  <w:style w:type="paragraph" w:styleId="List2">
    <w:name w:val="List 2"/>
    <w:basedOn w:val="Normal"/>
    <w:uiPriority w:val="99"/>
    <w:semiHidden/>
    <w:unhideWhenUsed/>
    <w:qFormat/>
    <w:pPr>
      <w:ind w:left="566" w:hanging="283"/>
      <w:contextualSpacing/>
    </w:pPr>
  </w:style>
  <w:style w:type="paragraph" w:styleId="ListContinue">
    <w:name w:val="List Continue"/>
    <w:basedOn w:val="Normal"/>
    <w:uiPriority w:val="99"/>
    <w:semiHidden/>
    <w:unhideWhenUsed/>
    <w:qFormat/>
    <w:pPr>
      <w:spacing w:after="120"/>
      <w:ind w:left="283"/>
      <w:contextualSpacing/>
    </w:pPr>
  </w:style>
  <w:style w:type="paragraph" w:styleId="BlockText">
    <w:name w:val="Block Text"/>
    <w:basedOn w:val="Normal"/>
    <w:uiPriority w:val="99"/>
    <w:semiHidden/>
    <w:unhideWhenUsed/>
    <w:qFormat/>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ListBullet2">
    <w:name w:val="List Bullet 2"/>
    <w:basedOn w:val="Normal"/>
    <w:uiPriority w:val="1"/>
    <w:qFormat/>
    <w:pPr>
      <w:numPr>
        <w:ilvl w:val="1"/>
        <w:numId w:val="3"/>
      </w:numPr>
      <w:spacing w:after="240"/>
      <w:contextualSpacing/>
    </w:pPr>
  </w:style>
  <w:style w:type="paragraph" w:styleId="HTMLAddress">
    <w:name w:val="HTML Address"/>
    <w:basedOn w:val="Normal"/>
    <w:link w:val="HTMLAddressChar"/>
    <w:uiPriority w:val="99"/>
    <w:semiHidden/>
    <w:unhideWhenUsed/>
    <w:qFormat/>
    <w:rPr>
      <w:i/>
      <w:iCs/>
    </w:rPr>
  </w:style>
  <w:style w:type="paragraph" w:styleId="Index4">
    <w:name w:val="index 4"/>
    <w:basedOn w:val="Normal"/>
    <w:next w:val="Normal"/>
    <w:uiPriority w:val="99"/>
    <w:semiHidden/>
    <w:unhideWhenUsed/>
    <w:qFormat/>
    <w:pPr>
      <w:ind w:left="720" w:hanging="180"/>
    </w:pPr>
  </w:style>
  <w:style w:type="paragraph" w:styleId="TOC5">
    <w:name w:val="toc 5"/>
    <w:basedOn w:val="Normal"/>
    <w:next w:val="Normal"/>
    <w:uiPriority w:val="39"/>
    <w:qFormat/>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qFormat/>
    <w:pPr>
      <w:tabs>
        <w:tab w:val="left" w:pos="0"/>
        <w:tab w:val="right" w:leader="dot" w:pos="9020"/>
      </w:tabs>
      <w:spacing w:before="120" w:after="120"/>
      <w:ind w:right="851"/>
      <w:jc w:val="left"/>
    </w:pPr>
    <w:rPr>
      <w:rFonts w:eastAsia="Calibri" w:cs="Times New Roman"/>
      <w:szCs w:val="18"/>
      <w:lang w:eastAsia="en-GB"/>
    </w:rPr>
  </w:style>
  <w:style w:type="paragraph" w:styleId="PlainText">
    <w:name w:val="Plain Text"/>
    <w:basedOn w:val="Normal"/>
    <w:link w:val="PlainTextChar"/>
    <w:uiPriority w:val="99"/>
    <w:unhideWhenUsed/>
    <w:qFormat/>
    <w:rPr>
      <w:rFonts w:ascii="Consolas" w:hAnsi="Consolas" w:cs="Consolas"/>
      <w:sz w:val="21"/>
      <w:szCs w:val="21"/>
    </w:rPr>
  </w:style>
  <w:style w:type="paragraph" w:styleId="ListBullet5">
    <w:name w:val="List Bullet 5"/>
    <w:basedOn w:val="Normal"/>
    <w:uiPriority w:val="1"/>
    <w:qFormat/>
    <w:pPr>
      <w:numPr>
        <w:ilvl w:val="4"/>
        <w:numId w:val="3"/>
      </w:numPr>
      <w:spacing w:after="240"/>
      <w:contextualSpacing/>
    </w:pPr>
  </w:style>
  <w:style w:type="paragraph" w:styleId="ListNumber4">
    <w:name w:val="List Number 4"/>
    <w:basedOn w:val="Normal"/>
    <w:uiPriority w:val="49"/>
    <w:semiHidden/>
    <w:unhideWhenUsed/>
    <w:qFormat/>
    <w:pPr>
      <w:numPr>
        <w:numId w:val="5"/>
      </w:numPr>
      <w:contextualSpacing/>
    </w:pPr>
  </w:style>
  <w:style w:type="paragraph" w:styleId="TOC8">
    <w:name w:val="toc 8"/>
    <w:basedOn w:val="Normal"/>
    <w:next w:val="Normal"/>
    <w:uiPriority w:val="39"/>
    <w:qFormat/>
    <w:pPr>
      <w:tabs>
        <w:tab w:val="left" w:pos="0"/>
        <w:tab w:val="right" w:leader="dot" w:pos="9020"/>
      </w:tabs>
      <w:spacing w:before="120" w:after="120"/>
      <w:ind w:right="851"/>
      <w:jc w:val="left"/>
    </w:pPr>
    <w:rPr>
      <w:rFonts w:eastAsia="Calibri" w:cs="Times New Roman"/>
      <w:szCs w:val="18"/>
      <w:lang w:eastAsia="en-GB"/>
    </w:rPr>
  </w:style>
  <w:style w:type="paragraph" w:styleId="Index3">
    <w:name w:val="index 3"/>
    <w:basedOn w:val="Normal"/>
    <w:next w:val="Normal"/>
    <w:uiPriority w:val="99"/>
    <w:semiHidden/>
    <w:unhideWhenUsed/>
    <w:qFormat/>
    <w:pPr>
      <w:ind w:left="540" w:hanging="180"/>
    </w:pPr>
  </w:style>
  <w:style w:type="paragraph" w:styleId="Date">
    <w:name w:val="Date"/>
    <w:basedOn w:val="Normal"/>
    <w:next w:val="Normal"/>
    <w:link w:val="DateChar"/>
    <w:uiPriority w:val="99"/>
    <w:semiHidden/>
    <w:unhideWhenUsed/>
    <w:qFormat/>
  </w:style>
  <w:style w:type="paragraph" w:styleId="BodyTextIndent2">
    <w:name w:val="Body Text Indent 2"/>
    <w:basedOn w:val="Normal"/>
    <w:link w:val="BodyTextIndent2Char"/>
    <w:uiPriority w:val="99"/>
    <w:semiHidden/>
    <w:unhideWhenUsed/>
    <w:qFormat/>
    <w:pPr>
      <w:spacing w:after="120" w:line="480" w:lineRule="auto"/>
      <w:ind w:left="283"/>
    </w:pPr>
  </w:style>
  <w:style w:type="paragraph" w:styleId="EndnoteText">
    <w:name w:val="endnote text"/>
    <w:basedOn w:val="FootnoteText"/>
    <w:link w:val="EndnoteTextChar"/>
    <w:uiPriority w:val="49"/>
    <w:qFormat/>
    <w:rPr>
      <w:szCs w:val="20"/>
    </w:rPr>
  </w:style>
  <w:style w:type="paragraph" w:styleId="FootnoteText">
    <w:name w:val="footnote text"/>
    <w:basedOn w:val="Normal"/>
    <w:link w:val="FootnoteTextChar"/>
    <w:uiPriority w:val="5"/>
    <w:qFormat/>
    <w:pPr>
      <w:ind w:firstLine="567"/>
      <w:jc w:val="left"/>
    </w:pPr>
    <w:rPr>
      <w:rFonts w:eastAsia="Calibri" w:cs="Times New Roman"/>
      <w:sz w:val="16"/>
      <w:szCs w:val="18"/>
      <w:lang w:eastAsia="en-GB"/>
    </w:rPr>
  </w:style>
  <w:style w:type="paragraph" w:styleId="ListContinue5">
    <w:name w:val="List Continue 5"/>
    <w:basedOn w:val="Normal"/>
    <w:uiPriority w:val="99"/>
    <w:semiHidden/>
    <w:unhideWhenUsed/>
    <w:qFormat/>
    <w:pPr>
      <w:spacing w:after="120"/>
      <w:ind w:left="1415"/>
      <w:contextualSpacing/>
    </w:p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3"/>
    <w:qFormat/>
    <w:pPr>
      <w:tabs>
        <w:tab w:val="center" w:pos="4513"/>
        <w:tab w:val="right" w:pos="9027"/>
      </w:tabs>
    </w:pPr>
    <w:rPr>
      <w:rFonts w:eastAsia="Calibri" w:cs="Times New Roman"/>
      <w:szCs w:val="18"/>
      <w:lang w:eastAsia="en-GB"/>
    </w:rPr>
  </w:style>
  <w:style w:type="paragraph" w:styleId="EnvelopeReturn">
    <w:name w:val="envelope return"/>
    <w:basedOn w:val="Normal"/>
    <w:uiPriority w:val="99"/>
    <w:semiHidden/>
    <w:unhideWhenUsed/>
    <w:qFormat/>
    <w:rPr>
      <w:rFonts w:asciiTheme="majorHAnsi" w:eastAsiaTheme="majorEastAsia" w:hAnsiTheme="majorHAnsi" w:cstheme="majorBidi"/>
      <w:sz w:val="20"/>
      <w:szCs w:val="20"/>
    </w:rPr>
  </w:style>
  <w:style w:type="paragraph" w:styleId="Header">
    <w:name w:val="header"/>
    <w:basedOn w:val="Normal"/>
    <w:link w:val="HeaderChar"/>
    <w:uiPriority w:val="3"/>
    <w:qFormat/>
    <w:pPr>
      <w:tabs>
        <w:tab w:val="center" w:pos="4513"/>
        <w:tab w:val="right" w:pos="9027"/>
      </w:tabs>
      <w:jc w:val="left"/>
    </w:pPr>
    <w:rPr>
      <w:rFonts w:eastAsia="Calibri" w:cs="Times New Roman"/>
      <w:szCs w:val="18"/>
      <w:lang w:eastAsia="en-GB"/>
    </w:rPr>
  </w:style>
  <w:style w:type="paragraph" w:styleId="Signature">
    <w:name w:val="Signature"/>
    <w:basedOn w:val="Normal"/>
    <w:link w:val="SignatureChar"/>
    <w:uiPriority w:val="99"/>
    <w:semiHidden/>
    <w:unhideWhenUsed/>
    <w:qFormat/>
    <w:pPr>
      <w:ind w:left="4252"/>
    </w:pPr>
  </w:style>
  <w:style w:type="paragraph" w:styleId="TOC1">
    <w:name w:val="toc 1"/>
    <w:basedOn w:val="Normal"/>
    <w:next w:val="Normal"/>
    <w:uiPriority w:val="39"/>
    <w:qFormat/>
    <w:pPr>
      <w:tabs>
        <w:tab w:val="left" w:pos="0"/>
        <w:tab w:val="right" w:leader="dot" w:pos="9020"/>
      </w:tabs>
      <w:spacing w:before="240" w:after="120"/>
      <w:ind w:right="851"/>
      <w:jc w:val="left"/>
    </w:pPr>
    <w:rPr>
      <w:rFonts w:eastAsia="Calibri" w:cs="Times New Roman"/>
      <w:b/>
      <w:caps/>
      <w:szCs w:val="18"/>
      <w:lang w:eastAsia="en-GB"/>
    </w:rPr>
  </w:style>
  <w:style w:type="paragraph" w:styleId="ListContinue4">
    <w:name w:val="List Continue 4"/>
    <w:basedOn w:val="Normal"/>
    <w:uiPriority w:val="99"/>
    <w:semiHidden/>
    <w:unhideWhenUsed/>
    <w:qFormat/>
    <w:pPr>
      <w:spacing w:after="120"/>
      <w:ind w:left="1132"/>
      <w:contextualSpacing/>
    </w:pPr>
  </w:style>
  <w:style w:type="paragraph" w:styleId="TOC4">
    <w:name w:val="toc 4"/>
    <w:basedOn w:val="Normal"/>
    <w:next w:val="Normal"/>
    <w:uiPriority w:val="39"/>
    <w:qFormat/>
    <w:pPr>
      <w:tabs>
        <w:tab w:val="left" w:pos="0"/>
        <w:tab w:val="right" w:leader="dot" w:pos="9020"/>
      </w:tabs>
      <w:spacing w:before="120" w:after="120"/>
      <w:ind w:right="851"/>
      <w:jc w:val="left"/>
    </w:pPr>
    <w:rPr>
      <w:rFonts w:eastAsia="Calibri" w:cs="Times New Roman"/>
      <w:szCs w:val="18"/>
      <w:lang w:eastAsia="en-GB"/>
    </w:rPr>
  </w:style>
  <w:style w:type="paragraph" w:styleId="IndexHeading">
    <w:name w:val="index heading"/>
    <w:basedOn w:val="Normal"/>
    <w:next w:val="Index1"/>
    <w:uiPriority w:val="99"/>
    <w:semiHidden/>
    <w:unhideWhenUsed/>
    <w:qFormat/>
    <w:rPr>
      <w:rFonts w:asciiTheme="majorHAnsi" w:eastAsiaTheme="majorEastAsia" w:hAnsiTheme="majorHAnsi" w:cstheme="majorBidi"/>
      <w:b/>
      <w:bCs/>
    </w:rPr>
  </w:style>
  <w:style w:type="paragraph" w:styleId="Index1">
    <w:name w:val="index 1"/>
    <w:basedOn w:val="Normal"/>
    <w:next w:val="Normal"/>
    <w:uiPriority w:val="99"/>
    <w:semiHidden/>
    <w:unhideWhenUsed/>
    <w:qFormat/>
    <w:pPr>
      <w:ind w:left="180" w:hanging="180"/>
    </w:pPr>
  </w:style>
  <w:style w:type="paragraph" w:styleId="Subtitle">
    <w:name w:val="Subtitle"/>
    <w:basedOn w:val="Normal"/>
    <w:next w:val="Normal"/>
    <w:link w:val="SubtitleChar"/>
    <w:uiPriority w:val="6"/>
    <w:qFormat/>
    <w:rPr>
      <w:rFonts w:eastAsiaTheme="majorEastAsia" w:cstheme="majorBidi"/>
      <w:b/>
      <w:iCs/>
      <w:szCs w:val="24"/>
    </w:rPr>
  </w:style>
  <w:style w:type="paragraph" w:styleId="ListNumber5">
    <w:name w:val="List Number 5"/>
    <w:basedOn w:val="Normal"/>
    <w:uiPriority w:val="49"/>
    <w:semiHidden/>
    <w:unhideWhenUsed/>
    <w:qFormat/>
    <w:pPr>
      <w:contextualSpacing/>
    </w:pPr>
  </w:style>
  <w:style w:type="paragraph" w:styleId="List">
    <w:name w:val="List"/>
    <w:basedOn w:val="Normal"/>
    <w:uiPriority w:val="99"/>
    <w:semiHidden/>
    <w:unhideWhenUsed/>
    <w:qFormat/>
    <w:pPr>
      <w:ind w:left="283" w:hanging="283"/>
      <w:contextualSpacing/>
    </w:pPr>
  </w:style>
  <w:style w:type="paragraph" w:styleId="TOC6">
    <w:name w:val="toc 6"/>
    <w:basedOn w:val="Normal"/>
    <w:next w:val="Normal"/>
    <w:uiPriority w:val="39"/>
    <w:qFormat/>
    <w:pPr>
      <w:tabs>
        <w:tab w:val="left" w:pos="0"/>
        <w:tab w:val="right" w:leader="dot" w:pos="9020"/>
      </w:tabs>
      <w:spacing w:before="120" w:after="120"/>
      <w:ind w:right="851"/>
      <w:jc w:val="left"/>
    </w:pPr>
    <w:rPr>
      <w:rFonts w:eastAsia="Calibri" w:cs="Times New Roman"/>
      <w:szCs w:val="18"/>
      <w:lang w:eastAsia="en-GB"/>
    </w:rPr>
  </w:style>
  <w:style w:type="paragraph" w:styleId="List5">
    <w:name w:val="List 5"/>
    <w:basedOn w:val="Normal"/>
    <w:uiPriority w:val="99"/>
    <w:semiHidden/>
    <w:unhideWhenUsed/>
    <w:qFormat/>
    <w:pPr>
      <w:ind w:left="1415" w:hanging="283"/>
      <w:contextualSpacing/>
    </w:pPr>
  </w:style>
  <w:style w:type="paragraph" w:styleId="BodyTextIndent3">
    <w:name w:val="Body Text Indent 3"/>
    <w:basedOn w:val="Normal"/>
    <w:link w:val="BodyTextIndent3Char"/>
    <w:uiPriority w:val="99"/>
    <w:semiHidden/>
    <w:unhideWhenUsed/>
    <w:qFormat/>
    <w:pPr>
      <w:spacing w:after="120"/>
      <w:ind w:left="283"/>
    </w:pPr>
    <w:rPr>
      <w:sz w:val="16"/>
      <w:szCs w:val="16"/>
    </w:rPr>
  </w:style>
  <w:style w:type="paragraph" w:styleId="Index7">
    <w:name w:val="index 7"/>
    <w:basedOn w:val="Normal"/>
    <w:next w:val="Normal"/>
    <w:uiPriority w:val="99"/>
    <w:semiHidden/>
    <w:unhideWhenUsed/>
    <w:qFormat/>
    <w:pPr>
      <w:ind w:left="1260" w:hanging="180"/>
    </w:pPr>
  </w:style>
  <w:style w:type="paragraph" w:styleId="Index9">
    <w:name w:val="index 9"/>
    <w:basedOn w:val="Normal"/>
    <w:next w:val="Normal"/>
    <w:uiPriority w:val="99"/>
    <w:semiHidden/>
    <w:unhideWhenUsed/>
    <w:qFormat/>
    <w:pPr>
      <w:ind w:left="1620" w:hanging="180"/>
    </w:pPr>
  </w:style>
  <w:style w:type="paragraph" w:styleId="TableofFigures">
    <w:name w:val="table of figures"/>
    <w:basedOn w:val="Normal"/>
    <w:next w:val="Normal"/>
    <w:uiPriority w:val="39"/>
    <w:qFormat/>
    <w:pPr>
      <w:tabs>
        <w:tab w:val="left" w:pos="0"/>
        <w:tab w:val="right" w:leader="dot" w:pos="9020"/>
      </w:tabs>
      <w:spacing w:before="120" w:after="120"/>
      <w:ind w:right="720"/>
    </w:pPr>
    <w:rPr>
      <w:rFonts w:eastAsia="Times New Roman" w:cs="Times New Roman"/>
      <w:szCs w:val="20"/>
      <w:lang w:eastAsia="en-GB"/>
    </w:rPr>
  </w:style>
  <w:style w:type="paragraph" w:styleId="TOC2">
    <w:name w:val="toc 2"/>
    <w:basedOn w:val="Normal"/>
    <w:next w:val="Normal"/>
    <w:uiPriority w:val="39"/>
    <w:qFormat/>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qFormat/>
    <w:pPr>
      <w:tabs>
        <w:tab w:val="left" w:pos="0"/>
        <w:tab w:val="right" w:leader="dot" w:pos="9020"/>
      </w:tabs>
      <w:spacing w:before="120" w:after="120"/>
      <w:ind w:right="851"/>
      <w:jc w:val="left"/>
    </w:pPr>
    <w:rPr>
      <w:rFonts w:eastAsia="Calibri" w:cs="Times New Roman"/>
      <w:szCs w:val="18"/>
      <w:lang w:eastAsia="en-GB"/>
    </w:rPr>
  </w:style>
  <w:style w:type="paragraph" w:styleId="BodyText2">
    <w:name w:val="Body Text 2"/>
    <w:basedOn w:val="Normal"/>
    <w:link w:val="BodyText2Char"/>
    <w:uiPriority w:val="1"/>
    <w:qFormat/>
    <w:pPr>
      <w:numPr>
        <w:ilvl w:val="7"/>
        <w:numId w:val="1"/>
      </w:numPr>
      <w:spacing w:after="240"/>
    </w:pPr>
  </w:style>
  <w:style w:type="paragraph" w:styleId="List4">
    <w:name w:val="List 4"/>
    <w:basedOn w:val="Normal"/>
    <w:uiPriority w:val="99"/>
    <w:semiHidden/>
    <w:unhideWhenUsed/>
    <w:qFormat/>
    <w:pPr>
      <w:ind w:left="1132" w:hanging="283"/>
      <w:contextualSpacing/>
    </w:pPr>
  </w:style>
  <w:style w:type="paragraph" w:styleId="ListContinue2">
    <w:name w:val="List Continue 2"/>
    <w:basedOn w:val="Normal"/>
    <w:uiPriority w:val="99"/>
    <w:semiHidden/>
    <w:unhideWhenUsed/>
    <w:qFormat/>
    <w:pPr>
      <w:spacing w:after="120"/>
      <w:ind w:left="566"/>
      <w:contextualSpacing/>
    </w:pPr>
  </w:style>
  <w:style w:type="paragraph" w:styleId="MessageHeader">
    <w:name w:val="Message Header"/>
    <w:basedOn w:val="Normal"/>
    <w:link w:val="MessageHeaderChar"/>
    <w:uiPriority w:val="99"/>
    <w:semiHidden/>
    <w:unhideWhenUsed/>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paragraph" w:styleId="HTMLPreformatted">
    <w:name w:val="HTML Preformatted"/>
    <w:basedOn w:val="Normal"/>
    <w:link w:val="HTMLPreformattedChar"/>
    <w:uiPriority w:val="99"/>
    <w:semiHidden/>
    <w:unhideWhenUsed/>
    <w:qFormat/>
    <w:rPr>
      <w:rFonts w:ascii="Consolas" w:hAnsi="Consolas" w:cs="Consolas"/>
      <w:sz w:val="20"/>
      <w:szCs w:val="20"/>
    </w:rPr>
  </w:style>
  <w:style w:type="paragraph" w:styleId="NormalWeb">
    <w:name w:val="Normal (Web)"/>
    <w:basedOn w:val="Normal"/>
    <w:uiPriority w:val="99"/>
    <w:semiHidden/>
    <w:unhideWhenUsed/>
    <w:qFormat/>
    <w:rPr>
      <w:rFonts w:ascii="Times New Roman" w:hAnsi="Times New Roman" w:cs="Times New Roman"/>
      <w:sz w:val="24"/>
      <w:szCs w:val="24"/>
    </w:rPr>
  </w:style>
  <w:style w:type="paragraph" w:styleId="ListContinue3">
    <w:name w:val="List Continue 3"/>
    <w:basedOn w:val="Normal"/>
    <w:uiPriority w:val="99"/>
    <w:semiHidden/>
    <w:unhideWhenUsed/>
    <w:qFormat/>
    <w:pPr>
      <w:spacing w:after="120"/>
      <w:ind w:left="849"/>
      <w:contextualSpacing/>
    </w:pPr>
  </w:style>
  <w:style w:type="paragraph" w:styleId="Index2">
    <w:name w:val="index 2"/>
    <w:basedOn w:val="Normal"/>
    <w:next w:val="Normal"/>
    <w:uiPriority w:val="99"/>
    <w:semiHidden/>
    <w:unhideWhenUsed/>
    <w:qFormat/>
    <w:pPr>
      <w:ind w:left="360" w:hanging="180"/>
    </w:pPr>
  </w:style>
  <w:style w:type="paragraph" w:styleId="Title">
    <w:name w:val="Title"/>
    <w:basedOn w:val="Normal"/>
    <w:next w:val="Normal"/>
    <w:link w:val="TitleChar"/>
    <w:uiPriority w:val="5"/>
    <w:qFormat/>
    <w:pPr>
      <w:spacing w:before="480" w:after="240"/>
      <w:contextualSpacing/>
      <w:jc w:val="center"/>
    </w:pPr>
    <w:rPr>
      <w:rFonts w:eastAsiaTheme="majorEastAsia" w:cstheme="majorBidi"/>
      <w:b/>
      <w:caps/>
      <w:color w:val="006283"/>
      <w:kern w:val="28"/>
      <w:szCs w:val="52"/>
    </w:rPr>
  </w:style>
  <w:style w:type="paragraph" w:styleId="CommentSubject">
    <w:name w:val="annotation subject"/>
    <w:basedOn w:val="CommentText"/>
    <w:next w:val="CommentText"/>
    <w:link w:val="CommentSubjectChar"/>
    <w:uiPriority w:val="99"/>
    <w:unhideWhenUsed/>
    <w:qFormat/>
    <w:rPr>
      <w:b/>
      <w:bCs/>
    </w:rPr>
  </w:style>
  <w:style w:type="paragraph" w:styleId="BodyTextFirstIndent">
    <w:name w:val="Body Text First Indent"/>
    <w:basedOn w:val="BodyText"/>
    <w:link w:val="BodyTextFirstIndentChar"/>
    <w:uiPriority w:val="99"/>
    <w:semiHidden/>
    <w:unhideWhenUsed/>
    <w:qFormat/>
    <w:pPr>
      <w:numPr>
        <w:ilvl w:val="0"/>
        <w:numId w:val="0"/>
      </w:numPr>
      <w:spacing w:after="0"/>
      <w:ind w:firstLine="360"/>
    </w:pPr>
  </w:style>
  <w:style w:type="paragraph" w:styleId="BodyTextFirstIndent2">
    <w:name w:val="Body Text First Indent 2"/>
    <w:basedOn w:val="BodyTextIndent"/>
    <w:link w:val="BodyTextFirstIndent2Char"/>
    <w:uiPriority w:val="99"/>
    <w:semiHidden/>
    <w:unhideWhenUsed/>
    <w:qFormat/>
    <w:pPr>
      <w:spacing w:after="0"/>
      <w:ind w:left="360" w:firstLine="360"/>
    </w:pPr>
  </w:style>
  <w:style w:type="table" w:styleId="TableGrid">
    <w:name w:val="Table Grid"/>
    <w:basedOn w:val="TableNormal"/>
    <w:uiPriority w:val="59"/>
    <w:qFormat/>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iPriority w:val="99"/>
    <w:semiHidden/>
    <w:unhideWhenUsed/>
    <w:qFormat/>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uiPriority w:val="99"/>
    <w:semiHidden/>
    <w:unhideWhenUsed/>
    <w:qFormat/>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uiPriority w:val="99"/>
    <w:semiHidden/>
    <w:unhideWhenUsed/>
    <w:qFormat/>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uiPriority w:val="99"/>
    <w:semiHidden/>
    <w:unhideWhenUsed/>
    <w:qFormat/>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Elegant">
    <w:name w:val="Table Elegant"/>
    <w:basedOn w:val="TableNormal"/>
    <w:uiPriority w:val="99"/>
    <w:semiHidden/>
    <w:unhideWhenUsed/>
    <w:qFormat/>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uiPriority w:val="99"/>
    <w:semiHidden/>
    <w:unhideWhenUsed/>
    <w:qFormat/>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uiPriority w:val="99"/>
    <w:semiHidden/>
    <w:unhideWhenUsed/>
    <w:qFormat/>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uiPriority w:val="99"/>
    <w:semiHidden/>
    <w:unhideWhenUsed/>
    <w:qFormat/>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uiPriority w:val="99"/>
    <w:semiHidden/>
    <w:unhideWhenUsed/>
    <w:qFormat/>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Simple1">
    <w:name w:val="Table Simple 1"/>
    <w:basedOn w:val="TableNormal"/>
    <w:uiPriority w:val="99"/>
    <w:semiHidden/>
    <w:unhideWhenUsed/>
    <w:qFormat/>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uiPriority w:val="99"/>
    <w:semiHidden/>
    <w:unhideWhenUsed/>
    <w:qFormat/>
    <w:pPr>
      <w:jc w:val="both"/>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uiPriority w:val="99"/>
    <w:semiHidden/>
    <w:unhideWhenUsed/>
    <w:qFormat/>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uiPriority w:val="99"/>
    <w:semiHidden/>
    <w:unhideWhenUsed/>
    <w:qFormat/>
    <w:pPr>
      <w:jc w:val="both"/>
    </w:p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uiPriority w:val="99"/>
    <w:semiHidden/>
    <w:unhideWhenUsed/>
    <w:qFormat/>
    <w:pPr>
      <w:jc w:val="both"/>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3Deffects1">
    <w:name w:val="Table 3D effects 1"/>
    <w:basedOn w:val="TableNormal"/>
    <w:uiPriority w:val="99"/>
    <w:semiHidden/>
    <w:unhideWhenUsed/>
    <w:qFormat/>
    <w:pPr>
      <w:jc w:val="both"/>
    </w:p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uiPriority w:val="99"/>
    <w:semiHidden/>
    <w:unhideWhenUsed/>
    <w:qFormat/>
    <w:pPr>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uiPriority w:val="99"/>
    <w:semiHidden/>
    <w:unhideWhenUsed/>
    <w:qFormat/>
    <w:pPr>
      <w:jc w:val="both"/>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List1">
    <w:name w:val="Table List 1"/>
    <w:basedOn w:val="TableNormal"/>
    <w:uiPriority w:val="99"/>
    <w:semiHidden/>
    <w:unhideWhenUsed/>
    <w:qFormat/>
    <w:pPr>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uiPriority w:val="99"/>
    <w:semiHidden/>
    <w:unhideWhenUsed/>
    <w:qFormat/>
    <w:pPr>
      <w:jc w:val="both"/>
    </w:p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uiPriority w:val="99"/>
    <w:semiHidden/>
    <w:unhideWhenUsed/>
    <w:qFormat/>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uiPriority w:val="99"/>
    <w:semiHidden/>
    <w:unhideWhenUsed/>
    <w:qFormat/>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uiPriority w:val="99"/>
    <w:semiHidden/>
    <w:unhideWhenUsed/>
    <w:qFormat/>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uiPriority w:val="99"/>
    <w:semiHidden/>
    <w:unhideWhenUsed/>
    <w:qFormat/>
    <w:pPr>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uiPriority w:val="99"/>
    <w:semiHidden/>
    <w:unhideWhenUsed/>
    <w:qFormat/>
    <w:pPr>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uiPriority w:val="99"/>
    <w:semiHidden/>
    <w:unhideWhenUsed/>
    <w:qFormat/>
    <w:pPr>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TableContemporary">
    <w:name w:val="Table Contemporary"/>
    <w:basedOn w:val="TableNormal"/>
    <w:uiPriority w:val="99"/>
    <w:semiHidden/>
    <w:unhideWhenUsed/>
    <w:qFormat/>
    <w:pPr>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Columns1">
    <w:name w:val="Table Columns 1"/>
    <w:basedOn w:val="TableNormal"/>
    <w:uiPriority w:val="99"/>
    <w:semiHidden/>
    <w:unhideWhenUsed/>
    <w:qFormat/>
    <w:pPr>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uiPriority w:val="99"/>
    <w:semiHidden/>
    <w:unhideWhenUsed/>
    <w:qFormat/>
    <w:pPr>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uiPriority w:val="99"/>
    <w:semiHidden/>
    <w:unhideWhenUsed/>
    <w:qFormat/>
    <w:pPr>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uiPriority w:val="99"/>
    <w:semiHidden/>
    <w:unhideWhenUsed/>
    <w:qFormat/>
    <w:pPr>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qFormat/>
    <w:pPr>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qFormat/>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uiPriority w:val="99"/>
    <w:semiHidden/>
    <w:unhideWhenUsed/>
    <w:qFormat/>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uiPriority w:val="99"/>
    <w:semiHidden/>
    <w:unhideWhenUsed/>
    <w:qFormat/>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uiPriority w:val="99"/>
    <w:semiHidden/>
    <w:unhideWhenUsed/>
    <w:qFormat/>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uiPriority w:val="99"/>
    <w:semiHidden/>
    <w:unhideWhenUsed/>
    <w:qFormat/>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uiPriority w:val="99"/>
    <w:semiHidden/>
    <w:unhideWhenUsed/>
    <w:qFormat/>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uiPriority w:val="99"/>
    <w:semiHidden/>
    <w:unhideWhenUsed/>
    <w:qFormat/>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uiPriority w:val="99"/>
    <w:semiHidden/>
    <w:unhideWhenUsed/>
    <w:qFormat/>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Web1">
    <w:name w:val="Table Web 1"/>
    <w:basedOn w:val="TableNormal"/>
    <w:uiPriority w:val="99"/>
    <w:semiHidden/>
    <w:unhideWhenUsed/>
    <w:qFormat/>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uiPriority w:val="99"/>
    <w:semiHidden/>
    <w:unhideWhenUsed/>
    <w:qFormat/>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uiPriority w:val="99"/>
    <w:semiHidden/>
    <w:unhideWhenUsed/>
    <w:qFormat/>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Professional">
    <w:name w:val="Table Professional"/>
    <w:basedOn w:val="TableNormal"/>
    <w:uiPriority w:val="99"/>
    <w:semiHidden/>
    <w:unhideWhenUsed/>
    <w:qFormat/>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LightShading">
    <w:name w:val="Light Shading"/>
    <w:basedOn w:val="TableNormal"/>
    <w:uiPriority w:val="60"/>
    <w:semiHidden/>
    <w:unhideWhenUsed/>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qFormat/>
    <w:rPr>
      <w:color w:val="365F91" w:themeColor="accent1" w:themeShade="BF"/>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qFormat/>
    <w:rPr>
      <w:color w:val="943634" w:themeColor="accent2" w:themeShade="BF"/>
    </w:rPr>
    <w:tblPr>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qFormat/>
    <w:rPr>
      <w:color w:val="76923C" w:themeColor="accent3" w:themeShade="BF"/>
    </w:rPr>
    <w:tblPr>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qFormat/>
    <w:rPr>
      <w:color w:val="5F497A" w:themeColor="accent4" w:themeShade="BF"/>
    </w:rPr>
    <w:tblPr>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qFormat/>
    <w:rPr>
      <w:color w:val="31849B" w:themeColor="accent5" w:themeShade="BF"/>
    </w:rPr>
    <w:tblPr>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qFormat/>
    <w:rPr>
      <w:color w:val="E36C0A" w:themeColor="accent6" w:themeShade="BF"/>
    </w:rPr>
    <w:tblPr>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semiHidden/>
    <w:unhideWhenUsed/>
    <w:qFormat/>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qFormat/>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qFormat/>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qFormat/>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qFormat/>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qFormat/>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qFormat/>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semiHidden/>
    <w:unhideWhenUsed/>
    <w:qFormat/>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styleId="LightGrid-Accent1">
    <w:name w:val="Light Grid Accent 1"/>
    <w:basedOn w:val="TableNormal"/>
    <w:uiPriority w:val="62"/>
    <w:semiHidden/>
    <w:unhideWhenUsed/>
    <w:qFormat/>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table" w:styleId="LightGrid-Accent2">
    <w:name w:val="Light Grid Accent 2"/>
    <w:basedOn w:val="TableNormal"/>
    <w:uiPriority w:val="62"/>
    <w:semiHidden/>
    <w:unhideWhenUsed/>
    <w:qFormat/>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tcPr>
    </w:tblStylePr>
  </w:style>
  <w:style w:type="table" w:styleId="LightGrid-Accent3">
    <w:name w:val="Light Grid Accent 3"/>
    <w:basedOn w:val="TableNormal"/>
    <w:uiPriority w:val="62"/>
    <w:semiHidden/>
    <w:unhideWhenUsed/>
    <w:qFormat/>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table" w:styleId="LightGrid-Accent4">
    <w:name w:val="Light Grid Accent 4"/>
    <w:basedOn w:val="TableNormal"/>
    <w:uiPriority w:val="62"/>
    <w:semiHidden/>
    <w:unhideWhenUsed/>
    <w:qFormat/>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tcPr>
    </w:tblStylePr>
  </w:style>
  <w:style w:type="table" w:styleId="LightGrid-Accent5">
    <w:name w:val="Light Grid Accent 5"/>
    <w:basedOn w:val="TableNormal"/>
    <w:uiPriority w:val="62"/>
    <w:semiHidden/>
    <w:unhideWhenUsed/>
    <w:qFormat/>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tcPr>
    </w:tblStylePr>
  </w:style>
  <w:style w:type="table" w:styleId="LightGrid-Accent6">
    <w:name w:val="Light Grid Accent 6"/>
    <w:basedOn w:val="TableNormal"/>
    <w:uiPriority w:val="62"/>
    <w:semiHidden/>
    <w:unhideWhenUsed/>
    <w:qFormat/>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tcPr>
    </w:tblStylePr>
  </w:style>
  <w:style w:type="table" w:styleId="MediumShading1">
    <w:name w:val="Medium Shading 1"/>
    <w:basedOn w:val="TableNormal"/>
    <w:uiPriority w:val="63"/>
    <w:semiHidden/>
    <w:unhideWhenUsed/>
    <w:qFormat/>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qFormat/>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qFormat/>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qFormat/>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qFormat/>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qFormat/>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qFormat/>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List1">
    <w:name w:val="Medium List 1"/>
    <w:basedOn w:val="TableNormal"/>
    <w:uiPriority w:val="65"/>
    <w:semiHidden/>
    <w:unhideWhenUsed/>
    <w:qFormat/>
    <w:rPr>
      <w:color w:val="000000" w:themeColor="text1"/>
    </w:rPr>
    <w:tblPr>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qFormat/>
    <w:rPr>
      <w:color w:val="000000" w:themeColor="text1"/>
    </w:rPr>
    <w:tblPr>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qFormat/>
    <w:rPr>
      <w:color w:val="000000" w:themeColor="text1"/>
    </w:rPr>
    <w:tblPr>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qFormat/>
    <w:rPr>
      <w:color w:val="000000" w:themeColor="text1"/>
    </w:rPr>
    <w:tblPr>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qFormat/>
    <w:rPr>
      <w:color w:val="000000" w:themeColor="text1"/>
    </w:rPr>
    <w:tblPr>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qFormat/>
    <w:rPr>
      <w:color w:val="000000" w:themeColor="text1"/>
    </w:rPr>
    <w:tblPr>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qFormat/>
    <w:rPr>
      <w:color w:val="000000" w:themeColor="text1"/>
    </w:rPr>
    <w:tblPr>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qFormat/>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qFormat/>
    <w:rPr>
      <w:rFonts w:asciiTheme="majorHAnsi" w:eastAsiaTheme="majorEastAsia" w:hAnsiTheme="majorHAnsi" w:cstheme="majorBidi"/>
      <w:color w:val="000000" w:themeColor="text1"/>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qFormat/>
    <w:rPr>
      <w:rFonts w:asciiTheme="majorHAnsi" w:eastAsiaTheme="majorEastAsia" w:hAnsiTheme="majorHAnsi" w:cstheme="majorBidi"/>
      <w:color w:val="000000" w:themeColor="text1"/>
    </w:r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qFormat/>
    <w:rPr>
      <w:rFonts w:asciiTheme="majorHAnsi" w:eastAsiaTheme="majorEastAsia" w:hAnsiTheme="majorHAnsi" w:cstheme="majorBidi"/>
      <w:color w:val="000000" w:themeColor="text1"/>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qFormat/>
    <w:rPr>
      <w:rFonts w:asciiTheme="majorHAnsi" w:eastAsiaTheme="majorEastAsia" w:hAnsiTheme="majorHAnsi" w:cstheme="majorBidi"/>
      <w:color w:val="000000" w:themeColor="text1"/>
    </w:r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qFormat/>
    <w:rPr>
      <w:rFonts w:asciiTheme="majorHAnsi" w:eastAsiaTheme="majorEastAsia" w:hAnsiTheme="majorHAnsi" w:cstheme="majorBidi"/>
      <w:color w:val="000000" w:themeColor="text1"/>
    </w:r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qFormat/>
    <w:rPr>
      <w:rFonts w:asciiTheme="majorHAnsi" w:eastAsiaTheme="majorEastAsia" w:hAnsiTheme="majorHAnsi" w:cstheme="majorBidi"/>
      <w:color w:val="000000" w:themeColor="text1"/>
    </w:r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semiHidden/>
    <w:unhideWhenUsed/>
    <w:qFormat/>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qFormat/>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qFormat/>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qFormat/>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qFormat/>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qFormat/>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qFormat/>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qFormat/>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qFormat/>
    <w:rPr>
      <w:rFonts w:asciiTheme="majorHAnsi" w:eastAsiaTheme="majorEastAsia" w:hAnsiTheme="majorHAnsi" w:cstheme="majorBidi"/>
      <w:color w:val="000000" w:themeColor="text1"/>
    </w:r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auto"/>
          <w:insideV w:val="single" w:sz="6" w:space="0" w:color="auto"/>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qFormat/>
    <w:rPr>
      <w:rFonts w:asciiTheme="majorHAnsi" w:eastAsiaTheme="majorEastAsia" w:hAnsiTheme="majorHAnsi" w:cstheme="majorBidi"/>
      <w:color w:val="000000" w:themeColor="text1"/>
    </w:r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auto"/>
          <w:insideV w:val="single" w:sz="6" w:space="0" w:color="auto"/>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qFormat/>
    <w:rPr>
      <w:rFonts w:asciiTheme="majorHAnsi" w:eastAsiaTheme="majorEastAsia" w:hAnsiTheme="majorHAnsi" w:cstheme="majorBidi"/>
      <w:color w:val="000000" w:themeColor="text1"/>
    </w:r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auto"/>
          <w:insideV w:val="single" w:sz="6" w:space="0" w:color="auto"/>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qFormat/>
    <w:rPr>
      <w:rFonts w:asciiTheme="majorHAnsi" w:eastAsiaTheme="majorEastAsia" w:hAnsiTheme="majorHAnsi" w:cstheme="majorBidi"/>
      <w:color w:val="000000" w:themeColor="text1"/>
    </w:r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auto"/>
          <w:insideV w:val="single" w:sz="6" w:space="0" w:color="auto"/>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qFormat/>
    <w:rPr>
      <w:rFonts w:asciiTheme="majorHAnsi" w:eastAsiaTheme="majorEastAsia" w:hAnsiTheme="majorHAnsi" w:cstheme="majorBidi"/>
      <w:color w:val="000000" w:themeColor="text1"/>
    </w:r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auto"/>
          <w:insideV w:val="single" w:sz="6" w:space="0" w:color="auto"/>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qFormat/>
    <w:rPr>
      <w:rFonts w:asciiTheme="majorHAnsi" w:eastAsiaTheme="majorEastAsia" w:hAnsiTheme="majorHAnsi" w:cstheme="majorBidi"/>
      <w:color w:val="000000" w:themeColor="text1"/>
    </w:r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auto"/>
          <w:insideV w:val="single" w:sz="6" w:space="0" w:color="auto"/>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styleId="MediumGrid3-Accent1">
    <w:name w:val="Medium Grid 3 Accent 1"/>
    <w:basedOn w:val="TableNormal"/>
    <w:uiPriority w:val="69"/>
    <w:semiHidden/>
    <w:unhideWhenUsed/>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7BFDE" w:themeFill="accent1" w:themeFillTint="7F"/>
      </w:tcPr>
    </w:tblStylePr>
  </w:style>
  <w:style w:type="table" w:styleId="MediumGrid3-Accent2">
    <w:name w:val="Medium Grid 3 Accent 2"/>
    <w:basedOn w:val="TableNormal"/>
    <w:uiPriority w:val="69"/>
    <w:semiHidden/>
    <w:unhideWhenUsed/>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FA7A6" w:themeFill="accent2" w:themeFillTint="7F"/>
      </w:tcPr>
    </w:tblStylePr>
  </w:style>
  <w:style w:type="table" w:styleId="MediumGrid3-Accent3">
    <w:name w:val="Medium Grid 3 Accent 3"/>
    <w:basedOn w:val="TableNormal"/>
    <w:uiPriority w:val="69"/>
    <w:semiHidden/>
    <w:unhideWhenUsed/>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CDDDAC" w:themeFill="accent3" w:themeFillTint="7F"/>
      </w:tcPr>
    </w:tblStylePr>
  </w:style>
  <w:style w:type="table" w:styleId="MediumGrid3-Accent4">
    <w:name w:val="Medium Grid 3 Accent 4"/>
    <w:basedOn w:val="TableNormal"/>
    <w:uiPriority w:val="69"/>
    <w:semiHidden/>
    <w:unhideWhenUsed/>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FB1D0" w:themeFill="accent4" w:themeFillTint="7F"/>
      </w:tcPr>
    </w:tblStylePr>
  </w:style>
  <w:style w:type="table" w:styleId="MediumGrid3-Accent5">
    <w:name w:val="Medium Grid 3 Accent 5"/>
    <w:basedOn w:val="TableNormal"/>
    <w:uiPriority w:val="69"/>
    <w:semiHidden/>
    <w:unhideWhenUsed/>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5D5E2" w:themeFill="accent5" w:themeFillTint="7F"/>
      </w:tcPr>
    </w:tblStylePr>
  </w:style>
  <w:style w:type="table" w:styleId="MediumGrid3-Accent6">
    <w:name w:val="Medium Grid 3 Accent 6"/>
    <w:basedOn w:val="TableNormal"/>
    <w:uiPriority w:val="69"/>
    <w:semiHidden/>
    <w:unhideWhenUsed/>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BCAA2" w:themeFill="accent6" w:themeFillTint="7F"/>
      </w:tcPr>
    </w:tblStylePr>
  </w:style>
  <w:style w:type="table" w:styleId="DarkList">
    <w:name w:val="Dark List"/>
    <w:basedOn w:val="TableNormal"/>
    <w:uiPriority w:val="70"/>
    <w:semiHidden/>
    <w:unhideWhenUsed/>
    <w:qFormat/>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qFormat/>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qFormat/>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qFormat/>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qFormat/>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qFormat/>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qFormat/>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semiHidden/>
    <w:unhideWhenUsed/>
    <w:qFormat/>
    <w:rPr>
      <w:color w:val="000000" w:themeColor="text1"/>
    </w:rPr>
    <w:tblPr>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qFormat/>
    <w:rPr>
      <w:color w:val="000000" w:themeColor="text1"/>
    </w:rPr>
    <w:tblPr>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qFormat/>
    <w:rPr>
      <w:color w:val="000000" w:themeColor="text1"/>
    </w:rPr>
    <w:tblPr>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qFormat/>
    <w:rPr>
      <w:color w:val="000000" w:themeColor="text1"/>
    </w:rPr>
    <w:tblPr>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qFormat/>
    <w:rPr>
      <w:color w:val="000000" w:themeColor="text1"/>
    </w:rPr>
    <w:tblPr>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qFormat/>
    <w:rPr>
      <w:color w:val="000000" w:themeColor="text1"/>
    </w:rPr>
    <w:tblPr>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qFormat/>
    <w:rPr>
      <w:color w:val="000000" w:themeColor="text1"/>
    </w:rPr>
    <w:tblPr>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unhideWhenUsed/>
    <w:qFormat/>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qFormat/>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qFormat/>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qFormat/>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qFormat/>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qFormat/>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qFormat/>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semiHidden/>
    <w:unhideWhenUsed/>
    <w:qFormat/>
    <w:rPr>
      <w:color w:val="000000" w:themeColor="text1"/>
    </w:rPr>
    <w:tblPr>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qFormat/>
    <w:rPr>
      <w:color w:val="000000" w:themeColor="text1"/>
    </w:rPr>
    <w:tblPr>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qFormat/>
    <w:rPr>
      <w:color w:val="000000" w:themeColor="text1"/>
    </w:rPr>
    <w:tblPr>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qFormat/>
    <w:rPr>
      <w:color w:val="000000" w:themeColor="text1"/>
    </w:rPr>
    <w:tblPr>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qFormat/>
    <w:rPr>
      <w:color w:val="000000" w:themeColor="text1"/>
    </w:rPr>
    <w:tblPr>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qFormat/>
    <w:rPr>
      <w:color w:val="000000" w:themeColor="text1"/>
    </w:rPr>
    <w:tblPr>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qFormat/>
    <w:rPr>
      <w:color w:val="000000" w:themeColor="text1"/>
    </w:rPr>
    <w:tblPr>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Strong">
    <w:name w:val="Strong"/>
    <w:basedOn w:val="DefaultParagraphFont"/>
    <w:uiPriority w:val="99"/>
    <w:semiHidden/>
    <w:qFormat/>
    <w:rPr>
      <w:b/>
      <w:bCs/>
      <w:lang w:val="en-GB"/>
    </w:rPr>
  </w:style>
  <w:style w:type="character" w:styleId="EndnoteReference">
    <w:name w:val="endnote reference"/>
    <w:uiPriority w:val="49"/>
    <w:qFormat/>
    <w:rPr>
      <w:vertAlign w:val="superscript"/>
      <w:lang w:val="en-GB"/>
    </w:rPr>
  </w:style>
  <w:style w:type="character" w:styleId="PageNumber">
    <w:name w:val="page number"/>
    <w:basedOn w:val="DefaultParagraphFont"/>
    <w:uiPriority w:val="99"/>
    <w:semiHidden/>
    <w:unhideWhenUsed/>
    <w:qFormat/>
    <w:rPr>
      <w:lang w:val="en-GB"/>
    </w:rPr>
  </w:style>
  <w:style w:type="character" w:styleId="FollowedHyperlink">
    <w:name w:val="FollowedHyperlink"/>
    <w:basedOn w:val="DefaultParagraphFont"/>
    <w:uiPriority w:val="9"/>
    <w:unhideWhenUsed/>
    <w:qFormat/>
    <w:rPr>
      <w:color w:val="800080" w:themeColor="followedHyperlink"/>
      <w:u w:val="single"/>
      <w:lang w:val="en-GB"/>
    </w:rPr>
  </w:style>
  <w:style w:type="character" w:styleId="Emphasis">
    <w:name w:val="Emphasis"/>
    <w:basedOn w:val="DefaultParagraphFont"/>
    <w:uiPriority w:val="99"/>
    <w:qFormat/>
    <w:rPr>
      <w:i/>
      <w:iCs/>
      <w:lang w:val="en-GB"/>
    </w:rPr>
  </w:style>
  <w:style w:type="character" w:styleId="LineNumber">
    <w:name w:val="line number"/>
    <w:basedOn w:val="DefaultParagraphFont"/>
    <w:uiPriority w:val="99"/>
    <w:semiHidden/>
    <w:unhideWhenUsed/>
    <w:qFormat/>
    <w:rPr>
      <w:lang w:val="en-GB"/>
    </w:rPr>
  </w:style>
  <w:style w:type="character" w:styleId="HTMLDefinition">
    <w:name w:val="HTML Definition"/>
    <w:basedOn w:val="DefaultParagraphFont"/>
    <w:uiPriority w:val="99"/>
    <w:semiHidden/>
    <w:unhideWhenUsed/>
    <w:qFormat/>
    <w:rPr>
      <w:i/>
      <w:iCs/>
      <w:lang w:val="en-GB"/>
    </w:rPr>
  </w:style>
  <w:style w:type="character" w:styleId="HTMLTypewriter">
    <w:name w:val="HTML Typewriter"/>
    <w:basedOn w:val="DefaultParagraphFont"/>
    <w:uiPriority w:val="99"/>
    <w:semiHidden/>
    <w:unhideWhenUsed/>
    <w:qFormat/>
    <w:rPr>
      <w:rFonts w:ascii="Consolas" w:hAnsi="Consolas" w:cs="Consolas"/>
      <w:sz w:val="20"/>
      <w:szCs w:val="20"/>
      <w:lang w:val="en-GB"/>
    </w:rPr>
  </w:style>
  <w:style w:type="character" w:styleId="HTMLAcronym">
    <w:name w:val="HTML Acronym"/>
    <w:basedOn w:val="DefaultParagraphFont"/>
    <w:uiPriority w:val="99"/>
    <w:semiHidden/>
    <w:unhideWhenUsed/>
    <w:qFormat/>
    <w:rPr>
      <w:lang w:val="en-GB"/>
    </w:rPr>
  </w:style>
  <w:style w:type="character" w:styleId="HTMLVariable">
    <w:name w:val="HTML Variable"/>
    <w:basedOn w:val="DefaultParagraphFont"/>
    <w:uiPriority w:val="99"/>
    <w:semiHidden/>
    <w:unhideWhenUsed/>
    <w:qFormat/>
    <w:rPr>
      <w:i/>
      <w:iCs/>
      <w:lang w:val="en-GB"/>
    </w:rPr>
  </w:style>
  <w:style w:type="character" w:styleId="Hyperlink">
    <w:name w:val="Hyperlink"/>
    <w:basedOn w:val="DefaultParagraphFont"/>
    <w:uiPriority w:val="9"/>
    <w:unhideWhenUsed/>
    <w:qFormat/>
    <w:rPr>
      <w:color w:val="0000FF" w:themeColor="hyperlink"/>
      <w:u w:val="single"/>
      <w:lang w:val="en-GB"/>
    </w:rPr>
  </w:style>
  <w:style w:type="character" w:styleId="HTMLCode">
    <w:name w:val="HTML Code"/>
    <w:basedOn w:val="DefaultParagraphFont"/>
    <w:uiPriority w:val="99"/>
    <w:semiHidden/>
    <w:unhideWhenUsed/>
    <w:qFormat/>
    <w:rPr>
      <w:rFonts w:ascii="Consolas" w:hAnsi="Consolas" w:cs="Consolas"/>
      <w:sz w:val="20"/>
      <w:szCs w:val="20"/>
      <w:lang w:val="en-GB"/>
    </w:rPr>
  </w:style>
  <w:style w:type="character" w:styleId="CommentReference">
    <w:name w:val="annotation reference"/>
    <w:basedOn w:val="DefaultParagraphFont"/>
    <w:uiPriority w:val="99"/>
    <w:semiHidden/>
    <w:unhideWhenUsed/>
    <w:qFormat/>
    <w:rPr>
      <w:sz w:val="16"/>
      <w:szCs w:val="16"/>
      <w:lang w:val="en-GB"/>
    </w:rPr>
  </w:style>
  <w:style w:type="character" w:styleId="HTMLCite">
    <w:name w:val="HTML Cite"/>
    <w:basedOn w:val="DefaultParagraphFont"/>
    <w:uiPriority w:val="99"/>
    <w:semiHidden/>
    <w:unhideWhenUsed/>
    <w:qFormat/>
    <w:rPr>
      <w:i/>
      <w:iCs/>
      <w:lang w:val="en-GB"/>
    </w:rPr>
  </w:style>
  <w:style w:type="character" w:styleId="FootnoteReference">
    <w:name w:val="footnote reference"/>
    <w:uiPriority w:val="5"/>
    <w:qFormat/>
    <w:rPr>
      <w:vertAlign w:val="superscript"/>
      <w:lang w:val="en-GB"/>
    </w:rPr>
  </w:style>
  <w:style w:type="character" w:styleId="HTMLKeyboard">
    <w:name w:val="HTML Keyboard"/>
    <w:basedOn w:val="DefaultParagraphFont"/>
    <w:uiPriority w:val="99"/>
    <w:semiHidden/>
    <w:unhideWhenUsed/>
    <w:qFormat/>
    <w:rPr>
      <w:rFonts w:ascii="Consolas" w:hAnsi="Consolas" w:cs="Consolas"/>
      <w:sz w:val="20"/>
      <w:szCs w:val="20"/>
      <w:lang w:val="en-GB"/>
    </w:rPr>
  </w:style>
  <w:style w:type="character" w:styleId="HTMLSample">
    <w:name w:val="HTML Sample"/>
    <w:basedOn w:val="DefaultParagraphFont"/>
    <w:uiPriority w:val="99"/>
    <w:semiHidden/>
    <w:unhideWhenUsed/>
    <w:qFormat/>
    <w:rPr>
      <w:rFonts w:ascii="Consolas" w:hAnsi="Consolas" w:cs="Consolas"/>
      <w:sz w:val="24"/>
      <w:szCs w:val="24"/>
      <w:lang w:val="en-GB"/>
    </w:rPr>
  </w:style>
  <w:style w:type="character" w:customStyle="1" w:styleId="Heading1Char">
    <w:name w:val="Heading 1 Char"/>
    <w:basedOn w:val="DefaultParagraphFont"/>
    <w:link w:val="Heading1"/>
    <w:uiPriority w:val="2"/>
    <w:qFormat/>
    <w:rPr>
      <w:rFonts w:ascii="Verdana" w:eastAsiaTheme="majorEastAsia" w:hAnsi="Verdana" w:cstheme="majorBidi"/>
      <w:b/>
      <w:bCs/>
      <w:caps/>
      <w:color w:val="006283"/>
      <w:sz w:val="18"/>
      <w:szCs w:val="28"/>
      <w:lang w:val="en-GB"/>
    </w:rPr>
  </w:style>
  <w:style w:type="character" w:customStyle="1" w:styleId="Heading2Char">
    <w:name w:val="Heading 2 Char"/>
    <w:basedOn w:val="DefaultParagraphFont"/>
    <w:link w:val="Heading2"/>
    <w:uiPriority w:val="2"/>
    <w:qFormat/>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qFormat/>
    <w:rPr>
      <w:rFonts w:ascii="Verdana" w:eastAsiaTheme="majorEastAsia" w:hAnsi="Verdana" w:cstheme="majorBidi"/>
      <w:b/>
      <w:bCs/>
      <w:color w:val="006283"/>
      <w:sz w:val="18"/>
      <w:szCs w:val="22"/>
      <w:lang w:val="en-GB"/>
    </w:rPr>
  </w:style>
  <w:style w:type="character" w:customStyle="1" w:styleId="Heading4Char">
    <w:name w:val="Heading 4 Char"/>
    <w:basedOn w:val="DefaultParagraphFont"/>
    <w:link w:val="Heading4"/>
    <w:uiPriority w:val="2"/>
    <w:qFormat/>
    <w:rPr>
      <w:rFonts w:ascii="Verdana" w:eastAsiaTheme="majorEastAsia" w:hAnsi="Verdana" w:cstheme="majorBidi"/>
      <w:b/>
      <w:bCs/>
      <w:iCs/>
      <w:color w:val="006283"/>
      <w:sz w:val="18"/>
      <w:szCs w:val="22"/>
      <w:lang w:val="en-GB"/>
    </w:rPr>
  </w:style>
  <w:style w:type="character" w:customStyle="1" w:styleId="Heading5Char">
    <w:name w:val="Heading 5 Char"/>
    <w:basedOn w:val="DefaultParagraphFont"/>
    <w:link w:val="Heading5"/>
    <w:uiPriority w:val="2"/>
    <w:qFormat/>
    <w:rPr>
      <w:rFonts w:ascii="Verdana" w:eastAsiaTheme="majorEastAsia" w:hAnsi="Verdana" w:cstheme="majorBidi"/>
      <w:b/>
      <w:color w:val="006283"/>
      <w:sz w:val="18"/>
      <w:szCs w:val="22"/>
      <w:lang w:val="en-GB"/>
    </w:rPr>
  </w:style>
  <w:style w:type="character" w:customStyle="1" w:styleId="Heading6Char">
    <w:name w:val="Heading 6 Char"/>
    <w:basedOn w:val="DefaultParagraphFont"/>
    <w:link w:val="Heading6"/>
    <w:uiPriority w:val="2"/>
    <w:qFormat/>
    <w:rPr>
      <w:rFonts w:ascii="Verdana" w:eastAsiaTheme="majorEastAsia" w:hAnsi="Verdana" w:cstheme="majorBidi"/>
      <w:b/>
      <w:iCs/>
      <w:color w:val="006283"/>
      <w:sz w:val="18"/>
      <w:szCs w:val="22"/>
      <w:lang w:val="en-GB"/>
    </w:rPr>
  </w:style>
  <w:style w:type="character" w:customStyle="1" w:styleId="Heading7Char">
    <w:name w:val="Heading 7 Char"/>
    <w:basedOn w:val="DefaultParagraphFont"/>
    <w:link w:val="Heading7"/>
    <w:uiPriority w:val="2"/>
    <w:qFormat/>
    <w:rPr>
      <w:rFonts w:ascii="Verdana" w:eastAsiaTheme="majorEastAsia" w:hAnsi="Verdana" w:cstheme="majorBidi"/>
      <w:b/>
      <w:iCs/>
      <w:color w:val="006283"/>
      <w:sz w:val="18"/>
      <w:szCs w:val="22"/>
      <w:lang w:val="en-GB"/>
    </w:rPr>
  </w:style>
  <w:style w:type="character" w:customStyle="1" w:styleId="Heading8Char">
    <w:name w:val="Heading 8 Char"/>
    <w:basedOn w:val="DefaultParagraphFont"/>
    <w:link w:val="Heading8"/>
    <w:uiPriority w:val="2"/>
    <w:qFormat/>
    <w:rPr>
      <w:rFonts w:ascii="Verdana" w:eastAsiaTheme="majorEastAsia" w:hAnsi="Verdana" w:cstheme="majorBidi"/>
      <w:b/>
      <w:i/>
      <w:color w:val="006283"/>
      <w:sz w:val="18"/>
      <w:lang w:val="en-GB"/>
    </w:rPr>
  </w:style>
  <w:style w:type="character" w:customStyle="1" w:styleId="Heading9Char">
    <w:name w:val="Heading 9 Char"/>
    <w:basedOn w:val="DefaultParagraphFont"/>
    <w:link w:val="Heading9"/>
    <w:uiPriority w:val="2"/>
    <w:qFormat/>
    <w:rPr>
      <w:rFonts w:ascii="Verdana" w:eastAsiaTheme="majorEastAsia" w:hAnsi="Verdana" w:cstheme="majorBidi"/>
      <w:b/>
      <w:iCs/>
      <w:color w:val="006283"/>
      <w:sz w:val="18"/>
      <w:u w:val="single"/>
      <w:lang w:val="en-GB"/>
    </w:rPr>
  </w:style>
  <w:style w:type="character" w:customStyle="1" w:styleId="TitleChar">
    <w:name w:val="Title Char"/>
    <w:basedOn w:val="DefaultParagraphFont"/>
    <w:link w:val="Title"/>
    <w:uiPriority w:val="5"/>
    <w:qFormat/>
    <w:rPr>
      <w:rFonts w:ascii="Verdana" w:eastAsiaTheme="majorEastAsia" w:hAnsi="Verdana" w:cstheme="majorBidi"/>
      <w:b/>
      <w:caps/>
      <w:color w:val="006283"/>
      <w:kern w:val="28"/>
      <w:sz w:val="18"/>
      <w:szCs w:val="52"/>
      <w:lang w:val="en-GB"/>
    </w:rPr>
  </w:style>
  <w:style w:type="character" w:customStyle="1" w:styleId="BodyTextChar">
    <w:name w:val="Body Text Char"/>
    <w:basedOn w:val="DefaultParagraphFont"/>
    <w:link w:val="BodyText"/>
    <w:uiPriority w:val="1"/>
    <w:qFormat/>
    <w:rPr>
      <w:rFonts w:ascii="Verdana" w:eastAsiaTheme="minorHAnsi" w:hAnsi="Verdana" w:cstheme="minorBidi"/>
      <w:sz w:val="18"/>
      <w:szCs w:val="22"/>
      <w:lang w:val="en-GB"/>
    </w:rPr>
  </w:style>
  <w:style w:type="character" w:customStyle="1" w:styleId="BodyText2Char">
    <w:name w:val="Body Text 2 Char"/>
    <w:basedOn w:val="DefaultParagraphFont"/>
    <w:link w:val="BodyText2"/>
    <w:uiPriority w:val="1"/>
    <w:qFormat/>
    <w:rPr>
      <w:rFonts w:ascii="Verdana" w:eastAsiaTheme="minorHAnsi" w:hAnsi="Verdana" w:cstheme="minorBidi"/>
      <w:sz w:val="18"/>
      <w:szCs w:val="22"/>
      <w:lang w:val="en-GB"/>
    </w:rPr>
  </w:style>
  <w:style w:type="character" w:customStyle="1" w:styleId="BodyText3Char">
    <w:name w:val="Body Text 3 Char"/>
    <w:basedOn w:val="DefaultParagraphFont"/>
    <w:link w:val="BodyText3"/>
    <w:uiPriority w:val="1"/>
    <w:qFormat/>
    <w:rPr>
      <w:rFonts w:ascii="Verdana" w:eastAsiaTheme="minorHAnsi" w:hAnsi="Verdana" w:cstheme="minorBidi"/>
      <w:sz w:val="18"/>
      <w:szCs w:val="16"/>
      <w:lang w:val="en-GB"/>
    </w:rPr>
  </w:style>
  <w:style w:type="paragraph" w:customStyle="1" w:styleId="Answer">
    <w:name w:val="Answer"/>
    <w:basedOn w:val="Normal"/>
    <w:link w:val="AnswerChar"/>
    <w:uiPriority w:val="6"/>
    <w:qFormat/>
    <w:pPr>
      <w:spacing w:after="240"/>
      <w:ind w:left="1077"/>
    </w:pPr>
    <w:rPr>
      <w:rFonts w:eastAsia="Calibri" w:cs="Times New Roman"/>
    </w:rPr>
  </w:style>
  <w:style w:type="character" w:customStyle="1" w:styleId="SmartLink1">
    <w:name w:val="SmartLink1"/>
    <w:basedOn w:val="DefaultParagraphFont"/>
    <w:uiPriority w:val="99"/>
    <w:semiHidden/>
    <w:unhideWhenUsed/>
    <w:qFormat/>
    <w:rPr>
      <w:color w:val="0000FF" w:themeColor="hyperlink"/>
      <w:u w:val="single"/>
      <w:shd w:val="clear" w:color="auto" w:fill="E1DFDD"/>
      <w:lang w:val="en-GB"/>
    </w:rPr>
  </w:style>
  <w:style w:type="character" w:customStyle="1" w:styleId="FootnoteTextChar">
    <w:name w:val="Footnote Text Char"/>
    <w:link w:val="FootnoteText"/>
    <w:uiPriority w:val="5"/>
    <w:qFormat/>
    <w:rPr>
      <w:rFonts w:ascii="Verdana" w:hAnsi="Verdana"/>
      <w:sz w:val="16"/>
      <w:szCs w:val="18"/>
      <w:lang w:val="en-GB" w:eastAsia="en-GB"/>
    </w:rPr>
  </w:style>
  <w:style w:type="character" w:customStyle="1" w:styleId="EndnoteTextChar">
    <w:name w:val="Endnote Text Char"/>
    <w:link w:val="EndnoteText"/>
    <w:uiPriority w:val="49"/>
    <w:qFormat/>
    <w:rPr>
      <w:rFonts w:ascii="Verdana" w:hAnsi="Verdana"/>
      <w:sz w:val="16"/>
      <w:lang w:val="en-GB" w:eastAsia="en-GB"/>
    </w:rPr>
  </w:style>
  <w:style w:type="paragraph" w:customStyle="1" w:styleId="FollowUp">
    <w:name w:val="FollowUp"/>
    <w:basedOn w:val="Normal"/>
    <w:link w:val="FollowUpChar"/>
    <w:uiPriority w:val="6"/>
    <w:qFormat/>
    <w:pPr>
      <w:spacing w:after="240"/>
      <w:ind w:left="720"/>
    </w:pPr>
    <w:rPr>
      <w:rFonts w:eastAsia="Calibri" w:cs="Times New Roman"/>
      <w:i/>
    </w:rPr>
  </w:style>
  <w:style w:type="character" w:customStyle="1" w:styleId="SmartLinkError1">
    <w:name w:val="SmartLinkError1"/>
    <w:basedOn w:val="DefaultParagraphFont"/>
    <w:uiPriority w:val="99"/>
    <w:semiHidden/>
    <w:unhideWhenUsed/>
    <w:qFormat/>
    <w:rPr>
      <w:color w:val="FF0000"/>
      <w:lang w:val="en-GB"/>
    </w:rPr>
  </w:style>
  <w:style w:type="character" w:customStyle="1" w:styleId="FooterChar">
    <w:name w:val="Footer Char"/>
    <w:link w:val="Footer"/>
    <w:uiPriority w:val="3"/>
    <w:qFormat/>
    <w:rPr>
      <w:rFonts w:ascii="Verdana" w:hAnsi="Verdana"/>
      <w:sz w:val="18"/>
      <w:szCs w:val="18"/>
      <w:lang w:val="en-GB" w:eastAsia="en-GB"/>
    </w:rPr>
  </w:style>
  <w:style w:type="paragraph" w:customStyle="1" w:styleId="FootnoteQuotation">
    <w:name w:val="Footnote Quotation"/>
    <w:basedOn w:val="FootnoteText"/>
    <w:uiPriority w:val="5"/>
    <w:qFormat/>
    <w:pPr>
      <w:ind w:left="567" w:right="567" w:firstLine="0"/>
    </w:pPr>
  </w:style>
  <w:style w:type="character" w:customStyle="1" w:styleId="HeaderChar">
    <w:name w:val="Header Char"/>
    <w:link w:val="Header"/>
    <w:uiPriority w:val="3"/>
    <w:qFormat/>
    <w:rPr>
      <w:rFonts w:ascii="Verdana" w:hAnsi="Verdana"/>
      <w:sz w:val="18"/>
      <w:szCs w:val="18"/>
      <w:lang w:val="en-GB" w:eastAsia="en-GB"/>
    </w:rPr>
  </w:style>
  <w:style w:type="paragraph" w:customStyle="1" w:styleId="Quotation">
    <w:name w:val="Quotation"/>
    <w:basedOn w:val="Normal"/>
    <w:uiPriority w:val="5"/>
    <w:qFormat/>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pPr>
      <w:spacing w:after="240"/>
      <w:ind w:left="1134" w:right="1134"/>
    </w:pPr>
    <w:rPr>
      <w:rFonts w:eastAsia="Calibri" w:cs="Times New Roman"/>
      <w:szCs w:val="18"/>
      <w:lang w:eastAsia="en-GB"/>
    </w:rPr>
  </w:style>
  <w:style w:type="paragraph" w:customStyle="1" w:styleId="Title2">
    <w:name w:val="Title 2"/>
    <w:basedOn w:val="Normal"/>
    <w:next w:val="Normal"/>
    <w:uiPriority w:val="5"/>
    <w:qFormat/>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pPr>
      <w:spacing w:after="360"/>
      <w:jc w:val="center"/>
    </w:pPr>
    <w:rPr>
      <w:rFonts w:eastAsia="Calibri" w:cs="Times New Roman"/>
      <w:smallCaps/>
      <w:color w:val="006283"/>
      <w:szCs w:val="18"/>
      <w:lang w:eastAsia="en-GB"/>
    </w:rPr>
  </w:style>
  <w:style w:type="paragraph" w:customStyle="1" w:styleId="TOCHeading1">
    <w:name w:val="TOC Heading1"/>
    <w:basedOn w:val="Normal"/>
    <w:next w:val="Normal"/>
    <w:uiPriority w:val="39"/>
    <w:qFormat/>
    <w:pPr>
      <w:spacing w:before="240"/>
      <w:jc w:val="center"/>
    </w:pPr>
    <w:rPr>
      <w:rFonts w:eastAsia="Times New Roman" w:cs="Times New Roman"/>
      <w:b/>
      <w:bCs/>
      <w:szCs w:val="28"/>
      <w:lang w:eastAsia="en-GB"/>
    </w:rPr>
  </w:style>
  <w:style w:type="table" w:customStyle="1" w:styleId="WTOTable2">
    <w:name w:val="WTOTable2"/>
    <w:basedOn w:val="TableNormal"/>
    <w:uiPriority w:val="99"/>
    <w:qFormat/>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character" w:customStyle="1" w:styleId="BalloonTextChar">
    <w:name w:val="Balloon Text Char"/>
    <w:basedOn w:val="DefaultParagraphFont"/>
    <w:link w:val="BalloonText"/>
    <w:uiPriority w:val="99"/>
    <w:semiHidden/>
    <w:qFormat/>
    <w:rPr>
      <w:rFonts w:ascii="Tahoma" w:eastAsiaTheme="minorHAnsi" w:hAnsi="Tahoma" w:cs="Tahoma"/>
      <w:sz w:val="16"/>
      <w:szCs w:val="16"/>
      <w:lang w:val="en-GB"/>
    </w:rPr>
  </w:style>
  <w:style w:type="character" w:customStyle="1" w:styleId="SubtitleChar">
    <w:name w:val="Subtitle Char"/>
    <w:basedOn w:val="DefaultParagraphFont"/>
    <w:link w:val="Subtitle"/>
    <w:uiPriority w:val="6"/>
    <w:qFormat/>
    <w:rPr>
      <w:rFonts w:ascii="Verdana" w:eastAsiaTheme="majorEastAsia" w:hAnsi="Verdana" w:cstheme="majorBidi"/>
      <w:b/>
      <w:iCs/>
      <w:sz w:val="18"/>
      <w:szCs w:val="24"/>
      <w:lang w:val="en-GB"/>
    </w:rPr>
  </w:style>
  <w:style w:type="paragraph" w:customStyle="1" w:styleId="SummaryHeader">
    <w:name w:val="SummaryHeader"/>
    <w:basedOn w:val="Normal"/>
    <w:uiPriority w:val="4"/>
    <w:qFormat/>
    <w:pPr>
      <w:spacing w:after="240"/>
      <w:outlineLvl w:val="0"/>
    </w:pPr>
    <w:rPr>
      <w:rFonts w:eastAsia="Calibri" w:cs="Times New Roman"/>
      <w:b/>
      <w:caps/>
      <w:color w:val="006283"/>
    </w:rPr>
  </w:style>
  <w:style w:type="paragraph" w:customStyle="1" w:styleId="SummarySubheader">
    <w:name w:val="SummarySubheader"/>
    <w:basedOn w:val="Normal"/>
    <w:uiPriority w:val="4"/>
    <w:qFormat/>
    <w:pPr>
      <w:spacing w:after="240"/>
      <w:outlineLvl w:val="1"/>
    </w:pPr>
    <w:rPr>
      <w:b/>
      <w:color w:val="006283"/>
    </w:rPr>
  </w:style>
  <w:style w:type="paragraph" w:customStyle="1" w:styleId="SummaryText">
    <w:name w:val="SummaryText"/>
    <w:basedOn w:val="Normal"/>
    <w:uiPriority w:val="4"/>
    <w:qFormat/>
    <w:pPr>
      <w:numPr>
        <w:numId w:val="6"/>
      </w:numPr>
      <w:spacing w:after="240"/>
      <w:ind w:left="0" w:firstLine="0"/>
    </w:pPr>
    <w:rPr>
      <w:rFonts w:eastAsia="Calibri" w:cs="Times New Roman"/>
    </w:rPr>
  </w:style>
  <w:style w:type="paragraph" w:styleId="ListParagraph">
    <w:name w:val="List Paragraph"/>
    <w:basedOn w:val="Normal"/>
    <w:uiPriority w:val="59"/>
    <w:qFormat/>
    <w:pPr>
      <w:ind w:left="720"/>
      <w:contextualSpacing/>
    </w:pPr>
  </w:style>
  <w:style w:type="table" w:customStyle="1" w:styleId="WTOBox1">
    <w:name w:val="WTOBox1"/>
    <w:basedOn w:val="TableNormal"/>
    <w:uiPriority w:val="99"/>
    <w:qFormat/>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qFormat/>
    <w:rPr>
      <w:rFonts w:ascii="Verdana" w:hAnsi="Verdana"/>
      <w:sz w:val="16"/>
    </w:rPr>
    <w:tblPr>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pPr>
      <w:keepNext/>
      <w:keepLines/>
      <w:spacing w:after="240"/>
      <w:jc w:val="left"/>
    </w:pPr>
    <w:rPr>
      <w:rFonts w:eastAsia="Times New Roman" w:cs="Times New Roman"/>
      <w:b/>
      <w:caps/>
      <w:color w:val="006283"/>
      <w:sz w:val="28"/>
    </w:rPr>
  </w:style>
  <w:style w:type="paragraph" w:customStyle="1" w:styleId="Bibliography1">
    <w:name w:val="Bibliography1"/>
    <w:basedOn w:val="Normal"/>
    <w:next w:val="Normal"/>
    <w:uiPriority w:val="49"/>
    <w:semiHidden/>
    <w:unhideWhenUsed/>
    <w:qFormat/>
  </w:style>
  <w:style w:type="character" w:customStyle="1" w:styleId="BodyTextFirstIndentChar">
    <w:name w:val="Body Text First Indent Char"/>
    <w:basedOn w:val="BodyTextChar"/>
    <w:link w:val="BodyTextFirstIndent"/>
    <w:uiPriority w:val="99"/>
    <w:semiHidden/>
    <w:qFormat/>
    <w:rPr>
      <w:rFonts w:ascii="Verdana" w:eastAsiaTheme="minorHAnsi" w:hAnsi="Verdana" w:cstheme="minorBidi"/>
      <w:sz w:val="18"/>
      <w:szCs w:val="22"/>
      <w:lang w:val="en-GB"/>
    </w:rPr>
  </w:style>
  <w:style w:type="character" w:customStyle="1" w:styleId="BodyTextIndentChar">
    <w:name w:val="Body Text Indent Char"/>
    <w:basedOn w:val="DefaultParagraphFont"/>
    <w:link w:val="BodyTextIndent"/>
    <w:uiPriority w:val="99"/>
    <w:semiHidden/>
    <w:qFormat/>
    <w:rPr>
      <w:rFonts w:ascii="Verdana" w:eastAsiaTheme="minorHAnsi" w:hAnsi="Verdana" w:cstheme="minorBidi"/>
      <w:sz w:val="18"/>
      <w:szCs w:val="22"/>
      <w:lang w:val="en-GB"/>
    </w:rPr>
  </w:style>
  <w:style w:type="character" w:customStyle="1" w:styleId="BodyTextFirstIndent2Char">
    <w:name w:val="Body Text First Indent 2 Char"/>
    <w:basedOn w:val="BodyTextIndentChar"/>
    <w:link w:val="BodyTextFirstIndent2"/>
    <w:uiPriority w:val="99"/>
    <w:semiHidden/>
    <w:qFormat/>
    <w:rPr>
      <w:rFonts w:ascii="Verdana" w:eastAsiaTheme="minorHAnsi" w:hAnsi="Verdana" w:cstheme="minorBidi"/>
      <w:sz w:val="18"/>
      <w:szCs w:val="22"/>
      <w:lang w:val="en-GB"/>
    </w:rPr>
  </w:style>
  <w:style w:type="character" w:customStyle="1" w:styleId="BodyTextIndent2Char">
    <w:name w:val="Body Text Indent 2 Char"/>
    <w:basedOn w:val="DefaultParagraphFont"/>
    <w:link w:val="BodyTextIndent2"/>
    <w:uiPriority w:val="99"/>
    <w:semiHidden/>
    <w:qFormat/>
    <w:rPr>
      <w:rFonts w:ascii="Verdana" w:eastAsiaTheme="minorHAnsi" w:hAnsi="Verdana" w:cstheme="minorBidi"/>
      <w:sz w:val="18"/>
      <w:szCs w:val="22"/>
      <w:lang w:val="en-GB"/>
    </w:rPr>
  </w:style>
  <w:style w:type="character" w:customStyle="1" w:styleId="BodyTextIndent3Char">
    <w:name w:val="Body Text Indent 3 Char"/>
    <w:basedOn w:val="DefaultParagraphFont"/>
    <w:link w:val="BodyTextIndent3"/>
    <w:uiPriority w:val="99"/>
    <w:semiHidden/>
    <w:qFormat/>
    <w:rPr>
      <w:rFonts w:ascii="Verdana" w:eastAsiaTheme="minorHAnsi" w:hAnsi="Verdana" w:cstheme="minorBidi"/>
      <w:sz w:val="16"/>
      <w:szCs w:val="16"/>
      <w:lang w:val="en-GB"/>
    </w:rPr>
  </w:style>
  <w:style w:type="character" w:customStyle="1" w:styleId="BookTitle1">
    <w:name w:val="Book Title1"/>
    <w:basedOn w:val="DefaultParagraphFont"/>
    <w:uiPriority w:val="99"/>
    <w:semiHidden/>
    <w:qFormat/>
    <w:rPr>
      <w:b/>
      <w:bCs/>
      <w:smallCaps/>
      <w:spacing w:val="5"/>
      <w:lang w:val="en-GB"/>
    </w:rPr>
  </w:style>
  <w:style w:type="character" w:customStyle="1" w:styleId="ClosingChar">
    <w:name w:val="Closing Char"/>
    <w:basedOn w:val="DefaultParagraphFont"/>
    <w:link w:val="Closing"/>
    <w:uiPriority w:val="99"/>
    <w:semiHidden/>
    <w:qFormat/>
    <w:rPr>
      <w:rFonts w:ascii="Verdana" w:eastAsiaTheme="minorHAnsi" w:hAnsi="Verdana" w:cstheme="minorBidi"/>
      <w:sz w:val="18"/>
      <w:szCs w:val="22"/>
      <w:lang w:val="en-GB"/>
    </w:rPr>
  </w:style>
  <w:style w:type="character" w:customStyle="1" w:styleId="CommentTextChar">
    <w:name w:val="Comment Text Char"/>
    <w:basedOn w:val="DefaultParagraphFont"/>
    <w:link w:val="CommentText"/>
    <w:uiPriority w:val="99"/>
    <w:qFormat/>
    <w:rPr>
      <w:rFonts w:ascii="Verdana" w:eastAsiaTheme="minorHAnsi" w:hAnsi="Verdana" w:cstheme="minorBidi"/>
      <w:lang w:val="en-GB"/>
    </w:rPr>
  </w:style>
  <w:style w:type="character" w:customStyle="1" w:styleId="CommentSubjectChar">
    <w:name w:val="Comment Subject Char"/>
    <w:basedOn w:val="CommentTextChar"/>
    <w:link w:val="CommentSubject"/>
    <w:uiPriority w:val="99"/>
    <w:qFormat/>
    <w:rPr>
      <w:rFonts w:ascii="Verdana" w:eastAsiaTheme="minorHAnsi" w:hAnsi="Verdana" w:cstheme="minorBidi"/>
      <w:b/>
      <w:bCs/>
      <w:lang w:val="en-GB"/>
    </w:rPr>
  </w:style>
  <w:style w:type="character" w:customStyle="1" w:styleId="DateChar">
    <w:name w:val="Date Char"/>
    <w:basedOn w:val="DefaultParagraphFont"/>
    <w:link w:val="Date"/>
    <w:uiPriority w:val="99"/>
    <w:semiHidden/>
    <w:qFormat/>
    <w:rPr>
      <w:rFonts w:ascii="Verdana" w:eastAsiaTheme="minorHAnsi" w:hAnsi="Verdana" w:cstheme="minorBidi"/>
      <w:sz w:val="18"/>
      <w:szCs w:val="22"/>
      <w:lang w:val="en-GB"/>
    </w:rPr>
  </w:style>
  <w:style w:type="character" w:customStyle="1" w:styleId="DocumentMapChar">
    <w:name w:val="Document Map Char"/>
    <w:basedOn w:val="DefaultParagraphFont"/>
    <w:link w:val="DocumentMap"/>
    <w:uiPriority w:val="99"/>
    <w:semiHidden/>
    <w:qFormat/>
    <w:rPr>
      <w:rFonts w:ascii="Tahoma" w:eastAsiaTheme="minorHAnsi" w:hAnsi="Tahoma" w:cs="Tahoma"/>
      <w:sz w:val="16"/>
      <w:szCs w:val="16"/>
      <w:lang w:val="en-GB"/>
    </w:rPr>
  </w:style>
  <w:style w:type="character" w:customStyle="1" w:styleId="E-mailSignatureChar">
    <w:name w:val="E-mail Signature Char"/>
    <w:basedOn w:val="DefaultParagraphFont"/>
    <w:link w:val="E-mailSignature"/>
    <w:uiPriority w:val="99"/>
    <w:semiHidden/>
    <w:qFormat/>
    <w:rPr>
      <w:rFonts w:ascii="Verdana" w:eastAsiaTheme="minorHAnsi" w:hAnsi="Verdana" w:cstheme="minorBidi"/>
      <w:sz w:val="18"/>
      <w:szCs w:val="22"/>
      <w:lang w:val="en-GB"/>
    </w:rPr>
  </w:style>
  <w:style w:type="character" w:customStyle="1" w:styleId="HTMLAddressChar">
    <w:name w:val="HTML Address Char"/>
    <w:basedOn w:val="DefaultParagraphFont"/>
    <w:link w:val="HTMLAddress"/>
    <w:uiPriority w:val="99"/>
    <w:semiHidden/>
    <w:qFormat/>
    <w:rPr>
      <w:rFonts w:ascii="Verdana" w:eastAsiaTheme="minorHAnsi" w:hAnsi="Verdana" w:cstheme="minorBidi"/>
      <w:i/>
      <w:iCs/>
      <w:sz w:val="18"/>
      <w:szCs w:val="22"/>
      <w:lang w:val="en-GB"/>
    </w:rPr>
  </w:style>
  <w:style w:type="character" w:customStyle="1" w:styleId="HTMLPreformattedChar">
    <w:name w:val="HTML Preformatted Char"/>
    <w:basedOn w:val="DefaultParagraphFont"/>
    <w:link w:val="HTMLPreformatted"/>
    <w:uiPriority w:val="99"/>
    <w:semiHidden/>
    <w:qFormat/>
    <w:rPr>
      <w:rFonts w:ascii="Consolas" w:eastAsiaTheme="minorHAnsi" w:hAnsi="Consolas" w:cs="Consolas"/>
      <w:lang w:val="en-GB"/>
    </w:rPr>
  </w:style>
  <w:style w:type="character" w:customStyle="1" w:styleId="IntenseEmphasis1">
    <w:name w:val="Intense Emphasis1"/>
    <w:basedOn w:val="DefaultParagraphFont"/>
    <w:uiPriority w:val="99"/>
    <w:semiHidden/>
    <w:qFormat/>
    <w:rPr>
      <w:b/>
      <w:bCs/>
      <w:i/>
      <w:iCs/>
      <w:color w:val="4F81BD" w:themeColor="accent1"/>
      <w:lang w:val="en-GB"/>
    </w:rPr>
  </w:style>
  <w:style w:type="paragraph" w:styleId="IntenseQuote">
    <w:name w:val="Intense Quote"/>
    <w:basedOn w:val="Normal"/>
    <w:next w:val="Normal"/>
    <w:link w:val="IntenseQuoteChar"/>
    <w:uiPriority w:val="59"/>
    <w:semiHidden/>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qFormat/>
    <w:rPr>
      <w:rFonts w:ascii="Verdana" w:eastAsiaTheme="minorHAnsi" w:hAnsi="Verdana" w:cstheme="minorBidi"/>
      <w:b/>
      <w:bCs/>
      <w:i/>
      <w:iCs/>
      <w:color w:val="4F81BD" w:themeColor="accent1"/>
      <w:sz w:val="18"/>
      <w:szCs w:val="22"/>
      <w:lang w:val="en-GB"/>
    </w:rPr>
  </w:style>
  <w:style w:type="character" w:customStyle="1" w:styleId="IntenseReference1">
    <w:name w:val="Intense Reference1"/>
    <w:basedOn w:val="DefaultParagraphFont"/>
    <w:uiPriority w:val="99"/>
    <w:semiHidden/>
    <w:qFormat/>
    <w:rPr>
      <w:b/>
      <w:bCs/>
      <w:smallCaps/>
      <w:color w:val="C0504D" w:themeColor="accent2"/>
      <w:spacing w:val="5"/>
      <w:u w:val="single"/>
      <w:lang w:val="en-GB"/>
    </w:rPr>
  </w:style>
  <w:style w:type="character" w:customStyle="1" w:styleId="MacroTextChar">
    <w:name w:val="Macro Text Char"/>
    <w:basedOn w:val="DefaultParagraphFont"/>
    <w:link w:val="MacroText"/>
    <w:uiPriority w:val="99"/>
    <w:semiHidden/>
    <w:qFormat/>
    <w:rPr>
      <w:rFonts w:ascii="Consolas" w:eastAsiaTheme="minorHAnsi" w:hAnsi="Consolas" w:cs="Consolas"/>
      <w:lang w:val="en-GB"/>
    </w:rPr>
  </w:style>
  <w:style w:type="character" w:customStyle="1" w:styleId="MessageHeaderChar">
    <w:name w:val="Message Header Char"/>
    <w:basedOn w:val="DefaultParagraphFont"/>
    <w:link w:val="MessageHeader"/>
    <w:uiPriority w:val="99"/>
    <w:semiHidden/>
    <w:qFormat/>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pPr>
      <w:jc w:val="both"/>
    </w:pPr>
    <w:rPr>
      <w:rFonts w:ascii="Verdana" w:eastAsiaTheme="minorHAnsi" w:hAnsi="Verdana" w:cstheme="minorBidi"/>
      <w:sz w:val="18"/>
      <w:szCs w:val="22"/>
      <w:lang w:eastAsia="en-US"/>
    </w:rPr>
  </w:style>
  <w:style w:type="character" w:customStyle="1" w:styleId="NoteHeadingChar">
    <w:name w:val="Note Heading Char"/>
    <w:basedOn w:val="DefaultParagraphFont"/>
    <w:link w:val="NoteHeading"/>
    <w:uiPriority w:val="99"/>
    <w:semiHidden/>
    <w:qFormat/>
    <w:rPr>
      <w:rFonts w:ascii="Verdana" w:eastAsiaTheme="minorHAnsi" w:hAnsi="Verdana" w:cstheme="minorBidi"/>
      <w:sz w:val="18"/>
      <w:szCs w:val="22"/>
      <w:lang w:val="en-GB"/>
    </w:rPr>
  </w:style>
  <w:style w:type="character" w:styleId="PlaceholderText">
    <w:name w:val="Placeholder Text"/>
    <w:basedOn w:val="DefaultParagraphFont"/>
    <w:uiPriority w:val="99"/>
    <w:semiHidden/>
    <w:qFormat/>
    <w:rPr>
      <w:color w:val="808080"/>
      <w:lang w:val="en-GB"/>
    </w:rPr>
  </w:style>
  <w:style w:type="character" w:customStyle="1" w:styleId="PlainTextChar">
    <w:name w:val="Plain Text Char"/>
    <w:basedOn w:val="DefaultParagraphFont"/>
    <w:link w:val="PlainText"/>
    <w:uiPriority w:val="99"/>
    <w:qFormat/>
    <w:rPr>
      <w:rFonts w:ascii="Consolas" w:eastAsiaTheme="minorHAnsi" w:hAnsi="Consolas" w:cs="Consolas"/>
      <w:sz w:val="21"/>
      <w:szCs w:val="21"/>
      <w:lang w:val="en-GB"/>
    </w:rPr>
  </w:style>
  <w:style w:type="paragraph" w:styleId="Quote">
    <w:name w:val="Quote"/>
    <w:basedOn w:val="Normal"/>
    <w:next w:val="Normal"/>
    <w:link w:val="QuoteChar"/>
    <w:uiPriority w:val="59"/>
    <w:qFormat/>
    <w:rPr>
      <w:i/>
      <w:iCs/>
      <w:color w:val="000000" w:themeColor="text1"/>
    </w:rPr>
  </w:style>
  <w:style w:type="character" w:customStyle="1" w:styleId="QuoteChar">
    <w:name w:val="Quote Char"/>
    <w:basedOn w:val="DefaultParagraphFont"/>
    <w:link w:val="Quote"/>
    <w:uiPriority w:val="59"/>
    <w:qFormat/>
    <w:rPr>
      <w:rFonts w:ascii="Verdana" w:eastAsiaTheme="minorHAnsi" w:hAnsi="Verdana" w:cstheme="minorBidi"/>
      <w:i/>
      <w:iCs/>
      <w:color w:val="000000" w:themeColor="text1"/>
      <w:sz w:val="18"/>
      <w:szCs w:val="22"/>
      <w:lang w:val="en-GB"/>
    </w:rPr>
  </w:style>
  <w:style w:type="character" w:customStyle="1" w:styleId="SalutationChar">
    <w:name w:val="Salutation Char"/>
    <w:basedOn w:val="DefaultParagraphFont"/>
    <w:link w:val="Salutation"/>
    <w:uiPriority w:val="99"/>
    <w:semiHidden/>
    <w:qFormat/>
    <w:rPr>
      <w:rFonts w:ascii="Verdana" w:eastAsiaTheme="minorHAnsi" w:hAnsi="Verdana" w:cstheme="minorBidi"/>
      <w:sz w:val="18"/>
      <w:szCs w:val="22"/>
      <w:lang w:val="en-GB"/>
    </w:rPr>
  </w:style>
  <w:style w:type="character" w:customStyle="1" w:styleId="SignatureChar">
    <w:name w:val="Signature Char"/>
    <w:basedOn w:val="DefaultParagraphFont"/>
    <w:link w:val="Signature"/>
    <w:uiPriority w:val="99"/>
    <w:semiHidden/>
    <w:qFormat/>
    <w:rPr>
      <w:rFonts w:ascii="Verdana" w:eastAsiaTheme="minorHAnsi" w:hAnsi="Verdana" w:cstheme="minorBidi"/>
      <w:sz w:val="18"/>
      <w:szCs w:val="22"/>
      <w:lang w:val="en-GB"/>
    </w:rPr>
  </w:style>
  <w:style w:type="character" w:customStyle="1" w:styleId="SubtleEmphasis1">
    <w:name w:val="Subtle Emphasis1"/>
    <w:basedOn w:val="DefaultParagraphFont"/>
    <w:uiPriority w:val="99"/>
    <w:semiHidden/>
    <w:qFormat/>
    <w:rPr>
      <w:i/>
      <w:iCs/>
      <w:color w:val="7F7F7F" w:themeColor="text1" w:themeTint="80"/>
      <w:lang w:val="en-GB"/>
    </w:rPr>
  </w:style>
  <w:style w:type="character" w:customStyle="1" w:styleId="SubtleReference1">
    <w:name w:val="Subtle Reference1"/>
    <w:basedOn w:val="DefaultParagraphFont"/>
    <w:uiPriority w:val="99"/>
    <w:semiHidden/>
    <w:qFormat/>
    <w:rPr>
      <w:smallCaps/>
      <w:color w:val="C0504D" w:themeColor="accent2"/>
      <w:u w:val="single"/>
      <w:lang w:val="en-GB"/>
    </w:rPr>
  </w:style>
  <w:style w:type="character" w:customStyle="1" w:styleId="A4">
    <w:name w:val="A4"/>
    <w:uiPriority w:val="99"/>
    <w:qFormat/>
    <w:rPr>
      <w:b/>
      <w:bCs/>
      <w:color w:val="000000"/>
      <w:sz w:val="20"/>
      <w:szCs w:val="20"/>
      <w:lang w:val="en-GB"/>
    </w:rPr>
  </w:style>
  <w:style w:type="paragraph" w:customStyle="1" w:styleId="NoteText">
    <w:name w:val="Note Text"/>
    <w:basedOn w:val="Normal"/>
    <w:uiPriority w:val="4"/>
    <w:qFormat/>
    <w:pPr>
      <w:tabs>
        <w:tab w:val="left" w:pos="851"/>
      </w:tabs>
      <w:ind w:left="851" w:hanging="851"/>
      <w:jc w:val="left"/>
    </w:pPr>
    <w:rPr>
      <w:sz w:val="16"/>
    </w:rPr>
  </w:style>
  <w:style w:type="paragraph" w:customStyle="1" w:styleId="apple-converted-space">
    <w:name w:val="apple-converted-space"/>
    <w:basedOn w:val="Normal"/>
    <w:qFormat/>
  </w:style>
  <w:style w:type="paragraph" w:customStyle="1" w:styleId="apple-style-span">
    <w:name w:val="apple-style-span"/>
    <w:basedOn w:val="Normal"/>
    <w:qFormat/>
  </w:style>
  <w:style w:type="paragraph" w:customStyle="1" w:styleId="Default">
    <w:name w:val="Default"/>
    <w:qFormat/>
    <w:pPr>
      <w:autoSpaceDE w:val="0"/>
      <w:autoSpaceDN w:val="0"/>
      <w:adjustRightInd w:val="0"/>
    </w:pPr>
    <w:rPr>
      <w:rFonts w:ascii="Times New Roman" w:eastAsia="Times New Roman" w:hAnsi="Times New Roman"/>
      <w:color w:val="000000"/>
      <w:sz w:val="24"/>
      <w:szCs w:val="24"/>
      <w:lang w:eastAsia="en-US"/>
    </w:rPr>
  </w:style>
  <w:style w:type="paragraph" w:customStyle="1" w:styleId="TableParagraph">
    <w:name w:val="Table Paragraph"/>
    <w:basedOn w:val="Normal"/>
    <w:uiPriority w:val="1"/>
    <w:qFormat/>
    <w:pPr>
      <w:widowControl w:val="0"/>
      <w:autoSpaceDE w:val="0"/>
      <w:autoSpaceDN w:val="0"/>
      <w:ind w:left="47"/>
      <w:jc w:val="left"/>
    </w:pPr>
    <w:rPr>
      <w:rFonts w:ascii="Times New Roman" w:eastAsia="Times New Roman" w:hAnsi="Times New Roman"/>
      <w:sz w:val="22"/>
    </w:rPr>
  </w:style>
  <w:style w:type="paragraph" w:customStyle="1" w:styleId="Revision1">
    <w:name w:val="Revision1"/>
    <w:hidden/>
    <w:uiPriority w:val="99"/>
    <w:semiHidden/>
    <w:qFormat/>
    <w:rPr>
      <w:rFonts w:ascii="Verdana" w:hAnsi="Verdana"/>
      <w:sz w:val="18"/>
      <w:szCs w:val="22"/>
      <w:lang w:eastAsia="en-US"/>
    </w:rPr>
  </w:style>
  <w:style w:type="character" w:customStyle="1" w:styleId="Hashtag1">
    <w:name w:val="Hashtag1"/>
    <w:basedOn w:val="DefaultParagraphFont"/>
    <w:uiPriority w:val="99"/>
    <w:semiHidden/>
    <w:unhideWhenUsed/>
    <w:qFormat/>
    <w:rPr>
      <w:color w:val="2B579A"/>
      <w:shd w:val="clear" w:color="auto" w:fill="E1DFDD"/>
      <w:lang w:val="en-GB"/>
    </w:rPr>
  </w:style>
  <w:style w:type="character" w:customStyle="1" w:styleId="HiperlinkInteligente1">
    <w:name w:val="Hiperlink Inteligente1"/>
    <w:basedOn w:val="DefaultParagraphFont"/>
    <w:uiPriority w:val="99"/>
    <w:semiHidden/>
    <w:unhideWhenUsed/>
    <w:qFormat/>
    <w:rPr>
      <w:u w:val="dotted"/>
      <w:lang w:val="en-GB"/>
    </w:rPr>
  </w:style>
  <w:style w:type="character" w:customStyle="1" w:styleId="MenoPendente1">
    <w:name w:val="Menção Pendente1"/>
    <w:basedOn w:val="DefaultParagraphFont"/>
    <w:uiPriority w:val="99"/>
    <w:semiHidden/>
    <w:unhideWhenUsed/>
    <w:qFormat/>
    <w:rPr>
      <w:color w:val="605E5C"/>
      <w:shd w:val="clear" w:color="auto" w:fill="E1DFDD"/>
      <w:lang w:val="en-GB"/>
    </w:rPr>
  </w:style>
  <w:style w:type="character" w:customStyle="1" w:styleId="Meno1">
    <w:name w:val="Menção1"/>
    <w:basedOn w:val="DefaultParagraphFont"/>
    <w:uiPriority w:val="99"/>
    <w:semiHidden/>
    <w:unhideWhenUsed/>
    <w:qFormat/>
    <w:rPr>
      <w:color w:val="2B579A"/>
      <w:shd w:val="clear" w:color="auto" w:fill="E1DFDD"/>
      <w:lang w:val="en-GB"/>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qFormat/>
    <w:tblP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qFormat/>
    <w:tblPr>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qFormat/>
    <w:tblPr>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qFormat/>
    <w:tblPr>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qFormat/>
    <w:tblPr>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qFormat/>
    <w:tblPr>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qFormat/>
    <w:tblPr>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qFormat/>
    <w:tblPr>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qFormat/>
    <w:tblPr>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qFormat/>
    <w:tblPr>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qFormat/>
    <w:tblPr>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qFormat/>
    <w:tblPr>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Accent11">
    <w:name w:val="Grid Table 3 - Accent 11"/>
    <w:basedOn w:val="TableNormal"/>
    <w:uiPriority w:val="48"/>
    <w:qFormat/>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qFormat/>
    <w:tblP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qFormat/>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qFormat/>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qFormat/>
    <w:tblPr>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qFormat/>
    <w:tblPr>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Accent11">
    <w:name w:val="Grid Table 4 - Accent 11"/>
    <w:basedOn w:val="TableNormal"/>
    <w:uiPriority w:val="49"/>
    <w:qFormat/>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qFormat/>
    <w:tblP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qFormat/>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qFormat/>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qFormat/>
    <w:tblPr>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qFormat/>
    <w:tblPr>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qFormat/>
    <w:rPr>
      <w:color w:val="365F91" w:themeColor="accent1" w:themeShade="BF"/>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qFormat/>
    <w:rPr>
      <w:color w:val="943634" w:themeColor="accent2" w:themeShade="BF"/>
    </w:rPr>
    <w:tblP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qFormat/>
    <w:rPr>
      <w:color w:val="76923C" w:themeColor="accent3" w:themeShade="BF"/>
    </w:rPr>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qFormat/>
    <w:rPr>
      <w:color w:val="5F497A" w:themeColor="accent4" w:themeShade="BF"/>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qFormat/>
    <w:rPr>
      <w:color w:val="31849B" w:themeColor="accent5" w:themeShade="BF"/>
    </w:rPr>
    <w:tblPr>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qFormat/>
    <w:rPr>
      <w:color w:val="E36C0A" w:themeColor="accent6" w:themeShade="BF"/>
    </w:rPr>
    <w:tblPr>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qFormat/>
    <w:rPr>
      <w:color w:val="365F91" w:themeColor="accent1" w:themeShade="BF"/>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qFormat/>
    <w:rPr>
      <w:color w:val="943634" w:themeColor="accent2" w:themeShade="BF"/>
    </w:rPr>
    <w:tblP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qFormat/>
    <w:rPr>
      <w:color w:val="76923C" w:themeColor="accent3" w:themeShade="BF"/>
    </w:rPr>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qFormat/>
    <w:rPr>
      <w:color w:val="5F497A" w:themeColor="accent4" w:themeShade="BF"/>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qFormat/>
    <w:rPr>
      <w:color w:val="31849B" w:themeColor="accent5" w:themeShade="BF"/>
    </w:rPr>
    <w:tblPr>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qFormat/>
    <w:rPr>
      <w:color w:val="E36C0A" w:themeColor="accent6" w:themeShade="BF"/>
    </w:rPr>
    <w:tblPr>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TableGridLight1">
    <w:name w:val="Table Grid Light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1">
    <w:name w:val="Grid Table 21"/>
    <w:basedOn w:val="TableNormal"/>
    <w:uiPriority w:val="47"/>
    <w:qFormat/>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1">
    <w:name w:val="Grid Table 31"/>
    <w:basedOn w:val="TableNormal"/>
    <w:uiPriority w:val="48"/>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1">
    <w:name w:val="Grid Table 41"/>
    <w:basedOn w:val="Table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1">
    <w:name w:val="List Table 1 Light1"/>
    <w:basedOn w:val="TableNormal"/>
    <w:uiPriority w:val="46"/>
    <w:qFormat/>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qFormat/>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qFormat/>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qFormat/>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qFormat/>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qFormat/>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qFormat/>
    <w:tblPr>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qFormat/>
    <w:tblPr>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qFormat/>
    <w:tblPr>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qFormat/>
    <w:tblPr>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qFormat/>
    <w:tblPr>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qFormat/>
    <w:tblPr>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qFormat/>
    <w:tblPr>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qFormat/>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qFormat/>
    <w:tblPr>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qFormat/>
    <w:tblPr>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qFormat/>
    <w:tblPr>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qFormat/>
    <w:tblPr>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qFormat/>
    <w:tblPr>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qFormat/>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qFormat/>
    <w:tblP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qFormat/>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qFormat/>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qFormat/>
    <w:tblPr>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qFormat/>
    <w:tblPr>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qFormat/>
    <w:rPr>
      <w:color w:val="FFFFFF" w:themeColor="background1"/>
    </w:rPr>
    <w:tblPr>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qFormat/>
    <w:rPr>
      <w:color w:val="FFFFFF" w:themeColor="background1"/>
    </w:rPr>
    <w:tblPr>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qFormat/>
    <w:rPr>
      <w:color w:val="FFFFFF" w:themeColor="background1"/>
    </w:rPr>
    <w:tblPr>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qFormat/>
    <w:rPr>
      <w:color w:val="FFFFFF" w:themeColor="background1"/>
    </w:rPr>
    <w:tblPr>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qFormat/>
    <w:rPr>
      <w:color w:val="FFFFFF" w:themeColor="background1"/>
    </w:rPr>
    <w:tblPr>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qFormat/>
    <w:rPr>
      <w:color w:val="FFFFFF" w:themeColor="background1"/>
    </w:rPr>
    <w:tblPr>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qFormat/>
    <w:rPr>
      <w:color w:val="FFFFFF" w:themeColor="background1"/>
    </w:rPr>
    <w:tblPr>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qFormat/>
    <w:rPr>
      <w:color w:val="000000" w:themeColor="text1"/>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qFormat/>
    <w:rPr>
      <w:color w:val="365F91" w:themeColor="accent1" w:themeShade="BF"/>
    </w:rPr>
    <w:tblPr>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qFormat/>
    <w:rPr>
      <w:color w:val="943634" w:themeColor="accent2" w:themeShade="BF"/>
    </w:rPr>
    <w:tblPr>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qFormat/>
    <w:rPr>
      <w:color w:val="76923C" w:themeColor="accent3" w:themeShade="BF"/>
    </w:rPr>
    <w:tblPr>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qFormat/>
    <w:rPr>
      <w:color w:val="5F497A" w:themeColor="accent4" w:themeShade="BF"/>
    </w:rPr>
    <w:tblPr>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qFormat/>
    <w:rPr>
      <w:color w:val="31849B" w:themeColor="accent5" w:themeShade="BF"/>
    </w:rPr>
    <w:tblPr>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qFormat/>
    <w:rPr>
      <w:color w:val="E36C0A" w:themeColor="accent6" w:themeShade="BF"/>
    </w:rPr>
    <w:tblPr>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qFormat/>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qFormat/>
    <w:rPr>
      <w:color w:val="365F91" w:themeColor="accent1" w:themeShade="BF"/>
    </w:rP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qFormat/>
    <w:rPr>
      <w:color w:val="943634" w:themeColor="accent2" w:themeShade="BF"/>
    </w:rP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qFormat/>
    <w:rPr>
      <w:color w:val="76923C" w:themeColor="accent3" w:themeShade="BF"/>
    </w:rP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qFormat/>
    <w:rPr>
      <w:color w:val="5F497A" w:themeColor="accent4" w:themeShade="BF"/>
    </w:rP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qFormat/>
    <w:rPr>
      <w:color w:val="31849B" w:themeColor="accent5" w:themeShade="BF"/>
    </w:rP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qFormat/>
    <w:rPr>
      <w:color w:val="E36C0A" w:themeColor="accent6" w:themeShade="BF"/>
    </w:rP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ashtag2">
    <w:name w:val="Hashtag2"/>
    <w:basedOn w:val="DefaultParagraphFont"/>
    <w:uiPriority w:val="99"/>
    <w:semiHidden/>
    <w:unhideWhenUsed/>
    <w:qFormat/>
    <w:rPr>
      <w:color w:val="2B579A"/>
      <w:shd w:val="clear" w:color="auto" w:fill="E1DFDD"/>
      <w:lang w:val="en-GB"/>
    </w:rPr>
  </w:style>
  <w:style w:type="character" w:customStyle="1" w:styleId="SmartHyperlink1">
    <w:name w:val="Smart Hyperlink1"/>
    <w:basedOn w:val="DefaultParagraphFont"/>
    <w:uiPriority w:val="99"/>
    <w:semiHidden/>
    <w:unhideWhenUsed/>
    <w:qFormat/>
    <w:rPr>
      <w:u w:val="dotted"/>
      <w:lang w:val="en-GB"/>
    </w:rPr>
  </w:style>
  <w:style w:type="paragraph" w:customStyle="1" w:styleId="TitleDate">
    <w:name w:val="Title Date"/>
    <w:basedOn w:val="Normal"/>
    <w:next w:val="Normal"/>
    <w:uiPriority w:val="5"/>
    <w:qFormat/>
    <w:pPr>
      <w:spacing w:after="240"/>
      <w:jc w:val="center"/>
    </w:pPr>
    <w:rPr>
      <w:rFonts w:eastAsia="Calibri" w:cs="Times New Roman"/>
      <w:color w:val="006283"/>
    </w:rPr>
  </w:style>
  <w:style w:type="character" w:customStyle="1" w:styleId="AnswerChar">
    <w:name w:val="Answer Char"/>
    <w:link w:val="Answer"/>
    <w:uiPriority w:val="6"/>
    <w:qFormat/>
    <w:rPr>
      <w:rFonts w:ascii="Verdana" w:hAnsi="Verdana"/>
      <w:sz w:val="18"/>
      <w:szCs w:val="22"/>
      <w:lang w:val="en-GB"/>
    </w:rPr>
  </w:style>
  <w:style w:type="character" w:customStyle="1" w:styleId="FollowUpChar">
    <w:name w:val="FollowUp Char"/>
    <w:link w:val="FollowUp"/>
    <w:uiPriority w:val="6"/>
    <w:qFormat/>
    <w:rPr>
      <w:rFonts w:ascii="Verdana" w:hAnsi="Verdana"/>
      <w:i/>
      <w:sz w:val="18"/>
      <w:szCs w:val="22"/>
      <w:lang w:val="en-GB"/>
    </w:rPr>
  </w:style>
  <w:style w:type="character" w:customStyle="1" w:styleId="UnresolvedMention1">
    <w:name w:val="Unresolved Mention1"/>
    <w:basedOn w:val="DefaultParagraphFont"/>
    <w:uiPriority w:val="99"/>
    <w:semiHidden/>
    <w:unhideWhenUsed/>
    <w:qFormat/>
    <w:rPr>
      <w:color w:val="605E5C"/>
      <w:shd w:val="clear" w:color="auto" w:fill="E1DFDD"/>
      <w:lang w:val="en-GB"/>
    </w:rPr>
  </w:style>
  <w:style w:type="character" w:customStyle="1" w:styleId="UnresolvedMention2">
    <w:name w:val="Unresolved Mention2"/>
    <w:basedOn w:val="DefaultParagraphFont"/>
    <w:uiPriority w:val="99"/>
    <w:semiHidden/>
    <w:unhideWhenUsed/>
    <w:qFormat/>
    <w:rPr>
      <w:color w:val="605E5C"/>
      <w:shd w:val="clear" w:color="auto" w:fill="E1DFDD"/>
      <w:lang w:val="en-GB"/>
    </w:rPr>
  </w:style>
  <w:style w:type="character" w:customStyle="1" w:styleId="Mention1">
    <w:name w:val="Mention1"/>
    <w:basedOn w:val="DefaultParagraphFont"/>
    <w:uiPriority w:val="99"/>
    <w:semiHidden/>
    <w:unhideWhenUsed/>
    <w:qFormat/>
    <w:rPr>
      <w:color w:val="2B579A"/>
      <w:shd w:val="clear" w:color="auto" w:fill="E1DFDD"/>
      <w:lang w:val="en-GB"/>
    </w:rPr>
  </w:style>
  <w:style w:type="character" w:customStyle="1" w:styleId="SmartLink2">
    <w:name w:val="SmartLink2"/>
    <w:basedOn w:val="DefaultParagraphFont"/>
    <w:uiPriority w:val="99"/>
    <w:semiHidden/>
    <w:unhideWhenUsed/>
    <w:qFormat/>
    <w:rPr>
      <w:color w:val="0000FF"/>
      <w:u w:val="single"/>
      <w:shd w:val="clear" w:color="auto" w:fill="F3F2F1"/>
      <w:lang w:val="en-GB"/>
    </w:rPr>
  </w:style>
  <w:style w:type="character" w:customStyle="1" w:styleId="AnswerCar1">
    <w:name w:val="Answer Car1"/>
    <w:uiPriority w:val="6"/>
    <w:qFormat/>
    <w:rPr>
      <w:rFonts w:ascii="Verdana" w:hAnsi="Verdana"/>
      <w:sz w:val="18"/>
      <w:szCs w:val="22"/>
      <w:lang w:val="en-GB"/>
    </w:rPr>
  </w:style>
  <w:style w:type="character" w:customStyle="1" w:styleId="FollowUpCar1">
    <w:name w:val="FollowUp Car1"/>
    <w:uiPriority w:val="6"/>
    <w:qFormat/>
    <w:rPr>
      <w:rFonts w:ascii="Verdana" w:hAnsi="Verdana"/>
      <w:i/>
      <w:sz w:val="18"/>
      <w:szCs w:val="22"/>
      <w:lang w:val="en-GB"/>
    </w:rPr>
  </w:style>
  <w:style w:type="paragraph" w:customStyle="1" w:styleId="Query">
    <w:name w:val="Query"/>
    <w:qFormat/>
    <w:pPr>
      <w:numPr>
        <w:numId w:val="7"/>
      </w:numPr>
      <w:spacing w:before="240" w:after="200" w:line="276" w:lineRule="auto"/>
      <w:jc w:val="both"/>
    </w:pPr>
    <w:rPr>
      <w:rFonts w:ascii="Verdana" w:eastAsiaTheme="minorHAnsi" w:hAnsi="Verdana" w:cstheme="minorBidi"/>
      <w:sz w:val="18"/>
      <w:szCs w:val="22"/>
      <w:u w:val="single"/>
      <w:lang w:eastAsia="en-US"/>
    </w:rPr>
  </w:style>
  <w:style w:type="table" w:customStyle="1" w:styleId="ColspanRowspan">
    <w:name w:val="Colspan Rowspan"/>
    <w:uiPriority w:val="99"/>
    <w:qFormat/>
    <w:rPr>
      <w:rFonts w:ascii="Arial" w:eastAsia="Arial" w:hAnsi="Arial" w:cs="Arial"/>
      <w:lang w:eastAsia="es-ES"/>
    </w:rPr>
    <w:tblP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302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568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customXml" Target="../customXml/item2.xml"/><Relationship Id="rId21" Type="http://schemas.openxmlformats.org/officeDocument/2006/relationships/header" Target="header9.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header" Target="header8.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acs.mofcom.gov.cn/index.s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065B9B-81AC-4069-809B-B9E0E67FC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1897</Words>
  <Characters>11038</Characters>
  <Application>Microsoft Office Word</Application>
  <DocSecurity>0</DocSecurity>
  <Lines>891</Lines>
  <Paragraphs>378</Paragraphs>
  <ScaleCrop>false</ScaleCrop>
  <HeadingPairs>
    <vt:vector size="2" baseType="variant">
      <vt:variant>
        <vt:lpstr>Título</vt:lpstr>
      </vt:variant>
      <vt:variant>
        <vt:i4>1</vt:i4>
      </vt:variant>
    </vt:vector>
  </HeadingPairs>
  <TitlesOfParts>
    <vt:vector size="1" baseType="lpstr">
      <vt:lpstr>SEMI-ANNUAL REPORT UNDER ARTICLE 25.11 OF THE AGREEMENT  SEMI-ANNUAL REPORT OF COUNTERVAILING DUTY ACTIONS_x0002_  ANNEXES</vt:lpstr>
    </vt:vector>
  </TitlesOfParts>
  <Manager/>
  <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SEMI-ANNUAL REPORT UNDER ARTICLE 25.11 OF THE AGREEMENT  SEMI-ANNUAL REPORT OF COUNTERVAILING DUTY ACTIONS_x0002_  ANNEXES</dc:title>
  <dc:creator/>
  <dc:description>LDSD - DTU</dc:description>
  <cp:lastModifiedBy/>
  <cp:revision>6</cp:revision>
  <dcterms:created xsi:type="dcterms:W3CDTF">2022-09-12T07:14:00Z</dcterms:created>
  <dcterms:modified xsi:type="dcterms:W3CDTF">2022-09-12T14:32:00Z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62b81f71-f4bb-4fed-8a7f-b1e317a42f49</vt:lpwstr>
  </property>
  <property fmtid="{D5CDD505-2E9C-101B-9397-08002B2CF9AE}" pid="3" name="WTOCLASSIFICATION">
    <vt:lpwstr>WTO OFFICIAL</vt:lpwstr>
  </property>
</Properties>
</file>