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F8A7" w14:textId="709DFC6A" w:rsidR="009F1BE7" w:rsidRPr="00175AC2" w:rsidRDefault="00175AC2" w:rsidP="00175AC2">
      <w:pPr>
        <w:pStyle w:val="Title"/>
        <w:contextualSpacing w:val="0"/>
        <w:rPr>
          <w:rFonts w:eastAsia="Times New Roman" w:cs="Times New Roman"/>
          <w:caps w:val="0"/>
          <w:kern w:val="0"/>
          <w:specVanish/>
        </w:rPr>
      </w:pPr>
      <w:r w:rsidRPr="00175AC2">
        <w:rPr>
          <w:rFonts w:eastAsia="Times New Roman" w:cs="Times New Roman"/>
          <w:caps w:val="0"/>
          <w:kern w:val="0"/>
        </w:rPr>
        <w:t>NOTIFICATION UNDER ARTICLE 12.1(B) OF THE AGREEMENT ON SAFEGUARDS</w:t>
      </w:r>
      <w:r w:rsidRPr="00175AC2">
        <w:rPr>
          <w:rFonts w:eastAsia="Times New Roman" w:cs="Times New Roman"/>
          <w:caps w:val="0"/>
          <w:kern w:val="0"/>
        </w:rPr>
        <w:br/>
        <w:t>ON FINDING A SERIOUS INJURY OR THREAT THEREOF</w:t>
      </w:r>
      <w:r w:rsidRPr="00175AC2">
        <w:rPr>
          <w:rFonts w:eastAsia="Times New Roman" w:cs="Times New Roman"/>
          <w:caps w:val="0"/>
          <w:kern w:val="0"/>
        </w:rPr>
        <w:br/>
        <w:t>CAUSED BY INCREASED IMPORTS</w:t>
      </w:r>
    </w:p>
    <w:p w14:paraId="779CDF65" w14:textId="4481146B" w:rsidR="00B930C8" w:rsidRPr="00175AC2" w:rsidRDefault="00D46993" w:rsidP="00175AC2">
      <w:pPr>
        <w:pStyle w:val="Title"/>
        <w:spacing w:before="0"/>
        <w:contextualSpacing w:val="0"/>
        <w:rPr>
          <w:caps w:val="0"/>
          <w:kern w:val="0"/>
        </w:rPr>
      </w:pPr>
      <w:r w:rsidRPr="00175AC2">
        <w:rPr>
          <w:caps w:val="0"/>
          <w:kern w:val="0"/>
        </w:rPr>
        <w:t>NOTIFICATION OF A PROPOSAL TO IMPOSE A MEASURE</w:t>
      </w:r>
    </w:p>
    <w:p w14:paraId="39AC9D1E" w14:textId="461E134A" w:rsidR="009F1BE7" w:rsidRDefault="00D46993" w:rsidP="00175AC2">
      <w:pPr>
        <w:pStyle w:val="Title"/>
        <w:rPr>
          <w:caps w:val="0"/>
          <w:kern w:val="0"/>
        </w:rPr>
      </w:pPr>
      <w:r w:rsidRPr="00175AC2">
        <w:rPr>
          <w:caps w:val="0"/>
          <w:kern w:val="0"/>
        </w:rPr>
        <w:t>NOTIFICATION PURSUANT TO ARTICLE 9, FOOTNOTE 2</w:t>
      </w:r>
      <w:r w:rsidRPr="00175AC2">
        <w:rPr>
          <w:caps w:val="0"/>
          <w:kern w:val="0"/>
        </w:rPr>
        <w:br/>
        <w:t>OF THE AGREEMENT ON SAFEGUARDS</w:t>
      </w:r>
    </w:p>
    <w:p w14:paraId="4A4E2397" w14:textId="77777777" w:rsidR="00D46993" w:rsidRPr="00175AC2" w:rsidRDefault="00D46993" w:rsidP="00175AC2">
      <w:pPr>
        <w:pStyle w:val="TitleCountry"/>
      </w:pPr>
      <w:r w:rsidRPr="00175AC2">
        <w:t>Cooperation Council for the Arab States of the Gulf "GCC"</w:t>
      </w:r>
    </w:p>
    <w:p w14:paraId="1E42C206" w14:textId="77777777" w:rsidR="00D46993" w:rsidRPr="00175AC2" w:rsidRDefault="00D46993" w:rsidP="00175AC2">
      <w:pPr>
        <w:pStyle w:val="Title3"/>
      </w:pPr>
      <w:r w:rsidRPr="00175AC2">
        <w:t>Certain Steel Products</w:t>
      </w:r>
    </w:p>
    <w:p w14:paraId="1B0902F3" w14:textId="515926F9" w:rsidR="0065727F" w:rsidRPr="00175AC2" w:rsidRDefault="0065727F" w:rsidP="00175AC2">
      <w:r w:rsidRPr="00175AC2">
        <w:t xml:space="preserve">The following communication, </w:t>
      </w:r>
      <w:r w:rsidR="008F5807" w:rsidRPr="00413745">
        <w:rPr>
          <w:lang w:val="en-US"/>
        </w:rPr>
        <w:t>dated</w:t>
      </w:r>
      <w:r w:rsidR="008F5807">
        <w:rPr>
          <w:lang w:val="en-US"/>
        </w:rPr>
        <w:t xml:space="preserve"> </w:t>
      </w:r>
      <w:r w:rsidR="0083625E">
        <w:rPr>
          <w:lang w:val="en-US"/>
        </w:rPr>
        <w:t xml:space="preserve">26 April 2021 </w:t>
      </w:r>
      <w:r w:rsidR="008F5807">
        <w:rPr>
          <w:lang w:val="en-US"/>
        </w:rPr>
        <w:t>and received</w:t>
      </w:r>
      <w:r w:rsidR="008F5807" w:rsidRPr="00413745">
        <w:rPr>
          <w:lang w:val="en-US"/>
        </w:rPr>
        <w:t xml:space="preserve"> </w:t>
      </w:r>
      <w:r w:rsidR="008F5807">
        <w:rPr>
          <w:lang w:val="en-US"/>
        </w:rPr>
        <w:t>on 10</w:t>
      </w:r>
      <w:r w:rsidR="008F5807" w:rsidRPr="00413745">
        <w:rPr>
          <w:lang w:val="en-US"/>
        </w:rPr>
        <w:t xml:space="preserve"> May 2021</w:t>
      </w:r>
      <w:r w:rsidRPr="00175AC2">
        <w:t xml:space="preserve">, is being circulated at the request of the </w:t>
      </w:r>
      <w:r w:rsidR="0038506B" w:rsidRPr="00175AC2">
        <w:t>Kingdom of Bahrain</w:t>
      </w:r>
      <w:r w:rsidRPr="00175AC2">
        <w:t xml:space="preserve"> as President of the GCC on behalf of the GCC member States.</w:t>
      </w:r>
    </w:p>
    <w:p w14:paraId="43C2D6DB" w14:textId="77777777" w:rsidR="0047202E" w:rsidRPr="00175AC2" w:rsidRDefault="0047202E" w:rsidP="00175AC2"/>
    <w:p w14:paraId="24B95A57" w14:textId="11F0D9CA" w:rsidR="0047202E" w:rsidRPr="00175AC2" w:rsidRDefault="00175AC2" w:rsidP="00175AC2">
      <w:pPr>
        <w:jc w:val="center"/>
        <w:rPr>
          <w:b/>
        </w:rPr>
      </w:pPr>
      <w:r w:rsidRPr="00175AC2">
        <w:rPr>
          <w:b/>
        </w:rPr>
        <w:t>_______________</w:t>
      </w:r>
    </w:p>
    <w:p w14:paraId="75CB79B8" w14:textId="77777777" w:rsidR="009F1BE7" w:rsidRPr="00175AC2" w:rsidRDefault="009F1BE7" w:rsidP="00175AC2"/>
    <w:p w14:paraId="1A0977F0" w14:textId="77777777" w:rsidR="009F1BE7" w:rsidRPr="00175AC2" w:rsidRDefault="009F1BE7" w:rsidP="00175AC2"/>
    <w:p w14:paraId="784B01D5" w14:textId="77777777" w:rsidR="00E658F1" w:rsidRPr="00175AC2" w:rsidRDefault="00E658F1" w:rsidP="008F5807">
      <w:pPr>
        <w:spacing w:after="240"/>
        <w:rPr>
          <w:szCs w:val="18"/>
        </w:rPr>
      </w:pPr>
      <w:r w:rsidRPr="00175AC2">
        <w:rPr>
          <w:szCs w:val="18"/>
        </w:rPr>
        <w:t xml:space="preserve">Referring to the WTO document </w:t>
      </w:r>
      <w:r w:rsidR="00C353BB" w:rsidRPr="00175AC2">
        <w:rPr>
          <w:szCs w:val="18"/>
        </w:rPr>
        <w:t>G/SG/N/8/ARE/3, G/SG/N/8/BHR/3 G/SG/N/8/KWT/3, G/SG/N/8/OMN/3 G/SG/N/8/QAT/3, G/SG/N/8/SAU/3</w:t>
      </w:r>
    </w:p>
    <w:p w14:paraId="3772E864" w14:textId="79BF15FC" w:rsidR="00E658F1" w:rsidRPr="00175AC2" w:rsidRDefault="00D46993" w:rsidP="00175AC2">
      <w:pPr>
        <w:pStyle w:val="Heading1"/>
        <w:rPr>
          <w:caps w:val="0"/>
        </w:rPr>
      </w:pPr>
      <w:r w:rsidRPr="00175AC2">
        <w:rPr>
          <w:caps w:val="0"/>
        </w:rPr>
        <w:t>EVIDENCE OF SERIOUS INJURY OR THREAT THEREOF CAUSED BY INCREASED IMPORTS</w:t>
      </w:r>
    </w:p>
    <w:p w14:paraId="4E4A13FA" w14:textId="77777777" w:rsidR="00E658F1" w:rsidRPr="00175AC2" w:rsidRDefault="00E658F1" w:rsidP="00175AC2">
      <w:pPr>
        <w:spacing w:after="240"/>
        <w:rPr>
          <w:rFonts w:cs="Arial"/>
          <w:szCs w:val="18"/>
        </w:rPr>
      </w:pPr>
      <w:r w:rsidRPr="00175AC2">
        <w:rPr>
          <w:b/>
          <w:szCs w:val="18"/>
        </w:rPr>
        <w:t>(</w:t>
      </w:r>
      <w:r w:rsidR="00A407E3" w:rsidRPr="00175AC2">
        <w:rPr>
          <w:b/>
          <w:szCs w:val="18"/>
        </w:rPr>
        <w:t>A</w:t>
      </w:r>
      <w:r w:rsidRPr="00175AC2">
        <w:rPr>
          <w:b/>
          <w:szCs w:val="18"/>
        </w:rPr>
        <w:t>)</w:t>
      </w:r>
      <w:r w:rsidRPr="00175AC2">
        <w:rPr>
          <w:b/>
          <w:szCs w:val="18"/>
        </w:rPr>
        <w:tab/>
        <w:t>Serious Injury</w:t>
      </w:r>
    </w:p>
    <w:p w14:paraId="49F8BA81" w14:textId="77777777" w:rsidR="007B3921" w:rsidRPr="00175AC2" w:rsidRDefault="007B3921" w:rsidP="00175AC2">
      <w:pPr>
        <w:spacing w:after="240"/>
        <w:rPr>
          <w:rFonts w:cs="Arial"/>
          <w:szCs w:val="18"/>
        </w:rPr>
      </w:pPr>
      <w:r w:rsidRPr="00175AC2">
        <w:rPr>
          <w:rFonts w:cs="Arial"/>
          <w:bCs/>
          <w:szCs w:val="18"/>
        </w:rPr>
        <w:t>The investigation period covers 2014 to</w:t>
      </w:r>
      <w:r w:rsidRPr="00175AC2">
        <w:rPr>
          <w:rFonts w:cs="Arial"/>
          <w:szCs w:val="18"/>
        </w:rPr>
        <w:t xml:space="preserve"> </w:t>
      </w:r>
      <w:r w:rsidRPr="00175AC2">
        <w:rPr>
          <w:rFonts w:cs="Arial"/>
          <w:bCs/>
          <w:szCs w:val="18"/>
        </w:rPr>
        <w:t>the first half of 2019</w:t>
      </w:r>
      <w:r w:rsidRPr="00175AC2">
        <w:rPr>
          <w:rFonts w:cs="Arial"/>
          <w:szCs w:val="18"/>
        </w:rPr>
        <w:t>.</w:t>
      </w:r>
    </w:p>
    <w:p w14:paraId="3A67D29F" w14:textId="48CDA58C" w:rsidR="00E658F1" w:rsidRPr="00175AC2" w:rsidRDefault="00E658F1" w:rsidP="00175AC2">
      <w:pPr>
        <w:spacing w:after="120"/>
        <w:rPr>
          <w:rFonts w:cs="Arial"/>
          <w:szCs w:val="18"/>
        </w:rPr>
      </w:pPr>
      <w:r w:rsidRPr="00175AC2">
        <w:rPr>
          <w:rFonts w:cs="Arial"/>
          <w:szCs w:val="18"/>
        </w:rPr>
        <w:t>The final determination of serious injury is based on the evaluation of the overall position of the GCC</w:t>
      </w:r>
      <w:r w:rsidR="000106B9">
        <w:rPr>
          <w:rFonts w:cs="Arial"/>
          <w:szCs w:val="18"/>
        </w:rPr>
        <w:t> </w:t>
      </w:r>
      <w:r w:rsidRPr="00175AC2">
        <w:rPr>
          <w:rFonts w:cs="Arial"/>
          <w:szCs w:val="18"/>
        </w:rPr>
        <w:t>industry in light of all relevant factors having a bearing on the situation of that industry, which shows a significant overall impairment and thus it is concluded that GCC industry has suffered serious injury and that the increase of GCC imports under investigation has caused serious injury to the GCC industry as follows:</w:t>
      </w:r>
    </w:p>
    <w:p w14:paraId="3C07EB8A" w14:textId="77777777" w:rsidR="00E658F1" w:rsidRPr="00175AC2" w:rsidRDefault="00E658F1" w:rsidP="00E16914">
      <w:pPr>
        <w:spacing w:after="120"/>
        <w:jc w:val="right"/>
        <w:rPr>
          <w:rFonts w:cs="Arial"/>
          <w:b/>
          <w:bCs/>
          <w:szCs w:val="18"/>
        </w:rPr>
      </w:pPr>
      <w:r w:rsidRPr="00175AC2">
        <w:rPr>
          <w:rFonts w:cs="Arial"/>
          <w:b/>
          <w:bCs/>
          <w:szCs w:val="18"/>
        </w:rPr>
        <w:t xml:space="preserve">Index </w:t>
      </w:r>
      <w:r w:rsidR="00C353BB" w:rsidRPr="00175AC2">
        <w:rPr>
          <w:rFonts w:cs="Arial"/>
          <w:b/>
          <w:bCs/>
          <w:szCs w:val="18"/>
        </w:rPr>
        <w:t>2014</w:t>
      </w:r>
      <w:r w:rsidRPr="00175AC2">
        <w:rPr>
          <w:rFonts w:cs="Arial"/>
          <w:b/>
          <w:bCs/>
          <w:szCs w:val="18"/>
        </w:rPr>
        <w:t>=100</w:t>
      </w:r>
    </w:p>
    <w:tbl>
      <w:tblPr>
        <w:tblStyle w:val="WTOTable1"/>
        <w:tblW w:w="9141" w:type="dxa"/>
        <w:tblInd w:w="-71"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4A0" w:firstRow="1" w:lastRow="0" w:firstColumn="1" w:lastColumn="0" w:noHBand="0" w:noVBand="1"/>
      </w:tblPr>
      <w:tblGrid>
        <w:gridCol w:w="1899"/>
        <w:gridCol w:w="1276"/>
        <w:gridCol w:w="1134"/>
        <w:gridCol w:w="1134"/>
        <w:gridCol w:w="1134"/>
        <w:gridCol w:w="1276"/>
        <w:gridCol w:w="1288"/>
      </w:tblGrid>
      <w:tr w:rsidR="00175AC2" w:rsidRPr="00175AC2" w14:paraId="56AD874E" w14:textId="77777777" w:rsidTr="000106B9">
        <w:trPr>
          <w:cnfStyle w:val="100000000000" w:firstRow="1" w:lastRow="0" w:firstColumn="0" w:lastColumn="0" w:oddVBand="0" w:evenVBand="0" w:oddHBand="0" w:evenHBand="0" w:firstRowFirstColumn="0" w:firstRowLastColumn="0" w:lastRowFirstColumn="0" w:lastRowLastColumn="0"/>
          <w:tblHeader/>
        </w:trPr>
        <w:tc>
          <w:tcPr>
            <w:tcW w:w="1899" w:type="dxa"/>
          </w:tcPr>
          <w:p w14:paraId="16E3D571" w14:textId="77777777" w:rsidR="00FF5215" w:rsidRPr="00175AC2" w:rsidRDefault="00FF5215" w:rsidP="00175AC2">
            <w:pPr>
              <w:jc w:val="center"/>
              <w:rPr>
                <w:b w:val="0"/>
                <w:bCs/>
                <w:sz w:val="16"/>
                <w:szCs w:val="16"/>
              </w:rPr>
            </w:pPr>
          </w:p>
        </w:tc>
        <w:tc>
          <w:tcPr>
            <w:tcW w:w="1276" w:type="dxa"/>
          </w:tcPr>
          <w:p w14:paraId="3D800E64" w14:textId="77777777" w:rsidR="00FF5215" w:rsidRPr="00175AC2" w:rsidRDefault="00FF5215" w:rsidP="00175AC2">
            <w:pPr>
              <w:jc w:val="center"/>
              <w:rPr>
                <w:sz w:val="16"/>
                <w:szCs w:val="16"/>
              </w:rPr>
            </w:pPr>
            <w:r w:rsidRPr="00175AC2">
              <w:rPr>
                <w:sz w:val="16"/>
                <w:szCs w:val="16"/>
              </w:rPr>
              <w:t>2014</w:t>
            </w:r>
          </w:p>
        </w:tc>
        <w:tc>
          <w:tcPr>
            <w:tcW w:w="1134" w:type="dxa"/>
          </w:tcPr>
          <w:p w14:paraId="74B4F0F6" w14:textId="77777777" w:rsidR="00FF5215" w:rsidRPr="00175AC2" w:rsidRDefault="00FF5215" w:rsidP="00175AC2">
            <w:pPr>
              <w:jc w:val="center"/>
              <w:rPr>
                <w:sz w:val="16"/>
                <w:szCs w:val="16"/>
              </w:rPr>
            </w:pPr>
            <w:r w:rsidRPr="00175AC2">
              <w:rPr>
                <w:sz w:val="16"/>
                <w:szCs w:val="16"/>
              </w:rPr>
              <w:t>2015</w:t>
            </w:r>
          </w:p>
        </w:tc>
        <w:tc>
          <w:tcPr>
            <w:tcW w:w="1134" w:type="dxa"/>
          </w:tcPr>
          <w:p w14:paraId="5C8CF704" w14:textId="77777777" w:rsidR="00FF5215" w:rsidRPr="00175AC2" w:rsidRDefault="00FF5215" w:rsidP="00175AC2">
            <w:pPr>
              <w:jc w:val="center"/>
              <w:rPr>
                <w:sz w:val="16"/>
                <w:szCs w:val="16"/>
              </w:rPr>
            </w:pPr>
            <w:r w:rsidRPr="00175AC2">
              <w:rPr>
                <w:sz w:val="16"/>
                <w:szCs w:val="16"/>
              </w:rPr>
              <w:t>2016</w:t>
            </w:r>
          </w:p>
        </w:tc>
        <w:tc>
          <w:tcPr>
            <w:tcW w:w="1134" w:type="dxa"/>
          </w:tcPr>
          <w:p w14:paraId="26ED32CA" w14:textId="77777777" w:rsidR="00FF5215" w:rsidRPr="00175AC2" w:rsidRDefault="00FF5215" w:rsidP="00175AC2">
            <w:pPr>
              <w:jc w:val="center"/>
              <w:rPr>
                <w:sz w:val="16"/>
                <w:szCs w:val="16"/>
              </w:rPr>
            </w:pPr>
            <w:r w:rsidRPr="00175AC2">
              <w:rPr>
                <w:sz w:val="16"/>
                <w:szCs w:val="16"/>
              </w:rPr>
              <w:t>2017</w:t>
            </w:r>
          </w:p>
        </w:tc>
        <w:tc>
          <w:tcPr>
            <w:tcW w:w="1276" w:type="dxa"/>
          </w:tcPr>
          <w:p w14:paraId="74C23D28" w14:textId="77777777" w:rsidR="00FF5215" w:rsidRPr="00175AC2" w:rsidRDefault="00FF5215" w:rsidP="00175AC2">
            <w:pPr>
              <w:jc w:val="center"/>
              <w:rPr>
                <w:sz w:val="16"/>
                <w:szCs w:val="16"/>
              </w:rPr>
            </w:pPr>
            <w:r w:rsidRPr="00175AC2">
              <w:rPr>
                <w:sz w:val="16"/>
                <w:szCs w:val="16"/>
              </w:rPr>
              <w:t>2018</w:t>
            </w:r>
          </w:p>
        </w:tc>
        <w:tc>
          <w:tcPr>
            <w:tcW w:w="1288" w:type="dxa"/>
          </w:tcPr>
          <w:p w14:paraId="5AB11633" w14:textId="72865B00" w:rsidR="00FF5215" w:rsidRPr="00175AC2" w:rsidRDefault="00FF5215" w:rsidP="00175AC2">
            <w:pPr>
              <w:jc w:val="center"/>
              <w:rPr>
                <w:sz w:val="16"/>
                <w:szCs w:val="16"/>
              </w:rPr>
            </w:pPr>
            <w:r w:rsidRPr="00175AC2">
              <w:rPr>
                <w:sz w:val="16"/>
                <w:szCs w:val="16"/>
              </w:rPr>
              <w:t>Jul 2018</w:t>
            </w:r>
            <w:r w:rsidR="00D46993" w:rsidRPr="00175AC2">
              <w:rPr>
                <w:sz w:val="16"/>
                <w:szCs w:val="16"/>
              </w:rPr>
              <w:noBreakHyphen/>
            </w:r>
            <w:r w:rsidR="00D4299C" w:rsidRPr="00175AC2">
              <w:rPr>
                <w:sz w:val="16"/>
                <w:szCs w:val="16"/>
              </w:rPr>
              <w:br/>
            </w:r>
            <w:r w:rsidRPr="00175AC2">
              <w:rPr>
                <w:sz w:val="16"/>
                <w:szCs w:val="16"/>
              </w:rPr>
              <w:t>Jun 2019</w:t>
            </w:r>
          </w:p>
        </w:tc>
      </w:tr>
      <w:tr w:rsidR="00175AC2" w:rsidRPr="00175AC2" w14:paraId="630008C3" w14:textId="77777777" w:rsidTr="000106B9">
        <w:tc>
          <w:tcPr>
            <w:tcW w:w="1899" w:type="dxa"/>
          </w:tcPr>
          <w:p w14:paraId="5A2CA0F0" w14:textId="77777777" w:rsidR="00FF5215" w:rsidRPr="00175AC2" w:rsidRDefault="00FF5215" w:rsidP="00175AC2">
            <w:pPr>
              <w:jc w:val="left"/>
              <w:rPr>
                <w:b/>
                <w:bCs/>
                <w:color w:val="000000"/>
                <w:sz w:val="16"/>
                <w:szCs w:val="16"/>
              </w:rPr>
            </w:pPr>
            <w:r w:rsidRPr="00175AC2">
              <w:rPr>
                <w:b/>
                <w:bCs/>
                <w:color w:val="000000"/>
                <w:sz w:val="16"/>
                <w:szCs w:val="16"/>
              </w:rPr>
              <w:t>Production volume</w:t>
            </w:r>
          </w:p>
        </w:tc>
        <w:tc>
          <w:tcPr>
            <w:tcW w:w="1276" w:type="dxa"/>
          </w:tcPr>
          <w:p w14:paraId="7D26FCB6" w14:textId="77777777" w:rsidR="00FF5215" w:rsidRPr="00175AC2" w:rsidRDefault="00FF5215" w:rsidP="000106B9">
            <w:pPr>
              <w:ind w:left="-342" w:right="405" w:hanging="283"/>
              <w:jc w:val="right"/>
              <w:rPr>
                <w:sz w:val="16"/>
                <w:szCs w:val="16"/>
              </w:rPr>
            </w:pPr>
            <w:r w:rsidRPr="00175AC2">
              <w:rPr>
                <w:sz w:val="16"/>
                <w:szCs w:val="16"/>
              </w:rPr>
              <w:t>100</w:t>
            </w:r>
          </w:p>
        </w:tc>
        <w:tc>
          <w:tcPr>
            <w:tcW w:w="1134" w:type="dxa"/>
          </w:tcPr>
          <w:p w14:paraId="5BB9D70A" w14:textId="77777777" w:rsidR="00FF5215" w:rsidRPr="00175AC2" w:rsidRDefault="00FF5215" w:rsidP="00175AC2">
            <w:pPr>
              <w:ind w:left="-768" w:right="239" w:hanging="768"/>
              <w:jc w:val="right"/>
              <w:rPr>
                <w:sz w:val="16"/>
                <w:szCs w:val="16"/>
              </w:rPr>
            </w:pPr>
            <w:r w:rsidRPr="00175AC2">
              <w:rPr>
                <w:sz w:val="16"/>
                <w:szCs w:val="16"/>
              </w:rPr>
              <w:t>101.80</w:t>
            </w:r>
          </w:p>
        </w:tc>
        <w:tc>
          <w:tcPr>
            <w:tcW w:w="1134" w:type="dxa"/>
          </w:tcPr>
          <w:p w14:paraId="037B7D78" w14:textId="77777777" w:rsidR="00FF5215" w:rsidRPr="00175AC2" w:rsidRDefault="00FF5215" w:rsidP="000106B9">
            <w:pPr>
              <w:ind w:left="-766" w:right="261" w:hanging="766"/>
              <w:jc w:val="right"/>
              <w:rPr>
                <w:sz w:val="16"/>
                <w:szCs w:val="16"/>
              </w:rPr>
            </w:pPr>
            <w:r w:rsidRPr="00175AC2">
              <w:rPr>
                <w:sz w:val="16"/>
                <w:szCs w:val="16"/>
              </w:rPr>
              <w:t>102.19</w:t>
            </w:r>
          </w:p>
        </w:tc>
        <w:tc>
          <w:tcPr>
            <w:tcW w:w="1134" w:type="dxa"/>
          </w:tcPr>
          <w:p w14:paraId="3389081C" w14:textId="77777777" w:rsidR="00FF5215" w:rsidRPr="00175AC2" w:rsidRDefault="00FF5215" w:rsidP="00175AC2">
            <w:pPr>
              <w:ind w:left="-1193" w:right="284" w:hanging="1619"/>
              <w:jc w:val="right"/>
              <w:rPr>
                <w:sz w:val="16"/>
                <w:szCs w:val="16"/>
              </w:rPr>
            </w:pPr>
            <w:r w:rsidRPr="00175AC2">
              <w:rPr>
                <w:sz w:val="16"/>
                <w:szCs w:val="16"/>
              </w:rPr>
              <w:t>93.82</w:t>
            </w:r>
          </w:p>
        </w:tc>
        <w:tc>
          <w:tcPr>
            <w:tcW w:w="1276" w:type="dxa"/>
          </w:tcPr>
          <w:p w14:paraId="2B08F7C2" w14:textId="77777777" w:rsidR="00FF5215" w:rsidRPr="00175AC2" w:rsidRDefault="00FF5215" w:rsidP="000106B9">
            <w:pPr>
              <w:ind w:left="-624" w:right="334" w:hanging="624"/>
              <w:jc w:val="right"/>
              <w:rPr>
                <w:sz w:val="16"/>
                <w:szCs w:val="16"/>
              </w:rPr>
            </w:pPr>
            <w:r w:rsidRPr="00175AC2">
              <w:rPr>
                <w:sz w:val="16"/>
                <w:szCs w:val="16"/>
              </w:rPr>
              <w:t>102.54</w:t>
            </w:r>
          </w:p>
        </w:tc>
        <w:tc>
          <w:tcPr>
            <w:tcW w:w="1288" w:type="dxa"/>
          </w:tcPr>
          <w:p w14:paraId="1215A24C" w14:textId="77777777" w:rsidR="00FF5215" w:rsidRPr="00175AC2" w:rsidRDefault="00FF5215" w:rsidP="000106B9">
            <w:pPr>
              <w:ind w:left="-763" w:right="375" w:hanging="905"/>
              <w:jc w:val="right"/>
              <w:rPr>
                <w:sz w:val="16"/>
                <w:szCs w:val="16"/>
              </w:rPr>
            </w:pPr>
            <w:r w:rsidRPr="00175AC2">
              <w:rPr>
                <w:sz w:val="16"/>
                <w:szCs w:val="16"/>
              </w:rPr>
              <w:t>79.80</w:t>
            </w:r>
          </w:p>
        </w:tc>
      </w:tr>
      <w:tr w:rsidR="00175AC2" w:rsidRPr="00175AC2" w14:paraId="31BD9B60" w14:textId="77777777" w:rsidTr="00611233">
        <w:trPr>
          <w:cnfStyle w:val="000000010000" w:firstRow="0" w:lastRow="0" w:firstColumn="0" w:lastColumn="0" w:oddVBand="0" w:evenVBand="0" w:oddHBand="0" w:evenHBand="1" w:firstRowFirstColumn="0" w:firstRowLastColumn="0" w:lastRowFirstColumn="0" w:lastRowLastColumn="0"/>
        </w:trPr>
        <w:tc>
          <w:tcPr>
            <w:tcW w:w="1899" w:type="dxa"/>
            <w:tcBorders>
              <w:bottom w:val="nil"/>
            </w:tcBorders>
          </w:tcPr>
          <w:p w14:paraId="135D01CD" w14:textId="77777777" w:rsidR="0006347C" w:rsidRPr="00175AC2" w:rsidRDefault="0006347C" w:rsidP="00175AC2">
            <w:pPr>
              <w:jc w:val="left"/>
              <w:rPr>
                <w:b/>
                <w:bCs/>
                <w:color w:val="000000"/>
                <w:sz w:val="16"/>
                <w:szCs w:val="16"/>
              </w:rPr>
            </w:pPr>
            <w:r w:rsidRPr="00175AC2">
              <w:rPr>
                <w:b/>
                <w:bCs/>
                <w:color w:val="000000"/>
                <w:sz w:val="16"/>
                <w:szCs w:val="16"/>
              </w:rPr>
              <w:t>Capacity utilization</w:t>
            </w:r>
          </w:p>
        </w:tc>
        <w:tc>
          <w:tcPr>
            <w:tcW w:w="1276" w:type="dxa"/>
            <w:tcBorders>
              <w:bottom w:val="nil"/>
            </w:tcBorders>
          </w:tcPr>
          <w:p w14:paraId="721ACA98"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Borders>
              <w:bottom w:val="nil"/>
            </w:tcBorders>
          </w:tcPr>
          <w:p w14:paraId="08DB211C" w14:textId="77777777" w:rsidR="0006347C" w:rsidRPr="00175AC2" w:rsidRDefault="0006347C" w:rsidP="00175AC2">
            <w:pPr>
              <w:ind w:left="-768" w:right="239" w:hanging="768"/>
              <w:jc w:val="right"/>
              <w:rPr>
                <w:sz w:val="16"/>
                <w:szCs w:val="16"/>
              </w:rPr>
            </w:pPr>
            <w:r w:rsidRPr="00175AC2">
              <w:rPr>
                <w:sz w:val="16"/>
                <w:szCs w:val="16"/>
              </w:rPr>
              <w:t>98.34</w:t>
            </w:r>
          </w:p>
        </w:tc>
        <w:tc>
          <w:tcPr>
            <w:tcW w:w="1134" w:type="dxa"/>
            <w:tcBorders>
              <w:bottom w:val="nil"/>
            </w:tcBorders>
          </w:tcPr>
          <w:p w14:paraId="5991D443" w14:textId="77777777" w:rsidR="0006347C" w:rsidRPr="00175AC2" w:rsidRDefault="0006347C" w:rsidP="000106B9">
            <w:pPr>
              <w:ind w:left="-766" w:right="261" w:hanging="766"/>
              <w:jc w:val="right"/>
              <w:rPr>
                <w:sz w:val="16"/>
                <w:szCs w:val="16"/>
              </w:rPr>
            </w:pPr>
            <w:r w:rsidRPr="00175AC2">
              <w:rPr>
                <w:sz w:val="16"/>
                <w:szCs w:val="16"/>
              </w:rPr>
              <w:t>97.88</w:t>
            </w:r>
          </w:p>
        </w:tc>
        <w:tc>
          <w:tcPr>
            <w:tcW w:w="1134" w:type="dxa"/>
            <w:tcBorders>
              <w:bottom w:val="nil"/>
            </w:tcBorders>
          </w:tcPr>
          <w:p w14:paraId="4A88E4CF" w14:textId="77777777" w:rsidR="0006347C" w:rsidRPr="00175AC2" w:rsidRDefault="0006347C" w:rsidP="00175AC2">
            <w:pPr>
              <w:ind w:left="-1193" w:right="284" w:hanging="1619"/>
              <w:jc w:val="right"/>
              <w:rPr>
                <w:sz w:val="16"/>
                <w:szCs w:val="16"/>
              </w:rPr>
            </w:pPr>
            <w:r w:rsidRPr="00175AC2">
              <w:rPr>
                <w:sz w:val="16"/>
                <w:szCs w:val="16"/>
              </w:rPr>
              <w:t>88.38</w:t>
            </w:r>
          </w:p>
        </w:tc>
        <w:tc>
          <w:tcPr>
            <w:tcW w:w="1276" w:type="dxa"/>
            <w:tcBorders>
              <w:bottom w:val="nil"/>
            </w:tcBorders>
          </w:tcPr>
          <w:p w14:paraId="00BEA435" w14:textId="77777777" w:rsidR="0006347C" w:rsidRPr="00175AC2" w:rsidRDefault="0006347C" w:rsidP="000106B9">
            <w:pPr>
              <w:ind w:left="-624" w:right="334" w:hanging="624"/>
              <w:jc w:val="right"/>
              <w:rPr>
                <w:sz w:val="16"/>
                <w:szCs w:val="16"/>
              </w:rPr>
            </w:pPr>
            <w:r w:rsidRPr="00175AC2">
              <w:rPr>
                <w:sz w:val="16"/>
                <w:szCs w:val="16"/>
              </w:rPr>
              <w:t>96.43</w:t>
            </w:r>
          </w:p>
        </w:tc>
        <w:tc>
          <w:tcPr>
            <w:tcW w:w="1288" w:type="dxa"/>
            <w:tcBorders>
              <w:bottom w:val="nil"/>
            </w:tcBorders>
          </w:tcPr>
          <w:p w14:paraId="2CAE31EA" w14:textId="77777777" w:rsidR="0006347C" w:rsidRPr="00175AC2" w:rsidRDefault="0006347C" w:rsidP="000106B9">
            <w:pPr>
              <w:ind w:left="-763" w:right="375" w:hanging="905"/>
              <w:jc w:val="right"/>
              <w:rPr>
                <w:sz w:val="16"/>
                <w:szCs w:val="16"/>
              </w:rPr>
            </w:pPr>
            <w:r w:rsidRPr="00175AC2">
              <w:rPr>
                <w:sz w:val="16"/>
                <w:szCs w:val="16"/>
              </w:rPr>
              <w:t>74.58</w:t>
            </w:r>
          </w:p>
        </w:tc>
      </w:tr>
      <w:tr w:rsidR="00175AC2" w:rsidRPr="00175AC2" w14:paraId="3A6C0213" w14:textId="77777777" w:rsidTr="00611233">
        <w:tc>
          <w:tcPr>
            <w:tcW w:w="1899" w:type="dxa"/>
            <w:tcBorders>
              <w:top w:val="nil"/>
              <w:bottom w:val="single" w:sz="4" w:space="0" w:color="auto"/>
            </w:tcBorders>
          </w:tcPr>
          <w:p w14:paraId="51FE8E26" w14:textId="77777777" w:rsidR="0006347C" w:rsidRPr="00175AC2" w:rsidRDefault="0006347C" w:rsidP="00175AC2">
            <w:pPr>
              <w:jc w:val="left"/>
              <w:rPr>
                <w:b/>
                <w:bCs/>
                <w:color w:val="000000"/>
                <w:sz w:val="16"/>
                <w:szCs w:val="16"/>
              </w:rPr>
            </w:pPr>
            <w:r w:rsidRPr="00175AC2">
              <w:rPr>
                <w:b/>
                <w:bCs/>
                <w:color w:val="000000"/>
                <w:sz w:val="16"/>
                <w:szCs w:val="16"/>
              </w:rPr>
              <w:t>Sales volume</w:t>
            </w:r>
          </w:p>
        </w:tc>
        <w:tc>
          <w:tcPr>
            <w:tcW w:w="1276" w:type="dxa"/>
            <w:tcBorders>
              <w:top w:val="nil"/>
              <w:bottom w:val="single" w:sz="4" w:space="0" w:color="auto"/>
            </w:tcBorders>
          </w:tcPr>
          <w:p w14:paraId="2DA028F3"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Borders>
              <w:top w:val="nil"/>
              <w:bottom w:val="single" w:sz="4" w:space="0" w:color="auto"/>
            </w:tcBorders>
          </w:tcPr>
          <w:p w14:paraId="744FCC0A" w14:textId="77777777" w:rsidR="0006347C" w:rsidRPr="00175AC2" w:rsidRDefault="0006347C" w:rsidP="00175AC2">
            <w:pPr>
              <w:ind w:left="-768" w:right="239" w:hanging="768"/>
              <w:jc w:val="right"/>
              <w:rPr>
                <w:sz w:val="16"/>
                <w:szCs w:val="16"/>
              </w:rPr>
            </w:pPr>
            <w:r w:rsidRPr="00175AC2">
              <w:rPr>
                <w:sz w:val="16"/>
                <w:szCs w:val="16"/>
              </w:rPr>
              <w:t>106.40</w:t>
            </w:r>
          </w:p>
        </w:tc>
        <w:tc>
          <w:tcPr>
            <w:tcW w:w="1134" w:type="dxa"/>
            <w:tcBorders>
              <w:top w:val="nil"/>
              <w:bottom w:val="single" w:sz="4" w:space="0" w:color="auto"/>
            </w:tcBorders>
          </w:tcPr>
          <w:p w14:paraId="34538CB3" w14:textId="77777777" w:rsidR="0006347C" w:rsidRPr="00175AC2" w:rsidRDefault="0006347C" w:rsidP="000106B9">
            <w:pPr>
              <w:ind w:left="-766" w:right="261" w:hanging="766"/>
              <w:jc w:val="right"/>
              <w:rPr>
                <w:sz w:val="16"/>
                <w:szCs w:val="16"/>
              </w:rPr>
            </w:pPr>
            <w:r w:rsidRPr="00175AC2">
              <w:rPr>
                <w:sz w:val="16"/>
                <w:szCs w:val="16"/>
              </w:rPr>
              <w:t>106.67</w:t>
            </w:r>
          </w:p>
        </w:tc>
        <w:tc>
          <w:tcPr>
            <w:tcW w:w="1134" w:type="dxa"/>
            <w:tcBorders>
              <w:top w:val="nil"/>
              <w:bottom w:val="single" w:sz="4" w:space="0" w:color="auto"/>
            </w:tcBorders>
          </w:tcPr>
          <w:p w14:paraId="04498C9E" w14:textId="77777777" w:rsidR="0006347C" w:rsidRPr="00175AC2" w:rsidRDefault="0006347C" w:rsidP="00175AC2">
            <w:pPr>
              <w:ind w:left="-1193" w:right="284" w:hanging="1619"/>
              <w:jc w:val="right"/>
              <w:rPr>
                <w:sz w:val="16"/>
                <w:szCs w:val="16"/>
              </w:rPr>
            </w:pPr>
            <w:r w:rsidRPr="00175AC2">
              <w:rPr>
                <w:sz w:val="16"/>
                <w:szCs w:val="16"/>
              </w:rPr>
              <w:t>98.21</w:t>
            </w:r>
          </w:p>
        </w:tc>
        <w:tc>
          <w:tcPr>
            <w:tcW w:w="1276" w:type="dxa"/>
            <w:tcBorders>
              <w:top w:val="nil"/>
              <w:bottom w:val="single" w:sz="4" w:space="0" w:color="auto"/>
            </w:tcBorders>
          </w:tcPr>
          <w:p w14:paraId="14A437DB" w14:textId="77777777" w:rsidR="0006347C" w:rsidRPr="00175AC2" w:rsidRDefault="0006347C" w:rsidP="000106B9">
            <w:pPr>
              <w:ind w:left="-624" w:right="334" w:hanging="624"/>
              <w:jc w:val="right"/>
              <w:rPr>
                <w:sz w:val="16"/>
                <w:szCs w:val="16"/>
              </w:rPr>
            </w:pPr>
            <w:r w:rsidRPr="00175AC2">
              <w:rPr>
                <w:sz w:val="16"/>
                <w:szCs w:val="16"/>
              </w:rPr>
              <w:t>93.64</w:t>
            </w:r>
          </w:p>
        </w:tc>
        <w:tc>
          <w:tcPr>
            <w:tcW w:w="1288" w:type="dxa"/>
            <w:tcBorders>
              <w:top w:val="nil"/>
              <w:bottom w:val="single" w:sz="4" w:space="0" w:color="auto"/>
            </w:tcBorders>
          </w:tcPr>
          <w:p w14:paraId="7AFF97B5" w14:textId="77777777" w:rsidR="0006347C" w:rsidRPr="00175AC2" w:rsidRDefault="0006347C" w:rsidP="000106B9">
            <w:pPr>
              <w:ind w:left="-763" w:right="375" w:hanging="905"/>
              <w:jc w:val="right"/>
              <w:rPr>
                <w:sz w:val="16"/>
                <w:szCs w:val="16"/>
              </w:rPr>
            </w:pPr>
            <w:r w:rsidRPr="00175AC2">
              <w:rPr>
                <w:sz w:val="16"/>
                <w:szCs w:val="16"/>
              </w:rPr>
              <w:t>76.32</w:t>
            </w:r>
          </w:p>
        </w:tc>
      </w:tr>
      <w:tr w:rsidR="00175AC2" w:rsidRPr="00175AC2" w14:paraId="527DB0F6" w14:textId="77777777" w:rsidTr="00611233">
        <w:trPr>
          <w:cnfStyle w:val="000000010000" w:firstRow="0" w:lastRow="0" w:firstColumn="0" w:lastColumn="0" w:oddVBand="0" w:evenVBand="0" w:oddHBand="0" w:evenHBand="1" w:firstRowFirstColumn="0" w:firstRowLastColumn="0" w:lastRowFirstColumn="0" w:lastRowLastColumn="0"/>
        </w:trPr>
        <w:tc>
          <w:tcPr>
            <w:tcW w:w="1899" w:type="dxa"/>
            <w:tcBorders>
              <w:top w:val="single" w:sz="4" w:space="0" w:color="auto"/>
              <w:bottom w:val="single" w:sz="4" w:space="0" w:color="auto"/>
            </w:tcBorders>
          </w:tcPr>
          <w:p w14:paraId="5C986E8A" w14:textId="77777777" w:rsidR="0006347C" w:rsidRPr="00175AC2" w:rsidRDefault="0006347C" w:rsidP="00175AC2">
            <w:pPr>
              <w:jc w:val="left"/>
              <w:rPr>
                <w:b/>
                <w:bCs/>
                <w:color w:val="000000"/>
                <w:sz w:val="16"/>
                <w:szCs w:val="16"/>
              </w:rPr>
            </w:pPr>
            <w:r w:rsidRPr="00175AC2">
              <w:rPr>
                <w:b/>
                <w:bCs/>
                <w:color w:val="000000"/>
                <w:sz w:val="16"/>
                <w:szCs w:val="16"/>
              </w:rPr>
              <w:lastRenderedPageBreak/>
              <w:t>Market share of domestic sales</w:t>
            </w:r>
          </w:p>
        </w:tc>
        <w:tc>
          <w:tcPr>
            <w:tcW w:w="1276" w:type="dxa"/>
            <w:tcBorders>
              <w:top w:val="single" w:sz="4" w:space="0" w:color="auto"/>
              <w:bottom w:val="single" w:sz="4" w:space="0" w:color="auto"/>
            </w:tcBorders>
          </w:tcPr>
          <w:p w14:paraId="5ED58397"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Borders>
              <w:top w:val="single" w:sz="4" w:space="0" w:color="auto"/>
              <w:bottom w:val="single" w:sz="4" w:space="0" w:color="auto"/>
            </w:tcBorders>
          </w:tcPr>
          <w:p w14:paraId="4026216E" w14:textId="77777777" w:rsidR="0006347C" w:rsidRPr="00175AC2" w:rsidRDefault="0006347C" w:rsidP="00175AC2">
            <w:pPr>
              <w:ind w:left="-768" w:right="239" w:hanging="768"/>
              <w:jc w:val="right"/>
              <w:rPr>
                <w:sz w:val="16"/>
                <w:szCs w:val="16"/>
              </w:rPr>
            </w:pPr>
            <w:r w:rsidRPr="00175AC2">
              <w:rPr>
                <w:sz w:val="16"/>
                <w:szCs w:val="16"/>
              </w:rPr>
              <w:t>96.72</w:t>
            </w:r>
          </w:p>
        </w:tc>
        <w:tc>
          <w:tcPr>
            <w:tcW w:w="1134" w:type="dxa"/>
            <w:tcBorders>
              <w:top w:val="single" w:sz="4" w:space="0" w:color="auto"/>
              <w:bottom w:val="single" w:sz="4" w:space="0" w:color="auto"/>
            </w:tcBorders>
          </w:tcPr>
          <w:p w14:paraId="11DD502E" w14:textId="77777777" w:rsidR="0006347C" w:rsidRPr="00175AC2" w:rsidRDefault="0006347C" w:rsidP="000106B9">
            <w:pPr>
              <w:ind w:left="-766" w:right="261" w:hanging="766"/>
              <w:jc w:val="right"/>
              <w:rPr>
                <w:sz w:val="16"/>
                <w:szCs w:val="16"/>
              </w:rPr>
            </w:pPr>
            <w:r w:rsidRPr="00175AC2">
              <w:rPr>
                <w:sz w:val="16"/>
                <w:szCs w:val="16"/>
              </w:rPr>
              <w:t>98.53</w:t>
            </w:r>
          </w:p>
        </w:tc>
        <w:tc>
          <w:tcPr>
            <w:tcW w:w="1134" w:type="dxa"/>
            <w:tcBorders>
              <w:top w:val="single" w:sz="4" w:space="0" w:color="auto"/>
              <w:bottom w:val="single" w:sz="4" w:space="0" w:color="auto"/>
            </w:tcBorders>
          </w:tcPr>
          <w:p w14:paraId="7259B8AB" w14:textId="77777777" w:rsidR="0006347C" w:rsidRPr="00175AC2" w:rsidRDefault="0006347C" w:rsidP="00175AC2">
            <w:pPr>
              <w:ind w:left="-1193" w:right="284" w:hanging="1619"/>
              <w:jc w:val="right"/>
              <w:rPr>
                <w:sz w:val="16"/>
                <w:szCs w:val="16"/>
              </w:rPr>
            </w:pPr>
            <w:r w:rsidRPr="00175AC2">
              <w:rPr>
                <w:sz w:val="16"/>
                <w:szCs w:val="16"/>
              </w:rPr>
              <w:t>97.48</w:t>
            </w:r>
          </w:p>
        </w:tc>
        <w:tc>
          <w:tcPr>
            <w:tcW w:w="1276" w:type="dxa"/>
            <w:tcBorders>
              <w:top w:val="single" w:sz="4" w:space="0" w:color="auto"/>
              <w:bottom w:val="single" w:sz="4" w:space="0" w:color="auto"/>
            </w:tcBorders>
          </w:tcPr>
          <w:p w14:paraId="770E6EA8" w14:textId="77777777" w:rsidR="0006347C" w:rsidRPr="00175AC2" w:rsidRDefault="0006347C" w:rsidP="000106B9">
            <w:pPr>
              <w:ind w:left="-624" w:right="334" w:hanging="624"/>
              <w:jc w:val="right"/>
              <w:rPr>
                <w:sz w:val="16"/>
                <w:szCs w:val="16"/>
              </w:rPr>
            </w:pPr>
            <w:r w:rsidRPr="00175AC2">
              <w:rPr>
                <w:sz w:val="16"/>
                <w:szCs w:val="16"/>
              </w:rPr>
              <w:t>97.08</w:t>
            </w:r>
          </w:p>
        </w:tc>
        <w:tc>
          <w:tcPr>
            <w:tcW w:w="1288" w:type="dxa"/>
            <w:tcBorders>
              <w:top w:val="single" w:sz="4" w:space="0" w:color="auto"/>
              <w:bottom w:val="single" w:sz="4" w:space="0" w:color="auto"/>
            </w:tcBorders>
          </w:tcPr>
          <w:p w14:paraId="7FB80AA7" w14:textId="77777777" w:rsidR="0006347C" w:rsidRPr="00175AC2" w:rsidRDefault="0006347C" w:rsidP="000106B9">
            <w:pPr>
              <w:ind w:left="-763" w:right="375" w:hanging="905"/>
              <w:jc w:val="right"/>
              <w:rPr>
                <w:sz w:val="16"/>
                <w:szCs w:val="16"/>
              </w:rPr>
            </w:pPr>
            <w:r w:rsidRPr="00175AC2">
              <w:rPr>
                <w:sz w:val="16"/>
                <w:szCs w:val="16"/>
              </w:rPr>
              <w:t>94.05</w:t>
            </w:r>
          </w:p>
        </w:tc>
      </w:tr>
      <w:tr w:rsidR="00175AC2" w:rsidRPr="00175AC2" w14:paraId="1E5B7F94" w14:textId="77777777" w:rsidTr="00631046">
        <w:tc>
          <w:tcPr>
            <w:tcW w:w="1899" w:type="dxa"/>
            <w:tcBorders>
              <w:top w:val="single" w:sz="4" w:space="0" w:color="auto"/>
            </w:tcBorders>
          </w:tcPr>
          <w:p w14:paraId="3AFAB6CB" w14:textId="77777777" w:rsidR="0006347C" w:rsidRPr="00175AC2" w:rsidRDefault="0006347C" w:rsidP="00175AC2">
            <w:pPr>
              <w:jc w:val="left"/>
              <w:rPr>
                <w:b/>
                <w:bCs/>
                <w:color w:val="000000"/>
                <w:sz w:val="16"/>
                <w:szCs w:val="16"/>
              </w:rPr>
            </w:pPr>
            <w:r w:rsidRPr="00175AC2">
              <w:rPr>
                <w:b/>
                <w:bCs/>
                <w:color w:val="000000"/>
                <w:sz w:val="16"/>
                <w:szCs w:val="16"/>
              </w:rPr>
              <w:t>Market share of imports</w:t>
            </w:r>
          </w:p>
        </w:tc>
        <w:tc>
          <w:tcPr>
            <w:tcW w:w="1276" w:type="dxa"/>
            <w:tcBorders>
              <w:top w:val="single" w:sz="4" w:space="0" w:color="auto"/>
            </w:tcBorders>
          </w:tcPr>
          <w:p w14:paraId="3F435307"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Borders>
              <w:top w:val="single" w:sz="4" w:space="0" w:color="auto"/>
            </w:tcBorders>
          </w:tcPr>
          <w:p w14:paraId="14D4FFBF" w14:textId="77777777" w:rsidR="0006347C" w:rsidRPr="00175AC2" w:rsidRDefault="0006347C" w:rsidP="00175AC2">
            <w:pPr>
              <w:ind w:left="-768" w:right="239" w:hanging="768"/>
              <w:jc w:val="right"/>
              <w:rPr>
                <w:sz w:val="16"/>
                <w:szCs w:val="16"/>
              </w:rPr>
            </w:pPr>
            <w:r w:rsidRPr="00175AC2">
              <w:rPr>
                <w:sz w:val="16"/>
                <w:szCs w:val="16"/>
              </w:rPr>
              <w:t>115.86</w:t>
            </w:r>
          </w:p>
        </w:tc>
        <w:tc>
          <w:tcPr>
            <w:tcW w:w="1134" w:type="dxa"/>
            <w:tcBorders>
              <w:top w:val="single" w:sz="4" w:space="0" w:color="auto"/>
            </w:tcBorders>
          </w:tcPr>
          <w:p w14:paraId="4A6411CF" w14:textId="77777777" w:rsidR="0006347C" w:rsidRPr="00175AC2" w:rsidRDefault="0006347C" w:rsidP="000106B9">
            <w:pPr>
              <w:ind w:left="-766" w:right="261" w:hanging="766"/>
              <w:jc w:val="right"/>
              <w:rPr>
                <w:sz w:val="16"/>
                <w:szCs w:val="16"/>
              </w:rPr>
            </w:pPr>
            <w:r w:rsidRPr="00175AC2">
              <w:rPr>
                <w:sz w:val="16"/>
                <w:szCs w:val="16"/>
              </w:rPr>
              <w:t>107.13</w:t>
            </w:r>
          </w:p>
        </w:tc>
        <w:tc>
          <w:tcPr>
            <w:tcW w:w="1134" w:type="dxa"/>
            <w:tcBorders>
              <w:top w:val="single" w:sz="4" w:space="0" w:color="auto"/>
            </w:tcBorders>
          </w:tcPr>
          <w:p w14:paraId="7C0C20B7" w14:textId="77777777" w:rsidR="0006347C" w:rsidRPr="00175AC2" w:rsidRDefault="0006347C" w:rsidP="00175AC2">
            <w:pPr>
              <w:ind w:left="-1193" w:right="284" w:hanging="1619"/>
              <w:jc w:val="right"/>
              <w:rPr>
                <w:sz w:val="16"/>
                <w:szCs w:val="16"/>
              </w:rPr>
            </w:pPr>
            <w:r w:rsidRPr="00175AC2">
              <w:rPr>
                <w:sz w:val="16"/>
                <w:szCs w:val="16"/>
              </w:rPr>
              <w:t>112.18</w:t>
            </w:r>
          </w:p>
        </w:tc>
        <w:tc>
          <w:tcPr>
            <w:tcW w:w="1276" w:type="dxa"/>
            <w:tcBorders>
              <w:top w:val="single" w:sz="4" w:space="0" w:color="auto"/>
            </w:tcBorders>
          </w:tcPr>
          <w:p w14:paraId="7850099C" w14:textId="77777777" w:rsidR="0006347C" w:rsidRPr="00175AC2" w:rsidRDefault="0006347C" w:rsidP="000106B9">
            <w:pPr>
              <w:ind w:left="-624" w:right="334" w:hanging="624"/>
              <w:jc w:val="right"/>
              <w:rPr>
                <w:sz w:val="16"/>
                <w:szCs w:val="16"/>
              </w:rPr>
            </w:pPr>
            <w:r w:rsidRPr="00175AC2">
              <w:rPr>
                <w:sz w:val="16"/>
                <w:szCs w:val="16"/>
              </w:rPr>
              <w:t>114.14</w:t>
            </w:r>
          </w:p>
        </w:tc>
        <w:tc>
          <w:tcPr>
            <w:tcW w:w="1288" w:type="dxa"/>
            <w:tcBorders>
              <w:top w:val="single" w:sz="4" w:space="0" w:color="auto"/>
            </w:tcBorders>
          </w:tcPr>
          <w:p w14:paraId="318D8CB3" w14:textId="77777777" w:rsidR="0006347C" w:rsidRPr="00175AC2" w:rsidRDefault="0006347C" w:rsidP="000106B9">
            <w:pPr>
              <w:ind w:left="-763" w:right="375" w:hanging="905"/>
              <w:jc w:val="right"/>
              <w:rPr>
                <w:sz w:val="16"/>
                <w:szCs w:val="16"/>
              </w:rPr>
            </w:pPr>
            <w:r w:rsidRPr="00175AC2">
              <w:rPr>
                <w:sz w:val="16"/>
                <w:szCs w:val="16"/>
              </w:rPr>
              <w:t>128.78</w:t>
            </w:r>
          </w:p>
        </w:tc>
      </w:tr>
      <w:tr w:rsidR="00175AC2" w:rsidRPr="00175AC2" w14:paraId="6B45D91C" w14:textId="77777777" w:rsidTr="000106B9">
        <w:trPr>
          <w:cnfStyle w:val="000000010000" w:firstRow="0" w:lastRow="0" w:firstColumn="0" w:lastColumn="0" w:oddVBand="0" w:evenVBand="0" w:oddHBand="0" w:evenHBand="1" w:firstRowFirstColumn="0" w:firstRowLastColumn="0" w:lastRowFirstColumn="0" w:lastRowLastColumn="0"/>
        </w:trPr>
        <w:tc>
          <w:tcPr>
            <w:tcW w:w="1899" w:type="dxa"/>
          </w:tcPr>
          <w:p w14:paraId="373A0E5C" w14:textId="77777777" w:rsidR="0006347C" w:rsidRPr="00175AC2" w:rsidRDefault="0006347C" w:rsidP="00175AC2">
            <w:pPr>
              <w:jc w:val="left"/>
              <w:rPr>
                <w:b/>
                <w:bCs/>
                <w:color w:val="000000"/>
                <w:sz w:val="16"/>
                <w:szCs w:val="16"/>
              </w:rPr>
            </w:pPr>
            <w:r w:rsidRPr="00175AC2">
              <w:rPr>
                <w:b/>
                <w:bCs/>
                <w:color w:val="000000"/>
                <w:sz w:val="16"/>
                <w:szCs w:val="16"/>
              </w:rPr>
              <w:t>Inventory volume</w:t>
            </w:r>
          </w:p>
        </w:tc>
        <w:tc>
          <w:tcPr>
            <w:tcW w:w="1276" w:type="dxa"/>
          </w:tcPr>
          <w:p w14:paraId="49459EBC"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Pr>
          <w:p w14:paraId="0EE77ECC" w14:textId="77777777" w:rsidR="0006347C" w:rsidRPr="00175AC2" w:rsidRDefault="0006347C" w:rsidP="00175AC2">
            <w:pPr>
              <w:ind w:left="-768" w:right="239" w:hanging="768"/>
              <w:jc w:val="right"/>
              <w:rPr>
                <w:sz w:val="16"/>
                <w:szCs w:val="16"/>
              </w:rPr>
            </w:pPr>
            <w:r w:rsidRPr="00175AC2">
              <w:rPr>
                <w:sz w:val="16"/>
                <w:szCs w:val="16"/>
              </w:rPr>
              <w:t>83.32</w:t>
            </w:r>
          </w:p>
        </w:tc>
        <w:tc>
          <w:tcPr>
            <w:tcW w:w="1134" w:type="dxa"/>
          </w:tcPr>
          <w:p w14:paraId="61F80C2F" w14:textId="77777777" w:rsidR="0006347C" w:rsidRPr="00175AC2" w:rsidRDefault="0006347C" w:rsidP="000106B9">
            <w:pPr>
              <w:ind w:left="-766" w:right="261" w:hanging="766"/>
              <w:jc w:val="right"/>
              <w:rPr>
                <w:sz w:val="16"/>
                <w:szCs w:val="16"/>
              </w:rPr>
            </w:pPr>
            <w:r w:rsidRPr="00175AC2">
              <w:rPr>
                <w:sz w:val="16"/>
                <w:szCs w:val="16"/>
              </w:rPr>
              <w:t>67.95</w:t>
            </w:r>
          </w:p>
        </w:tc>
        <w:tc>
          <w:tcPr>
            <w:tcW w:w="1134" w:type="dxa"/>
          </w:tcPr>
          <w:p w14:paraId="03F84A22" w14:textId="77777777" w:rsidR="0006347C" w:rsidRPr="00175AC2" w:rsidRDefault="0006347C" w:rsidP="00175AC2">
            <w:pPr>
              <w:ind w:left="-1193" w:right="284" w:hanging="1619"/>
              <w:jc w:val="right"/>
              <w:rPr>
                <w:sz w:val="16"/>
                <w:szCs w:val="16"/>
              </w:rPr>
            </w:pPr>
            <w:r w:rsidRPr="00175AC2">
              <w:rPr>
                <w:sz w:val="16"/>
                <w:szCs w:val="16"/>
              </w:rPr>
              <w:t>67.72</w:t>
            </w:r>
          </w:p>
        </w:tc>
        <w:tc>
          <w:tcPr>
            <w:tcW w:w="1276" w:type="dxa"/>
          </w:tcPr>
          <w:p w14:paraId="6740B2C5" w14:textId="77777777" w:rsidR="0006347C" w:rsidRPr="00175AC2" w:rsidRDefault="0006347C" w:rsidP="000106B9">
            <w:pPr>
              <w:ind w:left="-624" w:right="334" w:hanging="624"/>
              <w:jc w:val="right"/>
              <w:rPr>
                <w:sz w:val="16"/>
                <w:szCs w:val="16"/>
              </w:rPr>
            </w:pPr>
            <w:r w:rsidRPr="00175AC2">
              <w:rPr>
                <w:sz w:val="16"/>
                <w:szCs w:val="16"/>
              </w:rPr>
              <w:t>106.85</w:t>
            </w:r>
          </w:p>
        </w:tc>
        <w:tc>
          <w:tcPr>
            <w:tcW w:w="1288" w:type="dxa"/>
          </w:tcPr>
          <w:p w14:paraId="38172727" w14:textId="77777777" w:rsidR="0006347C" w:rsidRPr="00175AC2" w:rsidRDefault="0006347C" w:rsidP="000106B9">
            <w:pPr>
              <w:ind w:left="-763" w:right="375" w:hanging="905"/>
              <w:jc w:val="right"/>
              <w:rPr>
                <w:sz w:val="16"/>
                <w:szCs w:val="16"/>
              </w:rPr>
            </w:pPr>
            <w:r w:rsidRPr="00175AC2">
              <w:rPr>
                <w:sz w:val="16"/>
                <w:szCs w:val="16"/>
              </w:rPr>
              <w:t>109.75</w:t>
            </w:r>
          </w:p>
        </w:tc>
      </w:tr>
      <w:tr w:rsidR="00175AC2" w:rsidRPr="00175AC2" w14:paraId="36D78869" w14:textId="77777777" w:rsidTr="000106B9">
        <w:tc>
          <w:tcPr>
            <w:tcW w:w="1899" w:type="dxa"/>
          </w:tcPr>
          <w:p w14:paraId="71A6EE1F" w14:textId="77777777" w:rsidR="0006347C" w:rsidRPr="00175AC2" w:rsidRDefault="0006347C" w:rsidP="00175AC2">
            <w:pPr>
              <w:jc w:val="left"/>
              <w:rPr>
                <w:b/>
                <w:bCs/>
                <w:color w:val="000000"/>
                <w:sz w:val="16"/>
                <w:szCs w:val="16"/>
              </w:rPr>
            </w:pPr>
            <w:r w:rsidRPr="00175AC2">
              <w:rPr>
                <w:b/>
                <w:bCs/>
                <w:color w:val="000000"/>
                <w:sz w:val="16"/>
                <w:szCs w:val="16"/>
              </w:rPr>
              <w:t>Employment</w:t>
            </w:r>
          </w:p>
        </w:tc>
        <w:tc>
          <w:tcPr>
            <w:tcW w:w="1276" w:type="dxa"/>
          </w:tcPr>
          <w:p w14:paraId="2C0A0B48"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Pr>
          <w:p w14:paraId="185F91EA" w14:textId="77777777" w:rsidR="0006347C" w:rsidRPr="00175AC2" w:rsidRDefault="0006347C" w:rsidP="00175AC2">
            <w:pPr>
              <w:ind w:left="-768" w:right="239" w:hanging="768"/>
              <w:jc w:val="right"/>
              <w:rPr>
                <w:sz w:val="16"/>
                <w:szCs w:val="16"/>
              </w:rPr>
            </w:pPr>
            <w:r w:rsidRPr="00175AC2">
              <w:rPr>
                <w:sz w:val="16"/>
                <w:szCs w:val="16"/>
              </w:rPr>
              <w:t>104.26</w:t>
            </w:r>
          </w:p>
        </w:tc>
        <w:tc>
          <w:tcPr>
            <w:tcW w:w="1134" w:type="dxa"/>
          </w:tcPr>
          <w:p w14:paraId="256D7FCC" w14:textId="77777777" w:rsidR="0006347C" w:rsidRPr="00175AC2" w:rsidRDefault="0006347C" w:rsidP="000106B9">
            <w:pPr>
              <w:ind w:left="-766" w:right="261" w:hanging="766"/>
              <w:jc w:val="right"/>
              <w:rPr>
                <w:sz w:val="16"/>
                <w:szCs w:val="16"/>
              </w:rPr>
            </w:pPr>
            <w:r w:rsidRPr="00175AC2">
              <w:rPr>
                <w:sz w:val="16"/>
                <w:szCs w:val="16"/>
              </w:rPr>
              <w:t>104.60</w:t>
            </w:r>
          </w:p>
        </w:tc>
        <w:tc>
          <w:tcPr>
            <w:tcW w:w="1134" w:type="dxa"/>
          </w:tcPr>
          <w:p w14:paraId="74CC7B04" w14:textId="77777777" w:rsidR="0006347C" w:rsidRPr="00175AC2" w:rsidRDefault="0006347C" w:rsidP="00175AC2">
            <w:pPr>
              <w:ind w:left="-1193" w:right="284" w:hanging="1619"/>
              <w:jc w:val="right"/>
              <w:rPr>
                <w:sz w:val="16"/>
                <w:szCs w:val="16"/>
              </w:rPr>
            </w:pPr>
            <w:r w:rsidRPr="00175AC2">
              <w:rPr>
                <w:sz w:val="16"/>
                <w:szCs w:val="16"/>
              </w:rPr>
              <w:t>99.82</w:t>
            </w:r>
          </w:p>
        </w:tc>
        <w:tc>
          <w:tcPr>
            <w:tcW w:w="1276" w:type="dxa"/>
          </w:tcPr>
          <w:p w14:paraId="63983459" w14:textId="77777777" w:rsidR="0006347C" w:rsidRPr="00175AC2" w:rsidRDefault="0006347C" w:rsidP="000106B9">
            <w:pPr>
              <w:ind w:left="-624" w:right="334" w:hanging="624"/>
              <w:jc w:val="right"/>
              <w:rPr>
                <w:sz w:val="16"/>
                <w:szCs w:val="16"/>
              </w:rPr>
            </w:pPr>
            <w:r w:rsidRPr="00175AC2">
              <w:rPr>
                <w:sz w:val="16"/>
                <w:szCs w:val="16"/>
              </w:rPr>
              <w:t>101.10</w:t>
            </w:r>
          </w:p>
        </w:tc>
        <w:tc>
          <w:tcPr>
            <w:tcW w:w="1288" w:type="dxa"/>
          </w:tcPr>
          <w:p w14:paraId="611D29C0" w14:textId="77777777" w:rsidR="0006347C" w:rsidRPr="00175AC2" w:rsidRDefault="0006347C" w:rsidP="000106B9">
            <w:pPr>
              <w:ind w:left="-763" w:right="375" w:hanging="905"/>
              <w:jc w:val="right"/>
              <w:rPr>
                <w:sz w:val="16"/>
                <w:szCs w:val="16"/>
              </w:rPr>
            </w:pPr>
            <w:r w:rsidRPr="00175AC2">
              <w:rPr>
                <w:sz w:val="16"/>
                <w:szCs w:val="16"/>
              </w:rPr>
              <w:t>100.40</w:t>
            </w:r>
          </w:p>
        </w:tc>
      </w:tr>
      <w:tr w:rsidR="00175AC2" w:rsidRPr="00175AC2" w14:paraId="6DBBC0F7" w14:textId="77777777" w:rsidTr="000106B9">
        <w:trPr>
          <w:cnfStyle w:val="000000010000" w:firstRow="0" w:lastRow="0" w:firstColumn="0" w:lastColumn="0" w:oddVBand="0" w:evenVBand="0" w:oddHBand="0" w:evenHBand="1" w:firstRowFirstColumn="0" w:firstRowLastColumn="0" w:lastRowFirstColumn="0" w:lastRowLastColumn="0"/>
        </w:trPr>
        <w:tc>
          <w:tcPr>
            <w:tcW w:w="1899" w:type="dxa"/>
          </w:tcPr>
          <w:p w14:paraId="0598FFF0" w14:textId="77777777" w:rsidR="0006347C" w:rsidRPr="00175AC2" w:rsidRDefault="0006347C" w:rsidP="00175AC2">
            <w:pPr>
              <w:jc w:val="left"/>
              <w:rPr>
                <w:b/>
                <w:bCs/>
                <w:color w:val="000000"/>
                <w:sz w:val="16"/>
                <w:szCs w:val="16"/>
              </w:rPr>
            </w:pPr>
            <w:r w:rsidRPr="00175AC2">
              <w:rPr>
                <w:b/>
                <w:bCs/>
                <w:color w:val="000000"/>
                <w:sz w:val="16"/>
                <w:szCs w:val="16"/>
              </w:rPr>
              <w:t>Productivity</w:t>
            </w:r>
          </w:p>
        </w:tc>
        <w:tc>
          <w:tcPr>
            <w:tcW w:w="1276" w:type="dxa"/>
          </w:tcPr>
          <w:p w14:paraId="599F3ADB"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Pr>
          <w:p w14:paraId="4CA1C4E4" w14:textId="77777777" w:rsidR="0006347C" w:rsidRPr="00175AC2" w:rsidRDefault="0006347C" w:rsidP="00175AC2">
            <w:pPr>
              <w:ind w:left="-768" w:right="239" w:hanging="768"/>
              <w:jc w:val="right"/>
              <w:rPr>
                <w:sz w:val="16"/>
                <w:szCs w:val="16"/>
              </w:rPr>
            </w:pPr>
            <w:r w:rsidRPr="00175AC2">
              <w:rPr>
                <w:sz w:val="16"/>
                <w:szCs w:val="16"/>
              </w:rPr>
              <w:t>97.64</w:t>
            </w:r>
          </w:p>
        </w:tc>
        <w:tc>
          <w:tcPr>
            <w:tcW w:w="1134" w:type="dxa"/>
          </w:tcPr>
          <w:p w14:paraId="750B36CB" w14:textId="77777777" w:rsidR="0006347C" w:rsidRPr="00175AC2" w:rsidRDefault="0006347C" w:rsidP="000106B9">
            <w:pPr>
              <w:ind w:left="-766" w:right="261" w:hanging="766"/>
              <w:jc w:val="right"/>
              <w:rPr>
                <w:sz w:val="16"/>
                <w:szCs w:val="16"/>
              </w:rPr>
            </w:pPr>
            <w:r w:rsidRPr="00175AC2">
              <w:rPr>
                <w:sz w:val="16"/>
                <w:szCs w:val="16"/>
              </w:rPr>
              <w:t>97.69</w:t>
            </w:r>
          </w:p>
        </w:tc>
        <w:tc>
          <w:tcPr>
            <w:tcW w:w="1134" w:type="dxa"/>
          </w:tcPr>
          <w:p w14:paraId="4A41ED07" w14:textId="77777777" w:rsidR="0006347C" w:rsidRPr="00175AC2" w:rsidRDefault="0006347C" w:rsidP="00175AC2">
            <w:pPr>
              <w:ind w:left="-1193" w:right="284" w:hanging="1619"/>
              <w:jc w:val="right"/>
              <w:rPr>
                <w:sz w:val="16"/>
                <w:szCs w:val="16"/>
              </w:rPr>
            </w:pPr>
            <w:r w:rsidRPr="00175AC2">
              <w:rPr>
                <w:sz w:val="16"/>
                <w:szCs w:val="16"/>
              </w:rPr>
              <w:t>93.99</w:t>
            </w:r>
          </w:p>
        </w:tc>
        <w:tc>
          <w:tcPr>
            <w:tcW w:w="1276" w:type="dxa"/>
          </w:tcPr>
          <w:p w14:paraId="5E2EF2F1" w14:textId="77777777" w:rsidR="0006347C" w:rsidRPr="00175AC2" w:rsidRDefault="0006347C" w:rsidP="000106B9">
            <w:pPr>
              <w:ind w:left="-624" w:right="334" w:hanging="624"/>
              <w:jc w:val="right"/>
              <w:rPr>
                <w:sz w:val="16"/>
                <w:szCs w:val="16"/>
              </w:rPr>
            </w:pPr>
            <w:r w:rsidRPr="00175AC2">
              <w:rPr>
                <w:sz w:val="16"/>
                <w:szCs w:val="16"/>
              </w:rPr>
              <w:t>101.42</w:t>
            </w:r>
          </w:p>
        </w:tc>
        <w:tc>
          <w:tcPr>
            <w:tcW w:w="1288" w:type="dxa"/>
          </w:tcPr>
          <w:p w14:paraId="4A2AF9BE" w14:textId="77777777" w:rsidR="0006347C" w:rsidRPr="00175AC2" w:rsidRDefault="0006347C" w:rsidP="000106B9">
            <w:pPr>
              <w:ind w:left="-763" w:right="375" w:hanging="905"/>
              <w:jc w:val="right"/>
              <w:rPr>
                <w:sz w:val="16"/>
                <w:szCs w:val="16"/>
              </w:rPr>
            </w:pPr>
            <w:r w:rsidRPr="00175AC2">
              <w:rPr>
                <w:sz w:val="16"/>
                <w:szCs w:val="16"/>
              </w:rPr>
              <w:t>79.48</w:t>
            </w:r>
          </w:p>
        </w:tc>
      </w:tr>
      <w:tr w:rsidR="00175AC2" w:rsidRPr="00175AC2" w14:paraId="62A3880F" w14:textId="77777777" w:rsidTr="000106B9">
        <w:tc>
          <w:tcPr>
            <w:tcW w:w="1899" w:type="dxa"/>
          </w:tcPr>
          <w:p w14:paraId="56E6C6DB" w14:textId="77777777" w:rsidR="0006347C" w:rsidRPr="00175AC2" w:rsidRDefault="0006347C" w:rsidP="00175AC2">
            <w:pPr>
              <w:jc w:val="left"/>
              <w:rPr>
                <w:b/>
                <w:bCs/>
                <w:color w:val="000000"/>
                <w:sz w:val="16"/>
                <w:szCs w:val="16"/>
                <w:lang w:val="en-US"/>
              </w:rPr>
            </w:pPr>
            <w:r w:rsidRPr="00175AC2">
              <w:rPr>
                <w:b/>
                <w:bCs/>
                <w:color w:val="000000"/>
                <w:sz w:val="16"/>
                <w:szCs w:val="16"/>
              </w:rPr>
              <w:t>Profits/ losses</w:t>
            </w:r>
          </w:p>
        </w:tc>
        <w:tc>
          <w:tcPr>
            <w:tcW w:w="1276" w:type="dxa"/>
          </w:tcPr>
          <w:p w14:paraId="6E67949A" w14:textId="77777777" w:rsidR="0006347C" w:rsidRPr="00175AC2" w:rsidRDefault="0006347C" w:rsidP="000106B9">
            <w:pPr>
              <w:ind w:left="-342" w:right="405" w:hanging="283"/>
              <w:jc w:val="right"/>
              <w:rPr>
                <w:sz w:val="16"/>
                <w:szCs w:val="16"/>
              </w:rPr>
            </w:pPr>
            <w:r w:rsidRPr="00175AC2">
              <w:rPr>
                <w:sz w:val="16"/>
                <w:szCs w:val="16"/>
              </w:rPr>
              <w:t>100</w:t>
            </w:r>
          </w:p>
        </w:tc>
        <w:tc>
          <w:tcPr>
            <w:tcW w:w="1134" w:type="dxa"/>
          </w:tcPr>
          <w:p w14:paraId="16BCB802" w14:textId="1E017F7C" w:rsidR="0006347C" w:rsidRPr="00175AC2" w:rsidRDefault="00D46993" w:rsidP="00175AC2">
            <w:pPr>
              <w:ind w:left="-768" w:right="239" w:hanging="768"/>
              <w:jc w:val="right"/>
              <w:rPr>
                <w:sz w:val="16"/>
                <w:szCs w:val="16"/>
              </w:rPr>
            </w:pPr>
            <w:r w:rsidRPr="00175AC2">
              <w:rPr>
                <w:sz w:val="16"/>
                <w:szCs w:val="16"/>
              </w:rPr>
              <w:noBreakHyphen/>
            </w:r>
            <w:r w:rsidR="0006347C" w:rsidRPr="00175AC2">
              <w:rPr>
                <w:sz w:val="16"/>
                <w:szCs w:val="16"/>
              </w:rPr>
              <w:t>60.85</w:t>
            </w:r>
          </w:p>
        </w:tc>
        <w:tc>
          <w:tcPr>
            <w:tcW w:w="1134" w:type="dxa"/>
          </w:tcPr>
          <w:p w14:paraId="60EBD31B" w14:textId="05A4DF47" w:rsidR="0006347C" w:rsidRPr="00175AC2" w:rsidRDefault="00D46993" w:rsidP="000106B9">
            <w:pPr>
              <w:ind w:left="-766" w:right="261" w:hanging="766"/>
              <w:jc w:val="right"/>
              <w:rPr>
                <w:sz w:val="16"/>
                <w:szCs w:val="16"/>
              </w:rPr>
            </w:pPr>
            <w:r w:rsidRPr="00175AC2">
              <w:rPr>
                <w:sz w:val="16"/>
                <w:szCs w:val="16"/>
              </w:rPr>
              <w:noBreakHyphen/>
            </w:r>
            <w:r w:rsidR="0006347C" w:rsidRPr="00175AC2">
              <w:rPr>
                <w:sz w:val="16"/>
                <w:szCs w:val="16"/>
              </w:rPr>
              <w:t>0.10</w:t>
            </w:r>
          </w:p>
        </w:tc>
        <w:tc>
          <w:tcPr>
            <w:tcW w:w="1134" w:type="dxa"/>
          </w:tcPr>
          <w:p w14:paraId="520E9D5B" w14:textId="7138BEBF" w:rsidR="0006347C" w:rsidRPr="00175AC2" w:rsidRDefault="00D46993" w:rsidP="00175AC2">
            <w:pPr>
              <w:ind w:left="-1193" w:right="284" w:hanging="1619"/>
              <w:jc w:val="right"/>
              <w:rPr>
                <w:sz w:val="16"/>
                <w:szCs w:val="16"/>
              </w:rPr>
            </w:pPr>
            <w:r w:rsidRPr="00175AC2">
              <w:rPr>
                <w:sz w:val="16"/>
                <w:szCs w:val="16"/>
              </w:rPr>
              <w:noBreakHyphen/>
            </w:r>
            <w:r w:rsidR="0006347C" w:rsidRPr="00175AC2">
              <w:rPr>
                <w:sz w:val="16"/>
                <w:szCs w:val="16"/>
              </w:rPr>
              <w:t>30.76</w:t>
            </w:r>
          </w:p>
        </w:tc>
        <w:tc>
          <w:tcPr>
            <w:tcW w:w="1276" w:type="dxa"/>
          </w:tcPr>
          <w:p w14:paraId="15B79124" w14:textId="77777777" w:rsidR="0006347C" w:rsidRPr="00175AC2" w:rsidRDefault="0006347C" w:rsidP="000106B9">
            <w:pPr>
              <w:ind w:left="-624" w:right="334" w:hanging="624"/>
              <w:jc w:val="right"/>
              <w:rPr>
                <w:sz w:val="16"/>
                <w:szCs w:val="16"/>
              </w:rPr>
            </w:pPr>
            <w:r w:rsidRPr="00175AC2">
              <w:rPr>
                <w:sz w:val="16"/>
                <w:szCs w:val="16"/>
              </w:rPr>
              <w:t>25.97</w:t>
            </w:r>
          </w:p>
        </w:tc>
        <w:tc>
          <w:tcPr>
            <w:tcW w:w="1288" w:type="dxa"/>
          </w:tcPr>
          <w:p w14:paraId="3E47C6D4" w14:textId="77777777" w:rsidR="0006347C" w:rsidRPr="00175AC2" w:rsidRDefault="0006347C" w:rsidP="000106B9">
            <w:pPr>
              <w:ind w:left="-763" w:right="375" w:hanging="905"/>
              <w:jc w:val="right"/>
              <w:rPr>
                <w:sz w:val="16"/>
                <w:szCs w:val="16"/>
              </w:rPr>
            </w:pPr>
            <w:r w:rsidRPr="00175AC2">
              <w:rPr>
                <w:sz w:val="16"/>
                <w:szCs w:val="16"/>
              </w:rPr>
              <w:t>9.23</w:t>
            </w:r>
          </w:p>
        </w:tc>
      </w:tr>
    </w:tbl>
    <w:p w14:paraId="54065AD2" w14:textId="59A612F6" w:rsidR="00E658F1" w:rsidRPr="00175AC2" w:rsidRDefault="00E658F1" w:rsidP="00175AC2">
      <w:pPr>
        <w:spacing w:before="240" w:after="240"/>
        <w:rPr>
          <w:rFonts w:cs="Arial"/>
          <w:szCs w:val="18"/>
        </w:rPr>
      </w:pPr>
      <w:r w:rsidRPr="00175AC2">
        <w:rPr>
          <w:rFonts w:cs="Arial"/>
          <w:szCs w:val="18"/>
        </w:rPr>
        <w:t>Based on the period of investigation referred to above, GCC</w:t>
      </w:r>
      <w:r w:rsidR="00D46993" w:rsidRPr="00175AC2">
        <w:rPr>
          <w:rFonts w:cs="Arial"/>
          <w:szCs w:val="18"/>
        </w:rPr>
        <w:noBreakHyphen/>
      </w:r>
      <w:r w:rsidRPr="00175AC2">
        <w:rPr>
          <w:rFonts w:cs="Arial"/>
          <w:szCs w:val="18"/>
        </w:rPr>
        <w:t xml:space="preserve">TSAIP </w:t>
      </w:r>
      <w:proofErr w:type="spellStart"/>
      <w:r w:rsidRPr="00175AC2">
        <w:rPr>
          <w:rFonts w:cs="Arial"/>
          <w:szCs w:val="18"/>
        </w:rPr>
        <w:t>analyzed</w:t>
      </w:r>
      <w:proofErr w:type="spellEnd"/>
      <w:r w:rsidRPr="00175AC2">
        <w:rPr>
          <w:rFonts w:cs="Arial"/>
          <w:szCs w:val="18"/>
        </w:rPr>
        <w:t xml:space="preserve"> the rate and volume of the increase in imports and assessed the impact on GCC industry of </w:t>
      </w:r>
      <w:r w:rsidR="0006347C" w:rsidRPr="00175AC2">
        <w:rPr>
          <w:rFonts w:cs="Arial"/>
          <w:szCs w:val="18"/>
        </w:rPr>
        <w:t>Certain Steel Products</w:t>
      </w:r>
      <w:r w:rsidR="00175AC2" w:rsidRPr="00175AC2">
        <w:rPr>
          <w:rFonts w:cs="Arial"/>
          <w:szCs w:val="18"/>
        </w:rPr>
        <w:t>. A</w:t>
      </w:r>
      <w:r w:rsidRPr="00175AC2">
        <w:rPr>
          <w:rFonts w:cs="Arial"/>
          <w:szCs w:val="18"/>
        </w:rPr>
        <w:t xml:space="preserve">ccording to the injury data above, there is sufficient final evidence that the GCC industry is suffering a serious injury in the form of decline in domestic sales, market share, production, employment, and </w:t>
      </w:r>
      <w:r w:rsidR="001E48C2" w:rsidRPr="00175AC2">
        <w:rPr>
          <w:rFonts w:cs="Arial"/>
          <w:szCs w:val="18"/>
        </w:rPr>
        <w:t>profits</w:t>
      </w:r>
      <w:r w:rsidRPr="00175AC2">
        <w:rPr>
          <w:rFonts w:cs="Arial"/>
          <w:szCs w:val="18"/>
        </w:rPr>
        <w:t>,</w:t>
      </w:r>
      <w:r w:rsidR="001E48C2" w:rsidRPr="00175AC2">
        <w:rPr>
          <w:rFonts w:cs="Arial"/>
          <w:szCs w:val="18"/>
        </w:rPr>
        <w:t xml:space="preserve"> and increase in inventory,</w:t>
      </w:r>
      <w:r w:rsidRPr="00175AC2">
        <w:rPr>
          <w:rFonts w:cs="Arial"/>
          <w:szCs w:val="18"/>
        </w:rPr>
        <w:t xml:space="preserve"> in conjunction with the increase of imports.</w:t>
      </w:r>
    </w:p>
    <w:p w14:paraId="5E3092E0" w14:textId="77777777" w:rsidR="00E658F1" w:rsidRPr="00175AC2" w:rsidRDefault="00E658F1" w:rsidP="008F5807">
      <w:pPr>
        <w:spacing w:after="240"/>
        <w:rPr>
          <w:rFonts w:cs="Arial"/>
          <w:szCs w:val="18"/>
        </w:rPr>
      </w:pPr>
      <w:r w:rsidRPr="00175AC2">
        <w:rPr>
          <w:rFonts w:cs="Arial"/>
          <w:szCs w:val="18"/>
        </w:rPr>
        <w:t>The Investigating Authority made a final determination that the GCC industry is suffering serious injury during the period referred to above.</w:t>
      </w:r>
    </w:p>
    <w:p w14:paraId="1CD4AFC0" w14:textId="77777777" w:rsidR="00A407E3" w:rsidRPr="00175AC2" w:rsidRDefault="00A407E3" w:rsidP="00870857">
      <w:pPr>
        <w:spacing w:after="240"/>
        <w:rPr>
          <w:b/>
          <w:szCs w:val="18"/>
        </w:rPr>
      </w:pPr>
      <w:r w:rsidRPr="00175AC2">
        <w:rPr>
          <w:b/>
          <w:szCs w:val="18"/>
        </w:rPr>
        <w:t>(B)</w:t>
      </w:r>
      <w:r w:rsidRPr="00175AC2">
        <w:rPr>
          <w:b/>
          <w:szCs w:val="18"/>
        </w:rPr>
        <w:tab/>
        <w:t>Threat of serious injury</w:t>
      </w:r>
    </w:p>
    <w:p w14:paraId="5BA8AF18" w14:textId="0DF6DAB6" w:rsidR="00A407E3" w:rsidRPr="00175AC2" w:rsidRDefault="00A407E3" w:rsidP="00870857">
      <w:pPr>
        <w:spacing w:after="240"/>
        <w:rPr>
          <w:rFonts w:cs="Arial"/>
          <w:szCs w:val="18"/>
        </w:rPr>
      </w:pPr>
      <w:r w:rsidRPr="00175AC2">
        <w:rPr>
          <w:rFonts w:cs="Arial"/>
          <w:szCs w:val="18"/>
        </w:rPr>
        <w:t>The GCC</w:t>
      </w:r>
      <w:r w:rsidR="00D46993" w:rsidRPr="00175AC2">
        <w:rPr>
          <w:rFonts w:cs="Arial"/>
          <w:szCs w:val="18"/>
        </w:rPr>
        <w:noBreakHyphen/>
      </w:r>
      <w:r w:rsidRPr="00175AC2">
        <w:rPr>
          <w:rFonts w:cs="Arial"/>
          <w:szCs w:val="18"/>
        </w:rPr>
        <w:t>TSAIP, in order to determine the threat of serious injury and verify that it is clearly foreseen and imminent, has analysed the rate of increase of imports of products under investigation into GCC</w:t>
      </w:r>
      <w:r w:rsidR="000106B9">
        <w:rPr>
          <w:rFonts w:cs="Arial"/>
          <w:szCs w:val="18"/>
        </w:rPr>
        <w:t> </w:t>
      </w:r>
      <w:r w:rsidRPr="00175AC2">
        <w:rPr>
          <w:rFonts w:cs="Arial"/>
          <w:szCs w:val="18"/>
        </w:rPr>
        <w:t>market, and the increase in export capacity of exporting countries in the world, and it was found that based on the mentioned below unforeseen developments, the surplus of global production capacity in addition to the trade policies adopted by many countries in the world may lead to the transfer of global exports to the GCC market, which indicates the likelihood of substantially increased imports and exposes the GCC industry to a further deterioration of its financial and economic situation in the future, As the GCC market remains an attractive market for foreign exporters/producers in the absence of availability of other export markets to absorb additional exports in the World, the majority of which remains protected, whether through trade policies or through the application of instruments of anti</w:t>
      </w:r>
      <w:r w:rsidR="00D46993" w:rsidRPr="00175AC2">
        <w:rPr>
          <w:rFonts w:cs="Arial"/>
          <w:szCs w:val="18"/>
        </w:rPr>
        <w:noBreakHyphen/>
      </w:r>
      <w:r w:rsidRPr="00175AC2">
        <w:rPr>
          <w:rFonts w:cs="Arial"/>
          <w:szCs w:val="18"/>
        </w:rPr>
        <w:t>injurious practices in international trade unlike the GCC market.</w:t>
      </w:r>
    </w:p>
    <w:p w14:paraId="729DB144" w14:textId="2BE41DF1" w:rsidR="00A407E3" w:rsidRPr="00175AC2" w:rsidRDefault="00A407E3" w:rsidP="00455FED">
      <w:pPr>
        <w:spacing w:after="240"/>
        <w:rPr>
          <w:bCs/>
        </w:rPr>
      </w:pPr>
      <w:r w:rsidRPr="00175AC2">
        <w:rPr>
          <w:bCs/>
        </w:rPr>
        <w:t>Therefore, GCC</w:t>
      </w:r>
      <w:r w:rsidR="00D46993" w:rsidRPr="00175AC2">
        <w:rPr>
          <w:bCs/>
        </w:rPr>
        <w:noBreakHyphen/>
      </w:r>
      <w:r w:rsidRPr="00175AC2">
        <w:rPr>
          <w:bCs/>
        </w:rPr>
        <w:t>TSAIP concludes that the GCC industry is in a situation of threat of serious injury for the products under investigation.</w:t>
      </w:r>
    </w:p>
    <w:p w14:paraId="202589F4" w14:textId="77777777" w:rsidR="00E658F1" w:rsidRPr="00175AC2" w:rsidRDefault="00E658F1" w:rsidP="00455FED">
      <w:pPr>
        <w:spacing w:after="240"/>
        <w:rPr>
          <w:b/>
          <w:szCs w:val="18"/>
        </w:rPr>
      </w:pPr>
      <w:r w:rsidRPr="00175AC2">
        <w:rPr>
          <w:b/>
          <w:szCs w:val="18"/>
        </w:rPr>
        <w:t>(</w:t>
      </w:r>
      <w:r w:rsidR="00A407E3" w:rsidRPr="00175AC2">
        <w:rPr>
          <w:b/>
          <w:szCs w:val="18"/>
        </w:rPr>
        <w:t>C</w:t>
      </w:r>
      <w:r w:rsidRPr="00175AC2">
        <w:rPr>
          <w:b/>
          <w:szCs w:val="18"/>
        </w:rPr>
        <w:t>)</w:t>
      </w:r>
      <w:r w:rsidRPr="00175AC2">
        <w:rPr>
          <w:b/>
          <w:szCs w:val="18"/>
        </w:rPr>
        <w:tab/>
        <w:t>Unforeseen developments</w:t>
      </w:r>
    </w:p>
    <w:p w14:paraId="6DD8C06F" w14:textId="3EA6C0F4" w:rsidR="00D46993" w:rsidRPr="00175AC2" w:rsidRDefault="00E658F1" w:rsidP="00455FED">
      <w:pPr>
        <w:spacing w:after="240"/>
      </w:pPr>
      <w:r w:rsidRPr="00175AC2">
        <w:t>The GCC</w:t>
      </w:r>
      <w:r w:rsidR="00D46993" w:rsidRPr="00175AC2">
        <w:noBreakHyphen/>
      </w:r>
      <w:r w:rsidRPr="00175AC2">
        <w:t>TSAIP examined data on unforeseen developments either provided by the complainant or collected during the investigation and made the following determinations:</w:t>
      </w:r>
    </w:p>
    <w:p w14:paraId="08B66234" w14:textId="6F351697" w:rsidR="00732CCD" w:rsidRPr="00175AC2" w:rsidRDefault="00732CCD" w:rsidP="00455FED">
      <w:pPr>
        <w:pStyle w:val="ListBullet2"/>
        <w:ind w:left="924" w:hanging="357"/>
        <w:contextualSpacing w:val="0"/>
      </w:pPr>
      <w:r w:rsidRPr="00175AC2">
        <w:t>The economic conditions related to the trade policy of the United States of America are considered as unforeseen developments that led to the imbalance of trade movement and the resulting protectionist measures against its imports of a large number of products, which is unusual, which coincided with the significant increase in production capacity in steel sector</w:t>
      </w:r>
      <w:r w:rsidR="00175AC2" w:rsidRPr="00175AC2">
        <w:t>. T</w:t>
      </w:r>
      <w:r w:rsidRPr="00175AC2">
        <w:t xml:space="preserve">hese </w:t>
      </w:r>
      <w:r w:rsidR="00155A47" w:rsidRPr="00175AC2">
        <w:t xml:space="preserve">developments </w:t>
      </w:r>
      <w:r w:rsidRPr="00175AC2">
        <w:t xml:space="preserve">have also led to an increase in restrictive trade practices carried out by many countries of the world through the large and unexpected number of investigations to </w:t>
      </w:r>
      <w:r w:rsidR="00155A47" w:rsidRPr="00175AC2">
        <w:t>remedy the anti</w:t>
      </w:r>
      <w:r w:rsidR="00D46993" w:rsidRPr="00175AC2">
        <w:noBreakHyphen/>
      </w:r>
      <w:r w:rsidR="00155A47" w:rsidRPr="00175AC2">
        <w:t>injurious</w:t>
      </w:r>
      <w:r w:rsidRPr="00175AC2">
        <w:t xml:space="preserve"> practices in international trade</w:t>
      </w:r>
      <w:r w:rsidR="00175AC2" w:rsidRPr="00175AC2">
        <w:t>. A</w:t>
      </w:r>
      <w:r w:rsidRPr="00175AC2">
        <w:t xml:space="preserve">mong these countries we mention the European Union, Turkey, Morocco, </w:t>
      </w:r>
      <w:proofErr w:type="gramStart"/>
      <w:r w:rsidRPr="00175AC2">
        <w:t>Egypt</w:t>
      </w:r>
      <w:proofErr w:type="gramEnd"/>
      <w:r w:rsidRPr="00175AC2">
        <w:t xml:space="preserve"> and the countries of the European Union (Russia, Armenia, Kazakhstan and Kyrgyzstan)</w:t>
      </w:r>
      <w:r w:rsidR="00155A47" w:rsidRPr="00175AC2">
        <w:t>, a</w:t>
      </w:r>
      <w:r w:rsidRPr="00175AC2">
        <w:t>nd Canada, Australia and India</w:t>
      </w:r>
      <w:r w:rsidR="00175AC2" w:rsidRPr="00175AC2">
        <w:t>. T</w:t>
      </w:r>
      <w:r w:rsidRPr="00175AC2">
        <w:t xml:space="preserve">hese investigations have included </w:t>
      </w:r>
      <w:proofErr w:type="gramStart"/>
      <w:r w:rsidRPr="00175AC2">
        <w:t>a large number of</w:t>
      </w:r>
      <w:proofErr w:type="gramEnd"/>
      <w:r w:rsidRPr="00175AC2">
        <w:t xml:space="preserve"> products, which is unprecedented in the nature of the investigations</w:t>
      </w:r>
      <w:r w:rsidR="00453EAE" w:rsidRPr="00175AC2">
        <w:t xml:space="preserve"> of</w:t>
      </w:r>
      <w:r w:rsidRPr="00175AC2">
        <w:t xml:space="preserve"> </w:t>
      </w:r>
      <w:r w:rsidR="00453EAE" w:rsidRPr="00175AC2">
        <w:t>anti</w:t>
      </w:r>
      <w:r w:rsidR="00D46993" w:rsidRPr="00175AC2">
        <w:noBreakHyphen/>
      </w:r>
      <w:r w:rsidR="00453EAE" w:rsidRPr="00175AC2">
        <w:t xml:space="preserve">injurious </w:t>
      </w:r>
      <w:r w:rsidRPr="00175AC2">
        <w:t>practices in international trade.</w:t>
      </w:r>
    </w:p>
    <w:p w14:paraId="57E22541" w14:textId="01F12290" w:rsidR="00732CCD" w:rsidRPr="00175AC2" w:rsidRDefault="00453EAE" w:rsidP="00455FED">
      <w:pPr>
        <w:pStyle w:val="ListBullet2"/>
        <w:ind w:left="924" w:hanging="357"/>
        <w:contextualSpacing w:val="0"/>
      </w:pPr>
      <w:r w:rsidRPr="00175AC2">
        <w:t>Where</w:t>
      </w:r>
      <w:r w:rsidR="00732CCD" w:rsidRPr="00175AC2">
        <w:t>, according to the World Trade Organization statistics, the number of investigations in the steel sector increased to 625 investigations during the period from 2013 to 2018</w:t>
      </w:r>
      <w:r w:rsidR="00175AC2" w:rsidRPr="00175AC2">
        <w:t xml:space="preserve">; </w:t>
      </w:r>
      <w:r w:rsidR="00175AC2" w:rsidRPr="00175AC2">
        <w:lastRenderedPageBreak/>
        <w:t>w</w:t>
      </w:r>
      <w:r w:rsidR="00732CCD" w:rsidRPr="00175AC2">
        <w:t>hile for the first half of 2019, 47 investigations were recorded</w:t>
      </w:r>
      <w:r w:rsidR="00175AC2" w:rsidRPr="00175AC2">
        <w:t>. M</w:t>
      </w:r>
      <w:r w:rsidR="00732CCD" w:rsidRPr="00175AC2">
        <w:t>oreover, it is worth mentioning that some of these investigations ended with the imposition of final measures, including 363 anti</w:t>
      </w:r>
      <w:r w:rsidR="00D46993" w:rsidRPr="00175AC2">
        <w:noBreakHyphen/>
      </w:r>
      <w:r w:rsidR="00732CCD" w:rsidRPr="00175AC2">
        <w:t>dumping during the period 2014</w:t>
      </w:r>
      <w:r w:rsidR="00D46993" w:rsidRPr="00175AC2">
        <w:noBreakHyphen/>
      </w:r>
      <w:r w:rsidR="00732CCD" w:rsidRPr="00175AC2">
        <w:t>2018, while the measures applied in the first half of a year 2019 has been recorded 44 final measures</w:t>
      </w:r>
      <w:r w:rsidR="00175AC2" w:rsidRPr="00175AC2">
        <w:t>. T</w:t>
      </w:r>
      <w:r w:rsidR="00732CCD" w:rsidRPr="00175AC2">
        <w:t xml:space="preserve">he major countries applying these measures are, the United States of America, the European Union, Canada, Russia, Turkey, Australia, Mexico, Brazil, India, South Africa, </w:t>
      </w:r>
      <w:proofErr w:type="gramStart"/>
      <w:r w:rsidR="00732CCD" w:rsidRPr="00175AC2">
        <w:t>Egypt</w:t>
      </w:r>
      <w:proofErr w:type="gramEnd"/>
      <w:r w:rsidR="00732CCD" w:rsidRPr="00175AC2">
        <w:t xml:space="preserve"> and South Korea</w:t>
      </w:r>
      <w:r w:rsidR="00175AC2" w:rsidRPr="00175AC2">
        <w:t>. S</w:t>
      </w:r>
      <w:r w:rsidR="00732CCD" w:rsidRPr="00175AC2">
        <w:t>ince these countries are considered major importers of steel products in the World and by looking at the trade policies applied by these countries to protect their markets and industries, that leads countries, who faced protective measures against their export markets, to search for other unprotected markets</w:t>
      </w:r>
      <w:r w:rsidR="00175AC2" w:rsidRPr="00175AC2">
        <w:t xml:space="preserve">. </w:t>
      </w:r>
      <w:proofErr w:type="gramStart"/>
      <w:r w:rsidR="00175AC2" w:rsidRPr="00175AC2">
        <w:t>A</w:t>
      </w:r>
      <w:r w:rsidR="00732CCD" w:rsidRPr="00175AC2">
        <w:t>s a consequence</w:t>
      </w:r>
      <w:proofErr w:type="gramEnd"/>
      <w:r w:rsidR="00732CCD" w:rsidRPr="00175AC2">
        <w:t>, the GCC States market has been targeted for these imports, which may impact negatively on the GCC</w:t>
      </w:r>
      <w:r w:rsidR="004B2DD3">
        <w:t> </w:t>
      </w:r>
      <w:r w:rsidR="00732CCD" w:rsidRPr="00175AC2">
        <w:t>States industry.</w:t>
      </w:r>
    </w:p>
    <w:p w14:paraId="5DC839DF" w14:textId="551B1746" w:rsidR="001E48C2" w:rsidRPr="00175AC2" w:rsidRDefault="001E48C2" w:rsidP="00455FED">
      <w:pPr>
        <w:pStyle w:val="ListBullet2"/>
        <w:ind w:left="924" w:hanging="357"/>
        <w:contextualSpacing w:val="0"/>
      </w:pPr>
      <w:r w:rsidRPr="00175AC2">
        <w:t>The surplus of production capacity in the steel industry worldwide has continually increased, since 2000, as it increased from 1,069.5</w:t>
      </w:r>
      <w:r w:rsidR="00D46993" w:rsidRPr="00175AC2">
        <w:t> million</w:t>
      </w:r>
      <w:r w:rsidRPr="00175AC2">
        <w:t xml:space="preserve"> tons in 2000 to 2,233.7</w:t>
      </w:r>
      <w:r w:rsidR="00D46993" w:rsidRPr="00175AC2">
        <w:t> million</w:t>
      </w:r>
      <w:r w:rsidRPr="00175AC2">
        <w:t xml:space="preserve"> tons in 2018, which means an increase by 108.85</w:t>
      </w:r>
      <w:r w:rsidR="00175AC2">
        <w:t>%</w:t>
      </w:r>
      <w:r w:rsidR="00175AC2" w:rsidRPr="00175AC2">
        <w:t>. M</w:t>
      </w:r>
      <w:r w:rsidRPr="00175AC2">
        <w:t>oreover, during the year 2018, the utilized capacity of steel in the world reached 81</w:t>
      </w:r>
      <w:r w:rsidR="00175AC2">
        <w:t>%</w:t>
      </w:r>
      <w:r w:rsidRPr="00175AC2">
        <w:t xml:space="preserve">, which reduced globally the gap between the maximum production capacity and actual </w:t>
      </w:r>
      <w:proofErr w:type="gramStart"/>
      <w:r w:rsidRPr="00175AC2">
        <w:t xml:space="preserve">production </w:t>
      </w:r>
      <w:r w:rsidR="00175AC2" w:rsidRPr="00175AC2">
        <w:t>.</w:t>
      </w:r>
      <w:proofErr w:type="gramEnd"/>
      <w:r w:rsidR="00175AC2" w:rsidRPr="00175AC2">
        <w:t xml:space="preserve"> C</w:t>
      </w:r>
      <w:r w:rsidRPr="00175AC2">
        <w:t>onsequently, these increases in both maximum capacity and actual production of the steel industry has led to the disparity between supply and demand worldwide</w:t>
      </w:r>
      <w:r w:rsidR="00175AC2" w:rsidRPr="00175AC2">
        <w:t>. A</w:t>
      </w:r>
      <w:r w:rsidRPr="00175AC2">
        <w:t>dditionally, the Worldwide</w:t>
      </w:r>
      <w:r w:rsidR="00D46993" w:rsidRPr="00175AC2">
        <w:noBreakHyphen/>
      </w:r>
      <w:r w:rsidRPr="00175AC2">
        <w:t>Steel industry statistics indicate that there almost an additional investment of 110.2</w:t>
      </w:r>
      <w:r w:rsidR="00D46993" w:rsidRPr="00175AC2">
        <w:t> million</w:t>
      </w:r>
      <w:r w:rsidRPr="00175AC2">
        <w:t xml:space="preserve"> tons will take a place in production capacity during the period of 2019</w:t>
      </w:r>
      <w:r w:rsidR="00D46993" w:rsidRPr="00175AC2">
        <w:noBreakHyphen/>
      </w:r>
      <w:r w:rsidRPr="00175AC2">
        <w:t>2021, which will raise the maximum steel production capacity in the world during the same period to 2,343.9</w:t>
      </w:r>
      <w:r w:rsidR="00D46993" w:rsidRPr="00175AC2">
        <w:t> million</w:t>
      </w:r>
      <w:r w:rsidRPr="00175AC2">
        <w:t xml:space="preserve"> tons representing an increase of 5</w:t>
      </w:r>
      <w:r w:rsidR="00175AC2">
        <w:t>%</w:t>
      </w:r>
      <w:r w:rsidRPr="00175AC2">
        <w:t xml:space="preserve"> compared to 2018.</w:t>
      </w:r>
    </w:p>
    <w:p w14:paraId="34E03735" w14:textId="250D6267" w:rsidR="00D46993" w:rsidRPr="00175AC2" w:rsidRDefault="00E658F1" w:rsidP="00455FED">
      <w:pPr>
        <w:spacing w:after="240"/>
      </w:pPr>
      <w:r w:rsidRPr="00175AC2">
        <w:t>The GCC</w:t>
      </w:r>
      <w:r w:rsidR="00D46993" w:rsidRPr="00175AC2">
        <w:noBreakHyphen/>
      </w:r>
      <w:r w:rsidRPr="00175AC2">
        <w:t xml:space="preserve">TSAIP therefore concluded that the increase in imports of the product under investigation occurred </w:t>
      </w:r>
      <w:proofErr w:type="gramStart"/>
      <w:r w:rsidRPr="00175AC2">
        <w:t>as a result of</w:t>
      </w:r>
      <w:proofErr w:type="gramEnd"/>
      <w:r w:rsidRPr="00175AC2">
        <w:t xml:space="preserve"> unforeseen developments.</w:t>
      </w:r>
    </w:p>
    <w:p w14:paraId="00895DE5" w14:textId="77777777" w:rsidR="00E658F1" w:rsidRPr="00175AC2" w:rsidRDefault="00E658F1" w:rsidP="00455FED">
      <w:pPr>
        <w:keepNext/>
        <w:keepLines/>
        <w:spacing w:after="240"/>
        <w:rPr>
          <w:b/>
          <w:szCs w:val="18"/>
        </w:rPr>
      </w:pPr>
      <w:r w:rsidRPr="00175AC2">
        <w:rPr>
          <w:b/>
          <w:szCs w:val="18"/>
        </w:rPr>
        <w:t>(</w:t>
      </w:r>
      <w:r w:rsidR="00A407E3" w:rsidRPr="00175AC2">
        <w:rPr>
          <w:b/>
          <w:szCs w:val="18"/>
        </w:rPr>
        <w:t>D</w:t>
      </w:r>
      <w:r w:rsidRPr="00175AC2">
        <w:rPr>
          <w:b/>
          <w:szCs w:val="18"/>
        </w:rPr>
        <w:t>)</w:t>
      </w:r>
      <w:r w:rsidRPr="00175AC2">
        <w:rPr>
          <w:b/>
          <w:szCs w:val="18"/>
        </w:rPr>
        <w:tab/>
        <w:t>Causal Link</w:t>
      </w:r>
    </w:p>
    <w:p w14:paraId="7F4473FB" w14:textId="7E3CB0C1" w:rsidR="00D46993" w:rsidRPr="00175AC2" w:rsidRDefault="00E658F1" w:rsidP="00455FED">
      <w:pPr>
        <w:spacing w:after="240"/>
      </w:pPr>
      <w:r w:rsidRPr="00175AC2">
        <w:t>Based on the final determination, GCC</w:t>
      </w:r>
      <w:r w:rsidR="00D46993" w:rsidRPr="00175AC2">
        <w:noBreakHyphen/>
      </w:r>
      <w:r w:rsidRPr="00175AC2">
        <w:t>TSAIP has examined the impact of other factors, other than the massive increase in imports that might cause serious injury to the GCC industry, such as trade restrictive practices, consumption, export performance and technology</w:t>
      </w:r>
      <w:r w:rsidR="00175AC2" w:rsidRPr="00175AC2">
        <w:t>; h</w:t>
      </w:r>
      <w:r w:rsidRPr="00175AC2">
        <w:t>owever, these factors did not contribute to the serious injury suffered by the GCC industry</w:t>
      </w:r>
      <w:r w:rsidR="00175AC2" w:rsidRPr="00175AC2">
        <w:t>. T</w:t>
      </w:r>
      <w:r w:rsidRPr="00175AC2">
        <w:t>herefore, GCC</w:t>
      </w:r>
      <w:r w:rsidR="00D46993" w:rsidRPr="00175AC2">
        <w:noBreakHyphen/>
      </w:r>
      <w:r w:rsidRPr="00175AC2">
        <w:t>TSAIP found that there is sufficient evidence to the existence of the causal link between the serious injury caused to the GCC industry and the increase of imports of the product under investigation.</w:t>
      </w:r>
    </w:p>
    <w:p w14:paraId="256451A8" w14:textId="49E372CD" w:rsidR="00E658F1" w:rsidRPr="00175AC2" w:rsidRDefault="00D46993" w:rsidP="00175AC2">
      <w:pPr>
        <w:pStyle w:val="Heading1"/>
        <w:rPr>
          <w:caps w:val="0"/>
        </w:rPr>
      </w:pPr>
      <w:r w:rsidRPr="00175AC2">
        <w:rPr>
          <w:caps w:val="0"/>
        </w:rPr>
        <w:t>INFORMATION ON WHETHER THERE IS AN ABSOLUTE INCREASE IN IMPORTS OR AN INCREASE IN IMPORTS RELATIVE TO DOMESTIC PRODUCTION</w:t>
      </w:r>
    </w:p>
    <w:p w14:paraId="149D6A18" w14:textId="77777777" w:rsidR="00E658F1" w:rsidRPr="00175AC2" w:rsidRDefault="00E658F1" w:rsidP="00E16914">
      <w:pPr>
        <w:spacing w:after="120"/>
        <w:rPr>
          <w:rFonts w:eastAsia="Arial Unicode MS" w:cs="Arial"/>
          <w:szCs w:val="18"/>
        </w:rPr>
      </w:pPr>
      <w:r w:rsidRPr="00175AC2">
        <w:rPr>
          <w:rFonts w:cs="Arial"/>
          <w:szCs w:val="18"/>
        </w:rPr>
        <w:t xml:space="preserve">The product under investigation is being imported into GCC countries </w:t>
      </w:r>
      <w:r w:rsidRPr="00175AC2">
        <w:rPr>
          <w:rFonts w:eastAsia="Arial Unicode MS" w:cs="Arial"/>
          <w:szCs w:val="18"/>
        </w:rPr>
        <w:t>in such increased quantities in absolute terms and relative to GCC production as follows:</w:t>
      </w:r>
    </w:p>
    <w:p w14:paraId="5B7C2F3B" w14:textId="3AE0B784" w:rsidR="00E658F1" w:rsidRPr="00175AC2" w:rsidRDefault="00E658F1" w:rsidP="00E16914">
      <w:pPr>
        <w:spacing w:after="120"/>
        <w:jc w:val="right"/>
        <w:rPr>
          <w:rFonts w:cs="Arial"/>
          <w:b/>
          <w:bCs/>
          <w:szCs w:val="18"/>
        </w:rPr>
      </w:pPr>
      <w:r w:rsidRPr="00175AC2">
        <w:rPr>
          <w:rFonts w:cs="Arial"/>
          <w:b/>
          <w:bCs/>
          <w:szCs w:val="18"/>
        </w:rPr>
        <w:t xml:space="preserve">Index </w:t>
      </w:r>
      <w:r w:rsidR="003413B6" w:rsidRPr="00175AC2">
        <w:rPr>
          <w:rFonts w:cs="Arial"/>
          <w:b/>
          <w:bCs/>
          <w:szCs w:val="18"/>
        </w:rPr>
        <w:t>2014</w:t>
      </w:r>
      <w:r w:rsidRPr="00175AC2">
        <w:rPr>
          <w:rFonts w:cs="Arial"/>
          <w:b/>
          <w:bCs/>
          <w:szCs w:val="18"/>
        </w:rPr>
        <w:t>=100</w:t>
      </w:r>
    </w:p>
    <w:tbl>
      <w:tblPr>
        <w:tblStyle w:val="WTOTable1"/>
        <w:tblW w:w="5081" w:type="pct"/>
        <w:tblInd w:w="-71"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4A0" w:firstRow="1" w:lastRow="0" w:firstColumn="1" w:lastColumn="0" w:noHBand="0" w:noVBand="1"/>
      </w:tblPr>
      <w:tblGrid>
        <w:gridCol w:w="2466"/>
        <w:gridCol w:w="992"/>
        <w:gridCol w:w="1134"/>
        <w:gridCol w:w="1134"/>
        <w:gridCol w:w="1134"/>
        <w:gridCol w:w="993"/>
        <w:gridCol w:w="1289"/>
      </w:tblGrid>
      <w:tr w:rsidR="00274703" w:rsidRPr="00E16914" w14:paraId="30872263" w14:textId="77777777" w:rsidTr="00274703">
        <w:trPr>
          <w:cnfStyle w:val="100000000000" w:firstRow="1" w:lastRow="0" w:firstColumn="0" w:lastColumn="0" w:oddVBand="0" w:evenVBand="0" w:oddHBand="0" w:evenHBand="0" w:firstRowFirstColumn="0" w:firstRowLastColumn="0" w:lastRowFirstColumn="0" w:lastRowLastColumn="0"/>
        </w:trPr>
        <w:tc>
          <w:tcPr>
            <w:tcW w:w="1349" w:type="pct"/>
          </w:tcPr>
          <w:p w14:paraId="462CD49B" w14:textId="77777777" w:rsidR="00B12791" w:rsidRPr="00E16914" w:rsidRDefault="00B12791" w:rsidP="00274703">
            <w:pPr>
              <w:jc w:val="center"/>
              <w:rPr>
                <w:b w:val="0"/>
                <w:color w:val="000000"/>
                <w:sz w:val="16"/>
                <w:szCs w:val="16"/>
              </w:rPr>
            </w:pPr>
          </w:p>
        </w:tc>
        <w:tc>
          <w:tcPr>
            <w:tcW w:w="543" w:type="pct"/>
          </w:tcPr>
          <w:p w14:paraId="40E526E9" w14:textId="77777777" w:rsidR="00B12791" w:rsidRPr="00E16914" w:rsidRDefault="00B12791" w:rsidP="00274703">
            <w:pPr>
              <w:jc w:val="center"/>
              <w:rPr>
                <w:sz w:val="16"/>
                <w:szCs w:val="16"/>
              </w:rPr>
            </w:pPr>
            <w:r w:rsidRPr="00E16914">
              <w:rPr>
                <w:sz w:val="16"/>
                <w:szCs w:val="16"/>
              </w:rPr>
              <w:t>2014</w:t>
            </w:r>
          </w:p>
        </w:tc>
        <w:tc>
          <w:tcPr>
            <w:tcW w:w="620" w:type="pct"/>
          </w:tcPr>
          <w:p w14:paraId="32128200" w14:textId="77777777" w:rsidR="00B12791" w:rsidRPr="00E16914" w:rsidRDefault="00B12791" w:rsidP="00274703">
            <w:pPr>
              <w:jc w:val="center"/>
              <w:rPr>
                <w:sz w:val="16"/>
                <w:szCs w:val="16"/>
              </w:rPr>
            </w:pPr>
            <w:r w:rsidRPr="00E16914">
              <w:rPr>
                <w:sz w:val="16"/>
                <w:szCs w:val="16"/>
              </w:rPr>
              <w:t>2015</w:t>
            </w:r>
          </w:p>
        </w:tc>
        <w:tc>
          <w:tcPr>
            <w:tcW w:w="620" w:type="pct"/>
          </w:tcPr>
          <w:p w14:paraId="0B120D2D" w14:textId="77777777" w:rsidR="00B12791" w:rsidRPr="00E16914" w:rsidRDefault="00B12791" w:rsidP="00274703">
            <w:pPr>
              <w:jc w:val="center"/>
              <w:rPr>
                <w:sz w:val="16"/>
                <w:szCs w:val="16"/>
              </w:rPr>
            </w:pPr>
            <w:r w:rsidRPr="00E16914">
              <w:rPr>
                <w:sz w:val="16"/>
                <w:szCs w:val="16"/>
              </w:rPr>
              <w:t>2016</w:t>
            </w:r>
          </w:p>
        </w:tc>
        <w:tc>
          <w:tcPr>
            <w:tcW w:w="620" w:type="pct"/>
          </w:tcPr>
          <w:p w14:paraId="4E901C49" w14:textId="77777777" w:rsidR="00B12791" w:rsidRPr="00E16914" w:rsidRDefault="00B12791" w:rsidP="00274703">
            <w:pPr>
              <w:jc w:val="center"/>
              <w:rPr>
                <w:sz w:val="16"/>
                <w:szCs w:val="16"/>
              </w:rPr>
            </w:pPr>
            <w:r w:rsidRPr="00E16914">
              <w:rPr>
                <w:sz w:val="16"/>
                <w:szCs w:val="16"/>
              </w:rPr>
              <w:t>2017</w:t>
            </w:r>
          </w:p>
        </w:tc>
        <w:tc>
          <w:tcPr>
            <w:tcW w:w="543" w:type="pct"/>
          </w:tcPr>
          <w:p w14:paraId="099A0B6B" w14:textId="77777777" w:rsidR="00B12791" w:rsidRPr="00E16914" w:rsidRDefault="00B12791" w:rsidP="00274703">
            <w:pPr>
              <w:jc w:val="center"/>
              <w:rPr>
                <w:sz w:val="16"/>
                <w:szCs w:val="16"/>
              </w:rPr>
            </w:pPr>
            <w:r w:rsidRPr="00E16914">
              <w:rPr>
                <w:sz w:val="16"/>
                <w:szCs w:val="16"/>
              </w:rPr>
              <w:t>2018</w:t>
            </w:r>
          </w:p>
        </w:tc>
        <w:tc>
          <w:tcPr>
            <w:tcW w:w="705" w:type="pct"/>
          </w:tcPr>
          <w:p w14:paraId="75B4B4C0" w14:textId="1F680E19" w:rsidR="00B12791" w:rsidRPr="00E16914" w:rsidRDefault="00B12791" w:rsidP="00274703">
            <w:pPr>
              <w:jc w:val="center"/>
              <w:rPr>
                <w:sz w:val="16"/>
                <w:szCs w:val="16"/>
              </w:rPr>
            </w:pPr>
            <w:r w:rsidRPr="00E16914">
              <w:rPr>
                <w:sz w:val="16"/>
                <w:szCs w:val="16"/>
              </w:rPr>
              <w:t>Jul 2018</w:t>
            </w:r>
            <w:r w:rsidR="00D46993" w:rsidRPr="00E16914">
              <w:rPr>
                <w:sz w:val="16"/>
                <w:szCs w:val="16"/>
              </w:rPr>
              <w:noBreakHyphen/>
            </w:r>
            <w:r w:rsidR="00274703">
              <w:rPr>
                <w:sz w:val="16"/>
                <w:szCs w:val="16"/>
              </w:rPr>
              <w:br/>
            </w:r>
            <w:r w:rsidRPr="00E16914">
              <w:rPr>
                <w:sz w:val="16"/>
                <w:szCs w:val="16"/>
              </w:rPr>
              <w:t>Jun 2019</w:t>
            </w:r>
          </w:p>
        </w:tc>
      </w:tr>
      <w:tr w:rsidR="00274703" w:rsidRPr="00E16914" w14:paraId="19BECE26" w14:textId="77777777" w:rsidTr="00274703">
        <w:tc>
          <w:tcPr>
            <w:tcW w:w="1349" w:type="pct"/>
          </w:tcPr>
          <w:p w14:paraId="4B3EF486" w14:textId="77777777" w:rsidR="00B12791" w:rsidRPr="00E16914" w:rsidRDefault="00B12791" w:rsidP="00274703">
            <w:pPr>
              <w:jc w:val="left"/>
              <w:rPr>
                <w:b/>
                <w:bCs/>
                <w:sz w:val="16"/>
                <w:szCs w:val="16"/>
              </w:rPr>
            </w:pPr>
            <w:r w:rsidRPr="00E16914">
              <w:rPr>
                <w:b/>
                <w:bCs/>
                <w:sz w:val="16"/>
                <w:szCs w:val="16"/>
              </w:rPr>
              <w:t>Imports Volume (ton)</w:t>
            </w:r>
          </w:p>
        </w:tc>
        <w:tc>
          <w:tcPr>
            <w:tcW w:w="543" w:type="pct"/>
          </w:tcPr>
          <w:p w14:paraId="49379A3C" w14:textId="77777777" w:rsidR="00B12791" w:rsidRPr="00E16914" w:rsidRDefault="00B12791" w:rsidP="00274703">
            <w:pPr>
              <w:ind w:left="-685" w:right="196" w:hanging="685"/>
              <w:jc w:val="right"/>
              <w:rPr>
                <w:sz w:val="16"/>
                <w:szCs w:val="16"/>
              </w:rPr>
            </w:pPr>
            <w:r w:rsidRPr="00E16914">
              <w:rPr>
                <w:sz w:val="16"/>
                <w:szCs w:val="16"/>
              </w:rPr>
              <w:t>1,973.86</w:t>
            </w:r>
          </w:p>
        </w:tc>
        <w:tc>
          <w:tcPr>
            <w:tcW w:w="620" w:type="pct"/>
          </w:tcPr>
          <w:p w14:paraId="7524DCAA" w14:textId="77777777" w:rsidR="00B12791" w:rsidRPr="00E16914" w:rsidRDefault="00B12791" w:rsidP="00274703">
            <w:pPr>
              <w:ind w:left="-644" w:right="237" w:hanging="644"/>
              <w:jc w:val="right"/>
              <w:rPr>
                <w:sz w:val="16"/>
                <w:szCs w:val="16"/>
              </w:rPr>
            </w:pPr>
            <w:r w:rsidRPr="00E16914">
              <w:rPr>
                <w:sz w:val="16"/>
                <w:szCs w:val="16"/>
              </w:rPr>
              <w:t>2,515.67</w:t>
            </w:r>
          </w:p>
        </w:tc>
        <w:tc>
          <w:tcPr>
            <w:tcW w:w="620" w:type="pct"/>
            <w:vAlign w:val="center"/>
          </w:tcPr>
          <w:p w14:paraId="2232630A" w14:textId="77777777" w:rsidR="00B12791" w:rsidRPr="00E16914" w:rsidRDefault="00B12791" w:rsidP="00E16914">
            <w:pPr>
              <w:jc w:val="center"/>
              <w:rPr>
                <w:sz w:val="16"/>
                <w:szCs w:val="16"/>
              </w:rPr>
            </w:pPr>
            <w:r w:rsidRPr="00E16914">
              <w:rPr>
                <w:sz w:val="16"/>
                <w:szCs w:val="16"/>
              </w:rPr>
              <w:t>2,289.36</w:t>
            </w:r>
          </w:p>
        </w:tc>
        <w:tc>
          <w:tcPr>
            <w:tcW w:w="620" w:type="pct"/>
          </w:tcPr>
          <w:p w14:paraId="020E4516" w14:textId="77777777" w:rsidR="00B12791" w:rsidRPr="00E16914" w:rsidRDefault="00B12791" w:rsidP="00274703">
            <w:pPr>
              <w:ind w:right="167"/>
              <w:jc w:val="right"/>
              <w:rPr>
                <w:sz w:val="16"/>
                <w:szCs w:val="16"/>
              </w:rPr>
            </w:pPr>
            <w:r w:rsidRPr="00E16914">
              <w:rPr>
                <w:sz w:val="16"/>
                <w:szCs w:val="16"/>
              </w:rPr>
              <w:t>2,230.79</w:t>
            </w:r>
          </w:p>
        </w:tc>
        <w:tc>
          <w:tcPr>
            <w:tcW w:w="543" w:type="pct"/>
          </w:tcPr>
          <w:p w14:paraId="787D1749" w14:textId="77777777" w:rsidR="00B12791" w:rsidRPr="00E16914" w:rsidRDefault="00B12791" w:rsidP="00274703">
            <w:pPr>
              <w:ind w:left="-341" w:right="68" w:hanging="766"/>
              <w:jc w:val="right"/>
              <w:rPr>
                <w:sz w:val="16"/>
                <w:szCs w:val="16"/>
              </w:rPr>
            </w:pPr>
            <w:r w:rsidRPr="00E16914">
              <w:rPr>
                <w:sz w:val="16"/>
                <w:szCs w:val="16"/>
              </w:rPr>
              <w:t>2,173.18</w:t>
            </w:r>
          </w:p>
        </w:tc>
        <w:tc>
          <w:tcPr>
            <w:tcW w:w="705" w:type="pct"/>
          </w:tcPr>
          <w:p w14:paraId="71F3317F" w14:textId="77777777" w:rsidR="00B12791" w:rsidRPr="00E16914" w:rsidRDefault="00B12791" w:rsidP="00274703">
            <w:pPr>
              <w:ind w:right="228"/>
              <w:jc w:val="right"/>
              <w:rPr>
                <w:sz w:val="16"/>
                <w:szCs w:val="16"/>
              </w:rPr>
            </w:pPr>
            <w:r w:rsidRPr="00E16914">
              <w:rPr>
                <w:sz w:val="16"/>
                <w:szCs w:val="16"/>
              </w:rPr>
              <w:t>2,062.84</w:t>
            </w:r>
          </w:p>
        </w:tc>
      </w:tr>
      <w:tr w:rsidR="00274703" w:rsidRPr="00E16914" w14:paraId="0629AFFE" w14:textId="77777777" w:rsidTr="00274703">
        <w:trPr>
          <w:cnfStyle w:val="000000010000" w:firstRow="0" w:lastRow="0" w:firstColumn="0" w:lastColumn="0" w:oddVBand="0" w:evenVBand="0" w:oddHBand="0" w:evenHBand="1" w:firstRowFirstColumn="0" w:firstRowLastColumn="0" w:lastRowFirstColumn="0" w:lastRowLastColumn="0"/>
        </w:trPr>
        <w:tc>
          <w:tcPr>
            <w:tcW w:w="1349" w:type="pct"/>
          </w:tcPr>
          <w:p w14:paraId="47F748C4" w14:textId="77777777" w:rsidR="00B12791" w:rsidRPr="00E16914" w:rsidRDefault="00B12791" w:rsidP="00274703">
            <w:pPr>
              <w:jc w:val="left"/>
              <w:rPr>
                <w:b/>
                <w:bCs/>
                <w:sz w:val="16"/>
                <w:szCs w:val="16"/>
              </w:rPr>
            </w:pPr>
            <w:r w:rsidRPr="00E16914">
              <w:rPr>
                <w:b/>
                <w:bCs/>
                <w:sz w:val="16"/>
                <w:szCs w:val="16"/>
              </w:rPr>
              <w:t>Index</w:t>
            </w:r>
          </w:p>
        </w:tc>
        <w:tc>
          <w:tcPr>
            <w:tcW w:w="543" w:type="pct"/>
          </w:tcPr>
          <w:p w14:paraId="74AF738C" w14:textId="77777777" w:rsidR="00B12791" w:rsidRPr="00E16914" w:rsidRDefault="00B12791" w:rsidP="00274703">
            <w:pPr>
              <w:ind w:left="-685" w:right="196" w:hanging="685"/>
              <w:jc w:val="right"/>
              <w:rPr>
                <w:sz w:val="16"/>
                <w:szCs w:val="16"/>
              </w:rPr>
            </w:pPr>
            <w:r w:rsidRPr="00E16914">
              <w:rPr>
                <w:sz w:val="16"/>
                <w:szCs w:val="16"/>
              </w:rPr>
              <w:t>100</w:t>
            </w:r>
          </w:p>
        </w:tc>
        <w:tc>
          <w:tcPr>
            <w:tcW w:w="620" w:type="pct"/>
          </w:tcPr>
          <w:p w14:paraId="09F0B4BA" w14:textId="77777777" w:rsidR="00B12791" w:rsidRPr="00E16914" w:rsidRDefault="00B12791" w:rsidP="00274703">
            <w:pPr>
              <w:ind w:left="-644" w:right="237" w:hanging="644"/>
              <w:jc w:val="right"/>
              <w:rPr>
                <w:sz w:val="16"/>
                <w:szCs w:val="16"/>
              </w:rPr>
            </w:pPr>
            <w:r w:rsidRPr="00E16914">
              <w:rPr>
                <w:sz w:val="16"/>
                <w:szCs w:val="16"/>
              </w:rPr>
              <w:t>127.45</w:t>
            </w:r>
          </w:p>
        </w:tc>
        <w:tc>
          <w:tcPr>
            <w:tcW w:w="620" w:type="pct"/>
            <w:vAlign w:val="center"/>
          </w:tcPr>
          <w:p w14:paraId="72520894" w14:textId="77777777" w:rsidR="00B12791" w:rsidRPr="00E16914" w:rsidRDefault="00B12791" w:rsidP="00E16914">
            <w:pPr>
              <w:jc w:val="center"/>
              <w:rPr>
                <w:sz w:val="16"/>
                <w:szCs w:val="16"/>
              </w:rPr>
            </w:pPr>
            <w:r w:rsidRPr="00E16914">
              <w:rPr>
                <w:sz w:val="16"/>
                <w:szCs w:val="16"/>
              </w:rPr>
              <w:t>115.98</w:t>
            </w:r>
          </w:p>
        </w:tc>
        <w:tc>
          <w:tcPr>
            <w:tcW w:w="620" w:type="pct"/>
          </w:tcPr>
          <w:p w14:paraId="501FFAC5" w14:textId="77777777" w:rsidR="00B12791" w:rsidRPr="00E16914" w:rsidRDefault="00B12791" w:rsidP="00274703">
            <w:pPr>
              <w:ind w:right="167"/>
              <w:jc w:val="right"/>
              <w:rPr>
                <w:sz w:val="16"/>
                <w:szCs w:val="16"/>
              </w:rPr>
            </w:pPr>
            <w:r w:rsidRPr="00E16914">
              <w:rPr>
                <w:sz w:val="16"/>
                <w:szCs w:val="16"/>
              </w:rPr>
              <w:t>113.02</w:t>
            </w:r>
          </w:p>
        </w:tc>
        <w:tc>
          <w:tcPr>
            <w:tcW w:w="543" w:type="pct"/>
          </w:tcPr>
          <w:p w14:paraId="75E42BB5" w14:textId="77777777" w:rsidR="00B12791" w:rsidRPr="00E16914" w:rsidRDefault="00B12791" w:rsidP="00274703">
            <w:pPr>
              <w:ind w:left="-341" w:right="68" w:hanging="766"/>
              <w:jc w:val="right"/>
              <w:rPr>
                <w:sz w:val="16"/>
                <w:szCs w:val="16"/>
              </w:rPr>
            </w:pPr>
            <w:r w:rsidRPr="00E16914">
              <w:rPr>
                <w:sz w:val="16"/>
                <w:szCs w:val="16"/>
              </w:rPr>
              <w:t>110.10</w:t>
            </w:r>
          </w:p>
        </w:tc>
        <w:tc>
          <w:tcPr>
            <w:tcW w:w="705" w:type="pct"/>
          </w:tcPr>
          <w:p w14:paraId="4D6DBE48" w14:textId="77777777" w:rsidR="00B12791" w:rsidRPr="00E16914" w:rsidRDefault="00B12791" w:rsidP="00274703">
            <w:pPr>
              <w:ind w:right="228"/>
              <w:jc w:val="right"/>
              <w:rPr>
                <w:sz w:val="16"/>
                <w:szCs w:val="16"/>
              </w:rPr>
            </w:pPr>
            <w:r w:rsidRPr="00E16914">
              <w:rPr>
                <w:sz w:val="16"/>
                <w:szCs w:val="16"/>
              </w:rPr>
              <w:t>104.51</w:t>
            </w:r>
          </w:p>
        </w:tc>
      </w:tr>
      <w:tr w:rsidR="00274703" w:rsidRPr="00E16914" w14:paraId="0D5CA5A0" w14:textId="77777777" w:rsidTr="00274703">
        <w:tc>
          <w:tcPr>
            <w:tcW w:w="1349" w:type="pct"/>
          </w:tcPr>
          <w:p w14:paraId="085162F7" w14:textId="77777777" w:rsidR="00B12791" w:rsidRPr="00E16914" w:rsidRDefault="00B12791" w:rsidP="00274703">
            <w:pPr>
              <w:jc w:val="left"/>
              <w:rPr>
                <w:b/>
                <w:bCs/>
                <w:sz w:val="16"/>
                <w:szCs w:val="16"/>
              </w:rPr>
            </w:pPr>
            <w:r w:rsidRPr="00E16914">
              <w:rPr>
                <w:b/>
                <w:bCs/>
                <w:sz w:val="16"/>
                <w:szCs w:val="16"/>
              </w:rPr>
              <w:t>Imports/production ratio</w:t>
            </w:r>
          </w:p>
        </w:tc>
        <w:tc>
          <w:tcPr>
            <w:tcW w:w="543" w:type="pct"/>
          </w:tcPr>
          <w:p w14:paraId="354E6058" w14:textId="77777777" w:rsidR="00B12791" w:rsidRPr="00E16914" w:rsidRDefault="00B12791" w:rsidP="00274703">
            <w:pPr>
              <w:ind w:left="-685" w:right="196" w:hanging="685"/>
              <w:jc w:val="right"/>
              <w:rPr>
                <w:sz w:val="16"/>
                <w:szCs w:val="16"/>
              </w:rPr>
            </w:pPr>
            <w:r w:rsidRPr="00E16914">
              <w:rPr>
                <w:sz w:val="16"/>
                <w:szCs w:val="16"/>
              </w:rPr>
              <w:t>100</w:t>
            </w:r>
          </w:p>
        </w:tc>
        <w:tc>
          <w:tcPr>
            <w:tcW w:w="620" w:type="pct"/>
          </w:tcPr>
          <w:p w14:paraId="1AD2D5CE" w14:textId="77777777" w:rsidR="00B12791" w:rsidRPr="00E16914" w:rsidRDefault="00B12791" w:rsidP="00274703">
            <w:pPr>
              <w:ind w:left="-644" w:right="237" w:hanging="644"/>
              <w:jc w:val="right"/>
              <w:rPr>
                <w:sz w:val="16"/>
                <w:szCs w:val="16"/>
              </w:rPr>
            </w:pPr>
            <w:r w:rsidRPr="00E16914">
              <w:rPr>
                <w:sz w:val="16"/>
                <w:szCs w:val="16"/>
              </w:rPr>
              <w:t>125.19</w:t>
            </w:r>
          </w:p>
        </w:tc>
        <w:tc>
          <w:tcPr>
            <w:tcW w:w="620" w:type="pct"/>
            <w:vAlign w:val="center"/>
          </w:tcPr>
          <w:p w14:paraId="2560FE67" w14:textId="77777777" w:rsidR="00B12791" w:rsidRPr="00E16914" w:rsidRDefault="00B12791" w:rsidP="00E16914">
            <w:pPr>
              <w:jc w:val="center"/>
              <w:rPr>
                <w:sz w:val="16"/>
                <w:szCs w:val="16"/>
              </w:rPr>
            </w:pPr>
            <w:r w:rsidRPr="00E16914">
              <w:rPr>
                <w:sz w:val="16"/>
                <w:szCs w:val="16"/>
              </w:rPr>
              <w:t>113.50</w:t>
            </w:r>
          </w:p>
        </w:tc>
        <w:tc>
          <w:tcPr>
            <w:tcW w:w="620" w:type="pct"/>
          </w:tcPr>
          <w:p w14:paraId="150C8299" w14:textId="77777777" w:rsidR="00B12791" w:rsidRPr="00E16914" w:rsidRDefault="00B12791" w:rsidP="00274703">
            <w:pPr>
              <w:ind w:right="167"/>
              <w:jc w:val="right"/>
              <w:rPr>
                <w:sz w:val="16"/>
                <w:szCs w:val="16"/>
              </w:rPr>
            </w:pPr>
            <w:r w:rsidRPr="00E16914">
              <w:rPr>
                <w:sz w:val="16"/>
                <w:szCs w:val="16"/>
              </w:rPr>
              <w:t>120.46</w:t>
            </w:r>
          </w:p>
        </w:tc>
        <w:tc>
          <w:tcPr>
            <w:tcW w:w="543" w:type="pct"/>
          </w:tcPr>
          <w:p w14:paraId="1BFADE82" w14:textId="77777777" w:rsidR="00B12791" w:rsidRPr="00E16914" w:rsidRDefault="00B12791" w:rsidP="00274703">
            <w:pPr>
              <w:ind w:left="-341" w:right="68" w:hanging="766"/>
              <w:jc w:val="right"/>
              <w:rPr>
                <w:sz w:val="16"/>
                <w:szCs w:val="16"/>
              </w:rPr>
            </w:pPr>
            <w:r w:rsidRPr="00E16914">
              <w:rPr>
                <w:sz w:val="16"/>
                <w:szCs w:val="16"/>
              </w:rPr>
              <w:t>107.37</w:t>
            </w:r>
          </w:p>
        </w:tc>
        <w:tc>
          <w:tcPr>
            <w:tcW w:w="705" w:type="pct"/>
          </w:tcPr>
          <w:p w14:paraId="0236DA2D" w14:textId="77777777" w:rsidR="00B12791" w:rsidRPr="00E16914" w:rsidRDefault="00B12791" w:rsidP="00274703">
            <w:pPr>
              <w:ind w:right="228"/>
              <w:jc w:val="right"/>
              <w:rPr>
                <w:sz w:val="16"/>
                <w:szCs w:val="16"/>
              </w:rPr>
            </w:pPr>
            <w:r w:rsidRPr="00E16914">
              <w:rPr>
                <w:sz w:val="16"/>
                <w:szCs w:val="16"/>
              </w:rPr>
              <w:t>130.96</w:t>
            </w:r>
          </w:p>
        </w:tc>
      </w:tr>
    </w:tbl>
    <w:p w14:paraId="688AF8EB" w14:textId="0F7F490B" w:rsidR="00E658F1" w:rsidRPr="00175AC2" w:rsidRDefault="00B12791" w:rsidP="00F160C1">
      <w:pPr>
        <w:spacing w:before="240" w:after="240"/>
        <w:rPr>
          <w:rFonts w:eastAsia="Arial Unicode MS" w:cs="Arial"/>
          <w:szCs w:val="18"/>
        </w:rPr>
      </w:pPr>
      <w:r w:rsidRPr="00175AC2">
        <w:rPr>
          <w:rFonts w:cs="Arial"/>
          <w:bCs/>
          <w:szCs w:val="18"/>
        </w:rPr>
        <w:t>The GCC</w:t>
      </w:r>
      <w:r w:rsidR="00D46993" w:rsidRPr="00175AC2">
        <w:rPr>
          <w:rFonts w:cs="Arial"/>
          <w:bCs/>
          <w:szCs w:val="18"/>
        </w:rPr>
        <w:noBreakHyphen/>
      </w:r>
      <w:r w:rsidRPr="00175AC2">
        <w:rPr>
          <w:rFonts w:cs="Arial"/>
          <w:bCs/>
          <w:szCs w:val="18"/>
        </w:rPr>
        <w:t>TSAIP considered as shown in the table above that the products under investigation are being imported into the GCC States market in such increasing quantities in absolute terms and relative to GCC production, where the absolute imports increased continuously during the investigation period</w:t>
      </w:r>
      <w:r w:rsidR="00D46993" w:rsidRPr="00175AC2">
        <w:rPr>
          <w:rFonts w:cs="Arial"/>
          <w:bCs/>
          <w:szCs w:val="18"/>
        </w:rPr>
        <w:t xml:space="preserve">, </w:t>
      </w:r>
      <w:r w:rsidRPr="00175AC2">
        <w:rPr>
          <w:rFonts w:cs="Arial"/>
          <w:bCs/>
          <w:szCs w:val="18"/>
        </w:rPr>
        <w:t>and Related to the production, the imports increased continuously during the period of investigation</w:t>
      </w:r>
      <w:r w:rsidR="00E658F1" w:rsidRPr="00175AC2">
        <w:rPr>
          <w:rFonts w:eastAsia="Arial Unicode MS" w:cs="Arial"/>
          <w:szCs w:val="18"/>
        </w:rPr>
        <w:t>.</w:t>
      </w:r>
    </w:p>
    <w:p w14:paraId="5845203F" w14:textId="2E2C596E" w:rsidR="00B12791" w:rsidRPr="00175AC2" w:rsidRDefault="00B12791" w:rsidP="00F160C1">
      <w:pPr>
        <w:spacing w:after="240"/>
        <w:rPr>
          <w:rFonts w:eastAsia="Arial Unicode MS" w:cs="Arial"/>
          <w:szCs w:val="18"/>
        </w:rPr>
      </w:pPr>
      <w:r w:rsidRPr="00175AC2">
        <w:rPr>
          <w:rFonts w:eastAsia="Arial Unicode MS" w:cs="Arial"/>
          <w:szCs w:val="18"/>
        </w:rPr>
        <w:t xml:space="preserve">Therefore, </w:t>
      </w:r>
      <w:r w:rsidRPr="00175AC2">
        <w:rPr>
          <w:rFonts w:eastAsia="Arial Unicode MS" w:cs="Arial"/>
          <w:bCs/>
          <w:szCs w:val="18"/>
        </w:rPr>
        <w:t>the GCC</w:t>
      </w:r>
      <w:r w:rsidR="00D46993" w:rsidRPr="00175AC2">
        <w:rPr>
          <w:rFonts w:eastAsia="Arial Unicode MS" w:cs="Arial"/>
          <w:bCs/>
          <w:szCs w:val="18"/>
        </w:rPr>
        <w:noBreakHyphen/>
      </w:r>
      <w:r w:rsidRPr="00175AC2">
        <w:rPr>
          <w:rFonts w:eastAsia="Arial Unicode MS" w:cs="Arial"/>
          <w:bCs/>
          <w:szCs w:val="18"/>
        </w:rPr>
        <w:t xml:space="preserve">TSAIP </w:t>
      </w:r>
      <w:r w:rsidRPr="00175AC2">
        <w:rPr>
          <w:rFonts w:eastAsia="Arial Unicode MS" w:cs="Arial"/>
          <w:szCs w:val="18"/>
        </w:rPr>
        <w:t xml:space="preserve">made a final determination that recent, sudden, </w:t>
      </w:r>
      <w:proofErr w:type="gramStart"/>
      <w:r w:rsidRPr="00175AC2">
        <w:rPr>
          <w:rFonts w:eastAsia="Arial Unicode MS" w:cs="Arial"/>
          <w:szCs w:val="18"/>
        </w:rPr>
        <w:t>sharp</w:t>
      </w:r>
      <w:proofErr w:type="gramEnd"/>
      <w:r w:rsidRPr="00175AC2">
        <w:rPr>
          <w:rFonts w:eastAsia="Arial Unicode MS" w:cs="Arial"/>
          <w:szCs w:val="18"/>
        </w:rPr>
        <w:t xml:space="preserve"> and significant increase of the imports of the imported products occurred in the investigation period.</w:t>
      </w:r>
    </w:p>
    <w:p w14:paraId="19B22D26" w14:textId="6BF8D605" w:rsidR="00E658F1" w:rsidRPr="00175AC2" w:rsidRDefault="00D46993" w:rsidP="00175AC2">
      <w:pPr>
        <w:pStyle w:val="Heading1"/>
        <w:rPr>
          <w:caps w:val="0"/>
        </w:rPr>
      </w:pPr>
      <w:r w:rsidRPr="00175AC2">
        <w:rPr>
          <w:caps w:val="0"/>
        </w:rPr>
        <w:lastRenderedPageBreak/>
        <w:t>ADJUSTMENT PLAN</w:t>
      </w:r>
    </w:p>
    <w:p w14:paraId="637ACEC3" w14:textId="77777777" w:rsidR="00E658F1" w:rsidRPr="00175AC2" w:rsidRDefault="00E658F1" w:rsidP="00F160C1">
      <w:pPr>
        <w:spacing w:after="240"/>
      </w:pPr>
      <w:r w:rsidRPr="00175AC2">
        <w:t>The GCC industry has provided a viable adjustment plan for restructuring and adjusting its position so that it can develop its performance and competitiveness within the GCC and international markets so that it can compete with foreign imports after expiration of the safeguard measure imposition.</w:t>
      </w:r>
    </w:p>
    <w:p w14:paraId="33EA1B5A" w14:textId="1DED8E88" w:rsidR="00E658F1" w:rsidRPr="00175AC2" w:rsidRDefault="00D46993" w:rsidP="00175AC2">
      <w:pPr>
        <w:pStyle w:val="Heading1"/>
        <w:rPr>
          <w:caps w:val="0"/>
        </w:rPr>
      </w:pPr>
      <w:r w:rsidRPr="00175AC2">
        <w:rPr>
          <w:caps w:val="0"/>
        </w:rPr>
        <w:t>DESCRIPTION OF THE PRODUCT INVOLVED</w:t>
      </w:r>
    </w:p>
    <w:p w14:paraId="37281FB1" w14:textId="309A1E74" w:rsidR="00B37566" w:rsidRPr="00175AC2" w:rsidRDefault="00B37566" w:rsidP="00F160C1">
      <w:pPr>
        <w:keepNext/>
        <w:keepLines/>
        <w:spacing w:after="120"/>
      </w:pPr>
      <w:r w:rsidRPr="00175AC2">
        <w:t>The products under investigation are certain steel products which are classified under the GCC</w:t>
      </w:r>
      <w:r w:rsidR="00D46993" w:rsidRPr="00175AC2">
        <w:noBreakHyphen/>
      </w:r>
      <w:r w:rsidRPr="00175AC2">
        <w:t>Unified Tariff Code as following:</w:t>
      </w:r>
    </w:p>
    <w:tbl>
      <w:tblPr>
        <w:tblStyle w:val="WTOTable1"/>
        <w:tblW w:w="9141" w:type="dxa"/>
        <w:tblInd w:w="-71" w:type="dxa"/>
        <w:tblBorders>
          <w:top w:val="double" w:sz="4" w:space="0" w:color="auto"/>
          <w:left w:val="double" w:sz="4" w:space="0" w:color="auto"/>
          <w:bottom w:val="double" w:sz="4" w:space="0" w:color="auto"/>
          <w:right w:val="double" w:sz="4" w:space="0" w:color="auto"/>
        </w:tblBorders>
        <w:tblCellMar>
          <w:left w:w="57" w:type="dxa"/>
          <w:right w:w="57" w:type="dxa"/>
        </w:tblCellMar>
        <w:tblLook w:val="04A0" w:firstRow="1" w:lastRow="0" w:firstColumn="1" w:lastColumn="0" w:noHBand="0" w:noVBand="1"/>
      </w:tblPr>
      <w:tblGrid>
        <w:gridCol w:w="580"/>
        <w:gridCol w:w="4296"/>
        <w:gridCol w:w="4265"/>
      </w:tblGrid>
      <w:tr w:rsidR="00F160C1" w:rsidRPr="00F160C1" w14:paraId="17D373C4" w14:textId="77777777" w:rsidTr="00F160C1">
        <w:trPr>
          <w:cnfStyle w:val="100000000000" w:firstRow="1" w:lastRow="0" w:firstColumn="0" w:lastColumn="0" w:oddVBand="0" w:evenVBand="0" w:oddHBand="0" w:evenHBand="0" w:firstRowFirstColumn="0" w:firstRowLastColumn="0" w:lastRowFirstColumn="0" w:lastRowLastColumn="0"/>
        </w:trPr>
        <w:tc>
          <w:tcPr>
            <w:tcW w:w="580" w:type="dxa"/>
            <w:hideMark/>
          </w:tcPr>
          <w:p w14:paraId="19549488" w14:textId="77777777" w:rsidR="00B37566" w:rsidRPr="00F160C1" w:rsidRDefault="00B37566" w:rsidP="00F160C1">
            <w:pPr>
              <w:jc w:val="center"/>
              <w:rPr>
                <w:b w:val="0"/>
                <w:bCs/>
                <w:sz w:val="16"/>
                <w:szCs w:val="16"/>
              </w:rPr>
            </w:pPr>
            <w:r w:rsidRPr="00F160C1">
              <w:rPr>
                <w:bCs/>
                <w:sz w:val="16"/>
                <w:szCs w:val="16"/>
              </w:rPr>
              <w:t>No.</w:t>
            </w:r>
          </w:p>
        </w:tc>
        <w:tc>
          <w:tcPr>
            <w:tcW w:w="4296" w:type="dxa"/>
            <w:hideMark/>
          </w:tcPr>
          <w:p w14:paraId="5CD2E6F8" w14:textId="77777777" w:rsidR="00B37566" w:rsidRPr="00F160C1" w:rsidRDefault="00B37566" w:rsidP="00F160C1">
            <w:pPr>
              <w:jc w:val="center"/>
              <w:rPr>
                <w:b w:val="0"/>
                <w:bCs/>
                <w:sz w:val="16"/>
                <w:szCs w:val="16"/>
              </w:rPr>
            </w:pPr>
            <w:r w:rsidRPr="00F160C1">
              <w:rPr>
                <w:bCs/>
                <w:sz w:val="16"/>
                <w:szCs w:val="16"/>
              </w:rPr>
              <w:t>Products Categories</w:t>
            </w:r>
          </w:p>
        </w:tc>
        <w:tc>
          <w:tcPr>
            <w:tcW w:w="4265" w:type="dxa"/>
            <w:hideMark/>
          </w:tcPr>
          <w:p w14:paraId="21F38F76" w14:textId="77777777" w:rsidR="00B37566" w:rsidRPr="00F160C1" w:rsidRDefault="00B37566" w:rsidP="00F160C1">
            <w:pPr>
              <w:jc w:val="center"/>
              <w:rPr>
                <w:b w:val="0"/>
                <w:bCs/>
                <w:sz w:val="16"/>
                <w:szCs w:val="16"/>
              </w:rPr>
            </w:pPr>
            <w:r w:rsidRPr="00F160C1">
              <w:rPr>
                <w:bCs/>
                <w:sz w:val="16"/>
                <w:szCs w:val="16"/>
              </w:rPr>
              <w:t>HS Code</w:t>
            </w:r>
          </w:p>
        </w:tc>
      </w:tr>
      <w:tr w:rsidR="00F160C1" w:rsidRPr="00F160C1" w14:paraId="3548F35B" w14:textId="77777777" w:rsidTr="00F160C1">
        <w:tc>
          <w:tcPr>
            <w:tcW w:w="580" w:type="dxa"/>
            <w:hideMark/>
          </w:tcPr>
          <w:p w14:paraId="260CEE23" w14:textId="77777777" w:rsidR="00B37566" w:rsidRPr="00F160C1" w:rsidRDefault="00B37566" w:rsidP="00F160C1">
            <w:pPr>
              <w:jc w:val="center"/>
              <w:rPr>
                <w:sz w:val="16"/>
                <w:szCs w:val="16"/>
              </w:rPr>
            </w:pPr>
            <w:r w:rsidRPr="00F160C1">
              <w:rPr>
                <w:sz w:val="16"/>
                <w:szCs w:val="16"/>
              </w:rPr>
              <w:t>3</w:t>
            </w:r>
          </w:p>
        </w:tc>
        <w:tc>
          <w:tcPr>
            <w:tcW w:w="4296" w:type="dxa"/>
          </w:tcPr>
          <w:p w14:paraId="59187693" w14:textId="77777777" w:rsidR="00B37566" w:rsidRPr="00F160C1" w:rsidRDefault="00B37566" w:rsidP="00F160C1">
            <w:pPr>
              <w:jc w:val="left"/>
              <w:rPr>
                <w:sz w:val="16"/>
                <w:szCs w:val="16"/>
              </w:rPr>
            </w:pPr>
            <w:r w:rsidRPr="00F160C1">
              <w:rPr>
                <w:sz w:val="16"/>
                <w:szCs w:val="16"/>
              </w:rPr>
              <w:t>Metallic Coated Steel</w:t>
            </w:r>
          </w:p>
        </w:tc>
        <w:tc>
          <w:tcPr>
            <w:tcW w:w="4265" w:type="dxa"/>
          </w:tcPr>
          <w:p w14:paraId="1A89D8A5" w14:textId="1BF3DD46" w:rsidR="00B37566" w:rsidRPr="00F160C1" w:rsidRDefault="00B37566" w:rsidP="00F160C1">
            <w:pPr>
              <w:jc w:val="left"/>
              <w:rPr>
                <w:sz w:val="16"/>
                <w:szCs w:val="16"/>
              </w:rPr>
            </w:pPr>
            <w:r w:rsidRPr="00F160C1">
              <w:rPr>
                <w:sz w:val="16"/>
                <w:szCs w:val="16"/>
              </w:rPr>
              <w:t>721030</w:t>
            </w:r>
            <w:r w:rsidR="00175AC2" w:rsidRPr="00F160C1">
              <w:rPr>
                <w:sz w:val="16"/>
                <w:szCs w:val="16"/>
              </w:rPr>
              <w:t>; 7</w:t>
            </w:r>
            <w:r w:rsidRPr="00F160C1">
              <w:rPr>
                <w:sz w:val="16"/>
                <w:szCs w:val="16"/>
              </w:rPr>
              <w:t>21049</w:t>
            </w:r>
            <w:r w:rsidR="00175AC2" w:rsidRPr="00F160C1">
              <w:rPr>
                <w:sz w:val="16"/>
                <w:szCs w:val="16"/>
              </w:rPr>
              <w:t>; 7</w:t>
            </w:r>
            <w:r w:rsidRPr="00F160C1">
              <w:rPr>
                <w:sz w:val="16"/>
                <w:szCs w:val="16"/>
              </w:rPr>
              <w:t>21069</w:t>
            </w:r>
            <w:r w:rsidR="00175AC2" w:rsidRPr="00F160C1">
              <w:rPr>
                <w:sz w:val="16"/>
                <w:szCs w:val="16"/>
              </w:rPr>
              <w:t>; 7</w:t>
            </w:r>
            <w:r w:rsidRPr="00F160C1">
              <w:rPr>
                <w:sz w:val="16"/>
                <w:szCs w:val="16"/>
              </w:rPr>
              <w:t>21220</w:t>
            </w:r>
            <w:r w:rsidR="00175AC2" w:rsidRPr="00F160C1">
              <w:rPr>
                <w:sz w:val="16"/>
                <w:szCs w:val="16"/>
              </w:rPr>
              <w:t>; 7</w:t>
            </w:r>
            <w:r w:rsidRPr="00F160C1">
              <w:rPr>
                <w:sz w:val="16"/>
                <w:szCs w:val="16"/>
              </w:rPr>
              <w:t>21230</w:t>
            </w:r>
            <w:r w:rsidR="00175AC2" w:rsidRPr="00F160C1">
              <w:rPr>
                <w:sz w:val="16"/>
                <w:szCs w:val="16"/>
              </w:rPr>
              <w:t>; 7</w:t>
            </w:r>
            <w:r w:rsidRPr="00F160C1">
              <w:rPr>
                <w:sz w:val="16"/>
                <w:szCs w:val="16"/>
              </w:rPr>
              <w:t>21250</w:t>
            </w:r>
            <w:r w:rsidR="00175AC2" w:rsidRPr="00F160C1">
              <w:rPr>
                <w:sz w:val="16"/>
                <w:szCs w:val="16"/>
              </w:rPr>
              <w:t>; 7</w:t>
            </w:r>
            <w:r w:rsidRPr="00F160C1">
              <w:rPr>
                <w:sz w:val="16"/>
                <w:szCs w:val="16"/>
              </w:rPr>
              <w:t>21260</w:t>
            </w:r>
            <w:r w:rsidR="00175AC2" w:rsidRPr="00F160C1">
              <w:rPr>
                <w:sz w:val="16"/>
                <w:szCs w:val="16"/>
              </w:rPr>
              <w:t>; 7</w:t>
            </w:r>
            <w:r w:rsidRPr="00F160C1">
              <w:rPr>
                <w:sz w:val="16"/>
                <w:szCs w:val="16"/>
              </w:rPr>
              <w:t>22591</w:t>
            </w:r>
            <w:r w:rsidR="00175AC2" w:rsidRPr="00F160C1">
              <w:rPr>
                <w:sz w:val="16"/>
                <w:szCs w:val="16"/>
              </w:rPr>
              <w:t>; 7</w:t>
            </w:r>
            <w:r w:rsidRPr="00F160C1">
              <w:rPr>
                <w:sz w:val="16"/>
                <w:szCs w:val="16"/>
              </w:rPr>
              <w:t>22592</w:t>
            </w:r>
            <w:r w:rsidR="00175AC2" w:rsidRPr="00F160C1">
              <w:rPr>
                <w:sz w:val="16"/>
                <w:szCs w:val="16"/>
              </w:rPr>
              <w:t>; 7</w:t>
            </w:r>
            <w:r w:rsidRPr="00F160C1">
              <w:rPr>
                <w:sz w:val="16"/>
                <w:szCs w:val="16"/>
              </w:rPr>
              <w:t>22599</w:t>
            </w:r>
          </w:p>
        </w:tc>
      </w:tr>
      <w:tr w:rsidR="00F160C1" w:rsidRPr="00F160C1" w14:paraId="30E222B0" w14:textId="77777777" w:rsidTr="00F160C1">
        <w:trPr>
          <w:cnfStyle w:val="000000010000" w:firstRow="0" w:lastRow="0" w:firstColumn="0" w:lastColumn="0" w:oddVBand="0" w:evenVBand="0" w:oddHBand="0" w:evenHBand="1" w:firstRowFirstColumn="0" w:firstRowLastColumn="0" w:lastRowFirstColumn="0" w:lastRowLastColumn="0"/>
        </w:trPr>
        <w:tc>
          <w:tcPr>
            <w:tcW w:w="580" w:type="dxa"/>
            <w:hideMark/>
          </w:tcPr>
          <w:p w14:paraId="4AACB37D" w14:textId="77777777" w:rsidR="00B37566" w:rsidRPr="00F160C1" w:rsidRDefault="00B37566" w:rsidP="00F160C1">
            <w:pPr>
              <w:jc w:val="center"/>
              <w:rPr>
                <w:sz w:val="16"/>
                <w:szCs w:val="16"/>
              </w:rPr>
            </w:pPr>
            <w:r w:rsidRPr="00F160C1">
              <w:rPr>
                <w:sz w:val="16"/>
                <w:szCs w:val="16"/>
              </w:rPr>
              <w:t>4</w:t>
            </w:r>
          </w:p>
        </w:tc>
        <w:tc>
          <w:tcPr>
            <w:tcW w:w="4296" w:type="dxa"/>
          </w:tcPr>
          <w:p w14:paraId="5E6E9C8C" w14:textId="77777777" w:rsidR="00B37566" w:rsidRPr="00F160C1" w:rsidRDefault="00B37566" w:rsidP="00F160C1">
            <w:pPr>
              <w:jc w:val="left"/>
              <w:rPr>
                <w:sz w:val="16"/>
                <w:szCs w:val="16"/>
              </w:rPr>
            </w:pPr>
            <w:r w:rsidRPr="00F160C1">
              <w:rPr>
                <w:sz w:val="16"/>
                <w:szCs w:val="16"/>
              </w:rPr>
              <w:t>Organic Coated Steel</w:t>
            </w:r>
          </w:p>
        </w:tc>
        <w:tc>
          <w:tcPr>
            <w:tcW w:w="4265" w:type="dxa"/>
            <w:noWrap/>
          </w:tcPr>
          <w:p w14:paraId="54789467" w14:textId="77777777" w:rsidR="00B37566" w:rsidRPr="00F160C1" w:rsidRDefault="00B37566" w:rsidP="00F160C1">
            <w:pPr>
              <w:jc w:val="left"/>
              <w:rPr>
                <w:sz w:val="16"/>
                <w:szCs w:val="16"/>
              </w:rPr>
            </w:pPr>
            <w:r w:rsidRPr="00F160C1">
              <w:rPr>
                <w:sz w:val="16"/>
                <w:szCs w:val="16"/>
              </w:rPr>
              <w:t>721240</w:t>
            </w:r>
          </w:p>
        </w:tc>
      </w:tr>
      <w:tr w:rsidR="00F160C1" w:rsidRPr="00F160C1" w14:paraId="5D2A2B0F" w14:textId="77777777" w:rsidTr="00F160C1">
        <w:tc>
          <w:tcPr>
            <w:tcW w:w="580" w:type="dxa"/>
            <w:hideMark/>
          </w:tcPr>
          <w:p w14:paraId="6E5989A9" w14:textId="77777777" w:rsidR="00B37566" w:rsidRPr="00F160C1" w:rsidRDefault="00B37566" w:rsidP="00F160C1">
            <w:pPr>
              <w:jc w:val="center"/>
              <w:rPr>
                <w:sz w:val="16"/>
                <w:szCs w:val="16"/>
              </w:rPr>
            </w:pPr>
            <w:r w:rsidRPr="00F160C1">
              <w:rPr>
                <w:sz w:val="16"/>
                <w:szCs w:val="16"/>
              </w:rPr>
              <w:t>5</w:t>
            </w:r>
          </w:p>
        </w:tc>
        <w:tc>
          <w:tcPr>
            <w:tcW w:w="4296" w:type="dxa"/>
          </w:tcPr>
          <w:p w14:paraId="7C02FC6C" w14:textId="77777777" w:rsidR="00B37566" w:rsidRPr="00F160C1" w:rsidRDefault="00B37566" w:rsidP="00F160C1">
            <w:pPr>
              <w:jc w:val="left"/>
              <w:rPr>
                <w:sz w:val="16"/>
                <w:szCs w:val="16"/>
              </w:rPr>
            </w:pPr>
            <w:r w:rsidRPr="00F160C1">
              <w:rPr>
                <w:sz w:val="16"/>
                <w:szCs w:val="16"/>
              </w:rPr>
              <w:t>Reinforced Steel Bars and Wire Rod</w:t>
            </w:r>
          </w:p>
        </w:tc>
        <w:tc>
          <w:tcPr>
            <w:tcW w:w="4265" w:type="dxa"/>
          </w:tcPr>
          <w:p w14:paraId="199AA7F5" w14:textId="5BE7D130" w:rsidR="00B37566" w:rsidRPr="00F160C1" w:rsidRDefault="00B37566" w:rsidP="00F160C1">
            <w:pPr>
              <w:jc w:val="left"/>
              <w:rPr>
                <w:sz w:val="16"/>
                <w:szCs w:val="16"/>
              </w:rPr>
            </w:pPr>
            <w:r w:rsidRPr="00F160C1">
              <w:rPr>
                <w:sz w:val="16"/>
                <w:szCs w:val="16"/>
              </w:rPr>
              <w:t>721310</w:t>
            </w:r>
            <w:r w:rsidR="00175AC2" w:rsidRPr="00F160C1">
              <w:rPr>
                <w:sz w:val="16"/>
                <w:szCs w:val="16"/>
              </w:rPr>
              <w:t>; 7</w:t>
            </w:r>
            <w:r w:rsidRPr="00F160C1">
              <w:rPr>
                <w:sz w:val="16"/>
                <w:szCs w:val="16"/>
              </w:rPr>
              <w:t>21320</w:t>
            </w:r>
            <w:r w:rsidR="00175AC2" w:rsidRPr="00F160C1">
              <w:rPr>
                <w:sz w:val="16"/>
                <w:szCs w:val="16"/>
              </w:rPr>
              <w:t>; 7</w:t>
            </w:r>
            <w:r w:rsidRPr="00F160C1">
              <w:rPr>
                <w:sz w:val="16"/>
                <w:szCs w:val="16"/>
              </w:rPr>
              <w:t>21391</w:t>
            </w:r>
            <w:r w:rsidR="00175AC2" w:rsidRPr="00F160C1">
              <w:rPr>
                <w:sz w:val="16"/>
                <w:szCs w:val="16"/>
              </w:rPr>
              <w:t>; 7</w:t>
            </w:r>
            <w:r w:rsidRPr="00F160C1">
              <w:rPr>
                <w:sz w:val="16"/>
                <w:szCs w:val="16"/>
              </w:rPr>
              <w:t>21399</w:t>
            </w:r>
            <w:r w:rsidR="00175AC2" w:rsidRPr="00F160C1">
              <w:rPr>
                <w:sz w:val="16"/>
                <w:szCs w:val="16"/>
              </w:rPr>
              <w:t>; 7</w:t>
            </w:r>
            <w:r w:rsidRPr="00F160C1">
              <w:rPr>
                <w:sz w:val="16"/>
                <w:szCs w:val="16"/>
              </w:rPr>
              <w:t>21410</w:t>
            </w:r>
            <w:r w:rsidR="00175AC2" w:rsidRPr="00F160C1">
              <w:rPr>
                <w:sz w:val="16"/>
                <w:szCs w:val="16"/>
              </w:rPr>
              <w:t>; 7</w:t>
            </w:r>
            <w:r w:rsidRPr="00F160C1">
              <w:rPr>
                <w:sz w:val="16"/>
                <w:szCs w:val="16"/>
              </w:rPr>
              <w:t>21430</w:t>
            </w:r>
            <w:r w:rsidR="00175AC2" w:rsidRPr="00F160C1">
              <w:rPr>
                <w:sz w:val="16"/>
                <w:szCs w:val="16"/>
              </w:rPr>
              <w:t>; 7</w:t>
            </w:r>
            <w:r w:rsidRPr="00F160C1">
              <w:rPr>
                <w:sz w:val="16"/>
                <w:szCs w:val="16"/>
              </w:rPr>
              <w:t>21510</w:t>
            </w:r>
            <w:r w:rsidR="00175AC2" w:rsidRPr="00F160C1">
              <w:rPr>
                <w:sz w:val="16"/>
                <w:szCs w:val="16"/>
              </w:rPr>
              <w:t>; 7</w:t>
            </w:r>
            <w:r w:rsidRPr="00F160C1">
              <w:rPr>
                <w:sz w:val="16"/>
                <w:szCs w:val="16"/>
              </w:rPr>
              <w:t>21550</w:t>
            </w:r>
            <w:r w:rsidR="00175AC2" w:rsidRPr="00F160C1">
              <w:rPr>
                <w:sz w:val="16"/>
                <w:szCs w:val="16"/>
              </w:rPr>
              <w:t>; 7</w:t>
            </w:r>
            <w:r w:rsidRPr="00F160C1">
              <w:rPr>
                <w:sz w:val="16"/>
                <w:szCs w:val="16"/>
              </w:rPr>
              <w:t>21590</w:t>
            </w:r>
            <w:r w:rsidR="00175AC2" w:rsidRPr="00F160C1">
              <w:rPr>
                <w:sz w:val="16"/>
                <w:szCs w:val="16"/>
              </w:rPr>
              <w:t>; 7</w:t>
            </w:r>
            <w:r w:rsidRPr="00F160C1">
              <w:rPr>
                <w:sz w:val="16"/>
                <w:szCs w:val="16"/>
              </w:rPr>
              <w:t>22710</w:t>
            </w:r>
            <w:r w:rsidR="00175AC2" w:rsidRPr="00F160C1">
              <w:rPr>
                <w:sz w:val="16"/>
                <w:szCs w:val="16"/>
              </w:rPr>
              <w:t>; 7</w:t>
            </w:r>
            <w:r w:rsidRPr="00F160C1">
              <w:rPr>
                <w:sz w:val="16"/>
                <w:szCs w:val="16"/>
              </w:rPr>
              <w:t>22720</w:t>
            </w:r>
            <w:r w:rsidR="00175AC2" w:rsidRPr="00F160C1">
              <w:rPr>
                <w:sz w:val="16"/>
                <w:szCs w:val="16"/>
              </w:rPr>
              <w:t>; 7</w:t>
            </w:r>
            <w:r w:rsidRPr="00F160C1">
              <w:rPr>
                <w:sz w:val="16"/>
                <w:szCs w:val="16"/>
              </w:rPr>
              <w:t>22810</w:t>
            </w:r>
            <w:r w:rsidR="00175AC2" w:rsidRPr="00F160C1">
              <w:rPr>
                <w:sz w:val="16"/>
                <w:szCs w:val="16"/>
              </w:rPr>
              <w:t>; 7</w:t>
            </w:r>
            <w:r w:rsidRPr="00F160C1">
              <w:rPr>
                <w:sz w:val="16"/>
                <w:szCs w:val="16"/>
              </w:rPr>
              <w:t>22820</w:t>
            </w:r>
            <w:r w:rsidR="00175AC2" w:rsidRPr="00F160C1">
              <w:rPr>
                <w:sz w:val="16"/>
                <w:szCs w:val="16"/>
              </w:rPr>
              <w:t>; 7</w:t>
            </w:r>
            <w:r w:rsidRPr="00F160C1">
              <w:rPr>
                <w:sz w:val="16"/>
                <w:szCs w:val="16"/>
              </w:rPr>
              <w:t>22840</w:t>
            </w:r>
            <w:r w:rsidR="00175AC2" w:rsidRPr="00F160C1">
              <w:rPr>
                <w:sz w:val="16"/>
                <w:szCs w:val="16"/>
              </w:rPr>
              <w:t>; 7</w:t>
            </w:r>
            <w:r w:rsidRPr="00F160C1">
              <w:rPr>
                <w:sz w:val="16"/>
                <w:szCs w:val="16"/>
              </w:rPr>
              <w:t>22850</w:t>
            </w:r>
            <w:r w:rsidR="00175AC2" w:rsidRPr="00F160C1">
              <w:rPr>
                <w:sz w:val="16"/>
                <w:szCs w:val="16"/>
              </w:rPr>
              <w:t>; 7</w:t>
            </w:r>
            <w:r w:rsidRPr="00F160C1">
              <w:rPr>
                <w:sz w:val="16"/>
                <w:szCs w:val="16"/>
              </w:rPr>
              <w:t>22860</w:t>
            </w:r>
            <w:r w:rsidR="00175AC2" w:rsidRPr="00F160C1">
              <w:rPr>
                <w:sz w:val="16"/>
                <w:szCs w:val="16"/>
              </w:rPr>
              <w:t>; 7</w:t>
            </w:r>
            <w:r w:rsidRPr="00F160C1">
              <w:rPr>
                <w:sz w:val="16"/>
                <w:szCs w:val="16"/>
              </w:rPr>
              <w:t>21710</w:t>
            </w:r>
            <w:r w:rsidR="00175AC2" w:rsidRPr="00F160C1">
              <w:rPr>
                <w:sz w:val="16"/>
                <w:szCs w:val="16"/>
              </w:rPr>
              <w:t>; 7</w:t>
            </w:r>
            <w:r w:rsidRPr="00F160C1">
              <w:rPr>
                <w:sz w:val="16"/>
                <w:szCs w:val="16"/>
              </w:rPr>
              <w:t>21720</w:t>
            </w:r>
            <w:r w:rsidR="00175AC2" w:rsidRPr="00F160C1">
              <w:rPr>
                <w:sz w:val="16"/>
                <w:szCs w:val="16"/>
              </w:rPr>
              <w:t>; 7</w:t>
            </w:r>
            <w:r w:rsidRPr="00F160C1">
              <w:rPr>
                <w:sz w:val="16"/>
                <w:szCs w:val="16"/>
              </w:rPr>
              <w:t>21730</w:t>
            </w:r>
            <w:r w:rsidR="00175AC2" w:rsidRPr="00F160C1">
              <w:rPr>
                <w:sz w:val="16"/>
                <w:szCs w:val="16"/>
              </w:rPr>
              <w:t>; 7</w:t>
            </w:r>
            <w:r w:rsidRPr="00F160C1">
              <w:rPr>
                <w:sz w:val="16"/>
                <w:szCs w:val="16"/>
              </w:rPr>
              <w:t>21790</w:t>
            </w:r>
            <w:r w:rsidR="00175AC2" w:rsidRPr="00F160C1">
              <w:rPr>
                <w:sz w:val="16"/>
                <w:szCs w:val="16"/>
              </w:rPr>
              <w:t>; 7</w:t>
            </w:r>
            <w:r w:rsidRPr="00F160C1">
              <w:rPr>
                <w:sz w:val="16"/>
                <w:szCs w:val="16"/>
              </w:rPr>
              <w:t>22100</w:t>
            </w:r>
            <w:r w:rsidR="00175AC2" w:rsidRPr="00F160C1">
              <w:rPr>
                <w:sz w:val="16"/>
                <w:szCs w:val="16"/>
              </w:rPr>
              <w:t>; 7</w:t>
            </w:r>
            <w:r w:rsidRPr="00F160C1">
              <w:rPr>
                <w:sz w:val="16"/>
                <w:szCs w:val="16"/>
              </w:rPr>
              <w:t>22300</w:t>
            </w:r>
            <w:r w:rsidR="00175AC2" w:rsidRPr="00F160C1">
              <w:rPr>
                <w:sz w:val="16"/>
                <w:szCs w:val="16"/>
              </w:rPr>
              <w:t>; 7</w:t>
            </w:r>
            <w:r w:rsidRPr="00F160C1">
              <w:rPr>
                <w:sz w:val="16"/>
                <w:szCs w:val="16"/>
              </w:rPr>
              <w:t>22920</w:t>
            </w:r>
            <w:r w:rsidR="00175AC2" w:rsidRPr="00F160C1">
              <w:rPr>
                <w:sz w:val="16"/>
                <w:szCs w:val="16"/>
              </w:rPr>
              <w:t>; 7</w:t>
            </w:r>
            <w:r w:rsidRPr="00F160C1">
              <w:rPr>
                <w:sz w:val="16"/>
                <w:szCs w:val="16"/>
              </w:rPr>
              <w:t>22990</w:t>
            </w:r>
          </w:p>
        </w:tc>
      </w:tr>
      <w:tr w:rsidR="00F160C1" w:rsidRPr="00F160C1" w14:paraId="08269F64" w14:textId="77777777" w:rsidTr="00F160C1">
        <w:trPr>
          <w:cnfStyle w:val="000000010000" w:firstRow="0" w:lastRow="0" w:firstColumn="0" w:lastColumn="0" w:oddVBand="0" w:evenVBand="0" w:oddHBand="0" w:evenHBand="1" w:firstRowFirstColumn="0" w:firstRowLastColumn="0" w:lastRowFirstColumn="0" w:lastRowLastColumn="0"/>
        </w:trPr>
        <w:tc>
          <w:tcPr>
            <w:tcW w:w="580" w:type="dxa"/>
            <w:hideMark/>
          </w:tcPr>
          <w:p w14:paraId="35C2BC1C" w14:textId="77777777" w:rsidR="00B37566" w:rsidRPr="00F160C1" w:rsidRDefault="00B37566" w:rsidP="00F160C1">
            <w:pPr>
              <w:jc w:val="center"/>
              <w:rPr>
                <w:sz w:val="16"/>
                <w:szCs w:val="16"/>
              </w:rPr>
            </w:pPr>
            <w:r w:rsidRPr="00F160C1">
              <w:rPr>
                <w:sz w:val="16"/>
                <w:szCs w:val="16"/>
              </w:rPr>
              <w:t>6</w:t>
            </w:r>
          </w:p>
        </w:tc>
        <w:tc>
          <w:tcPr>
            <w:tcW w:w="4296" w:type="dxa"/>
          </w:tcPr>
          <w:p w14:paraId="0AB759F6" w14:textId="77777777" w:rsidR="00B37566" w:rsidRPr="00F160C1" w:rsidRDefault="00B37566" w:rsidP="00F160C1">
            <w:pPr>
              <w:jc w:val="left"/>
              <w:rPr>
                <w:sz w:val="16"/>
                <w:szCs w:val="16"/>
              </w:rPr>
            </w:pPr>
            <w:r w:rsidRPr="00F160C1">
              <w:rPr>
                <w:sz w:val="16"/>
                <w:szCs w:val="16"/>
              </w:rPr>
              <w:t>Circular, Square, and Rectangular Sticks and Rods</w:t>
            </w:r>
          </w:p>
        </w:tc>
        <w:tc>
          <w:tcPr>
            <w:tcW w:w="4265" w:type="dxa"/>
            <w:noWrap/>
          </w:tcPr>
          <w:p w14:paraId="3702F966" w14:textId="08DCEFF2" w:rsidR="00B37566" w:rsidRPr="00F160C1" w:rsidRDefault="00B37566" w:rsidP="00F160C1">
            <w:pPr>
              <w:jc w:val="left"/>
              <w:rPr>
                <w:sz w:val="16"/>
                <w:szCs w:val="16"/>
              </w:rPr>
            </w:pPr>
            <w:r w:rsidRPr="00F160C1">
              <w:rPr>
                <w:sz w:val="16"/>
                <w:szCs w:val="16"/>
              </w:rPr>
              <w:t>721491</w:t>
            </w:r>
            <w:r w:rsidR="00175AC2" w:rsidRPr="00F160C1">
              <w:rPr>
                <w:sz w:val="16"/>
                <w:szCs w:val="16"/>
              </w:rPr>
              <w:t>; 7</w:t>
            </w:r>
            <w:r w:rsidRPr="00F160C1">
              <w:rPr>
                <w:sz w:val="16"/>
                <w:szCs w:val="16"/>
              </w:rPr>
              <w:t>21499</w:t>
            </w:r>
            <w:r w:rsidR="00175AC2" w:rsidRPr="00F160C1">
              <w:rPr>
                <w:sz w:val="16"/>
                <w:szCs w:val="16"/>
              </w:rPr>
              <w:t>; 7</w:t>
            </w:r>
            <w:r w:rsidRPr="00F160C1">
              <w:rPr>
                <w:sz w:val="16"/>
                <w:szCs w:val="16"/>
              </w:rPr>
              <w:t>22211</w:t>
            </w:r>
            <w:r w:rsidR="00175AC2" w:rsidRPr="00F160C1">
              <w:rPr>
                <w:sz w:val="16"/>
                <w:szCs w:val="16"/>
              </w:rPr>
              <w:t>; 7</w:t>
            </w:r>
            <w:r w:rsidRPr="00F160C1">
              <w:rPr>
                <w:sz w:val="16"/>
                <w:szCs w:val="16"/>
              </w:rPr>
              <w:t>22219</w:t>
            </w:r>
          </w:p>
        </w:tc>
      </w:tr>
      <w:tr w:rsidR="00F160C1" w:rsidRPr="00F160C1" w14:paraId="4CE7948E" w14:textId="77777777" w:rsidTr="00F160C1">
        <w:tc>
          <w:tcPr>
            <w:tcW w:w="580" w:type="dxa"/>
            <w:hideMark/>
          </w:tcPr>
          <w:p w14:paraId="4CBD70EE" w14:textId="77777777" w:rsidR="00B37566" w:rsidRPr="00F160C1" w:rsidRDefault="00B37566" w:rsidP="00F160C1">
            <w:pPr>
              <w:jc w:val="center"/>
              <w:rPr>
                <w:sz w:val="16"/>
                <w:szCs w:val="16"/>
              </w:rPr>
            </w:pPr>
            <w:r w:rsidRPr="00F160C1">
              <w:rPr>
                <w:sz w:val="16"/>
                <w:szCs w:val="16"/>
              </w:rPr>
              <w:t>7</w:t>
            </w:r>
          </w:p>
        </w:tc>
        <w:tc>
          <w:tcPr>
            <w:tcW w:w="4296" w:type="dxa"/>
          </w:tcPr>
          <w:p w14:paraId="1AA23DBE" w14:textId="77777777" w:rsidR="00B37566" w:rsidRPr="00F160C1" w:rsidRDefault="00B37566" w:rsidP="00F160C1">
            <w:pPr>
              <w:jc w:val="left"/>
              <w:rPr>
                <w:sz w:val="16"/>
                <w:szCs w:val="16"/>
              </w:rPr>
            </w:pPr>
            <w:r w:rsidRPr="00F160C1">
              <w:rPr>
                <w:sz w:val="16"/>
                <w:szCs w:val="16"/>
              </w:rPr>
              <w:t>Sections</w:t>
            </w:r>
          </w:p>
        </w:tc>
        <w:tc>
          <w:tcPr>
            <w:tcW w:w="4265" w:type="dxa"/>
            <w:noWrap/>
          </w:tcPr>
          <w:p w14:paraId="5D276F59" w14:textId="255BC6B0" w:rsidR="00B37566" w:rsidRPr="00F160C1" w:rsidRDefault="00B37566" w:rsidP="00F160C1">
            <w:pPr>
              <w:jc w:val="left"/>
              <w:rPr>
                <w:sz w:val="16"/>
                <w:szCs w:val="16"/>
              </w:rPr>
            </w:pPr>
            <w:r w:rsidRPr="00F160C1">
              <w:rPr>
                <w:sz w:val="16"/>
                <w:szCs w:val="16"/>
              </w:rPr>
              <w:t>721610</w:t>
            </w:r>
            <w:r w:rsidR="00175AC2" w:rsidRPr="00F160C1">
              <w:rPr>
                <w:sz w:val="16"/>
                <w:szCs w:val="16"/>
              </w:rPr>
              <w:t>; 7</w:t>
            </w:r>
            <w:r w:rsidRPr="00F160C1">
              <w:rPr>
                <w:sz w:val="16"/>
                <w:szCs w:val="16"/>
              </w:rPr>
              <w:t>21631</w:t>
            </w:r>
            <w:r w:rsidR="00175AC2" w:rsidRPr="00F160C1">
              <w:rPr>
                <w:sz w:val="16"/>
                <w:szCs w:val="16"/>
              </w:rPr>
              <w:t>; 7</w:t>
            </w:r>
            <w:r w:rsidRPr="00F160C1">
              <w:rPr>
                <w:sz w:val="16"/>
                <w:szCs w:val="16"/>
              </w:rPr>
              <w:t>21632</w:t>
            </w:r>
            <w:r w:rsidR="00175AC2" w:rsidRPr="00F160C1">
              <w:rPr>
                <w:sz w:val="16"/>
                <w:szCs w:val="16"/>
              </w:rPr>
              <w:t>; 7</w:t>
            </w:r>
            <w:r w:rsidRPr="00F160C1">
              <w:rPr>
                <w:sz w:val="16"/>
                <w:szCs w:val="16"/>
              </w:rPr>
              <w:t>30810</w:t>
            </w:r>
            <w:r w:rsidR="00175AC2" w:rsidRPr="00F160C1">
              <w:rPr>
                <w:sz w:val="16"/>
                <w:szCs w:val="16"/>
              </w:rPr>
              <w:t>; 7</w:t>
            </w:r>
            <w:r w:rsidRPr="00F160C1">
              <w:rPr>
                <w:sz w:val="16"/>
                <w:szCs w:val="16"/>
              </w:rPr>
              <w:t>30110</w:t>
            </w:r>
          </w:p>
        </w:tc>
      </w:tr>
      <w:tr w:rsidR="00F160C1" w:rsidRPr="00F160C1" w14:paraId="2C632719" w14:textId="77777777" w:rsidTr="00F160C1">
        <w:trPr>
          <w:cnfStyle w:val="000000010000" w:firstRow="0" w:lastRow="0" w:firstColumn="0" w:lastColumn="0" w:oddVBand="0" w:evenVBand="0" w:oddHBand="0" w:evenHBand="1" w:firstRowFirstColumn="0" w:firstRowLastColumn="0" w:lastRowFirstColumn="0" w:lastRowLastColumn="0"/>
        </w:trPr>
        <w:tc>
          <w:tcPr>
            <w:tcW w:w="580" w:type="dxa"/>
            <w:hideMark/>
          </w:tcPr>
          <w:p w14:paraId="6B3AE2A6" w14:textId="77777777" w:rsidR="00B37566" w:rsidRPr="00F160C1" w:rsidRDefault="00B37566" w:rsidP="00F160C1">
            <w:pPr>
              <w:jc w:val="center"/>
              <w:rPr>
                <w:sz w:val="16"/>
                <w:szCs w:val="16"/>
              </w:rPr>
            </w:pPr>
            <w:r w:rsidRPr="00F160C1">
              <w:rPr>
                <w:sz w:val="16"/>
                <w:szCs w:val="16"/>
              </w:rPr>
              <w:t>8</w:t>
            </w:r>
          </w:p>
        </w:tc>
        <w:tc>
          <w:tcPr>
            <w:tcW w:w="4296" w:type="dxa"/>
          </w:tcPr>
          <w:p w14:paraId="4D15FD0E" w14:textId="77777777" w:rsidR="00B37566" w:rsidRPr="00F160C1" w:rsidRDefault="00B37566" w:rsidP="00F160C1">
            <w:pPr>
              <w:jc w:val="left"/>
              <w:rPr>
                <w:sz w:val="16"/>
                <w:szCs w:val="16"/>
              </w:rPr>
            </w:pPr>
            <w:r w:rsidRPr="00F160C1">
              <w:rPr>
                <w:sz w:val="16"/>
                <w:szCs w:val="16"/>
              </w:rPr>
              <w:t>Angles and Shapes</w:t>
            </w:r>
          </w:p>
        </w:tc>
        <w:tc>
          <w:tcPr>
            <w:tcW w:w="4265" w:type="dxa"/>
            <w:noWrap/>
          </w:tcPr>
          <w:p w14:paraId="5F99DA93" w14:textId="36E599BA" w:rsidR="00B37566" w:rsidRPr="00F160C1" w:rsidRDefault="00B37566" w:rsidP="00F160C1">
            <w:pPr>
              <w:jc w:val="left"/>
              <w:rPr>
                <w:sz w:val="16"/>
                <w:szCs w:val="16"/>
              </w:rPr>
            </w:pPr>
            <w:r w:rsidRPr="00F160C1">
              <w:rPr>
                <w:sz w:val="16"/>
                <w:szCs w:val="16"/>
              </w:rPr>
              <w:t>721621</w:t>
            </w:r>
            <w:r w:rsidR="00175AC2" w:rsidRPr="00F160C1">
              <w:rPr>
                <w:sz w:val="16"/>
                <w:szCs w:val="16"/>
              </w:rPr>
              <w:t>; 7</w:t>
            </w:r>
            <w:r w:rsidRPr="00F160C1">
              <w:rPr>
                <w:sz w:val="16"/>
                <w:szCs w:val="16"/>
              </w:rPr>
              <w:t>21650</w:t>
            </w:r>
            <w:r w:rsidR="00175AC2" w:rsidRPr="00F160C1">
              <w:rPr>
                <w:sz w:val="16"/>
                <w:szCs w:val="16"/>
              </w:rPr>
              <w:t>; 7</w:t>
            </w:r>
            <w:r w:rsidRPr="00F160C1">
              <w:rPr>
                <w:sz w:val="16"/>
                <w:szCs w:val="16"/>
              </w:rPr>
              <w:t>30120</w:t>
            </w:r>
          </w:p>
        </w:tc>
      </w:tr>
      <w:tr w:rsidR="00F160C1" w:rsidRPr="00F160C1" w14:paraId="6D39A6D6" w14:textId="77777777" w:rsidTr="00F160C1">
        <w:tc>
          <w:tcPr>
            <w:tcW w:w="580" w:type="dxa"/>
            <w:hideMark/>
          </w:tcPr>
          <w:p w14:paraId="72DFC0EC" w14:textId="77777777" w:rsidR="00B37566" w:rsidRPr="00F160C1" w:rsidRDefault="00B37566" w:rsidP="00F160C1">
            <w:pPr>
              <w:jc w:val="center"/>
              <w:rPr>
                <w:sz w:val="16"/>
                <w:szCs w:val="16"/>
              </w:rPr>
            </w:pPr>
            <w:r w:rsidRPr="00F160C1">
              <w:rPr>
                <w:sz w:val="16"/>
                <w:szCs w:val="16"/>
              </w:rPr>
              <w:t>9</w:t>
            </w:r>
          </w:p>
        </w:tc>
        <w:tc>
          <w:tcPr>
            <w:tcW w:w="4296" w:type="dxa"/>
          </w:tcPr>
          <w:p w14:paraId="0CF90B95" w14:textId="77777777" w:rsidR="00B37566" w:rsidRPr="00F160C1" w:rsidRDefault="00B37566" w:rsidP="00F160C1">
            <w:pPr>
              <w:jc w:val="left"/>
              <w:rPr>
                <w:sz w:val="16"/>
                <w:szCs w:val="16"/>
              </w:rPr>
            </w:pPr>
            <w:r w:rsidRPr="00F160C1">
              <w:rPr>
                <w:sz w:val="16"/>
                <w:szCs w:val="16"/>
              </w:rPr>
              <w:t>Welded and Seamless Pipes and Tubes not Including Items for Gas and Oil</w:t>
            </w:r>
          </w:p>
        </w:tc>
        <w:tc>
          <w:tcPr>
            <w:tcW w:w="4265" w:type="dxa"/>
          </w:tcPr>
          <w:p w14:paraId="493E11B2" w14:textId="03540F75" w:rsidR="00B37566" w:rsidRPr="00F160C1" w:rsidRDefault="00B37566" w:rsidP="00F160C1">
            <w:pPr>
              <w:jc w:val="left"/>
              <w:rPr>
                <w:sz w:val="16"/>
                <w:szCs w:val="16"/>
              </w:rPr>
            </w:pPr>
            <w:r w:rsidRPr="00F160C1">
              <w:rPr>
                <w:sz w:val="16"/>
                <w:szCs w:val="16"/>
              </w:rPr>
              <w:t>730539</w:t>
            </w:r>
            <w:r w:rsidR="00175AC2" w:rsidRPr="00F160C1">
              <w:rPr>
                <w:sz w:val="16"/>
                <w:szCs w:val="16"/>
              </w:rPr>
              <w:t>; 7</w:t>
            </w:r>
            <w:r w:rsidRPr="00F160C1">
              <w:rPr>
                <w:sz w:val="16"/>
                <w:szCs w:val="16"/>
              </w:rPr>
              <w:t>30661</w:t>
            </w:r>
            <w:r w:rsidR="00175AC2" w:rsidRPr="00F160C1">
              <w:rPr>
                <w:sz w:val="16"/>
                <w:szCs w:val="16"/>
              </w:rPr>
              <w:t>; 7</w:t>
            </w:r>
            <w:r w:rsidRPr="00F160C1">
              <w:rPr>
                <w:sz w:val="16"/>
                <w:szCs w:val="16"/>
              </w:rPr>
              <w:t>30690</w:t>
            </w:r>
            <w:r w:rsidR="00175AC2" w:rsidRPr="00F160C1">
              <w:rPr>
                <w:sz w:val="16"/>
                <w:szCs w:val="16"/>
              </w:rPr>
              <w:t>; 7</w:t>
            </w:r>
            <w:r w:rsidRPr="00F160C1">
              <w:rPr>
                <w:sz w:val="16"/>
                <w:szCs w:val="16"/>
              </w:rPr>
              <w:t>30431</w:t>
            </w:r>
            <w:r w:rsidR="00175AC2" w:rsidRPr="00F160C1">
              <w:rPr>
                <w:sz w:val="16"/>
                <w:szCs w:val="16"/>
              </w:rPr>
              <w:t>; 7</w:t>
            </w:r>
            <w:r w:rsidRPr="00F160C1">
              <w:rPr>
                <w:sz w:val="16"/>
                <w:szCs w:val="16"/>
              </w:rPr>
              <w:t>30590</w:t>
            </w:r>
            <w:r w:rsidR="00175AC2" w:rsidRPr="00F160C1">
              <w:rPr>
                <w:sz w:val="16"/>
                <w:szCs w:val="16"/>
              </w:rPr>
              <w:t>; 7</w:t>
            </w:r>
            <w:r w:rsidRPr="00F160C1">
              <w:rPr>
                <w:sz w:val="16"/>
                <w:szCs w:val="16"/>
              </w:rPr>
              <w:t>30840</w:t>
            </w:r>
            <w:r w:rsidR="00175AC2" w:rsidRPr="00F160C1">
              <w:rPr>
                <w:sz w:val="16"/>
                <w:szCs w:val="16"/>
              </w:rPr>
              <w:t>; 7</w:t>
            </w:r>
            <w:r w:rsidRPr="00F160C1">
              <w:rPr>
                <w:sz w:val="16"/>
                <w:szCs w:val="16"/>
              </w:rPr>
              <w:t>30890</w:t>
            </w:r>
          </w:p>
        </w:tc>
      </w:tr>
    </w:tbl>
    <w:p w14:paraId="576BD2B6" w14:textId="349EF997" w:rsidR="00E658F1" w:rsidRPr="00175AC2" w:rsidRDefault="00D46993" w:rsidP="00F160C1">
      <w:pPr>
        <w:pStyle w:val="Heading1"/>
        <w:spacing w:before="240"/>
        <w:rPr>
          <w:caps w:val="0"/>
        </w:rPr>
      </w:pPr>
      <w:r w:rsidRPr="00175AC2">
        <w:rPr>
          <w:caps w:val="0"/>
        </w:rPr>
        <w:t>DESCRIPTION OF THE PROPOSED MEASURE</w:t>
      </w:r>
    </w:p>
    <w:p w14:paraId="122C09F6" w14:textId="7EC5B130" w:rsidR="00D46993" w:rsidRPr="00175AC2" w:rsidRDefault="004C6778" w:rsidP="00722044">
      <w:pPr>
        <w:spacing w:after="240"/>
        <w:rPr>
          <w:rtl/>
        </w:rPr>
      </w:pPr>
      <w:r w:rsidRPr="00175AC2">
        <w:t>The Permanent Committee has recommended imposing safeguard duty for three years at the rate of additional duty 16</w:t>
      </w:r>
      <w:r w:rsidR="00175AC2">
        <w:t>%</w:t>
      </w:r>
      <w:r w:rsidRPr="00175AC2">
        <w:t xml:space="preserve"> </w:t>
      </w:r>
      <w:r w:rsidRPr="00175AC2">
        <w:rPr>
          <w:i/>
          <w:iCs/>
        </w:rPr>
        <w:t>ad valorem</w:t>
      </w:r>
      <w:r w:rsidRPr="00175AC2">
        <w:t xml:space="preserve"> of the CIF value on the imports of the products under investigation.</w:t>
      </w:r>
    </w:p>
    <w:p w14:paraId="56120472" w14:textId="0C3045AA" w:rsidR="00E658F1" w:rsidRPr="00175AC2" w:rsidRDefault="00E658F1" w:rsidP="00722044">
      <w:pPr>
        <w:spacing w:after="240"/>
      </w:pPr>
      <w:proofErr w:type="gramStart"/>
      <w:r w:rsidRPr="00175AC2">
        <w:t>For the purpose of</w:t>
      </w:r>
      <w:proofErr w:type="gramEnd"/>
      <w:r w:rsidRPr="00175AC2">
        <w:t xml:space="preserve"> liberalizing the definitive safeguard measure, the proposed </w:t>
      </w:r>
      <w:r w:rsidR="004C6778" w:rsidRPr="00175AC2">
        <w:t xml:space="preserve">safeguard duty </w:t>
      </w:r>
      <w:r w:rsidRPr="00175AC2">
        <w:t xml:space="preserve">will be decreased by around </w:t>
      </w:r>
      <w:r w:rsidR="004C6778" w:rsidRPr="00175AC2">
        <w:t>5</w:t>
      </w:r>
      <w:r w:rsidR="00175AC2">
        <w:t>%</w:t>
      </w:r>
      <w:r w:rsidRPr="00175AC2">
        <w:t xml:space="preserve"> each year as shown in point (10) below.</w:t>
      </w:r>
    </w:p>
    <w:p w14:paraId="429DD0E4" w14:textId="77777777" w:rsidR="00727B76" w:rsidRPr="00175AC2" w:rsidRDefault="00727B76" w:rsidP="00722044">
      <w:pPr>
        <w:spacing w:after="240"/>
      </w:pPr>
      <w:r w:rsidRPr="00175AC2">
        <w:t>Exclusions:</w:t>
      </w:r>
    </w:p>
    <w:p w14:paraId="7520433D" w14:textId="77777777" w:rsidR="00727B76" w:rsidRPr="00175AC2" w:rsidRDefault="00727B76" w:rsidP="00722044">
      <w:pPr>
        <w:spacing w:after="240"/>
      </w:pPr>
      <w:r w:rsidRPr="00175AC2">
        <w:t xml:space="preserve">The safeguard measures as described above will not apply to Iceland, Liechtenstein, </w:t>
      </w:r>
      <w:proofErr w:type="gramStart"/>
      <w:r w:rsidRPr="00175AC2">
        <w:t>Norway</w:t>
      </w:r>
      <w:proofErr w:type="gramEnd"/>
      <w:r w:rsidRPr="00175AC2">
        <w:t xml:space="preserve"> and Switzerland.</w:t>
      </w:r>
    </w:p>
    <w:p w14:paraId="6EFCDCDF" w14:textId="7233FFBC" w:rsidR="00E658F1" w:rsidRPr="00175AC2" w:rsidRDefault="00D46993" w:rsidP="00175AC2">
      <w:pPr>
        <w:pStyle w:val="Heading1"/>
        <w:rPr>
          <w:caps w:val="0"/>
        </w:rPr>
      </w:pPr>
      <w:r w:rsidRPr="00175AC2">
        <w:rPr>
          <w:caps w:val="0"/>
        </w:rPr>
        <w:t>PROPOSED DATE OF INTRODUCTION OF THE MEASURE</w:t>
      </w:r>
    </w:p>
    <w:p w14:paraId="75B246CE" w14:textId="43CFBA99" w:rsidR="00E658F1" w:rsidRPr="00175AC2" w:rsidRDefault="00E658F1" w:rsidP="00722044">
      <w:pPr>
        <w:spacing w:after="240"/>
      </w:pPr>
      <w:r w:rsidRPr="00175AC2">
        <w:t>The date of introduction of the measure will be determined in the TSAIP</w:t>
      </w:r>
      <w:r w:rsidR="00D46993" w:rsidRPr="00175AC2">
        <w:noBreakHyphen/>
      </w:r>
      <w:r w:rsidRPr="00175AC2">
        <w:t xml:space="preserve"> Official Gazette which will be published once the Ministerial Committee approves the imposition of the measure.</w:t>
      </w:r>
    </w:p>
    <w:p w14:paraId="39C5B829" w14:textId="60C24090" w:rsidR="00E658F1" w:rsidRPr="00175AC2" w:rsidRDefault="00D46993" w:rsidP="00175AC2">
      <w:pPr>
        <w:pStyle w:val="Heading1"/>
        <w:rPr>
          <w:caps w:val="0"/>
        </w:rPr>
      </w:pPr>
      <w:r w:rsidRPr="00175AC2">
        <w:rPr>
          <w:caps w:val="0"/>
        </w:rPr>
        <w:t>EXPECTED DURATION OF THE MEASURE</w:t>
      </w:r>
    </w:p>
    <w:p w14:paraId="7136DE4C" w14:textId="77777777" w:rsidR="00E658F1" w:rsidRPr="00175AC2" w:rsidRDefault="00E658F1" w:rsidP="00722044">
      <w:pPr>
        <w:spacing w:after="240"/>
      </w:pPr>
      <w:r w:rsidRPr="00175AC2">
        <w:t>The safeguard measure, if adopted, will remain in force for three years.</w:t>
      </w:r>
    </w:p>
    <w:p w14:paraId="1A77B985" w14:textId="38A951EE" w:rsidR="00E658F1" w:rsidRPr="00175AC2" w:rsidRDefault="00D46993" w:rsidP="00175AC2">
      <w:pPr>
        <w:pStyle w:val="Heading1"/>
        <w:rPr>
          <w:caps w:val="0"/>
        </w:rPr>
      </w:pPr>
      <w:r w:rsidRPr="00175AC2">
        <w:rPr>
          <w:caps w:val="0"/>
        </w:rPr>
        <w:t>OFFER OF CONSULTATIONS UNDER ARTICLE 12.3</w:t>
      </w:r>
    </w:p>
    <w:p w14:paraId="7E14D19E" w14:textId="6A18A35E" w:rsidR="00E658F1" w:rsidRPr="00175AC2" w:rsidRDefault="00E658F1" w:rsidP="00722044">
      <w:pPr>
        <w:spacing w:after="240"/>
      </w:pPr>
      <w:r w:rsidRPr="00175AC2">
        <w:t>Consistent with Article 12.3 of the WTO Agreement on Safeguards, the GCC</w:t>
      </w:r>
      <w:r w:rsidR="00D46993" w:rsidRPr="00175AC2">
        <w:noBreakHyphen/>
      </w:r>
      <w:r w:rsidRPr="00175AC2">
        <w:t>TSAIP offers consultations with Members having a substantial interest as the exporters of the products involved</w:t>
      </w:r>
      <w:r w:rsidR="00175AC2" w:rsidRPr="00175AC2">
        <w:t>. M</w:t>
      </w:r>
      <w:r w:rsidRPr="00175AC2">
        <w:t>embers with a substantial interest, requesting a consultation should contact the GCC</w:t>
      </w:r>
      <w:r w:rsidR="00D46993" w:rsidRPr="00175AC2">
        <w:noBreakHyphen/>
      </w:r>
      <w:r w:rsidRPr="00175AC2">
        <w:t>TSAIP not later than 10 (Ten) days from the date of the circulation of this notification at the following address:</w:t>
      </w:r>
    </w:p>
    <w:p w14:paraId="363F86E1" w14:textId="77777777" w:rsidR="00E658F1" w:rsidRPr="00175AC2" w:rsidRDefault="00E658F1" w:rsidP="00940F60">
      <w:pPr>
        <w:keepNext/>
        <w:jc w:val="center"/>
      </w:pPr>
      <w:r w:rsidRPr="00175AC2">
        <w:lastRenderedPageBreak/>
        <w:t>The Cooperation Council for the Arab States of the Gulf</w:t>
      </w:r>
    </w:p>
    <w:p w14:paraId="3E264785" w14:textId="33AF6AD7" w:rsidR="00E658F1" w:rsidRPr="00175AC2" w:rsidRDefault="00E658F1" w:rsidP="00940F60">
      <w:pPr>
        <w:keepNext/>
        <w:jc w:val="center"/>
      </w:pPr>
      <w:r w:rsidRPr="00175AC2">
        <w:t>GCC</w:t>
      </w:r>
      <w:r w:rsidR="00D46993" w:rsidRPr="00175AC2">
        <w:noBreakHyphen/>
      </w:r>
      <w:r w:rsidRPr="00175AC2">
        <w:t>Bureau of Technical Secretariat for Anti Injurious Practices in International Trade</w:t>
      </w:r>
    </w:p>
    <w:p w14:paraId="5D9294BA" w14:textId="529D4FED" w:rsidR="00E658F1" w:rsidRPr="00175AC2" w:rsidRDefault="00E658F1" w:rsidP="00940F60">
      <w:pPr>
        <w:keepNext/>
        <w:jc w:val="center"/>
      </w:pPr>
      <w:r w:rsidRPr="00175AC2">
        <w:t>6725 Jeddah Rd</w:t>
      </w:r>
      <w:r w:rsidR="00D46993" w:rsidRPr="00175AC2">
        <w:noBreakHyphen/>
      </w:r>
      <w:r w:rsidRPr="00175AC2">
        <w:t xml:space="preserve"> AL </w:t>
      </w:r>
      <w:proofErr w:type="spellStart"/>
      <w:r w:rsidRPr="00175AC2">
        <w:t>Hada</w:t>
      </w:r>
      <w:proofErr w:type="spellEnd"/>
      <w:r w:rsidRPr="00175AC2">
        <w:t xml:space="preserve"> </w:t>
      </w:r>
      <w:proofErr w:type="spellStart"/>
      <w:r w:rsidRPr="00175AC2">
        <w:t>Dist</w:t>
      </w:r>
      <w:proofErr w:type="spellEnd"/>
    </w:p>
    <w:p w14:paraId="5B60947C" w14:textId="1F0FAEB4" w:rsidR="00E658F1" w:rsidRPr="00175AC2" w:rsidRDefault="00E658F1" w:rsidP="00175AC2">
      <w:pPr>
        <w:jc w:val="center"/>
      </w:pPr>
      <w:r w:rsidRPr="00175AC2">
        <w:t>Unit No 1 Riyadh 12324</w:t>
      </w:r>
      <w:r w:rsidR="00D46993" w:rsidRPr="00175AC2">
        <w:noBreakHyphen/>
      </w:r>
      <w:r w:rsidRPr="00175AC2">
        <w:t>3147</w:t>
      </w:r>
    </w:p>
    <w:p w14:paraId="232D4EFC" w14:textId="21EB7640" w:rsidR="00E658F1" w:rsidRPr="00175AC2" w:rsidRDefault="00E658F1" w:rsidP="00175AC2">
      <w:pPr>
        <w:jc w:val="center"/>
      </w:pPr>
      <w:r w:rsidRPr="00175AC2">
        <w:t>T</w:t>
      </w:r>
      <w:r w:rsidR="00FE575A" w:rsidRPr="00175AC2">
        <w:t>el</w:t>
      </w:r>
      <w:r w:rsidR="00175AC2" w:rsidRPr="00175AC2">
        <w:t>: (</w:t>
      </w:r>
      <w:r w:rsidRPr="00175AC2">
        <w:t>+966) 11 2551388 T</w:t>
      </w:r>
      <w:r w:rsidR="00FE575A" w:rsidRPr="00175AC2">
        <w:t>el</w:t>
      </w:r>
      <w:r w:rsidR="00175AC2" w:rsidRPr="00175AC2">
        <w:t>: (</w:t>
      </w:r>
      <w:r w:rsidRPr="00175AC2">
        <w:t>+966) 11 2551399</w:t>
      </w:r>
    </w:p>
    <w:p w14:paraId="1C3BEFA4" w14:textId="4FD04654" w:rsidR="00E658F1" w:rsidRPr="00175AC2" w:rsidRDefault="00E658F1" w:rsidP="00175AC2">
      <w:pPr>
        <w:jc w:val="center"/>
      </w:pPr>
      <w:r w:rsidRPr="00175AC2">
        <w:t>F</w:t>
      </w:r>
      <w:r w:rsidR="00FE575A" w:rsidRPr="00175AC2">
        <w:t>ax</w:t>
      </w:r>
      <w:r w:rsidR="00175AC2" w:rsidRPr="00175AC2">
        <w:t>: (</w:t>
      </w:r>
      <w:r w:rsidRPr="00175AC2">
        <w:t>+966) 11 2810093, Kingdom of Saudi</w:t>
      </w:r>
      <w:r w:rsidRPr="00175AC2">
        <w:rPr>
          <w:b/>
          <w:bCs/>
        </w:rPr>
        <w:t> </w:t>
      </w:r>
      <w:r w:rsidRPr="00175AC2">
        <w:t>Arabia</w:t>
      </w:r>
    </w:p>
    <w:p w14:paraId="4265351A" w14:textId="77777777" w:rsidR="00E658F1" w:rsidRPr="00175AC2" w:rsidRDefault="00E658F1" w:rsidP="00722044">
      <w:pPr>
        <w:spacing w:after="240"/>
        <w:jc w:val="center"/>
      </w:pPr>
      <w:r w:rsidRPr="00175AC2">
        <w:t>Email: </w:t>
      </w:r>
      <w:r w:rsidRPr="00175AC2">
        <w:rPr>
          <w:color w:val="0000FF"/>
          <w:u w:val="single"/>
        </w:rPr>
        <w:t>TSAD@gccsg.org</w:t>
      </w:r>
    </w:p>
    <w:p w14:paraId="532FAA65" w14:textId="24B73264" w:rsidR="00E658F1" w:rsidRPr="00175AC2" w:rsidRDefault="00D46993" w:rsidP="00175AC2">
      <w:pPr>
        <w:pStyle w:val="Heading1"/>
        <w:rPr>
          <w:caps w:val="0"/>
        </w:rPr>
      </w:pPr>
      <w:r w:rsidRPr="00175AC2">
        <w:rPr>
          <w:caps w:val="0"/>
        </w:rPr>
        <w:t>FOR A MEASURE WITH A DURATION OF MORE THAN THREE YEARS, PROVIDE THE PROPOSED DATE FOR THE REVIEW (UNDER ARTICLE 7.4) TO BE HELD NOT LATER THAN THE MID</w:t>
      </w:r>
      <w:r w:rsidRPr="00175AC2">
        <w:rPr>
          <w:caps w:val="0"/>
        </w:rPr>
        <w:noBreakHyphen/>
        <w:t>TERM OF THE MEASURE, IF SUCH DATE FOR THE REVIEW HAS ALREADY BEEN SCHEDULED</w:t>
      </w:r>
    </w:p>
    <w:p w14:paraId="66A8C712" w14:textId="77777777" w:rsidR="00E658F1" w:rsidRPr="00175AC2" w:rsidRDefault="00E658F1" w:rsidP="00722044">
      <w:pPr>
        <w:spacing w:after="240"/>
      </w:pPr>
      <w:r w:rsidRPr="00175AC2">
        <w:t>Not applicable.</w:t>
      </w:r>
    </w:p>
    <w:p w14:paraId="6FCFB530" w14:textId="1D284B4F" w:rsidR="00E658F1" w:rsidRPr="00175AC2" w:rsidRDefault="00D46993" w:rsidP="00175AC2">
      <w:pPr>
        <w:pStyle w:val="Heading1"/>
        <w:rPr>
          <w:caps w:val="0"/>
        </w:rPr>
      </w:pPr>
      <w:r w:rsidRPr="00175AC2">
        <w:rPr>
          <w:caps w:val="0"/>
        </w:rPr>
        <w:t>IF THE EXPECTED DURATION IS OVER ONE YEAR, PROVIDE THE EXPECTED TIMETABLE FOR PROGRESSIVE LIBERALIZATION OF THE MEASURE</w:t>
      </w:r>
    </w:p>
    <w:tbl>
      <w:tblPr>
        <w:tblStyle w:val="WTOTable1"/>
        <w:tblW w:w="9127" w:type="dxa"/>
        <w:tblInd w:w="-71" w:type="dxa"/>
        <w:tblBorders>
          <w:top w:val="double" w:sz="4" w:space="0" w:color="auto"/>
          <w:left w:val="double" w:sz="4" w:space="0" w:color="auto"/>
          <w:bottom w:val="double" w:sz="4" w:space="0" w:color="auto"/>
          <w:right w:val="double" w:sz="4" w:space="0" w:color="auto"/>
        </w:tblBorders>
        <w:tblCellMar>
          <w:left w:w="57" w:type="dxa"/>
          <w:right w:w="57" w:type="dxa"/>
        </w:tblCellMar>
        <w:tblLook w:val="04A0" w:firstRow="1" w:lastRow="0" w:firstColumn="1" w:lastColumn="0" w:noHBand="0" w:noVBand="1"/>
      </w:tblPr>
      <w:tblGrid>
        <w:gridCol w:w="4534"/>
        <w:gridCol w:w="4593"/>
      </w:tblGrid>
      <w:tr w:rsidR="004C6778" w:rsidRPr="00722044" w14:paraId="07C34E03" w14:textId="77777777" w:rsidTr="00722044">
        <w:trPr>
          <w:cnfStyle w:val="100000000000" w:firstRow="1" w:lastRow="0" w:firstColumn="0" w:lastColumn="0" w:oddVBand="0" w:evenVBand="0" w:oddHBand="0" w:evenHBand="0" w:firstRowFirstColumn="0" w:firstRowLastColumn="0" w:lastRowFirstColumn="0" w:lastRowLastColumn="0"/>
        </w:trPr>
        <w:tc>
          <w:tcPr>
            <w:tcW w:w="4534" w:type="dxa"/>
          </w:tcPr>
          <w:p w14:paraId="0E66EB73" w14:textId="77777777" w:rsidR="004C6778" w:rsidRPr="00722044" w:rsidRDefault="004C6778" w:rsidP="00722044">
            <w:pPr>
              <w:jc w:val="center"/>
              <w:rPr>
                <w:color w:val="FFFFFF" w:themeColor="background1"/>
                <w:sz w:val="16"/>
                <w:szCs w:val="16"/>
              </w:rPr>
            </w:pPr>
            <w:r w:rsidRPr="00722044">
              <w:rPr>
                <w:color w:val="FFFFFF" w:themeColor="background1"/>
                <w:sz w:val="16"/>
                <w:szCs w:val="16"/>
              </w:rPr>
              <w:t>Duration</w:t>
            </w:r>
          </w:p>
        </w:tc>
        <w:tc>
          <w:tcPr>
            <w:tcW w:w="4593" w:type="dxa"/>
          </w:tcPr>
          <w:p w14:paraId="1D635BBE" w14:textId="78FD64D6" w:rsidR="004C6778" w:rsidRPr="00722044" w:rsidRDefault="004C6778" w:rsidP="00722044">
            <w:pPr>
              <w:jc w:val="center"/>
              <w:rPr>
                <w:bCs/>
                <w:color w:val="FFFFFF" w:themeColor="background1"/>
                <w:sz w:val="16"/>
                <w:szCs w:val="16"/>
              </w:rPr>
            </w:pPr>
            <w:r w:rsidRPr="00722044">
              <w:rPr>
                <w:bCs/>
                <w:color w:val="FFFFFF" w:themeColor="background1"/>
                <w:sz w:val="16"/>
                <w:szCs w:val="16"/>
              </w:rPr>
              <w:t>CIF %</w:t>
            </w:r>
            <w:r w:rsidR="00660924">
              <w:rPr>
                <w:bCs/>
                <w:color w:val="FFFFFF" w:themeColor="background1"/>
                <w:sz w:val="16"/>
                <w:szCs w:val="16"/>
              </w:rPr>
              <w:t xml:space="preserve"> </w:t>
            </w:r>
            <w:r w:rsidRPr="00722044">
              <w:rPr>
                <w:bCs/>
                <w:color w:val="FFFFFF" w:themeColor="background1"/>
                <w:sz w:val="16"/>
                <w:szCs w:val="16"/>
              </w:rPr>
              <w:t xml:space="preserve">Ad valorem </w:t>
            </w:r>
          </w:p>
        </w:tc>
      </w:tr>
      <w:tr w:rsidR="004C6778" w:rsidRPr="00722044" w14:paraId="3C9AC72F" w14:textId="77777777" w:rsidTr="00940F60">
        <w:tc>
          <w:tcPr>
            <w:tcW w:w="4534" w:type="dxa"/>
          </w:tcPr>
          <w:p w14:paraId="6A946F3A" w14:textId="77777777" w:rsidR="004C6778" w:rsidRPr="00722044" w:rsidRDefault="004C6778" w:rsidP="00722044">
            <w:pPr>
              <w:jc w:val="center"/>
              <w:rPr>
                <w:bCs/>
                <w:color w:val="000000"/>
                <w:sz w:val="16"/>
                <w:szCs w:val="16"/>
              </w:rPr>
            </w:pPr>
            <w:r w:rsidRPr="00722044">
              <w:rPr>
                <w:bCs/>
                <w:color w:val="000000"/>
                <w:sz w:val="16"/>
                <w:szCs w:val="16"/>
              </w:rPr>
              <w:t>First year</w:t>
            </w:r>
          </w:p>
        </w:tc>
        <w:tc>
          <w:tcPr>
            <w:tcW w:w="4593" w:type="dxa"/>
          </w:tcPr>
          <w:p w14:paraId="5B7BEF5E" w14:textId="77777777" w:rsidR="004C6778" w:rsidRPr="00722044" w:rsidRDefault="004C6778" w:rsidP="00940F60">
            <w:pPr>
              <w:ind w:right="2131"/>
              <w:jc w:val="right"/>
              <w:rPr>
                <w:color w:val="000000"/>
                <w:sz w:val="16"/>
                <w:szCs w:val="16"/>
              </w:rPr>
            </w:pPr>
            <w:r w:rsidRPr="00722044">
              <w:rPr>
                <w:color w:val="000000"/>
                <w:sz w:val="16"/>
                <w:szCs w:val="16"/>
              </w:rPr>
              <w:t>16</w:t>
            </w:r>
          </w:p>
        </w:tc>
      </w:tr>
      <w:tr w:rsidR="004C6778" w:rsidRPr="00722044" w14:paraId="38C13DE6" w14:textId="77777777" w:rsidTr="00940F60">
        <w:trPr>
          <w:cnfStyle w:val="000000010000" w:firstRow="0" w:lastRow="0" w:firstColumn="0" w:lastColumn="0" w:oddVBand="0" w:evenVBand="0" w:oddHBand="0" w:evenHBand="1" w:firstRowFirstColumn="0" w:firstRowLastColumn="0" w:lastRowFirstColumn="0" w:lastRowLastColumn="0"/>
        </w:trPr>
        <w:tc>
          <w:tcPr>
            <w:tcW w:w="4534" w:type="dxa"/>
          </w:tcPr>
          <w:p w14:paraId="18D82E58" w14:textId="77777777" w:rsidR="004C6778" w:rsidRPr="00722044" w:rsidRDefault="004C6778" w:rsidP="00722044">
            <w:pPr>
              <w:jc w:val="center"/>
              <w:rPr>
                <w:bCs/>
                <w:sz w:val="16"/>
                <w:szCs w:val="16"/>
              </w:rPr>
            </w:pPr>
            <w:r w:rsidRPr="00722044">
              <w:rPr>
                <w:bCs/>
                <w:sz w:val="16"/>
                <w:szCs w:val="16"/>
              </w:rPr>
              <w:t>Second year</w:t>
            </w:r>
          </w:p>
        </w:tc>
        <w:tc>
          <w:tcPr>
            <w:tcW w:w="4593" w:type="dxa"/>
          </w:tcPr>
          <w:p w14:paraId="38769865" w14:textId="77777777" w:rsidR="004C6778" w:rsidRPr="00722044" w:rsidRDefault="004C6778" w:rsidP="00940F60">
            <w:pPr>
              <w:ind w:right="2131"/>
              <w:jc w:val="right"/>
              <w:rPr>
                <w:sz w:val="16"/>
                <w:szCs w:val="16"/>
              </w:rPr>
            </w:pPr>
            <w:r w:rsidRPr="00722044">
              <w:rPr>
                <w:sz w:val="16"/>
                <w:szCs w:val="16"/>
              </w:rPr>
              <w:t>15.2</w:t>
            </w:r>
          </w:p>
        </w:tc>
      </w:tr>
      <w:tr w:rsidR="004C6778" w:rsidRPr="00722044" w14:paraId="2B58AB9B" w14:textId="77777777" w:rsidTr="00940F60">
        <w:tc>
          <w:tcPr>
            <w:tcW w:w="4534" w:type="dxa"/>
          </w:tcPr>
          <w:p w14:paraId="687066E9" w14:textId="77777777" w:rsidR="004C6778" w:rsidRPr="00722044" w:rsidRDefault="004C6778" w:rsidP="00722044">
            <w:pPr>
              <w:jc w:val="center"/>
              <w:rPr>
                <w:bCs/>
                <w:sz w:val="16"/>
                <w:szCs w:val="16"/>
              </w:rPr>
            </w:pPr>
            <w:r w:rsidRPr="00722044">
              <w:rPr>
                <w:bCs/>
                <w:sz w:val="16"/>
                <w:szCs w:val="16"/>
              </w:rPr>
              <w:t>Third year</w:t>
            </w:r>
          </w:p>
        </w:tc>
        <w:tc>
          <w:tcPr>
            <w:tcW w:w="4593" w:type="dxa"/>
          </w:tcPr>
          <w:p w14:paraId="3B28E7FD" w14:textId="77777777" w:rsidR="004C6778" w:rsidRPr="00722044" w:rsidRDefault="004C6778" w:rsidP="00940F60">
            <w:pPr>
              <w:ind w:right="2131"/>
              <w:jc w:val="right"/>
              <w:rPr>
                <w:sz w:val="16"/>
                <w:szCs w:val="16"/>
              </w:rPr>
            </w:pPr>
            <w:r w:rsidRPr="00722044">
              <w:rPr>
                <w:sz w:val="16"/>
                <w:szCs w:val="16"/>
              </w:rPr>
              <w:t>14.44</w:t>
            </w:r>
          </w:p>
        </w:tc>
      </w:tr>
    </w:tbl>
    <w:p w14:paraId="612C2237" w14:textId="2530B79A" w:rsidR="00E658F1" w:rsidRPr="00175AC2" w:rsidRDefault="00D46993" w:rsidP="00722044">
      <w:pPr>
        <w:pStyle w:val="Heading1"/>
        <w:spacing w:before="240"/>
        <w:rPr>
          <w:caps w:val="0"/>
        </w:rPr>
      </w:pPr>
      <w:r w:rsidRPr="00175AC2">
        <w:rPr>
          <w:caps w:val="0"/>
        </w:rPr>
        <w:t>IF THE MEASURE IS BEING EXTENDED, ALSO PROVIDE</w:t>
      </w:r>
      <w:r w:rsidR="00175AC2" w:rsidRPr="00175AC2">
        <w:rPr>
          <w:caps w:val="0"/>
        </w:rPr>
        <w:t>: (</w:t>
      </w:r>
      <w:r w:rsidRPr="00175AC2">
        <w:rPr>
          <w:caps w:val="0"/>
        </w:rPr>
        <w:t>I) EVIDENCE THAT THE INDUSTRY CONCERNED IS ADJUSTING AND THAT THE SAFEGUARD MEASURE CONTINUES TO BE NECESSARY TO PREVENT OR REMEDY SERIOUS INJURY</w:t>
      </w:r>
    </w:p>
    <w:p w14:paraId="75297CD5" w14:textId="77777777" w:rsidR="00E658F1" w:rsidRPr="00175AC2" w:rsidRDefault="00E658F1" w:rsidP="00722044">
      <w:pPr>
        <w:spacing w:after="240"/>
      </w:pPr>
      <w:r w:rsidRPr="00175AC2">
        <w:t>Not applicable.</w:t>
      </w:r>
    </w:p>
    <w:p w14:paraId="4483C2C2" w14:textId="230FEB91" w:rsidR="00E658F1" w:rsidRPr="00175AC2" w:rsidRDefault="00D46993" w:rsidP="00175AC2">
      <w:pPr>
        <w:pStyle w:val="Heading1"/>
        <w:rPr>
          <w:caps w:val="0"/>
        </w:rPr>
      </w:pPr>
      <w:r w:rsidRPr="00175AC2">
        <w:rPr>
          <w:caps w:val="0"/>
        </w:rPr>
        <w:t>SPECIFY THE DEVELOPING COUNTRIES TO WHICH THE MEASURE IS NOT APPLIED UNDER ARTICLE 9.1 OF THE AGREEMENT ON SAFEGUARDS, AND THE IMPORT SHARES OF THESE COUNTRIES INDIVIDUALLY AND COLLECTIVELY</w:t>
      </w:r>
    </w:p>
    <w:p w14:paraId="0DD37262" w14:textId="4C9AB3A4" w:rsidR="00E658F1" w:rsidRPr="00175AC2" w:rsidRDefault="00E658F1" w:rsidP="00722044">
      <w:pPr>
        <w:spacing w:after="240"/>
      </w:pPr>
      <w:r w:rsidRPr="00175AC2">
        <w:t>The following developing countries are excluded from the measure as they export less than 3</w:t>
      </w:r>
      <w:r w:rsidR="00175AC2">
        <w:t>%</w:t>
      </w:r>
      <w:r w:rsidRPr="00175AC2">
        <w:t xml:space="preserve"> individually and less than 9</w:t>
      </w:r>
      <w:r w:rsidR="00175AC2">
        <w:t>%</w:t>
      </w:r>
      <w:r w:rsidRPr="00175AC2">
        <w:t xml:space="preserve"> collectively to GCC countries:</w:t>
      </w:r>
    </w:p>
    <w:p w14:paraId="091147DF" w14:textId="737453C0" w:rsidR="00222B02" w:rsidRDefault="00222B02" w:rsidP="00175AC2">
      <w:r w:rsidRPr="00175AC2">
        <w:t>Afghanistan, Albania</w:t>
      </w:r>
      <w:r w:rsidR="00D46993" w:rsidRPr="00175AC2">
        <w:t xml:space="preserve">, </w:t>
      </w:r>
      <w:r w:rsidRPr="00175AC2">
        <w:t>Angola, Antigua and Barbuda, Argentina, Armenia, Bangladesh, Barbados, Belize</w:t>
      </w:r>
      <w:r w:rsidR="00D46993" w:rsidRPr="00175AC2">
        <w:t xml:space="preserve">, </w:t>
      </w:r>
      <w:r w:rsidRPr="00175AC2">
        <w:t>Benin, Bolivia</w:t>
      </w:r>
      <w:r w:rsidR="00D46993" w:rsidRPr="00175AC2">
        <w:t xml:space="preserve">, </w:t>
      </w:r>
      <w:r w:rsidRPr="00175AC2">
        <w:t xml:space="preserve">Botswana, Brazil, Brunei, Burkina Faso, Burundi, Cambodia, Cameroon, </w:t>
      </w:r>
      <w:r w:rsidR="00530598" w:rsidRPr="004E4E68">
        <w:t>Capo</w:t>
      </w:r>
      <w:r w:rsidR="00722044">
        <w:t> </w:t>
      </w:r>
      <w:r w:rsidRPr="00175AC2">
        <w:t xml:space="preserve">Verde, Central African Republic, Chad, Chile, Colombia, Congo, Costa Rica, </w:t>
      </w:r>
      <w:r w:rsidR="00175AC2" w:rsidRPr="00722044">
        <w:t>Côte d'Ivoire</w:t>
      </w:r>
      <w:r w:rsidR="00530598" w:rsidRPr="00175AC2">
        <w:t xml:space="preserve">, </w:t>
      </w:r>
      <w:r w:rsidRPr="00175AC2">
        <w:t>Cuba, Democratic Republic of the Congo, Djibouti, Dominica, Dominican Republic, Ecuador, Egypt, El</w:t>
      </w:r>
      <w:r w:rsidR="00722044">
        <w:t> </w:t>
      </w:r>
      <w:r w:rsidRPr="00175AC2">
        <w:t>Salvador, Fiji, Gabon Gambia, Georgia, Ghana, Grenada, Guatemala, Guinea, Guinea</w:t>
      </w:r>
      <w:r w:rsidR="00D46993" w:rsidRPr="00175AC2">
        <w:noBreakHyphen/>
      </w:r>
      <w:r w:rsidRPr="00175AC2">
        <w:t>Bissau, Guyana, Haiti, Honduras, Hong Kong, Hungary, Indonesia, Jamaica, Jordan, Kenya, Kyrgyzstan, Laos, Lesotho, Macau, Madagascar, Malawi, Malaysia, Maldives, Mali, Mauritania, Mauritius, Mexico, Moldova, Mongolia, Montenegro, Morocco, Mozambique, Myanmar, Namibia, Nepal, Nicaragua, Niger, Nigeria, Pakistan, Panama, Papua New Guinea, Paraguay, Peru, Philippines, Rwanda, Saint</w:t>
      </w:r>
      <w:r w:rsidR="00722044">
        <w:t> </w:t>
      </w:r>
      <w:r w:rsidRPr="00175AC2">
        <w:t>Kitts and Nevis, Saint Lucia, Saint Vincent and the Grenadines, Samoa, Senegal, Sierra Leone, Solomon Islands, South Africa, Sri Lanka, Suriname</w:t>
      </w:r>
      <w:r w:rsidR="00D46993" w:rsidRPr="00175AC2">
        <w:t>,</w:t>
      </w:r>
      <w:r w:rsidR="001C01FD">
        <w:t xml:space="preserve"> Chinese Taipei</w:t>
      </w:r>
      <w:r w:rsidRPr="00175AC2">
        <w:t>, Tajikistan, Tanzania, Thailand, Togo, Tonga, Trinidad and Tobago, Tunisia</w:t>
      </w:r>
      <w:r w:rsidR="00D46993" w:rsidRPr="00175AC2">
        <w:t xml:space="preserve">, </w:t>
      </w:r>
      <w:r w:rsidRPr="00175AC2">
        <w:t xml:space="preserve">Uganda, Ukraine, Uruguay, Vanuatu, Venezuela, </w:t>
      </w:r>
      <w:r w:rsidRPr="004E4E68">
        <w:t>Vietnam</w:t>
      </w:r>
      <w:r w:rsidRPr="00175AC2">
        <w:t>, Yemen, Zambia, Zimbabwe.</w:t>
      </w:r>
    </w:p>
    <w:p w14:paraId="7348D26F" w14:textId="4BBDF42B" w:rsidR="00722044" w:rsidRDefault="00722044" w:rsidP="00722044"/>
    <w:p w14:paraId="514CFB99" w14:textId="115CFE97" w:rsidR="00722044" w:rsidRPr="00722044" w:rsidRDefault="00722044" w:rsidP="00722044">
      <w:pPr>
        <w:jc w:val="center"/>
      </w:pPr>
      <w:r>
        <w:rPr>
          <w:b/>
        </w:rPr>
        <w:t>__________</w:t>
      </w:r>
    </w:p>
    <w:sectPr w:rsidR="00722044" w:rsidRPr="00722044" w:rsidSect="0087085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3"/>
    </wne:keymap>
    <wne:keymap wne:kcmPrimary="0650">
      <wne:fci wne:fciName="FormatParagraph" wne:swArg="0000"/>
    </wne:keymap>
    <wne:keymap wne:kcmPrimary="0679">
      <wne:acd wne:acdName="acd0"/>
    </wne:keymap>
    <wne:keymap wne:kcmPrimary="067A">
      <wne:acd wne:acdName="acd1"/>
    </wne:keymap>
    <wne:keymap wne:kcmPrimary="067B">
      <wne:acd wne:acdName="acd2"/>
    </wne:keymap>
  </wne:keymaps>
  <wne:toolbars>
    <wne:acdManifest>
      <wne:acdEntry wne:acdName="acd0"/>
      <wne:acdEntry wne:acdName="acd1"/>
      <wne:acdEntry wne:acdName="acd2"/>
      <wne:acdEntry wne:acdName="acd3"/>
    </wne:acdManifest>
  </wne:toolbars>
  <wne:acds>
    <wne:acd wne:argValue="AgBUAGkAdABsAGUAIAAyAA==" wne:acdName="acd0" wne:fciIndexBasedOn="0065"/>
    <wne:acd wne:argValue="AgBUAGkAdABsAGUAIAAzAA==" wne:acdName="acd1" wne:fciIndexBasedOn="0065"/>
    <wne:acd wne:argValue="AgBUAGkAdABsAGUAIABDAG8AdQBuAHQAcgB5A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73DF" w14:textId="77777777" w:rsidR="007F7BEC" w:rsidRPr="00175AC2" w:rsidRDefault="007F7BEC" w:rsidP="00ED54E0">
      <w:r w:rsidRPr="00175AC2">
        <w:separator/>
      </w:r>
    </w:p>
  </w:endnote>
  <w:endnote w:type="continuationSeparator" w:id="0">
    <w:p w14:paraId="5F8BEFF8" w14:textId="77777777" w:rsidR="007F7BEC" w:rsidRPr="00175AC2" w:rsidRDefault="007F7BEC" w:rsidP="00ED54E0">
      <w:r w:rsidRPr="00175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78B0" w14:textId="14902B5F" w:rsidR="00544326" w:rsidRPr="00175AC2" w:rsidRDefault="00870857" w:rsidP="0087085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9624" w14:textId="7F30841E" w:rsidR="00544326" w:rsidRPr="00175AC2" w:rsidRDefault="00870857" w:rsidP="0087085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F897" w14:textId="62301F8B" w:rsidR="00FC4C93" w:rsidRPr="00870857" w:rsidRDefault="00870857" w:rsidP="0087085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63AF" w14:textId="77777777" w:rsidR="007F7BEC" w:rsidRPr="00175AC2" w:rsidRDefault="007F7BEC" w:rsidP="00ED54E0">
      <w:r w:rsidRPr="00175AC2">
        <w:separator/>
      </w:r>
    </w:p>
  </w:footnote>
  <w:footnote w:type="continuationSeparator" w:id="0">
    <w:p w14:paraId="64C5438E" w14:textId="77777777" w:rsidR="007F7BEC" w:rsidRPr="00175AC2" w:rsidRDefault="007F7BEC" w:rsidP="00ED54E0">
      <w:r w:rsidRPr="00175A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69B9" w14:textId="77777777" w:rsidR="00870857" w:rsidRPr="00870857" w:rsidRDefault="00870857" w:rsidP="00870857">
    <w:pPr>
      <w:pStyle w:val="Header"/>
      <w:spacing w:after="240"/>
      <w:jc w:val="center"/>
    </w:pPr>
    <w:r w:rsidRPr="00870857">
      <w:t>G/SG/N/8/ARE/3/Suppl.1 • G/SG/N/8/BHR/3/Suppl.1 • G/SG/N/8/KWT/3/Suppl.1 • G/SG/N/8/OMN/3/Suppl.1 • • G/SG/N/8/QAT/3/Suppl.1 • G/SG/N/8/SAU/3/Suppl.1 • G/SG/N/10/ARE/3 • G/SG/N/10/BHR/3 • G/SG/N/10/KWT/3 • G/SG/N/10/OMN/3 • G/SG/N/10/QAT/3 • G/SG/N/10/SAU/3 • G/SG/N/11/ARE/4 • G/SG/N/11/BHR/4 • G/SG/N/11/KWT/4 • G/SG/N/11/OMN/4 • G/SG/N/11/QAT/4 • G/SG/N/11/SAU/4</w:t>
    </w:r>
  </w:p>
  <w:p w14:paraId="7A3EA0F7" w14:textId="77777777" w:rsidR="00870857" w:rsidRPr="00870857" w:rsidRDefault="00870857" w:rsidP="00870857">
    <w:pPr>
      <w:pStyle w:val="Header"/>
      <w:pBdr>
        <w:bottom w:val="single" w:sz="4" w:space="1" w:color="auto"/>
      </w:pBdr>
      <w:jc w:val="center"/>
    </w:pPr>
    <w:r w:rsidRPr="00870857">
      <w:t xml:space="preserve">- </w:t>
    </w:r>
    <w:r w:rsidRPr="00870857">
      <w:fldChar w:fldCharType="begin"/>
    </w:r>
    <w:r w:rsidRPr="00870857">
      <w:instrText xml:space="preserve"> PAGE  \* Arabic  \* MERGEFORMAT </w:instrText>
    </w:r>
    <w:r w:rsidRPr="00870857">
      <w:fldChar w:fldCharType="separate"/>
    </w:r>
    <w:r w:rsidRPr="00870857">
      <w:t>1</w:t>
    </w:r>
    <w:r w:rsidRPr="00870857">
      <w:fldChar w:fldCharType="end"/>
    </w:r>
    <w:r w:rsidRPr="0087085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B050" w14:textId="6510E3D8" w:rsidR="00870857" w:rsidRPr="00870857" w:rsidRDefault="00870857" w:rsidP="00870857">
    <w:pPr>
      <w:pStyle w:val="Header"/>
      <w:spacing w:after="240"/>
      <w:jc w:val="center"/>
    </w:pPr>
    <w:r w:rsidRPr="00870857">
      <w:t>G/SG/N/8/ARE/3/Suppl.1 • G/SG/N/8/BHR/3/Suppl.1 • G/SG/N/8/KWT/3/Suppl.1 • G/SG/N/8/OMN/3/Suppl.1 • G/SG/N/8/QAT/3/Suppl.1 • G/SG/N/8/SAU/3/Suppl.1 • G/SG/N/10/ARE/3 • G/SG/N/10/BHR/3 • G/SG/N/10/KWT/3 • G/SG/N/10/OMN/3 • G/SG/N/10/QAT/3 • G/SG/N/10/SAU/3 • G/SG/N/11/ARE/4 • G/SG/N/11/BHR/4 • G/SG/N/11/KWT/4 • G/SG/N/11/OMN/4 • G/SG/N/11/QAT/4 • G/SG/N/11/SAU/4</w:t>
    </w:r>
  </w:p>
  <w:p w14:paraId="0329B0A7" w14:textId="77777777" w:rsidR="00870857" w:rsidRPr="00870857" w:rsidRDefault="00870857" w:rsidP="00870857">
    <w:pPr>
      <w:pStyle w:val="Header"/>
      <w:pBdr>
        <w:bottom w:val="single" w:sz="4" w:space="1" w:color="auto"/>
      </w:pBdr>
      <w:spacing w:after="240"/>
      <w:jc w:val="center"/>
    </w:pPr>
    <w:r w:rsidRPr="00870857">
      <w:t xml:space="preserve">- </w:t>
    </w:r>
    <w:r w:rsidRPr="00870857">
      <w:fldChar w:fldCharType="begin"/>
    </w:r>
    <w:r w:rsidRPr="00870857">
      <w:instrText xml:space="preserve"> PAGE  \* Arabic  \* MERGEFORMAT </w:instrText>
    </w:r>
    <w:r w:rsidRPr="00870857">
      <w:fldChar w:fldCharType="separate"/>
    </w:r>
    <w:r w:rsidRPr="00870857">
      <w:t>1</w:t>
    </w:r>
    <w:r w:rsidRPr="00870857">
      <w:fldChar w:fldCharType="end"/>
    </w:r>
    <w:r w:rsidRPr="008708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70857" w:rsidRPr="00870857" w14:paraId="5311E44F" w14:textId="77777777" w:rsidTr="00870857">
      <w:trPr>
        <w:trHeight w:val="240"/>
        <w:jc w:val="center"/>
      </w:trPr>
      <w:tc>
        <w:tcPr>
          <w:tcW w:w="2053" w:type="pct"/>
          <w:shd w:val="clear" w:color="auto" w:fill="auto"/>
          <w:tcMar>
            <w:left w:w="108" w:type="dxa"/>
            <w:right w:w="108" w:type="dxa"/>
          </w:tcMar>
          <w:vAlign w:val="center"/>
        </w:tcPr>
        <w:p w14:paraId="0DDE7E68" w14:textId="77777777" w:rsidR="00870857" w:rsidRPr="00870857" w:rsidRDefault="00870857" w:rsidP="00870857">
          <w:pPr>
            <w:rPr>
              <w:rFonts w:eastAsia="Verdana" w:cs="Verdana"/>
              <w:noProof/>
              <w:szCs w:val="18"/>
              <w:lang w:eastAsia="en-GB"/>
            </w:rPr>
          </w:pPr>
          <w:bookmarkStart w:id="0" w:name="bmkRestricted" w:colFirst="1" w:colLast="1"/>
          <w:bookmarkStart w:id="1" w:name="bmkMasthead"/>
        </w:p>
      </w:tc>
      <w:tc>
        <w:tcPr>
          <w:tcW w:w="2947" w:type="pct"/>
          <w:gridSpan w:val="2"/>
          <w:shd w:val="clear" w:color="auto" w:fill="auto"/>
          <w:tcMar>
            <w:left w:w="108" w:type="dxa"/>
            <w:right w:w="108" w:type="dxa"/>
          </w:tcMar>
          <w:vAlign w:val="center"/>
        </w:tcPr>
        <w:p w14:paraId="2BA42450" w14:textId="77777777" w:rsidR="00870857" w:rsidRPr="00870857" w:rsidRDefault="00870857" w:rsidP="00870857">
          <w:pPr>
            <w:jc w:val="right"/>
            <w:rPr>
              <w:rFonts w:eastAsia="Verdana" w:cs="Verdana"/>
              <w:b/>
              <w:color w:val="FF0000"/>
              <w:szCs w:val="18"/>
            </w:rPr>
          </w:pPr>
        </w:p>
      </w:tc>
    </w:tr>
    <w:tr w:rsidR="00870857" w:rsidRPr="00870857" w14:paraId="4334B858" w14:textId="77777777" w:rsidTr="00870857">
      <w:trPr>
        <w:trHeight w:val="213"/>
        <w:jc w:val="center"/>
      </w:trPr>
      <w:tc>
        <w:tcPr>
          <w:tcW w:w="2053" w:type="pct"/>
          <w:vMerge w:val="restart"/>
          <w:shd w:val="clear" w:color="auto" w:fill="auto"/>
          <w:tcMar>
            <w:left w:w="0" w:type="dxa"/>
            <w:right w:w="0" w:type="dxa"/>
          </w:tcMar>
        </w:tcPr>
        <w:p w14:paraId="70707CF8" w14:textId="0ABAC9A5" w:rsidR="00870857" w:rsidRPr="00870857" w:rsidRDefault="00870857" w:rsidP="00870857">
          <w:pPr>
            <w:jc w:val="left"/>
            <w:rPr>
              <w:rFonts w:eastAsia="Verdana" w:cs="Verdana"/>
              <w:szCs w:val="18"/>
            </w:rPr>
          </w:pPr>
          <w:bookmarkStart w:id="2" w:name="bmkLogo" w:colFirst="0" w:colLast="0"/>
          <w:bookmarkEnd w:id="0"/>
          <w:r w:rsidRPr="00870857">
            <w:rPr>
              <w:rFonts w:eastAsia="Verdana" w:cs="Verdana"/>
              <w:noProof/>
              <w:szCs w:val="18"/>
            </w:rPr>
            <w:drawing>
              <wp:inline distT="0" distB="0" distL="0" distR="0" wp14:anchorId="3AD66C59" wp14:editId="6CE22376">
                <wp:extent cx="2415600" cy="720000"/>
                <wp:effectExtent l="0" t="0" r="3810" b="444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267720DE" w14:textId="77777777" w:rsidR="00870857" w:rsidRPr="00870857" w:rsidRDefault="00870857" w:rsidP="00870857">
          <w:pPr>
            <w:jc w:val="right"/>
            <w:rPr>
              <w:rFonts w:eastAsia="Verdana" w:cs="Verdana"/>
              <w:b/>
              <w:szCs w:val="18"/>
            </w:rPr>
          </w:pPr>
        </w:p>
      </w:tc>
    </w:tr>
    <w:tr w:rsidR="00870857" w:rsidRPr="00870857" w14:paraId="299BEB6B" w14:textId="77777777" w:rsidTr="00870857">
      <w:trPr>
        <w:trHeight w:val="868"/>
        <w:jc w:val="center"/>
      </w:trPr>
      <w:tc>
        <w:tcPr>
          <w:tcW w:w="2053" w:type="pct"/>
          <w:vMerge/>
          <w:shd w:val="clear" w:color="auto" w:fill="auto"/>
          <w:tcMar>
            <w:left w:w="108" w:type="dxa"/>
            <w:right w:w="108" w:type="dxa"/>
          </w:tcMar>
        </w:tcPr>
        <w:p w14:paraId="5890DDAF" w14:textId="77777777" w:rsidR="00870857" w:rsidRPr="00870857" w:rsidRDefault="00870857" w:rsidP="00870857">
          <w:pPr>
            <w:jc w:val="left"/>
            <w:rPr>
              <w:rFonts w:eastAsia="Verdana" w:cs="Verdana"/>
              <w:noProof/>
              <w:szCs w:val="18"/>
              <w:lang w:eastAsia="en-GB"/>
            </w:rPr>
          </w:pPr>
          <w:bookmarkStart w:id="3" w:name="bmkSymbols" w:colFirst="1" w:colLast="1"/>
          <w:bookmarkEnd w:id="2"/>
        </w:p>
      </w:tc>
      <w:tc>
        <w:tcPr>
          <w:tcW w:w="2947" w:type="pct"/>
          <w:gridSpan w:val="2"/>
          <w:shd w:val="clear" w:color="auto" w:fill="auto"/>
          <w:tcMar>
            <w:left w:w="108" w:type="dxa"/>
            <w:right w:w="108" w:type="dxa"/>
          </w:tcMar>
        </w:tcPr>
        <w:p w14:paraId="48957AFC" w14:textId="1E7B1E9A" w:rsidR="00870857" w:rsidRPr="00870857" w:rsidRDefault="00870857" w:rsidP="00FE226A">
          <w:pPr>
            <w:spacing w:after="240"/>
            <w:jc w:val="right"/>
            <w:rPr>
              <w:rFonts w:eastAsia="Verdana" w:cs="Verdana"/>
              <w:b/>
              <w:szCs w:val="18"/>
            </w:rPr>
          </w:pPr>
          <w:r w:rsidRPr="00870857">
            <w:rPr>
              <w:b/>
              <w:szCs w:val="18"/>
            </w:rPr>
            <w:t>G/SG/N/8/ARE/3/Suppl.1, G/SG/N/8/BHR/3/Suppl.1</w:t>
          </w:r>
          <w:r w:rsidR="00C64181">
            <w:rPr>
              <w:b/>
              <w:szCs w:val="18"/>
            </w:rPr>
            <w:t>,</w:t>
          </w:r>
          <w:r w:rsidRPr="00870857">
            <w:rPr>
              <w:b/>
              <w:szCs w:val="18"/>
            </w:rPr>
            <w:br/>
            <w:t>G/SG/N/8/KWT/3/Suppl.1, G/SG/N/8/OMN/3/Suppl.1,</w:t>
          </w:r>
          <w:r w:rsidRPr="00870857">
            <w:rPr>
              <w:b/>
              <w:szCs w:val="18"/>
            </w:rPr>
            <w:br/>
            <w:t>G/SG/N/8/QAT/3/Suppl.1, G/SG/N/8/SAU/3/Suppl.1, G/SG/N/10/ARE/3, G/SG/N/10/BHR/3, G/SG/N/10/KWT/3, G/SG/N/10/OMN/3, G/SG/N/10/QAT/3, G/SG/N/10/SAU/3, G/SG/N/11/ARE/4, G/SG/N/11/BHR/4, G/SG/N/11/KWT/4, G/SG/N/11/OMN/4, G/SG/N/11/QAT/4, G/SG/N/11/SAU/4</w:t>
          </w:r>
        </w:p>
      </w:tc>
    </w:tr>
    <w:tr w:rsidR="00870857" w:rsidRPr="00870857" w14:paraId="3D0AA5CA" w14:textId="77777777" w:rsidTr="00870857">
      <w:trPr>
        <w:trHeight w:val="240"/>
        <w:jc w:val="center"/>
      </w:trPr>
      <w:tc>
        <w:tcPr>
          <w:tcW w:w="2053" w:type="pct"/>
          <w:vMerge/>
          <w:shd w:val="clear" w:color="auto" w:fill="auto"/>
          <w:tcMar>
            <w:left w:w="108" w:type="dxa"/>
            <w:right w:w="108" w:type="dxa"/>
          </w:tcMar>
          <w:vAlign w:val="center"/>
        </w:tcPr>
        <w:p w14:paraId="5DA3217D" w14:textId="77777777" w:rsidR="00870857" w:rsidRPr="00870857" w:rsidRDefault="00870857" w:rsidP="00870857">
          <w:pPr>
            <w:rPr>
              <w:rFonts w:eastAsia="Verdana" w:cs="Verdana"/>
              <w:szCs w:val="18"/>
            </w:rPr>
          </w:pPr>
          <w:bookmarkStart w:id="4" w:name="bmkDate" w:colFirst="1" w:colLast="1"/>
          <w:bookmarkEnd w:id="3"/>
        </w:p>
      </w:tc>
      <w:tc>
        <w:tcPr>
          <w:tcW w:w="2947" w:type="pct"/>
          <w:gridSpan w:val="2"/>
          <w:shd w:val="clear" w:color="auto" w:fill="auto"/>
          <w:tcMar>
            <w:left w:w="108" w:type="dxa"/>
            <w:right w:w="108" w:type="dxa"/>
          </w:tcMar>
          <w:vAlign w:val="center"/>
        </w:tcPr>
        <w:p w14:paraId="5648AC66" w14:textId="26482533" w:rsidR="00870857" w:rsidRPr="00870857" w:rsidRDefault="00870857" w:rsidP="00870857">
          <w:pPr>
            <w:jc w:val="right"/>
            <w:rPr>
              <w:rFonts w:eastAsia="Verdana" w:cs="Verdana"/>
              <w:szCs w:val="18"/>
            </w:rPr>
          </w:pPr>
          <w:r w:rsidRPr="00870857">
            <w:rPr>
              <w:rFonts w:eastAsia="Verdana" w:cs="Verdana"/>
              <w:szCs w:val="18"/>
            </w:rPr>
            <w:t>1</w:t>
          </w:r>
          <w:r w:rsidR="004E4E68">
            <w:rPr>
              <w:rFonts w:eastAsia="Verdana" w:cs="Verdana"/>
              <w:szCs w:val="18"/>
            </w:rPr>
            <w:t>2</w:t>
          </w:r>
          <w:r w:rsidRPr="00870857">
            <w:rPr>
              <w:rFonts w:eastAsia="Verdana" w:cs="Verdana"/>
              <w:szCs w:val="18"/>
            </w:rPr>
            <w:t> May 2021</w:t>
          </w:r>
        </w:p>
      </w:tc>
    </w:tr>
    <w:tr w:rsidR="00870857" w:rsidRPr="00870857" w14:paraId="35B110BA" w14:textId="77777777" w:rsidTr="0087085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C86FCF7" w14:textId="03556063" w:rsidR="00870857" w:rsidRPr="00870857" w:rsidRDefault="00870857" w:rsidP="00870857">
          <w:pPr>
            <w:jc w:val="left"/>
            <w:rPr>
              <w:rFonts w:eastAsia="Verdana" w:cs="Verdana"/>
              <w:b/>
              <w:szCs w:val="18"/>
            </w:rPr>
          </w:pPr>
          <w:bookmarkStart w:id="5" w:name="bmkSerial" w:colFirst="0" w:colLast="0"/>
          <w:bookmarkStart w:id="6" w:name="bmkTotPages" w:colFirst="1" w:colLast="1"/>
          <w:bookmarkEnd w:id="4"/>
          <w:r w:rsidRPr="00870857">
            <w:rPr>
              <w:rFonts w:eastAsia="Verdana" w:cs="Verdana"/>
              <w:color w:val="FF0000"/>
              <w:szCs w:val="18"/>
            </w:rPr>
            <w:t>(21</w:t>
          </w:r>
          <w:r w:rsidRPr="00870857">
            <w:rPr>
              <w:rFonts w:eastAsia="Verdana" w:cs="Verdana"/>
              <w:color w:val="FF0000"/>
              <w:szCs w:val="18"/>
            </w:rPr>
            <w:noBreakHyphen/>
          </w:r>
          <w:r w:rsidR="0056040E">
            <w:rPr>
              <w:rFonts w:eastAsia="Verdana" w:cs="Verdana"/>
              <w:color w:val="FF0000"/>
              <w:szCs w:val="18"/>
            </w:rPr>
            <w:t>4057</w:t>
          </w:r>
          <w:r w:rsidRPr="0087085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1A36D9E" w14:textId="4CEE5695" w:rsidR="00870857" w:rsidRPr="00870857" w:rsidRDefault="00870857" w:rsidP="00870857">
          <w:pPr>
            <w:jc w:val="right"/>
            <w:rPr>
              <w:rFonts w:eastAsia="Verdana" w:cs="Verdana"/>
              <w:szCs w:val="18"/>
            </w:rPr>
          </w:pPr>
          <w:r w:rsidRPr="00870857">
            <w:rPr>
              <w:rFonts w:eastAsia="Verdana" w:cs="Verdana"/>
              <w:szCs w:val="18"/>
            </w:rPr>
            <w:t xml:space="preserve">Page: </w:t>
          </w:r>
          <w:r w:rsidRPr="00870857">
            <w:rPr>
              <w:rFonts w:eastAsia="Verdana" w:cs="Verdana"/>
              <w:szCs w:val="18"/>
            </w:rPr>
            <w:fldChar w:fldCharType="begin"/>
          </w:r>
          <w:r w:rsidRPr="00870857">
            <w:rPr>
              <w:rFonts w:eastAsia="Verdana" w:cs="Verdana"/>
              <w:szCs w:val="18"/>
            </w:rPr>
            <w:instrText xml:space="preserve"> PAGE  \* Arabic  \* MERGEFORMAT </w:instrText>
          </w:r>
          <w:r w:rsidRPr="00870857">
            <w:rPr>
              <w:rFonts w:eastAsia="Verdana" w:cs="Verdana"/>
              <w:szCs w:val="18"/>
            </w:rPr>
            <w:fldChar w:fldCharType="separate"/>
          </w:r>
          <w:r w:rsidRPr="00870857">
            <w:rPr>
              <w:rFonts w:eastAsia="Verdana" w:cs="Verdana"/>
              <w:noProof/>
              <w:szCs w:val="18"/>
            </w:rPr>
            <w:t>1</w:t>
          </w:r>
          <w:r w:rsidRPr="00870857">
            <w:rPr>
              <w:rFonts w:eastAsia="Verdana" w:cs="Verdana"/>
              <w:szCs w:val="18"/>
            </w:rPr>
            <w:fldChar w:fldCharType="end"/>
          </w:r>
          <w:r w:rsidRPr="00870857">
            <w:rPr>
              <w:rFonts w:eastAsia="Verdana" w:cs="Verdana"/>
              <w:szCs w:val="18"/>
            </w:rPr>
            <w:t>/</w:t>
          </w:r>
          <w:r w:rsidRPr="00870857">
            <w:rPr>
              <w:rFonts w:eastAsia="Verdana" w:cs="Verdana"/>
              <w:szCs w:val="18"/>
            </w:rPr>
            <w:fldChar w:fldCharType="begin"/>
          </w:r>
          <w:r w:rsidRPr="00870857">
            <w:rPr>
              <w:rFonts w:eastAsia="Verdana" w:cs="Verdana"/>
              <w:szCs w:val="18"/>
            </w:rPr>
            <w:instrText xml:space="preserve"> NUMPAGES  \# "0" \* Arabic  \* MERGEFORMAT </w:instrText>
          </w:r>
          <w:r w:rsidRPr="00870857">
            <w:rPr>
              <w:rFonts w:eastAsia="Verdana" w:cs="Verdana"/>
              <w:szCs w:val="18"/>
            </w:rPr>
            <w:fldChar w:fldCharType="separate"/>
          </w:r>
          <w:r w:rsidRPr="00870857">
            <w:rPr>
              <w:rFonts w:eastAsia="Verdana" w:cs="Verdana"/>
              <w:noProof/>
              <w:szCs w:val="18"/>
            </w:rPr>
            <w:t>5</w:t>
          </w:r>
          <w:r w:rsidRPr="00870857">
            <w:rPr>
              <w:rFonts w:eastAsia="Verdana" w:cs="Verdana"/>
              <w:szCs w:val="18"/>
            </w:rPr>
            <w:fldChar w:fldCharType="end"/>
          </w:r>
        </w:p>
      </w:tc>
    </w:tr>
    <w:tr w:rsidR="00870857" w:rsidRPr="00870857" w14:paraId="0764AAD3" w14:textId="77777777" w:rsidTr="0087085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4DB909A" w14:textId="008C6482" w:rsidR="00870857" w:rsidRPr="00870857" w:rsidRDefault="00870857" w:rsidP="00870857">
          <w:pPr>
            <w:jc w:val="left"/>
            <w:rPr>
              <w:rFonts w:eastAsia="Verdana" w:cs="Verdana"/>
              <w:szCs w:val="18"/>
            </w:rPr>
          </w:pPr>
          <w:bookmarkStart w:id="7" w:name="bmkCommittee" w:colFirst="0" w:colLast="0"/>
          <w:bookmarkStart w:id="8" w:name="bmkLanguage" w:colFirst="1" w:colLast="1"/>
          <w:bookmarkEnd w:id="5"/>
          <w:bookmarkEnd w:id="6"/>
          <w:r w:rsidRPr="00870857">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14:paraId="56474666" w14:textId="3A774B65" w:rsidR="00870857" w:rsidRPr="00870857" w:rsidRDefault="00870857" w:rsidP="00870857">
          <w:pPr>
            <w:jc w:val="right"/>
            <w:rPr>
              <w:rFonts w:eastAsia="Verdana" w:cs="Verdana"/>
              <w:bCs/>
              <w:szCs w:val="18"/>
            </w:rPr>
          </w:pPr>
          <w:r w:rsidRPr="00870857">
            <w:rPr>
              <w:rFonts w:eastAsia="Verdana" w:cs="Verdana"/>
              <w:bCs/>
              <w:szCs w:val="18"/>
            </w:rPr>
            <w:t>Original: English</w:t>
          </w:r>
        </w:p>
      </w:tc>
    </w:tr>
    <w:bookmarkEnd w:id="1"/>
    <w:bookmarkEnd w:id="7"/>
    <w:bookmarkEnd w:id="8"/>
  </w:tbl>
  <w:p w14:paraId="1340B9A4" w14:textId="77777777" w:rsidR="00ED54E0" w:rsidRPr="00870857" w:rsidRDefault="00ED54E0" w:rsidP="0087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3A10C8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4F4B56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0415"/>
    <w:multiLevelType w:val="hybridMultilevel"/>
    <w:tmpl w:val="81A6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7E4716"/>
    <w:multiLevelType w:val="hybridMultilevel"/>
    <w:tmpl w:val="BFCC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20D27AD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C026E872"/>
    <w:numStyleLink w:val="LegalHeadings"/>
  </w:abstractNum>
  <w:abstractNum w:abstractNumId="15" w15:restartNumberingAfterBreak="0">
    <w:nsid w:val="57551E12"/>
    <w:multiLevelType w:val="multilevel"/>
    <w:tmpl w:val="C026E87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2E"/>
    <w:rsid w:val="00004490"/>
    <w:rsid w:val="000106B9"/>
    <w:rsid w:val="000272F6"/>
    <w:rsid w:val="00037AC4"/>
    <w:rsid w:val="000423BF"/>
    <w:rsid w:val="00055216"/>
    <w:rsid w:val="0006347C"/>
    <w:rsid w:val="000850FD"/>
    <w:rsid w:val="0009229E"/>
    <w:rsid w:val="000A4945"/>
    <w:rsid w:val="000B31E1"/>
    <w:rsid w:val="0011356B"/>
    <w:rsid w:val="00123307"/>
    <w:rsid w:val="00124379"/>
    <w:rsid w:val="0013337F"/>
    <w:rsid w:val="00134545"/>
    <w:rsid w:val="00155A47"/>
    <w:rsid w:val="0017459F"/>
    <w:rsid w:val="00175AC2"/>
    <w:rsid w:val="00182B84"/>
    <w:rsid w:val="00191C65"/>
    <w:rsid w:val="00194760"/>
    <w:rsid w:val="001C01FD"/>
    <w:rsid w:val="001E291F"/>
    <w:rsid w:val="001E48C2"/>
    <w:rsid w:val="0020301B"/>
    <w:rsid w:val="002039F5"/>
    <w:rsid w:val="00222B02"/>
    <w:rsid w:val="00233408"/>
    <w:rsid w:val="00241001"/>
    <w:rsid w:val="002505D9"/>
    <w:rsid w:val="002517C0"/>
    <w:rsid w:val="0027067B"/>
    <w:rsid w:val="00271402"/>
    <w:rsid w:val="00274703"/>
    <w:rsid w:val="00274D7E"/>
    <w:rsid w:val="002B6A72"/>
    <w:rsid w:val="002F1A23"/>
    <w:rsid w:val="002F6F4E"/>
    <w:rsid w:val="002F7A31"/>
    <w:rsid w:val="003156C6"/>
    <w:rsid w:val="003413B6"/>
    <w:rsid w:val="0034622C"/>
    <w:rsid w:val="003572B4"/>
    <w:rsid w:val="003626CB"/>
    <w:rsid w:val="0038506B"/>
    <w:rsid w:val="003B715F"/>
    <w:rsid w:val="003C7249"/>
    <w:rsid w:val="0044040C"/>
    <w:rsid w:val="00453EAE"/>
    <w:rsid w:val="00455FED"/>
    <w:rsid w:val="00456548"/>
    <w:rsid w:val="00467032"/>
    <w:rsid w:val="0046754A"/>
    <w:rsid w:val="0047202E"/>
    <w:rsid w:val="004B2DD3"/>
    <w:rsid w:val="004C6778"/>
    <w:rsid w:val="004E3D8F"/>
    <w:rsid w:val="004E4E68"/>
    <w:rsid w:val="004F06BA"/>
    <w:rsid w:val="004F203A"/>
    <w:rsid w:val="004F4122"/>
    <w:rsid w:val="00530598"/>
    <w:rsid w:val="005336B8"/>
    <w:rsid w:val="00544326"/>
    <w:rsid w:val="00547B5F"/>
    <w:rsid w:val="0056040E"/>
    <w:rsid w:val="00585C0A"/>
    <w:rsid w:val="005A1A22"/>
    <w:rsid w:val="005B04B9"/>
    <w:rsid w:val="005B68C7"/>
    <w:rsid w:val="005B7054"/>
    <w:rsid w:val="005D5981"/>
    <w:rsid w:val="005F30CB"/>
    <w:rsid w:val="00611233"/>
    <w:rsid w:val="00612644"/>
    <w:rsid w:val="00622180"/>
    <w:rsid w:val="00631046"/>
    <w:rsid w:val="00643A69"/>
    <w:rsid w:val="0065727F"/>
    <w:rsid w:val="00660924"/>
    <w:rsid w:val="00674CCD"/>
    <w:rsid w:val="0067561A"/>
    <w:rsid w:val="006F5826"/>
    <w:rsid w:val="00700181"/>
    <w:rsid w:val="007141CF"/>
    <w:rsid w:val="00722044"/>
    <w:rsid w:val="00727B76"/>
    <w:rsid w:val="00732CCD"/>
    <w:rsid w:val="00745146"/>
    <w:rsid w:val="007577E3"/>
    <w:rsid w:val="00760DB3"/>
    <w:rsid w:val="00767EDD"/>
    <w:rsid w:val="007B3921"/>
    <w:rsid w:val="007E3351"/>
    <w:rsid w:val="007E6507"/>
    <w:rsid w:val="007F2B8E"/>
    <w:rsid w:val="007F32D1"/>
    <w:rsid w:val="007F7BEC"/>
    <w:rsid w:val="00807247"/>
    <w:rsid w:val="0083625E"/>
    <w:rsid w:val="00840C2B"/>
    <w:rsid w:val="00870857"/>
    <w:rsid w:val="008739FD"/>
    <w:rsid w:val="00886D18"/>
    <w:rsid w:val="0089337B"/>
    <w:rsid w:val="00893E85"/>
    <w:rsid w:val="0089547A"/>
    <w:rsid w:val="008D213D"/>
    <w:rsid w:val="008E1DD7"/>
    <w:rsid w:val="008E372C"/>
    <w:rsid w:val="008F5807"/>
    <w:rsid w:val="0092421E"/>
    <w:rsid w:val="00936A18"/>
    <w:rsid w:val="00940F60"/>
    <w:rsid w:val="00970B3B"/>
    <w:rsid w:val="009A664C"/>
    <w:rsid w:val="009A6F54"/>
    <w:rsid w:val="009F133B"/>
    <w:rsid w:val="009F1BE7"/>
    <w:rsid w:val="009F5675"/>
    <w:rsid w:val="00A02553"/>
    <w:rsid w:val="00A36CCB"/>
    <w:rsid w:val="00A407E3"/>
    <w:rsid w:val="00A576EA"/>
    <w:rsid w:val="00A6057A"/>
    <w:rsid w:val="00A74017"/>
    <w:rsid w:val="00A813B3"/>
    <w:rsid w:val="00AA332C"/>
    <w:rsid w:val="00AC27F8"/>
    <w:rsid w:val="00AD4C72"/>
    <w:rsid w:val="00AE2AEE"/>
    <w:rsid w:val="00B00276"/>
    <w:rsid w:val="00B12791"/>
    <w:rsid w:val="00B230EC"/>
    <w:rsid w:val="00B37566"/>
    <w:rsid w:val="00B52738"/>
    <w:rsid w:val="00B56EDC"/>
    <w:rsid w:val="00B631EF"/>
    <w:rsid w:val="00B70AB8"/>
    <w:rsid w:val="00B930C8"/>
    <w:rsid w:val="00BB1F84"/>
    <w:rsid w:val="00BC7195"/>
    <w:rsid w:val="00BD08F9"/>
    <w:rsid w:val="00BE5468"/>
    <w:rsid w:val="00C11EAC"/>
    <w:rsid w:val="00C15F6D"/>
    <w:rsid w:val="00C305D7"/>
    <w:rsid w:val="00C30F2A"/>
    <w:rsid w:val="00C353BB"/>
    <w:rsid w:val="00C43456"/>
    <w:rsid w:val="00C54648"/>
    <w:rsid w:val="00C64181"/>
    <w:rsid w:val="00C65C0C"/>
    <w:rsid w:val="00C808FC"/>
    <w:rsid w:val="00CA09DE"/>
    <w:rsid w:val="00CA5A21"/>
    <w:rsid w:val="00CA7268"/>
    <w:rsid w:val="00CD7D97"/>
    <w:rsid w:val="00CE3EE6"/>
    <w:rsid w:val="00CE4BA1"/>
    <w:rsid w:val="00D000C7"/>
    <w:rsid w:val="00D221B8"/>
    <w:rsid w:val="00D4299C"/>
    <w:rsid w:val="00D46993"/>
    <w:rsid w:val="00D52A9D"/>
    <w:rsid w:val="00D55AAD"/>
    <w:rsid w:val="00D747AE"/>
    <w:rsid w:val="00D9226C"/>
    <w:rsid w:val="00DA20BD"/>
    <w:rsid w:val="00DA71D0"/>
    <w:rsid w:val="00DC60AF"/>
    <w:rsid w:val="00DE50DB"/>
    <w:rsid w:val="00DF6AE1"/>
    <w:rsid w:val="00E16914"/>
    <w:rsid w:val="00E26BF0"/>
    <w:rsid w:val="00E46FD5"/>
    <w:rsid w:val="00E544BB"/>
    <w:rsid w:val="00E56545"/>
    <w:rsid w:val="00E658F1"/>
    <w:rsid w:val="00EA5D4F"/>
    <w:rsid w:val="00EB6C56"/>
    <w:rsid w:val="00EC7DAD"/>
    <w:rsid w:val="00ED1D47"/>
    <w:rsid w:val="00ED54E0"/>
    <w:rsid w:val="00F160C1"/>
    <w:rsid w:val="00F21F9A"/>
    <w:rsid w:val="00F32397"/>
    <w:rsid w:val="00F40595"/>
    <w:rsid w:val="00FA14C7"/>
    <w:rsid w:val="00FA3143"/>
    <w:rsid w:val="00FA5EBC"/>
    <w:rsid w:val="00FB0937"/>
    <w:rsid w:val="00FC4C93"/>
    <w:rsid w:val="00FD224A"/>
    <w:rsid w:val="00FE226A"/>
    <w:rsid w:val="00FE575A"/>
    <w:rsid w:val="00FF4616"/>
    <w:rsid w:val="00FF52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5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C2"/>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175AC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75AC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75AC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75AC2"/>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75AC2"/>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75AC2"/>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75AC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75AC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75AC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75AC2"/>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175AC2"/>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175AC2"/>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175AC2"/>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175AC2"/>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175AC2"/>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175AC2"/>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175AC2"/>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175AC2"/>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175AC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75AC2"/>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175AC2"/>
    <w:pPr>
      <w:numPr>
        <w:ilvl w:val="6"/>
        <w:numId w:val="13"/>
      </w:numPr>
      <w:spacing w:after="240"/>
    </w:pPr>
  </w:style>
  <w:style w:type="character" w:customStyle="1" w:styleId="BodyTextChar">
    <w:name w:val="Body Text Char"/>
    <w:basedOn w:val="DefaultParagraphFont"/>
    <w:link w:val="BodyText"/>
    <w:uiPriority w:val="1"/>
    <w:rsid w:val="00175AC2"/>
    <w:rPr>
      <w:rFonts w:ascii="Verdana" w:hAnsi="Verdana"/>
      <w:sz w:val="18"/>
      <w:lang w:val="en-GB"/>
    </w:rPr>
  </w:style>
  <w:style w:type="paragraph" w:styleId="BodyText2">
    <w:name w:val="Body Text 2"/>
    <w:basedOn w:val="Normal"/>
    <w:link w:val="BodyText2Char"/>
    <w:uiPriority w:val="1"/>
    <w:qFormat/>
    <w:rsid w:val="00175AC2"/>
    <w:pPr>
      <w:numPr>
        <w:ilvl w:val="7"/>
        <w:numId w:val="13"/>
      </w:numPr>
      <w:spacing w:after="240"/>
    </w:pPr>
  </w:style>
  <w:style w:type="character" w:customStyle="1" w:styleId="BodyText2Char">
    <w:name w:val="Body Text 2 Char"/>
    <w:basedOn w:val="DefaultParagraphFont"/>
    <w:link w:val="BodyText2"/>
    <w:uiPriority w:val="1"/>
    <w:rsid w:val="00175AC2"/>
    <w:rPr>
      <w:rFonts w:ascii="Verdana" w:hAnsi="Verdana"/>
      <w:sz w:val="18"/>
      <w:lang w:val="en-GB"/>
    </w:rPr>
  </w:style>
  <w:style w:type="paragraph" w:styleId="BodyText3">
    <w:name w:val="Body Text 3"/>
    <w:basedOn w:val="Normal"/>
    <w:link w:val="BodyText3Char"/>
    <w:uiPriority w:val="1"/>
    <w:qFormat/>
    <w:rsid w:val="00175AC2"/>
    <w:pPr>
      <w:numPr>
        <w:ilvl w:val="8"/>
        <w:numId w:val="13"/>
      </w:numPr>
      <w:spacing w:after="240"/>
    </w:pPr>
    <w:rPr>
      <w:szCs w:val="16"/>
    </w:rPr>
  </w:style>
  <w:style w:type="character" w:customStyle="1" w:styleId="BodyText3Char">
    <w:name w:val="Body Text 3 Char"/>
    <w:basedOn w:val="DefaultParagraphFont"/>
    <w:link w:val="BodyText3"/>
    <w:uiPriority w:val="1"/>
    <w:rsid w:val="00175AC2"/>
    <w:rPr>
      <w:rFonts w:ascii="Verdana" w:hAnsi="Verdana"/>
      <w:sz w:val="18"/>
      <w:szCs w:val="16"/>
      <w:lang w:val="en-GB"/>
    </w:rPr>
  </w:style>
  <w:style w:type="numbering" w:customStyle="1" w:styleId="LegalHeadings">
    <w:name w:val="LegalHeadings"/>
    <w:uiPriority w:val="99"/>
    <w:rsid w:val="00175AC2"/>
    <w:pPr>
      <w:numPr>
        <w:numId w:val="6"/>
      </w:numPr>
    </w:pPr>
  </w:style>
  <w:style w:type="paragraph" w:styleId="ListBullet">
    <w:name w:val="List Bullet"/>
    <w:basedOn w:val="Normal"/>
    <w:uiPriority w:val="1"/>
    <w:rsid w:val="00175AC2"/>
    <w:pPr>
      <w:numPr>
        <w:numId w:val="15"/>
      </w:numPr>
      <w:tabs>
        <w:tab w:val="left" w:pos="567"/>
      </w:tabs>
      <w:spacing w:after="240"/>
      <w:contextualSpacing/>
    </w:pPr>
  </w:style>
  <w:style w:type="paragraph" w:styleId="ListBullet2">
    <w:name w:val="List Bullet 2"/>
    <w:basedOn w:val="Normal"/>
    <w:uiPriority w:val="1"/>
    <w:rsid w:val="00175AC2"/>
    <w:pPr>
      <w:numPr>
        <w:ilvl w:val="1"/>
        <w:numId w:val="15"/>
      </w:numPr>
      <w:tabs>
        <w:tab w:val="left" w:pos="1134"/>
      </w:tabs>
      <w:spacing w:after="240"/>
      <w:contextualSpacing/>
    </w:pPr>
  </w:style>
  <w:style w:type="paragraph" w:styleId="ListBullet3">
    <w:name w:val="List Bullet 3"/>
    <w:basedOn w:val="Normal"/>
    <w:uiPriority w:val="1"/>
    <w:rsid w:val="00175AC2"/>
    <w:pPr>
      <w:numPr>
        <w:ilvl w:val="2"/>
        <w:numId w:val="15"/>
      </w:numPr>
      <w:tabs>
        <w:tab w:val="left" w:pos="1701"/>
      </w:tabs>
      <w:spacing w:after="240"/>
      <w:contextualSpacing/>
    </w:pPr>
  </w:style>
  <w:style w:type="paragraph" w:styleId="ListBullet4">
    <w:name w:val="List Bullet 4"/>
    <w:basedOn w:val="Normal"/>
    <w:uiPriority w:val="1"/>
    <w:rsid w:val="00175AC2"/>
    <w:pPr>
      <w:numPr>
        <w:ilvl w:val="3"/>
        <w:numId w:val="15"/>
      </w:numPr>
      <w:tabs>
        <w:tab w:val="left" w:pos="2268"/>
      </w:tabs>
      <w:spacing w:after="240"/>
      <w:contextualSpacing/>
    </w:pPr>
  </w:style>
  <w:style w:type="paragraph" w:styleId="ListBullet5">
    <w:name w:val="List Bullet 5"/>
    <w:basedOn w:val="Normal"/>
    <w:uiPriority w:val="1"/>
    <w:rsid w:val="00175AC2"/>
    <w:pPr>
      <w:numPr>
        <w:ilvl w:val="4"/>
        <w:numId w:val="15"/>
      </w:numPr>
      <w:tabs>
        <w:tab w:val="left" w:pos="2835"/>
      </w:tabs>
      <w:spacing w:after="240"/>
      <w:contextualSpacing/>
    </w:pPr>
  </w:style>
  <w:style w:type="numbering" w:customStyle="1" w:styleId="ListBullets">
    <w:name w:val="ListBullets"/>
    <w:uiPriority w:val="99"/>
    <w:rsid w:val="00175AC2"/>
    <w:pPr>
      <w:numPr>
        <w:numId w:val="8"/>
      </w:numPr>
    </w:pPr>
  </w:style>
  <w:style w:type="paragraph" w:customStyle="1" w:styleId="Answer">
    <w:name w:val="Answer"/>
    <w:basedOn w:val="Normal"/>
    <w:link w:val="AnswerChar"/>
    <w:uiPriority w:val="6"/>
    <w:qFormat/>
    <w:rsid w:val="00175AC2"/>
    <w:pPr>
      <w:spacing w:after="240"/>
      <w:ind w:left="1077"/>
    </w:pPr>
    <w:rPr>
      <w:rFonts w:eastAsia="Calibri" w:cs="Times New Roman"/>
    </w:rPr>
  </w:style>
  <w:style w:type="character" w:customStyle="1" w:styleId="AnswerChar">
    <w:name w:val="Answer Char"/>
    <w:link w:val="Answer"/>
    <w:uiPriority w:val="6"/>
    <w:rsid w:val="00175AC2"/>
    <w:rPr>
      <w:rFonts w:ascii="Verdana" w:eastAsia="Calibri" w:hAnsi="Verdana" w:cs="Times New Roman"/>
      <w:sz w:val="18"/>
    </w:rPr>
  </w:style>
  <w:style w:type="paragraph" w:styleId="Caption">
    <w:name w:val="caption"/>
    <w:basedOn w:val="Normal"/>
    <w:next w:val="Normal"/>
    <w:uiPriority w:val="6"/>
    <w:qFormat/>
    <w:rsid w:val="00175AC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75AC2"/>
    <w:rPr>
      <w:vertAlign w:val="superscript"/>
      <w:lang w:val="en-GB"/>
    </w:rPr>
  </w:style>
  <w:style w:type="paragraph" w:styleId="FootnoteText">
    <w:name w:val="footnote text"/>
    <w:basedOn w:val="Normal"/>
    <w:link w:val="FootnoteTextChar"/>
    <w:uiPriority w:val="5"/>
    <w:rsid w:val="00175AC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75AC2"/>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175AC2"/>
    <w:rPr>
      <w:szCs w:val="20"/>
    </w:rPr>
  </w:style>
  <w:style w:type="character" w:customStyle="1" w:styleId="EndnoteTextChar">
    <w:name w:val="Endnote Text Char"/>
    <w:link w:val="EndnoteText"/>
    <w:uiPriority w:val="49"/>
    <w:rsid w:val="00175AC2"/>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175AC2"/>
    <w:pPr>
      <w:spacing w:after="240"/>
      <w:ind w:left="720"/>
    </w:pPr>
    <w:rPr>
      <w:rFonts w:eastAsia="Calibri" w:cs="Times New Roman"/>
      <w:i/>
    </w:rPr>
  </w:style>
  <w:style w:type="character" w:customStyle="1" w:styleId="FollowUpChar">
    <w:name w:val="FollowUp Char"/>
    <w:link w:val="FollowUp"/>
    <w:uiPriority w:val="6"/>
    <w:rsid w:val="00175AC2"/>
    <w:rPr>
      <w:rFonts w:ascii="Verdana" w:eastAsia="Calibri" w:hAnsi="Verdana" w:cs="Times New Roman"/>
      <w:i/>
      <w:sz w:val="18"/>
    </w:rPr>
  </w:style>
  <w:style w:type="paragraph" w:styleId="Footer">
    <w:name w:val="footer"/>
    <w:basedOn w:val="Normal"/>
    <w:link w:val="FooterChar"/>
    <w:uiPriority w:val="3"/>
    <w:rsid w:val="00175AC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75AC2"/>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175AC2"/>
    <w:pPr>
      <w:ind w:left="567" w:right="567" w:firstLine="0"/>
    </w:pPr>
  </w:style>
  <w:style w:type="character" w:styleId="FootnoteReference">
    <w:name w:val="footnote reference"/>
    <w:uiPriority w:val="5"/>
    <w:rsid w:val="00175AC2"/>
    <w:rPr>
      <w:vertAlign w:val="superscript"/>
      <w:lang w:val="en-GB"/>
    </w:rPr>
  </w:style>
  <w:style w:type="paragraph" w:styleId="Header">
    <w:name w:val="header"/>
    <w:basedOn w:val="Normal"/>
    <w:link w:val="HeaderChar"/>
    <w:uiPriority w:val="3"/>
    <w:rsid w:val="00175AC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75AC2"/>
    <w:rPr>
      <w:rFonts w:ascii="Verdana" w:eastAsia="Calibri" w:hAnsi="Verdana" w:cs="Times New Roman"/>
      <w:sz w:val="18"/>
      <w:szCs w:val="18"/>
      <w:lang w:eastAsia="en-GB"/>
    </w:rPr>
  </w:style>
  <w:style w:type="paragraph" w:customStyle="1" w:styleId="Quotation">
    <w:name w:val="Quotation"/>
    <w:basedOn w:val="Normal"/>
    <w:uiPriority w:val="5"/>
    <w:qFormat/>
    <w:rsid w:val="00175AC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5AC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75AC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75AC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75AC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5AC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5AC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75AC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75AC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75AC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75AC2"/>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75AC2"/>
    <w:rPr>
      <w:rFonts w:ascii="Tahoma" w:hAnsi="Tahoma" w:cs="Tahoma"/>
      <w:sz w:val="16"/>
      <w:szCs w:val="16"/>
    </w:rPr>
  </w:style>
  <w:style w:type="character" w:customStyle="1" w:styleId="BalloonTextChar">
    <w:name w:val="Balloon Text Char"/>
    <w:basedOn w:val="DefaultParagraphFont"/>
    <w:link w:val="BalloonText"/>
    <w:uiPriority w:val="99"/>
    <w:semiHidden/>
    <w:rsid w:val="00175AC2"/>
    <w:rPr>
      <w:rFonts w:ascii="Tahoma" w:hAnsi="Tahoma" w:cs="Tahoma"/>
      <w:sz w:val="16"/>
      <w:szCs w:val="16"/>
      <w:lang w:val="en-GB"/>
    </w:rPr>
  </w:style>
  <w:style w:type="paragraph" w:styleId="Subtitle">
    <w:name w:val="Subtitle"/>
    <w:basedOn w:val="Normal"/>
    <w:next w:val="Normal"/>
    <w:link w:val="SubtitleChar"/>
    <w:uiPriority w:val="6"/>
    <w:qFormat/>
    <w:rsid w:val="00175AC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75AC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75AC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5AC2"/>
    <w:pPr>
      <w:spacing w:after="240"/>
      <w:outlineLvl w:val="1"/>
    </w:pPr>
    <w:rPr>
      <w:b/>
      <w:color w:val="006283"/>
    </w:rPr>
  </w:style>
  <w:style w:type="paragraph" w:customStyle="1" w:styleId="SummaryText">
    <w:name w:val="SummaryText"/>
    <w:basedOn w:val="Normal"/>
    <w:uiPriority w:val="4"/>
    <w:qFormat/>
    <w:rsid w:val="00175AC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75AC2"/>
    <w:pPr>
      <w:ind w:left="720"/>
      <w:contextualSpacing/>
    </w:pPr>
  </w:style>
  <w:style w:type="table" w:customStyle="1" w:styleId="WTOBox1">
    <w:name w:val="WTOBox1"/>
    <w:basedOn w:val="TableNormal"/>
    <w:uiPriority w:val="99"/>
    <w:rsid w:val="00175AC2"/>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75AC2"/>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75AC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5AC2"/>
    <w:pPr>
      <w:tabs>
        <w:tab w:val="left" w:pos="851"/>
      </w:tabs>
      <w:ind w:left="851" w:hanging="851"/>
      <w:jc w:val="left"/>
    </w:pPr>
    <w:rPr>
      <w:sz w:val="16"/>
    </w:rPr>
  </w:style>
  <w:style w:type="character" w:styleId="Hyperlink">
    <w:name w:val="Hyperlink"/>
    <w:basedOn w:val="DefaultParagraphFont"/>
    <w:uiPriority w:val="9"/>
    <w:unhideWhenUsed/>
    <w:rsid w:val="00175AC2"/>
    <w:rPr>
      <w:color w:val="0000FF" w:themeColor="hyperlink"/>
      <w:u w:val="single"/>
      <w:lang w:val="en-GB"/>
    </w:rPr>
  </w:style>
  <w:style w:type="paragraph" w:styleId="Bibliography">
    <w:name w:val="Bibliography"/>
    <w:basedOn w:val="Normal"/>
    <w:next w:val="Normal"/>
    <w:uiPriority w:val="49"/>
    <w:semiHidden/>
    <w:unhideWhenUsed/>
    <w:rsid w:val="00175AC2"/>
  </w:style>
  <w:style w:type="paragraph" w:styleId="BlockText">
    <w:name w:val="Block Text"/>
    <w:basedOn w:val="Normal"/>
    <w:uiPriority w:val="99"/>
    <w:semiHidden/>
    <w:unhideWhenUsed/>
    <w:rsid w:val="0017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75AC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75AC2"/>
    <w:rPr>
      <w:rFonts w:ascii="Verdana" w:hAnsi="Verdana"/>
      <w:sz w:val="18"/>
      <w:lang w:val="en-GB"/>
    </w:rPr>
  </w:style>
  <w:style w:type="paragraph" w:styleId="BodyTextIndent">
    <w:name w:val="Body Text Indent"/>
    <w:basedOn w:val="Normal"/>
    <w:link w:val="BodyTextIndentChar"/>
    <w:uiPriority w:val="99"/>
    <w:semiHidden/>
    <w:unhideWhenUsed/>
    <w:rsid w:val="00175AC2"/>
    <w:pPr>
      <w:spacing w:after="120"/>
      <w:ind w:left="283"/>
    </w:pPr>
  </w:style>
  <w:style w:type="character" w:customStyle="1" w:styleId="BodyTextIndentChar">
    <w:name w:val="Body Text Indent Char"/>
    <w:basedOn w:val="DefaultParagraphFont"/>
    <w:link w:val="BodyTextIndent"/>
    <w:uiPriority w:val="99"/>
    <w:semiHidden/>
    <w:rsid w:val="00175AC2"/>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175AC2"/>
    <w:pPr>
      <w:spacing w:after="0"/>
      <w:ind w:left="360" w:firstLine="360"/>
    </w:pPr>
  </w:style>
  <w:style w:type="character" w:customStyle="1" w:styleId="BodyTextFirstIndent2Char">
    <w:name w:val="Body Text First Indent 2 Char"/>
    <w:basedOn w:val="BodyTextIndentChar"/>
    <w:link w:val="BodyTextFirstIndent2"/>
    <w:uiPriority w:val="99"/>
    <w:semiHidden/>
    <w:rsid w:val="00175AC2"/>
    <w:rPr>
      <w:rFonts w:ascii="Verdana" w:hAnsi="Verdana"/>
      <w:sz w:val="18"/>
      <w:lang w:val="en-GB"/>
    </w:rPr>
  </w:style>
  <w:style w:type="paragraph" w:styleId="BodyTextIndent2">
    <w:name w:val="Body Text Indent 2"/>
    <w:basedOn w:val="Normal"/>
    <w:link w:val="BodyTextIndent2Char"/>
    <w:uiPriority w:val="99"/>
    <w:semiHidden/>
    <w:unhideWhenUsed/>
    <w:rsid w:val="00175AC2"/>
    <w:pPr>
      <w:spacing w:after="120" w:line="480" w:lineRule="auto"/>
      <w:ind w:left="283"/>
    </w:pPr>
  </w:style>
  <w:style w:type="character" w:customStyle="1" w:styleId="BodyTextIndent2Char">
    <w:name w:val="Body Text Indent 2 Char"/>
    <w:basedOn w:val="DefaultParagraphFont"/>
    <w:link w:val="BodyTextIndent2"/>
    <w:uiPriority w:val="99"/>
    <w:semiHidden/>
    <w:rsid w:val="00175AC2"/>
    <w:rPr>
      <w:rFonts w:ascii="Verdana" w:hAnsi="Verdana"/>
      <w:sz w:val="18"/>
      <w:lang w:val="en-GB"/>
    </w:rPr>
  </w:style>
  <w:style w:type="paragraph" w:styleId="BodyTextIndent3">
    <w:name w:val="Body Text Indent 3"/>
    <w:basedOn w:val="Normal"/>
    <w:link w:val="BodyTextIndent3Char"/>
    <w:uiPriority w:val="99"/>
    <w:semiHidden/>
    <w:unhideWhenUsed/>
    <w:rsid w:val="00175A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5AC2"/>
    <w:rPr>
      <w:rFonts w:ascii="Verdana" w:hAnsi="Verdana"/>
      <w:sz w:val="16"/>
      <w:szCs w:val="16"/>
      <w:lang w:val="en-GB"/>
    </w:rPr>
  </w:style>
  <w:style w:type="character" w:styleId="BookTitle">
    <w:name w:val="Book Title"/>
    <w:basedOn w:val="DefaultParagraphFont"/>
    <w:uiPriority w:val="99"/>
    <w:semiHidden/>
    <w:qFormat/>
    <w:rsid w:val="00175AC2"/>
    <w:rPr>
      <w:b/>
      <w:bCs/>
      <w:smallCaps/>
      <w:spacing w:val="5"/>
      <w:lang w:val="en-GB"/>
    </w:rPr>
  </w:style>
  <w:style w:type="paragraph" w:styleId="Closing">
    <w:name w:val="Closing"/>
    <w:basedOn w:val="Normal"/>
    <w:link w:val="ClosingChar"/>
    <w:uiPriority w:val="99"/>
    <w:semiHidden/>
    <w:unhideWhenUsed/>
    <w:rsid w:val="00175AC2"/>
    <w:pPr>
      <w:ind w:left="4252"/>
    </w:pPr>
  </w:style>
  <w:style w:type="character" w:customStyle="1" w:styleId="ClosingChar">
    <w:name w:val="Closing Char"/>
    <w:basedOn w:val="DefaultParagraphFont"/>
    <w:link w:val="Closing"/>
    <w:uiPriority w:val="99"/>
    <w:semiHidden/>
    <w:rsid w:val="00175AC2"/>
    <w:rPr>
      <w:rFonts w:ascii="Verdana" w:hAnsi="Verdana"/>
      <w:sz w:val="18"/>
      <w:lang w:val="en-GB"/>
    </w:rPr>
  </w:style>
  <w:style w:type="character" w:styleId="CommentReference">
    <w:name w:val="annotation reference"/>
    <w:basedOn w:val="DefaultParagraphFont"/>
    <w:uiPriority w:val="99"/>
    <w:semiHidden/>
    <w:unhideWhenUsed/>
    <w:rsid w:val="00175AC2"/>
    <w:rPr>
      <w:sz w:val="16"/>
      <w:szCs w:val="16"/>
      <w:lang w:val="en-GB"/>
    </w:rPr>
  </w:style>
  <w:style w:type="paragraph" w:styleId="CommentText">
    <w:name w:val="annotation text"/>
    <w:basedOn w:val="Normal"/>
    <w:link w:val="CommentTextChar"/>
    <w:uiPriority w:val="99"/>
    <w:unhideWhenUsed/>
    <w:rsid w:val="00175AC2"/>
    <w:rPr>
      <w:sz w:val="20"/>
      <w:szCs w:val="20"/>
    </w:rPr>
  </w:style>
  <w:style w:type="character" w:customStyle="1" w:styleId="CommentTextChar">
    <w:name w:val="Comment Text Char"/>
    <w:basedOn w:val="DefaultParagraphFont"/>
    <w:link w:val="CommentText"/>
    <w:uiPriority w:val="99"/>
    <w:rsid w:val="00175AC2"/>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175AC2"/>
    <w:rPr>
      <w:b/>
      <w:bCs/>
    </w:rPr>
  </w:style>
  <w:style w:type="character" w:customStyle="1" w:styleId="CommentSubjectChar">
    <w:name w:val="Comment Subject Char"/>
    <w:basedOn w:val="CommentTextChar"/>
    <w:link w:val="CommentSubject"/>
    <w:uiPriority w:val="99"/>
    <w:rsid w:val="00175AC2"/>
    <w:rPr>
      <w:rFonts w:ascii="Verdana" w:hAnsi="Verdana"/>
      <w:b/>
      <w:bCs/>
      <w:sz w:val="20"/>
      <w:szCs w:val="20"/>
      <w:lang w:val="en-GB"/>
    </w:rPr>
  </w:style>
  <w:style w:type="paragraph" w:styleId="Date">
    <w:name w:val="Date"/>
    <w:basedOn w:val="Normal"/>
    <w:next w:val="Normal"/>
    <w:link w:val="DateChar"/>
    <w:uiPriority w:val="99"/>
    <w:semiHidden/>
    <w:unhideWhenUsed/>
    <w:rsid w:val="00175AC2"/>
  </w:style>
  <w:style w:type="character" w:customStyle="1" w:styleId="DateChar">
    <w:name w:val="Date Char"/>
    <w:basedOn w:val="DefaultParagraphFont"/>
    <w:link w:val="Date"/>
    <w:uiPriority w:val="99"/>
    <w:semiHidden/>
    <w:rsid w:val="00175AC2"/>
    <w:rPr>
      <w:rFonts w:ascii="Verdana" w:hAnsi="Verdana"/>
      <w:sz w:val="18"/>
      <w:lang w:val="en-GB"/>
    </w:rPr>
  </w:style>
  <w:style w:type="paragraph" w:styleId="DocumentMap">
    <w:name w:val="Document Map"/>
    <w:basedOn w:val="Normal"/>
    <w:link w:val="DocumentMapChar"/>
    <w:uiPriority w:val="99"/>
    <w:semiHidden/>
    <w:unhideWhenUsed/>
    <w:rsid w:val="00175AC2"/>
    <w:rPr>
      <w:rFonts w:ascii="Tahoma" w:hAnsi="Tahoma" w:cs="Tahoma"/>
      <w:sz w:val="16"/>
      <w:szCs w:val="16"/>
    </w:rPr>
  </w:style>
  <w:style w:type="character" w:customStyle="1" w:styleId="DocumentMapChar">
    <w:name w:val="Document Map Char"/>
    <w:basedOn w:val="DefaultParagraphFont"/>
    <w:link w:val="DocumentMap"/>
    <w:uiPriority w:val="99"/>
    <w:semiHidden/>
    <w:rsid w:val="00175AC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175AC2"/>
  </w:style>
  <w:style w:type="character" w:customStyle="1" w:styleId="E-mailSignatureChar">
    <w:name w:val="E-mail Signature Char"/>
    <w:basedOn w:val="DefaultParagraphFont"/>
    <w:link w:val="E-mailSignature"/>
    <w:uiPriority w:val="99"/>
    <w:semiHidden/>
    <w:rsid w:val="00175AC2"/>
    <w:rPr>
      <w:rFonts w:ascii="Verdana" w:hAnsi="Verdana"/>
      <w:sz w:val="18"/>
      <w:lang w:val="en-GB"/>
    </w:rPr>
  </w:style>
  <w:style w:type="character" w:styleId="Emphasis">
    <w:name w:val="Emphasis"/>
    <w:basedOn w:val="DefaultParagraphFont"/>
    <w:uiPriority w:val="99"/>
    <w:semiHidden/>
    <w:qFormat/>
    <w:rsid w:val="00175AC2"/>
    <w:rPr>
      <w:i/>
      <w:iCs/>
      <w:lang w:val="en-GB"/>
    </w:rPr>
  </w:style>
  <w:style w:type="paragraph" w:styleId="EnvelopeAddress">
    <w:name w:val="envelope address"/>
    <w:basedOn w:val="Normal"/>
    <w:uiPriority w:val="99"/>
    <w:semiHidden/>
    <w:unhideWhenUsed/>
    <w:rsid w:val="00175AC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5AC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75AC2"/>
    <w:rPr>
      <w:color w:val="800080" w:themeColor="followedHyperlink"/>
      <w:u w:val="single"/>
      <w:lang w:val="en-GB"/>
    </w:rPr>
  </w:style>
  <w:style w:type="character" w:styleId="HTMLAcronym">
    <w:name w:val="HTML Acronym"/>
    <w:basedOn w:val="DefaultParagraphFont"/>
    <w:uiPriority w:val="99"/>
    <w:semiHidden/>
    <w:unhideWhenUsed/>
    <w:rsid w:val="00175AC2"/>
    <w:rPr>
      <w:lang w:val="en-GB"/>
    </w:rPr>
  </w:style>
  <w:style w:type="paragraph" w:styleId="HTMLAddress">
    <w:name w:val="HTML Address"/>
    <w:basedOn w:val="Normal"/>
    <w:link w:val="HTMLAddressChar"/>
    <w:uiPriority w:val="99"/>
    <w:semiHidden/>
    <w:unhideWhenUsed/>
    <w:rsid w:val="00175AC2"/>
    <w:rPr>
      <w:i/>
      <w:iCs/>
    </w:rPr>
  </w:style>
  <w:style w:type="character" w:customStyle="1" w:styleId="HTMLAddressChar">
    <w:name w:val="HTML Address Char"/>
    <w:basedOn w:val="DefaultParagraphFont"/>
    <w:link w:val="HTMLAddress"/>
    <w:uiPriority w:val="99"/>
    <w:semiHidden/>
    <w:rsid w:val="00175AC2"/>
    <w:rPr>
      <w:rFonts w:ascii="Verdana" w:hAnsi="Verdana"/>
      <w:i/>
      <w:iCs/>
      <w:sz w:val="18"/>
      <w:lang w:val="en-GB"/>
    </w:rPr>
  </w:style>
  <w:style w:type="character" w:styleId="HTMLCite">
    <w:name w:val="HTML Cite"/>
    <w:basedOn w:val="DefaultParagraphFont"/>
    <w:uiPriority w:val="99"/>
    <w:semiHidden/>
    <w:unhideWhenUsed/>
    <w:rsid w:val="00175AC2"/>
    <w:rPr>
      <w:i/>
      <w:iCs/>
      <w:lang w:val="en-GB"/>
    </w:rPr>
  </w:style>
  <w:style w:type="character" w:styleId="HTMLCode">
    <w:name w:val="HTML Code"/>
    <w:basedOn w:val="DefaultParagraphFont"/>
    <w:uiPriority w:val="99"/>
    <w:semiHidden/>
    <w:unhideWhenUsed/>
    <w:rsid w:val="00175AC2"/>
    <w:rPr>
      <w:rFonts w:ascii="Consolas" w:hAnsi="Consolas" w:cs="Consolas"/>
      <w:sz w:val="20"/>
      <w:szCs w:val="20"/>
      <w:lang w:val="en-GB"/>
    </w:rPr>
  </w:style>
  <w:style w:type="character" w:styleId="HTMLDefinition">
    <w:name w:val="HTML Definition"/>
    <w:basedOn w:val="DefaultParagraphFont"/>
    <w:uiPriority w:val="99"/>
    <w:semiHidden/>
    <w:unhideWhenUsed/>
    <w:rsid w:val="00175AC2"/>
    <w:rPr>
      <w:i/>
      <w:iCs/>
      <w:lang w:val="en-GB"/>
    </w:rPr>
  </w:style>
  <w:style w:type="character" w:styleId="HTMLKeyboard">
    <w:name w:val="HTML Keyboard"/>
    <w:basedOn w:val="DefaultParagraphFont"/>
    <w:uiPriority w:val="99"/>
    <w:semiHidden/>
    <w:unhideWhenUsed/>
    <w:rsid w:val="00175AC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75AC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5AC2"/>
    <w:rPr>
      <w:rFonts w:ascii="Consolas" w:hAnsi="Consolas" w:cs="Consolas"/>
      <w:sz w:val="20"/>
      <w:szCs w:val="20"/>
      <w:lang w:val="en-GB"/>
    </w:rPr>
  </w:style>
  <w:style w:type="character" w:styleId="HTMLSample">
    <w:name w:val="HTML Sample"/>
    <w:basedOn w:val="DefaultParagraphFont"/>
    <w:uiPriority w:val="99"/>
    <w:semiHidden/>
    <w:unhideWhenUsed/>
    <w:rsid w:val="00175AC2"/>
    <w:rPr>
      <w:rFonts w:ascii="Consolas" w:hAnsi="Consolas" w:cs="Consolas"/>
      <w:sz w:val="24"/>
      <w:szCs w:val="24"/>
      <w:lang w:val="en-GB"/>
    </w:rPr>
  </w:style>
  <w:style w:type="character" w:styleId="HTMLTypewriter">
    <w:name w:val="HTML Typewriter"/>
    <w:basedOn w:val="DefaultParagraphFont"/>
    <w:uiPriority w:val="99"/>
    <w:semiHidden/>
    <w:unhideWhenUsed/>
    <w:rsid w:val="00175AC2"/>
    <w:rPr>
      <w:rFonts w:ascii="Consolas" w:hAnsi="Consolas" w:cs="Consolas"/>
      <w:sz w:val="20"/>
      <w:szCs w:val="20"/>
      <w:lang w:val="en-GB"/>
    </w:rPr>
  </w:style>
  <w:style w:type="character" w:styleId="HTMLVariable">
    <w:name w:val="HTML Variable"/>
    <w:basedOn w:val="DefaultParagraphFont"/>
    <w:uiPriority w:val="99"/>
    <w:semiHidden/>
    <w:unhideWhenUsed/>
    <w:rsid w:val="00175AC2"/>
    <w:rPr>
      <w:i/>
      <w:iCs/>
      <w:lang w:val="en-GB"/>
    </w:rPr>
  </w:style>
  <w:style w:type="paragraph" w:styleId="Index1">
    <w:name w:val="index 1"/>
    <w:basedOn w:val="Normal"/>
    <w:next w:val="Normal"/>
    <w:uiPriority w:val="99"/>
    <w:semiHidden/>
    <w:unhideWhenUsed/>
    <w:rsid w:val="00175AC2"/>
    <w:pPr>
      <w:ind w:left="180" w:hanging="180"/>
    </w:pPr>
  </w:style>
  <w:style w:type="paragraph" w:styleId="Index2">
    <w:name w:val="index 2"/>
    <w:basedOn w:val="Normal"/>
    <w:next w:val="Normal"/>
    <w:uiPriority w:val="99"/>
    <w:semiHidden/>
    <w:unhideWhenUsed/>
    <w:rsid w:val="00175AC2"/>
    <w:pPr>
      <w:ind w:left="360" w:hanging="180"/>
    </w:pPr>
  </w:style>
  <w:style w:type="paragraph" w:styleId="Index3">
    <w:name w:val="index 3"/>
    <w:basedOn w:val="Normal"/>
    <w:next w:val="Normal"/>
    <w:uiPriority w:val="99"/>
    <w:semiHidden/>
    <w:unhideWhenUsed/>
    <w:rsid w:val="00175AC2"/>
    <w:pPr>
      <w:ind w:left="540" w:hanging="180"/>
    </w:pPr>
  </w:style>
  <w:style w:type="paragraph" w:styleId="Index4">
    <w:name w:val="index 4"/>
    <w:basedOn w:val="Normal"/>
    <w:next w:val="Normal"/>
    <w:uiPriority w:val="99"/>
    <w:semiHidden/>
    <w:unhideWhenUsed/>
    <w:rsid w:val="00175AC2"/>
    <w:pPr>
      <w:ind w:left="720" w:hanging="180"/>
    </w:pPr>
  </w:style>
  <w:style w:type="paragraph" w:styleId="Index5">
    <w:name w:val="index 5"/>
    <w:basedOn w:val="Normal"/>
    <w:next w:val="Normal"/>
    <w:uiPriority w:val="99"/>
    <w:semiHidden/>
    <w:unhideWhenUsed/>
    <w:rsid w:val="00175AC2"/>
    <w:pPr>
      <w:ind w:left="900" w:hanging="180"/>
    </w:pPr>
  </w:style>
  <w:style w:type="paragraph" w:styleId="Index6">
    <w:name w:val="index 6"/>
    <w:basedOn w:val="Normal"/>
    <w:next w:val="Normal"/>
    <w:uiPriority w:val="99"/>
    <w:semiHidden/>
    <w:unhideWhenUsed/>
    <w:rsid w:val="00175AC2"/>
    <w:pPr>
      <w:ind w:left="1080" w:hanging="180"/>
    </w:pPr>
  </w:style>
  <w:style w:type="paragraph" w:styleId="Index7">
    <w:name w:val="index 7"/>
    <w:basedOn w:val="Normal"/>
    <w:next w:val="Normal"/>
    <w:uiPriority w:val="99"/>
    <w:semiHidden/>
    <w:unhideWhenUsed/>
    <w:rsid w:val="00175AC2"/>
    <w:pPr>
      <w:ind w:left="1260" w:hanging="180"/>
    </w:pPr>
  </w:style>
  <w:style w:type="paragraph" w:styleId="Index8">
    <w:name w:val="index 8"/>
    <w:basedOn w:val="Normal"/>
    <w:next w:val="Normal"/>
    <w:uiPriority w:val="99"/>
    <w:semiHidden/>
    <w:unhideWhenUsed/>
    <w:rsid w:val="00175AC2"/>
    <w:pPr>
      <w:ind w:left="1440" w:hanging="180"/>
    </w:pPr>
  </w:style>
  <w:style w:type="paragraph" w:styleId="Index9">
    <w:name w:val="index 9"/>
    <w:basedOn w:val="Normal"/>
    <w:next w:val="Normal"/>
    <w:uiPriority w:val="99"/>
    <w:semiHidden/>
    <w:unhideWhenUsed/>
    <w:rsid w:val="00175AC2"/>
    <w:pPr>
      <w:ind w:left="1620" w:hanging="180"/>
    </w:pPr>
  </w:style>
  <w:style w:type="paragraph" w:styleId="IndexHeading">
    <w:name w:val="index heading"/>
    <w:basedOn w:val="Normal"/>
    <w:next w:val="Index1"/>
    <w:uiPriority w:val="99"/>
    <w:semiHidden/>
    <w:unhideWhenUsed/>
    <w:rsid w:val="00175AC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75AC2"/>
    <w:rPr>
      <w:b/>
      <w:bCs/>
      <w:i/>
      <w:iCs/>
      <w:color w:val="4F81BD" w:themeColor="accent1"/>
      <w:lang w:val="en-GB"/>
    </w:rPr>
  </w:style>
  <w:style w:type="paragraph" w:styleId="IntenseQuote">
    <w:name w:val="Intense Quote"/>
    <w:basedOn w:val="Normal"/>
    <w:next w:val="Normal"/>
    <w:link w:val="IntenseQuoteChar"/>
    <w:uiPriority w:val="59"/>
    <w:semiHidden/>
    <w:qFormat/>
    <w:rsid w:val="00175A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75AC2"/>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175AC2"/>
    <w:rPr>
      <w:b/>
      <w:bCs/>
      <w:smallCaps/>
      <w:color w:val="C0504D" w:themeColor="accent2"/>
      <w:spacing w:val="5"/>
      <w:u w:val="single"/>
      <w:lang w:val="en-GB"/>
    </w:rPr>
  </w:style>
  <w:style w:type="character" w:styleId="LineNumber">
    <w:name w:val="line number"/>
    <w:basedOn w:val="DefaultParagraphFont"/>
    <w:uiPriority w:val="99"/>
    <w:semiHidden/>
    <w:unhideWhenUsed/>
    <w:rsid w:val="00175AC2"/>
    <w:rPr>
      <w:lang w:val="en-GB"/>
    </w:rPr>
  </w:style>
  <w:style w:type="paragraph" w:styleId="List">
    <w:name w:val="List"/>
    <w:basedOn w:val="Normal"/>
    <w:uiPriority w:val="99"/>
    <w:semiHidden/>
    <w:unhideWhenUsed/>
    <w:rsid w:val="00175AC2"/>
    <w:pPr>
      <w:ind w:left="283" w:hanging="283"/>
      <w:contextualSpacing/>
    </w:pPr>
  </w:style>
  <w:style w:type="paragraph" w:styleId="List2">
    <w:name w:val="List 2"/>
    <w:basedOn w:val="Normal"/>
    <w:uiPriority w:val="99"/>
    <w:semiHidden/>
    <w:unhideWhenUsed/>
    <w:rsid w:val="00175AC2"/>
    <w:pPr>
      <w:ind w:left="566" w:hanging="283"/>
      <w:contextualSpacing/>
    </w:pPr>
  </w:style>
  <w:style w:type="paragraph" w:styleId="List3">
    <w:name w:val="List 3"/>
    <w:basedOn w:val="Normal"/>
    <w:uiPriority w:val="99"/>
    <w:semiHidden/>
    <w:unhideWhenUsed/>
    <w:rsid w:val="00175AC2"/>
    <w:pPr>
      <w:ind w:left="849" w:hanging="283"/>
      <w:contextualSpacing/>
    </w:pPr>
  </w:style>
  <w:style w:type="paragraph" w:styleId="List4">
    <w:name w:val="List 4"/>
    <w:basedOn w:val="Normal"/>
    <w:uiPriority w:val="99"/>
    <w:semiHidden/>
    <w:unhideWhenUsed/>
    <w:rsid w:val="00175AC2"/>
    <w:pPr>
      <w:ind w:left="1132" w:hanging="283"/>
      <w:contextualSpacing/>
    </w:pPr>
  </w:style>
  <w:style w:type="paragraph" w:styleId="List5">
    <w:name w:val="List 5"/>
    <w:basedOn w:val="Normal"/>
    <w:uiPriority w:val="99"/>
    <w:semiHidden/>
    <w:unhideWhenUsed/>
    <w:rsid w:val="00175AC2"/>
    <w:pPr>
      <w:ind w:left="1415" w:hanging="283"/>
      <w:contextualSpacing/>
    </w:pPr>
  </w:style>
  <w:style w:type="paragraph" w:styleId="ListContinue">
    <w:name w:val="List Continue"/>
    <w:basedOn w:val="Normal"/>
    <w:uiPriority w:val="99"/>
    <w:semiHidden/>
    <w:unhideWhenUsed/>
    <w:rsid w:val="00175AC2"/>
    <w:pPr>
      <w:spacing w:after="120"/>
      <w:ind w:left="283"/>
      <w:contextualSpacing/>
    </w:pPr>
  </w:style>
  <w:style w:type="paragraph" w:styleId="ListContinue2">
    <w:name w:val="List Continue 2"/>
    <w:basedOn w:val="Normal"/>
    <w:uiPriority w:val="99"/>
    <w:semiHidden/>
    <w:unhideWhenUsed/>
    <w:rsid w:val="00175AC2"/>
    <w:pPr>
      <w:spacing w:after="120"/>
      <w:ind w:left="566"/>
      <w:contextualSpacing/>
    </w:pPr>
  </w:style>
  <w:style w:type="paragraph" w:styleId="ListContinue3">
    <w:name w:val="List Continue 3"/>
    <w:basedOn w:val="Normal"/>
    <w:uiPriority w:val="99"/>
    <w:semiHidden/>
    <w:unhideWhenUsed/>
    <w:rsid w:val="00175AC2"/>
    <w:pPr>
      <w:spacing w:after="120"/>
      <w:ind w:left="849"/>
      <w:contextualSpacing/>
    </w:pPr>
  </w:style>
  <w:style w:type="paragraph" w:styleId="ListContinue4">
    <w:name w:val="List Continue 4"/>
    <w:basedOn w:val="Normal"/>
    <w:uiPriority w:val="99"/>
    <w:semiHidden/>
    <w:unhideWhenUsed/>
    <w:rsid w:val="00175AC2"/>
    <w:pPr>
      <w:spacing w:after="120"/>
      <w:ind w:left="1132"/>
      <w:contextualSpacing/>
    </w:pPr>
  </w:style>
  <w:style w:type="paragraph" w:styleId="ListContinue5">
    <w:name w:val="List Continue 5"/>
    <w:basedOn w:val="Normal"/>
    <w:uiPriority w:val="99"/>
    <w:semiHidden/>
    <w:unhideWhenUsed/>
    <w:rsid w:val="00175AC2"/>
    <w:pPr>
      <w:spacing w:after="120"/>
      <w:ind w:left="1415"/>
      <w:contextualSpacing/>
    </w:pPr>
  </w:style>
  <w:style w:type="paragraph" w:styleId="ListNumber">
    <w:name w:val="List Number"/>
    <w:basedOn w:val="Normal"/>
    <w:uiPriority w:val="49"/>
    <w:semiHidden/>
    <w:unhideWhenUsed/>
    <w:rsid w:val="00175AC2"/>
    <w:pPr>
      <w:numPr>
        <w:numId w:val="11"/>
      </w:numPr>
      <w:contextualSpacing/>
    </w:pPr>
  </w:style>
  <w:style w:type="paragraph" w:styleId="ListNumber2">
    <w:name w:val="List Number 2"/>
    <w:basedOn w:val="Normal"/>
    <w:uiPriority w:val="49"/>
    <w:semiHidden/>
    <w:unhideWhenUsed/>
    <w:rsid w:val="00175AC2"/>
    <w:pPr>
      <w:numPr>
        <w:numId w:val="12"/>
      </w:numPr>
      <w:contextualSpacing/>
    </w:pPr>
  </w:style>
  <w:style w:type="paragraph" w:styleId="ListNumber3">
    <w:name w:val="List Number 3"/>
    <w:basedOn w:val="Normal"/>
    <w:uiPriority w:val="49"/>
    <w:semiHidden/>
    <w:unhideWhenUsed/>
    <w:rsid w:val="00175AC2"/>
    <w:pPr>
      <w:contextualSpacing/>
    </w:pPr>
  </w:style>
  <w:style w:type="paragraph" w:styleId="ListNumber4">
    <w:name w:val="List Number 4"/>
    <w:basedOn w:val="Normal"/>
    <w:uiPriority w:val="49"/>
    <w:semiHidden/>
    <w:unhideWhenUsed/>
    <w:rsid w:val="00175AC2"/>
    <w:pPr>
      <w:numPr>
        <w:numId w:val="14"/>
      </w:numPr>
      <w:contextualSpacing/>
    </w:pPr>
  </w:style>
  <w:style w:type="paragraph" w:styleId="ListNumber5">
    <w:name w:val="List Number 5"/>
    <w:basedOn w:val="Normal"/>
    <w:uiPriority w:val="49"/>
    <w:semiHidden/>
    <w:unhideWhenUsed/>
    <w:rsid w:val="00175AC2"/>
    <w:pPr>
      <w:contextualSpacing/>
    </w:pPr>
  </w:style>
  <w:style w:type="paragraph" w:styleId="MacroText">
    <w:name w:val="macro"/>
    <w:link w:val="MacroTextChar"/>
    <w:uiPriority w:val="99"/>
    <w:semiHidden/>
    <w:unhideWhenUsed/>
    <w:rsid w:val="00175AC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75AC2"/>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175A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AC2"/>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175AC2"/>
    <w:pPr>
      <w:spacing w:after="0" w:line="240" w:lineRule="auto"/>
      <w:jc w:val="both"/>
    </w:pPr>
    <w:rPr>
      <w:rFonts w:ascii="Verdana" w:hAnsi="Verdana"/>
      <w:sz w:val="18"/>
    </w:rPr>
  </w:style>
  <w:style w:type="paragraph" w:styleId="NormalWeb">
    <w:name w:val="Normal (Web)"/>
    <w:basedOn w:val="Normal"/>
    <w:uiPriority w:val="99"/>
    <w:semiHidden/>
    <w:unhideWhenUsed/>
    <w:rsid w:val="00175AC2"/>
    <w:rPr>
      <w:rFonts w:ascii="Times New Roman" w:hAnsi="Times New Roman" w:cs="Times New Roman"/>
      <w:sz w:val="24"/>
      <w:szCs w:val="24"/>
    </w:rPr>
  </w:style>
  <w:style w:type="paragraph" w:styleId="NormalIndent">
    <w:name w:val="Normal Indent"/>
    <w:basedOn w:val="Normal"/>
    <w:uiPriority w:val="99"/>
    <w:semiHidden/>
    <w:unhideWhenUsed/>
    <w:rsid w:val="00175AC2"/>
    <w:pPr>
      <w:ind w:left="567"/>
    </w:pPr>
  </w:style>
  <w:style w:type="paragraph" w:styleId="NoteHeading">
    <w:name w:val="Note Heading"/>
    <w:basedOn w:val="Normal"/>
    <w:next w:val="Normal"/>
    <w:link w:val="NoteHeadingChar"/>
    <w:uiPriority w:val="99"/>
    <w:semiHidden/>
    <w:unhideWhenUsed/>
    <w:rsid w:val="00175AC2"/>
  </w:style>
  <w:style w:type="character" w:customStyle="1" w:styleId="NoteHeadingChar">
    <w:name w:val="Note Heading Char"/>
    <w:basedOn w:val="DefaultParagraphFont"/>
    <w:link w:val="NoteHeading"/>
    <w:uiPriority w:val="99"/>
    <w:semiHidden/>
    <w:rsid w:val="00175AC2"/>
    <w:rPr>
      <w:rFonts w:ascii="Verdana" w:hAnsi="Verdana"/>
      <w:sz w:val="18"/>
      <w:lang w:val="en-GB"/>
    </w:rPr>
  </w:style>
  <w:style w:type="character" w:styleId="PageNumber">
    <w:name w:val="page number"/>
    <w:basedOn w:val="DefaultParagraphFont"/>
    <w:uiPriority w:val="99"/>
    <w:semiHidden/>
    <w:unhideWhenUsed/>
    <w:rsid w:val="00175AC2"/>
    <w:rPr>
      <w:lang w:val="en-GB"/>
    </w:rPr>
  </w:style>
  <w:style w:type="character" w:styleId="PlaceholderText">
    <w:name w:val="Placeholder Text"/>
    <w:basedOn w:val="DefaultParagraphFont"/>
    <w:uiPriority w:val="99"/>
    <w:semiHidden/>
    <w:rsid w:val="00175AC2"/>
    <w:rPr>
      <w:color w:val="808080"/>
      <w:lang w:val="en-GB"/>
    </w:rPr>
  </w:style>
  <w:style w:type="paragraph" w:styleId="PlainText">
    <w:name w:val="Plain Text"/>
    <w:basedOn w:val="Normal"/>
    <w:link w:val="PlainTextChar"/>
    <w:uiPriority w:val="99"/>
    <w:unhideWhenUsed/>
    <w:rsid w:val="00175AC2"/>
    <w:rPr>
      <w:rFonts w:ascii="Consolas" w:hAnsi="Consolas" w:cs="Consolas"/>
      <w:sz w:val="21"/>
      <w:szCs w:val="21"/>
    </w:rPr>
  </w:style>
  <w:style w:type="character" w:customStyle="1" w:styleId="PlainTextChar">
    <w:name w:val="Plain Text Char"/>
    <w:basedOn w:val="DefaultParagraphFont"/>
    <w:link w:val="PlainText"/>
    <w:uiPriority w:val="99"/>
    <w:rsid w:val="00175AC2"/>
    <w:rPr>
      <w:rFonts w:ascii="Consolas" w:hAnsi="Consolas" w:cs="Consolas"/>
      <w:sz w:val="21"/>
      <w:szCs w:val="21"/>
      <w:lang w:val="en-GB"/>
    </w:rPr>
  </w:style>
  <w:style w:type="paragraph" w:styleId="Quote">
    <w:name w:val="Quote"/>
    <w:basedOn w:val="Normal"/>
    <w:next w:val="Normal"/>
    <w:link w:val="QuoteChar"/>
    <w:uiPriority w:val="59"/>
    <w:semiHidden/>
    <w:qFormat/>
    <w:rsid w:val="00175AC2"/>
    <w:rPr>
      <w:i/>
      <w:iCs/>
      <w:color w:val="000000" w:themeColor="text1"/>
    </w:rPr>
  </w:style>
  <w:style w:type="character" w:customStyle="1" w:styleId="QuoteChar">
    <w:name w:val="Quote Char"/>
    <w:basedOn w:val="DefaultParagraphFont"/>
    <w:link w:val="Quote"/>
    <w:uiPriority w:val="59"/>
    <w:semiHidden/>
    <w:rsid w:val="00175AC2"/>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175AC2"/>
  </w:style>
  <w:style w:type="character" w:customStyle="1" w:styleId="SalutationChar">
    <w:name w:val="Salutation Char"/>
    <w:basedOn w:val="DefaultParagraphFont"/>
    <w:link w:val="Salutation"/>
    <w:uiPriority w:val="99"/>
    <w:semiHidden/>
    <w:rsid w:val="00175AC2"/>
    <w:rPr>
      <w:rFonts w:ascii="Verdana" w:hAnsi="Verdana"/>
      <w:sz w:val="18"/>
      <w:lang w:val="en-GB"/>
    </w:rPr>
  </w:style>
  <w:style w:type="paragraph" w:styleId="Signature">
    <w:name w:val="Signature"/>
    <w:basedOn w:val="Normal"/>
    <w:link w:val="SignatureChar"/>
    <w:uiPriority w:val="99"/>
    <w:semiHidden/>
    <w:unhideWhenUsed/>
    <w:rsid w:val="00175AC2"/>
    <w:pPr>
      <w:ind w:left="4252"/>
    </w:pPr>
  </w:style>
  <w:style w:type="character" w:customStyle="1" w:styleId="SignatureChar">
    <w:name w:val="Signature Char"/>
    <w:basedOn w:val="DefaultParagraphFont"/>
    <w:link w:val="Signature"/>
    <w:uiPriority w:val="99"/>
    <w:semiHidden/>
    <w:rsid w:val="00175AC2"/>
    <w:rPr>
      <w:rFonts w:ascii="Verdana" w:hAnsi="Verdana"/>
      <w:sz w:val="18"/>
      <w:lang w:val="en-GB"/>
    </w:rPr>
  </w:style>
  <w:style w:type="character" w:styleId="Strong">
    <w:name w:val="Strong"/>
    <w:basedOn w:val="DefaultParagraphFont"/>
    <w:uiPriority w:val="99"/>
    <w:semiHidden/>
    <w:qFormat/>
    <w:rsid w:val="00175AC2"/>
    <w:rPr>
      <w:b/>
      <w:bCs/>
      <w:lang w:val="en-GB"/>
    </w:rPr>
  </w:style>
  <w:style w:type="character" w:styleId="SubtleEmphasis">
    <w:name w:val="Subtle Emphasis"/>
    <w:basedOn w:val="DefaultParagraphFont"/>
    <w:uiPriority w:val="99"/>
    <w:semiHidden/>
    <w:qFormat/>
    <w:rsid w:val="00175AC2"/>
    <w:rPr>
      <w:i/>
      <w:iCs/>
      <w:color w:val="808080" w:themeColor="text1" w:themeTint="7F"/>
      <w:lang w:val="en-GB"/>
    </w:rPr>
  </w:style>
  <w:style w:type="character" w:styleId="SubtleReference">
    <w:name w:val="Subtle Reference"/>
    <w:basedOn w:val="DefaultParagraphFont"/>
    <w:uiPriority w:val="99"/>
    <w:semiHidden/>
    <w:qFormat/>
    <w:rsid w:val="00175AC2"/>
    <w:rPr>
      <w:smallCaps/>
      <w:color w:val="C0504D" w:themeColor="accent2"/>
      <w:u w:val="single"/>
      <w:lang w:val="en-GB"/>
    </w:rPr>
  </w:style>
  <w:style w:type="paragraph" w:styleId="TOAHeading">
    <w:name w:val="toa heading"/>
    <w:basedOn w:val="Normal"/>
    <w:next w:val="Normal"/>
    <w:uiPriority w:val="39"/>
    <w:unhideWhenUsed/>
    <w:rsid w:val="00175AC2"/>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175AC2"/>
    <w:pPr>
      <w:spacing w:after="240"/>
      <w:jc w:val="center"/>
    </w:pPr>
    <w:rPr>
      <w:rFonts w:eastAsia="Calibri" w:cs="Times New Roman"/>
      <w:color w:val="006283"/>
    </w:rPr>
  </w:style>
  <w:style w:type="table" w:styleId="TableColumns1">
    <w:name w:val="Table Columns 1"/>
    <w:basedOn w:val="TableNormal"/>
    <w:uiPriority w:val="99"/>
    <w:semiHidden/>
    <w:unhideWhenUsed/>
    <w:rsid w:val="00D4699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99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99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99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99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D4699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99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99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D469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469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469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469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469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469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469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469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rsid w:val="00D4699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99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99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99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99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99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99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99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469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469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9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469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469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469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469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469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46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martHyperlink">
    <w:name w:val="Smart Hyperlink"/>
    <w:basedOn w:val="DefaultParagraphFont"/>
    <w:uiPriority w:val="99"/>
    <w:semiHidden/>
    <w:unhideWhenUsed/>
    <w:rsid w:val="00D46993"/>
    <w:rPr>
      <w:u w:val="dotted"/>
      <w:lang w:val="en-GB"/>
    </w:rPr>
  </w:style>
  <w:style w:type="table" w:styleId="LightList">
    <w:name w:val="Light List"/>
    <w:basedOn w:val="TableNormal"/>
    <w:uiPriority w:val="61"/>
    <w:semiHidden/>
    <w:unhideWhenUsed/>
    <w:rsid w:val="00D469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9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469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469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469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469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469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
    <w:name w:val="Colorful List"/>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469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469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469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9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D46993"/>
    <w:rPr>
      <w:color w:val="2B579A"/>
      <w:shd w:val="clear" w:color="auto" w:fill="E1DFDD"/>
      <w:lang w:val="en-GB"/>
    </w:rPr>
  </w:style>
  <w:style w:type="character" w:styleId="UnresolvedMention">
    <w:name w:val="Unresolved Mention"/>
    <w:basedOn w:val="DefaultParagraphFont"/>
    <w:uiPriority w:val="99"/>
    <w:semiHidden/>
    <w:unhideWhenUsed/>
    <w:rsid w:val="00D46993"/>
    <w:rPr>
      <w:color w:val="605E5C"/>
      <w:shd w:val="clear" w:color="auto" w:fill="E1DFDD"/>
      <w:lang w:val="en-GB"/>
    </w:rPr>
  </w:style>
  <w:style w:type="character" w:styleId="Hashtag">
    <w:name w:val="Hashtag"/>
    <w:basedOn w:val="DefaultParagraphFont"/>
    <w:uiPriority w:val="99"/>
    <w:semiHidden/>
    <w:unhideWhenUsed/>
    <w:rsid w:val="00D46993"/>
    <w:rPr>
      <w:color w:val="2B579A"/>
      <w:shd w:val="clear" w:color="auto" w:fill="E1DFDD"/>
      <w:lang w:val="en-GB"/>
    </w:rPr>
  </w:style>
  <w:style w:type="table" w:styleId="LightShading">
    <w:name w:val="Light Shading"/>
    <w:basedOn w:val="TableNormal"/>
    <w:uiPriority w:val="60"/>
    <w:semiHidden/>
    <w:unhideWhenUsed/>
    <w:rsid w:val="00D469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Link">
    <w:name w:val="Smart Link"/>
    <w:basedOn w:val="DefaultParagraphFont"/>
    <w:uiPriority w:val="99"/>
    <w:semiHidden/>
    <w:unhideWhenUsed/>
    <w:rsid w:val="00D46993"/>
    <w:rPr>
      <w:color w:val="0000FF"/>
      <w:u w:val="single"/>
      <w:shd w:val="clear" w:color="auto" w:fill="F3F2F1"/>
      <w:lang w:val="en-GB"/>
    </w:rPr>
  </w:style>
  <w:style w:type="table" w:styleId="TableClassic1">
    <w:name w:val="Table Classic 1"/>
    <w:basedOn w:val="TableNormal"/>
    <w:uiPriority w:val="99"/>
    <w:semiHidden/>
    <w:unhideWhenUsed/>
    <w:rsid w:val="00D4699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99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99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99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99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99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99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4699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99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469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99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99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99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99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9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99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99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99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4699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4699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4699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4699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4699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469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99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4699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4699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469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4699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4699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469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99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4699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4699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469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4699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4699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46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469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99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4699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4699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4699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4699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4699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469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99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4699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4699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4699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4699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4699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List1">
    <w:name w:val="Table List 1"/>
    <w:basedOn w:val="TableNormal"/>
    <w:uiPriority w:val="99"/>
    <w:semiHidden/>
    <w:unhideWhenUsed/>
    <w:rsid w:val="00D4699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99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99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99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99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99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99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99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4699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4699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9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4699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4699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4699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4699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4699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469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99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4699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4699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4699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4699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4699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469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99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4699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4699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469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4699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4699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4699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99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99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99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99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99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99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9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99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4699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4699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4699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4699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4699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4699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99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99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99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99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99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99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4699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4699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4699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99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99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99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469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9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9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9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9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4699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99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4699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99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D469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469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469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469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469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469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D469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D469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469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9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9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9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9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9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469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nswerCar1">
    <w:name w:val="Answer Car1"/>
    <w:uiPriority w:val="6"/>
    <w:rsid w:val="00D46993"/>
    <w:rPr>
      <w:rFonts w:ascii="Verdana" w:eastAsia="Calibri" w:hAnsi="Verdana" w:cs="Times New Roman"/>
      <w:sz w:val="18"/>
      <w:lang w:val="en-GB"/>
    </w:rPr>
  </w:style>
  <w:style w:type="character" w:customStyle="1" w:styleId="FollowUpCar1">
    <w:name w:val="FollowUp Car1"/>
    <w:uiPriority w:val="6"/>
    <w:rsid w:val="00D46993"/>
    <w:rPr>
      <w:rFonts w:ascii="Verdana" w:eastAsia="Calibri" w:hAnsi="Verdana" w:cs="Times New Roman"/>
      <w:i/>
      <w:sz w:val="18"/>
      <w:lang w:val="en-GB"/>
    </w:rPr>
  </w:style>
  <w:style w:type="paragraph" w:customStyle="1" w:styleId="Query">
    <w:name w:val="Query"/>
    <w:qFormat/>
    <w:rsid w:val="00175AC2"/>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B07F-13FB-4AEC-8B3B-29872769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171</TotalTime>
  <Pages>5</Pages>
  <Words>2075</Words>
  <Characters>11680</Characters>
  <Application>Microsoft Office Word</Application>
  <DocSecurity>0</DocSecurity>
  <Lines>314</Lines>
  <Paragraphs>190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UNDER ARTICLE 12.1(B) OF THE AGREEMENT ON SAFEGUARDS ON FINDING A SERIOUS INJURY OR THREAT THEREOF CAUSED BY INCREASED IMPORTS  NOTIFICATION OF A PROPOSAL TO IMPOSE A MEASURE  NOTIFICATION PURSUANT TO ARTICLE 9, FOOTNOTE 2 OF THE AGREEMENT ON</vt:lpstr>
      <vt:lpstr/>
    </vt:vector>
  </TitlesOfParts>
  <Manager/>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UNDER ARTICLE 12.1(B) OF THE AGREEMENT ON SAFEGUARDS ON FINDING A SERIOUS INJURY OR THREAT THEREOF CAUSED BY INCREASED IMPORTS  NOTIFICATION OF A PROPOSAL TO IMPOSE A MEASURE  NOTIFICATION PURSUANT TO ARTICLE 9, FOOTNOTE 2 OF THE AGREEMENT ON SAFEGUARDS</dc:title>
  <dc:creator/>
  <dc:description>LDIMD - DTU</dc:description>
  <cp:lastModifiedBy/>
  <cp:revision>9</cp:revision>
  <cp:lastPrinted>2018-04-27T15:17:00Z</cp:lastPrinted>
  <dcterms:created xsi:type="dcterms:W3CDTF">2021-05-11T10:52:00Z</dcterms:created>
  <dcterms:modified xsi:type="dcterms:W3CDTF">2021-05-12T12:37:00Z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c360c423-99c1-4ad0-83a7-ba154c8970ac</vt:lpwstr>
  </property>
  <property fmtid="{D5CDD505-2E9C-101B-9397-08002B2CF9AE}" pid="3" name="WTOCLASSIFICATION">
    <vt:lpwstr>WTO OFFICIAL</vt:lpwstr>
  </property>
</Properties>
</file>