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C82DC" w14:textId="5653D2EF" w:rsidR="003C0B9A" w:rsidRPr="00A95414" w:rsidRDefault="003C0B9A" w:rsidP="003C0B9A">
      <w:pPr>
        <w:pStyle w:val="Title"/>
        <w:spacing w:after="480"/>
        <w:contextualSpacing w:val="0"/>
        <w:rPr>
          <w:lang w:val="en-US"/>
        </w:rPr>
      </w:pPr>
      <w:r w:rsidRPr="00A95414">
        <w:rPr>
          <w:lang w:val="en-US"/>
        </w:rPr>
        <w:t>NOTIFICATION UNDER ARTICLE 12.1(b) of the agreement on safeguard on</w:t>
      </w:r>
      <w:r>
        <w:rPr>
          <w:lang w:val="en-US"/>
        </w:rPr>
        <w:br/>
      </w:r>
      <w:r w:rsidRPr="00A95414">
        <w:rPr>
          <w:lang w:val="en-US"/>
        </w:rPr>
        <w:t>finding a serious injury or threat thereof</w:t>
      </w:r>
      <w:r>
        <w:rPr>
          <w:lang w:val="en-US"/>
        </w:rPr>
        <w:br/>
      </w:r>
      <w:r w:rsidRPr="00A95414">
        <w:rPr>
          <w:lang w:val="en-US"/>
        </w:rPr>
        <w:t>caused by increased imports</w:t>
      </w:r>
    </w:p>
    <w:p w14:paraId="697983EC" w14:textId="14BDAC86" w:rsidR="003C0B9A" w:rsidRPr="00A95414" w:rsidRDefault="003C0B9A" w:rsidP="003C0B9A">
      <w:pPr>
        <w:pStyle w:val="Title"/>
        <w:rPr>
          <w:lang w:val="en-US"/>
        </w:rPr>
      </w:pPr>
      <w:r w:rsidRPr="00A95414">
        <w:rPr>
          <w:lang w:val="en-US"/>
        </w:rPr>
        <w:t>notification of a proposal to EXTEND a measure</w:t>
      </w:r>
    </w:p>
    <w:p w14:paraId="7D5FE4BF" w14:textId="5168C708" w:rsidR="00D05DD0" w:rsidRPr="00F07CC8" w:rsidRDefault="003C0B9A" w:rsidP="003C0B9A">
      <w:pPr>
        <w:pStyle w:val="TitleCountry"/>
      </w:pPr>
      <w:r>
        <w:t>Indonesia</w:t>
      </w:r>
    </w:p>
    <w:p w14:paraId="62D76F77" w14:textId="7AA31FCE" w:rsidR="00D05DD0" w:rsidRDefault="00D05DD0" w:rsidP="00D05DD0">
      <w:pPr>
        <w:pStyle w:val="Title3"/>
      </w:pPr>
      <w:r w:rsidRPr="00F07CC8">
        <w:t>Supplement</w:t>
      </w:r>
    </w:p>
    <w:p w14:paraId="54653E85" w14:textId="77777777" w:rsidR="003C0B9A" w:rsidRPr="00FA2D88" w:rsidRDefault="003C0B9A" w:rsidP="003C0B9A">
      <w:pPr>
        <w:pStyle w:val="Title3"/>
        <w:rPr>
          <w:lang w:val="en-US"/>
        </w:rPr>
      </w:pPr>
      <w:r w:rsidRPr="00FA2D88">
        <w:rPr>
          <w:lang w:val="en-US"/>
        </w:rPr>
        <w:t xml:space="preserve">(I and H Sections of </w:t>
      </w:r>
      <w:r w:rsidRPr="00FA2D88">
        <w:rPr>
          <w:lang w:val="id-ID"/>
        </w:rPr>
        <w:t>O</w:t>
      </w:r>
      <w:r>
        <w:rPr>
          <w:lang w:val="en-US"/>
        </w:rPr>
        <w:t>ther Alloy Steel)</w:t>
      </w:r>
    </w:p>
    <w:p w14:paraId="5F0816F3" w14:textId="77777777" w:rsidR="003C0B9A" w:rsidRPr="003C0B9A" w:rsidRDefault="003C0B9A" w:rsidP="003C0B9A">
      <w:pPr>
        <w:rPr>
          <w:lang w:eastAsia="en-GB"/>
        </w:rPr>
      </w:pPr>
    </w:p>
    <w:p w14:paraId="7DDC20A3" w14:textId="28EFB2C9" w:rsidR="00D05DD0" w:rsidRDefault="00D05DD0" w:rsidP="00D05DD0">
      <w:pPr>
        <w:rPr>
          <w:lang w:eastAsia="en-GB"/>
        </w:rPr>
      </w:pPr>
      <w:r w:rsidRPr="00F07CC8">
        <w:rPr>
          <w:lang w:eastAsia="en-GB"/>
        </w:rPr>
        <w:t xml:space="preserve">The following </w:t>
      </w:r>
      <w:r>
        <w:rPr>
          <w:lang w:eastAsia="en-GB"/>
        </w:rPr>
        <w:t>communication</w:t>
      </w:r>
      <w:r w:rsidRPr="00F07CC8">
        <w:rPr>
          <w:lang w:eastAsia="en-GB"/>
        </w:rPr>
        <w:t>, dated</w:t>
      </w:r>
      <w:r>
        <w:rPr>
          <w:lang w:eastAsia="en-GB"/>
        </w:rPr>
        <w:t xml:space="preserve"> and received on </w:t>
      </w:r>
      <w:r w:rsidR="003C0B9A">
        <w:rPr>
          <w:lang w:eastAsia="en-GB"/>
        </w:rPr>
        <w:t>13 May</w:t>
      </w:r>
      <w:r w:rsidRPr="00F07CC8">
        <w:rPr>
          <w:lang w:eastAsia="en-GB"/>
        </w:rPr>
        <w:t xml:space="preserve"> 202</w:t>
      </w:r>
      <w:r>
        <w:rPr>
          <w:lang w:eastAsia="en-GB"/>
        </w:rPr>
        <w:t>2</w:t>
      </w:r>
      <w:r w:rsidRPr="00F07CC8">
        <w:rPr>
          <w:lang w:eastAsia="en-GB"/>
        </w:rPr>
        <w:t xml:space="preserve">, is being circulated at the request of the delegation of </w:t>
      </w:r>
      <w:r w:rsidR="003C0B9A">
        <w:rPr>
          <w:lang w:eastAsia="en-GB"/>
        </w:rPr>
        <w:t>Indonesia</w:t>
      </w:r>
      <w:r>
        <w:rPr>
          <w:lang w:eastAsia="en-GB"/>
        </w:rPr>
        <w:t>.</w:t>
      </w:r>
    </w:p>
    <w:p w14:paraId="00DD0973" w14:textId="77777777" w:rsidR="00D05DD0" w:rsidRDefault="00D05DD0" w:rsidP="00D05DD0"/>
    <w:p w14:paraId="3AC03A8C" w14:textId="77777777" w:rsidR="00D05DD0" w:rsidRDefault="00D05DD0" w:rsidP="00D05DD0">
      <w:pPr>
        <w:jc w:val="center"/>
        <w:rPr>
          <w:b/>
        </w:rPr>
      </w:pPr>
      <w:r>
        <w:rPr>
          <w:b/>
        </w:rPr>
        <w:t>_______________</w:t>
      </w:r>
    </w:p>
    <w:p w14:paraId="7B92E86B" w14:textId="77777777" w:rsidR="00D05DD0" w:rsidRDefault="00D05DD0" w:rsidP="00D05DD0"/>
    <w:p w14:paraId="4DEB5B30" w14:textId="77777777" w:rsidR="00D05DD0" w:rsidRDefault="00D05DD0" w:rsidP="00D05DD0"/>
    <w:p w14:paraId="23FDA1B6" w14:textId="6FBCA1EB" w:rsidR="003C0B9A" w:rsidRDefault="003C0B9A" w:rsidP="00A62379">
      <w:pPr>
        <w:spacing w:after="240"/>
        <w:rPr>
          <w:color w:val="000000"/>
          <w:lang w:val="en-US"/>
        </w:rPr>
      </w:pPr>
      <w:r w:rsidRPr="00A95414">
        <w:rPr>
          <w:color w:val="000000"/>
          <w:lang w:val="en-US"/>
        </w:rPr>
        <w:t xml:space="preserve">Pursuant to Article 7.2 and Article 12.1(b) of the WTO Agreement on Safeguards, the Government of the Republic of Indonesia </w:t>
      </w:r>
      <w:r w:rsidRPr="00A95414">
        <w:rPr>
          <w:lang w:val="en-US"/>
        </w:rPr>
        <w:t>hereinafter referred to as "GOI"</w:t>
      </w:r>
      <w:r w:rsidRPr="00A95414">
        <w:rPr>
          <w:color w:val="000000"/>
          <w:lang w:val="en-US"/>
        </w:rPr>
        <w:t xml:space="preserve"> </w:t>
      </w:r>
      <w:r w:rsidRPr="00A95414">
        <w:rPr>
          <w:lang w:val="en-US"/>
        </w:rPr>
        <w:t>hereby notifies the Committee on Safeguards on the investigation findings concerning the extension of safeguard measures against the importation of "I and H Sections of Other Alloy Steel" under HS. Code Ex. 7228.70.10 and Ex.</w:t>
      </w:r>
      <w:r w:rsidR="00507628">
        <w:rPr>
          <w:lang w:val="en-US"/>
        </w:rPr>
        <w:t> </w:t>
      </w:r>
      <w:r w:rsidRPr="00A95414">
        <w:rPr>
          <w:lang w:val="en-US"/>
        </w:rPr>
        <w:t>7228.70.90</w:t>
      </w:r>
      <w:r w:rsidRPr="00A95414">
        <w:rPr>
          <w:color w:val="000000"/>
          <w:lang w:val="en-US"/>
        </w:rPr>
        <w:t>.</w:t>
      </w:r>
    </w:p>
    <w:p w14:paraId="5EC69387" w14:textId="5DE40C6A" w:rsidR="003C0B9A" w:rsidRPr="003C0B9A" w:rsidRDefault="003C0B9A" w:rsidP="003C0B9A">
      <w:pPr>
        <w:keepNext/>
        <w:keepLines/>
        <w:numPr>
          <w:ilvl w:val="0"/>
          <w:numId w:val="17"/>
        </w:numPr>
        <w:spacing w:after="240"/>
        <w:ind w:left="357" w:hanging="357"/>
        <w:outlineLvl w:val="0"/>
        <w:rPr>
          <w:rFonts w:eastAsia="Times New Roman"/>
          <w:b/>
          <w:bCs/>
          <w:caps/>
          <w:color w:val="006283"/>
          <w:szCs w:val="28"/>
          <w:lang w:val="en-US"/>
        </w:rPr>
      </w:pPr>
      <w:r w:rsidRPr="00A95414">
        <w:rPr>
          <w:rFonts w:eastAsia="Times New Roman"/>
          <w:b/>
          <w:bCs/>
          <w:caps/>
          <w:color w:val="006283"/>
          <w:szCs w:val="28"/>
          <w:lang w:val="en-US"/>
        </w:rPr>
        <w:t>GENERAL BACKGROUND</w:t>
      </w:r>
    </w:p>
    <w:p w14:paraId="031680FB" w14:textId="77777777" w:rsidR="003C0B9A" w:rsidRPr="00A95414" w:rsidRDefault="003C0B9A" w:rsidP="004B4A5E">
      <w:pPr>
        <w:numPr>
          <w:ilvl w:val="0"/>
          <w:numId w:val="18"/>
        </w:numPr>
        <w:spacing w:after="240"/>
        <w:ind w:left="357" w:hanging="357"/>
        <w:rPr>
          <w:color w:val="000000"/>
          <w:lang w:val="en-US"/>
        </w:rPr>
      </w:pPr>
      <w:r w:rsidRPr="00A95414">
        <w:rPr>
          <w:b/>
          <w:color w:val="000000"/>
          <w:lang w:val="en-US"/>
        </w:rPr>
        <w:t>Initiation of Investigation</w:t>
      </w:r>
    </w:p>
    <w:p w14:paraId="115ED5FB" w14:textId="77777777" w:rsidR="003C0B9A" w:rsidRPr="00A95414" w:rsidRDefault="003C0B9A" w:rsidP="003C0B9A">
      <w:pPr>
        <w:spacing w:after="240"/>
        <w:rPr>
          <w:szCs w:val="18"/>
          <w:lang w:val="en-US" w:eastAsia="en-GB"/>
        </w:rPr>
      </w:pPr>
      <w:r w:rsidRPr="00A95414">
        <w:rPr>
          <w:lang w:val="en-US"/>
        </w:rPr>
        <w:t>On 7 January 2021, The KPPI hereinafter referred to as the "Investigating Authority", received an application from PT. Gunung Raja Paksi Tbk., hereinafter referred to as the "Applicant", requesting for the extension of a safeguard measure on the importation of the Subject Goods based on the claim that the imposition of a safeguard measure is still necessary for the domestic industries to prevent or remedy serious injury suffered by the Applicant and that the domestic industry is still undertaking the program of structural adjustment. Other known domestic industry, PT. Krakatau Wajatama, through a letter stating fully support the extension of safeguard measures so the domestic industry does not suffer further injury.</w:t>
      </w:r>
    </w:p>
    <w:p w14:paraId="09F19BCF" w14:textId="06F23F86" w:rsidR="003C0B9A" w:rsidRPr="003C0B9A" w:rsidRDefault="003C0B9A" w:rsidP="003C0B9A">
      <w:pPr>
        <w:pStyle w:val="ListParagraph"/>
        <w:spacing w:after="240"/>
        <w:ind w:left="0"/>
        <w:contextualSpacing w:val="0"/>
        <w:rPr>
          <w:lang w:val="en-US"/>
        </w:rPr>
      </w:pPr>
      <w:r w:rsidRPr="00A95414">
        <w:rPr>
          <w:color w:val="000000"/>
          <w:lang w:val="en-US"/>
        </w:rPr>
        <w:t xml:space="preserve">The Investigating Authority initiated a safeguard investigation against importation of Subject Goods on </w:t>
      </w:r>
      <w:r w:rsidRPr="00A95414">
        <w:rPr>
          <w:color w:val="000000"/>
          <w:szCs w:val="18"/>
          <w:lang w:val="en-US" w:eastAsia="en-GB"/>
        </w:rPr>
        <w:t>18 January 2021</w:t>
      </w:r>
      <w:r w:rsidRPr="00A95414">
        <w:rPr>
          <w:color w:val="000000"/>
          <w:lang w:val="en-US"/>
        </w:rPr>
        <w:t xml:space="preserve"> (as announced in "Bisnis Indonesia" daily newspaper), and was notified to the WTO which had been circulated on 14 April 2022 (G/SG/N/6/IDN/25/Suppl.4/Corr.1).</w:t>
      </w:r>
    </w:p>
    <w:p w14:paraId="14F30DAC" w14:textId="77777777" w:rsidR="003C0B9A" w:rsidRPr="00A95414" w:rsidRDefault="003C0B9A" w:rsidP="00A62379">
      <w:pPr>
        <w:numPr>
          <w:ilvl w:val="0"/>
          <w:numId w:val="18"/>
        </w:numPr>
        <w:spacing w:after="240"/>
        <w:ind w:left="357" w:hanging="357"/>
        <w:rPr>
          <w:b/>
          <w:color w:val="000000"/>
          <w:szCs w:val="18"/>
          <w:lang w:val="en-US" w:eastAsia="en-GB"/>
        </w:rPr>
      </w:pPr>
      <w:r w:rsidRPr="00A95414">
        <w:rPr>
          <w:b/>
          <w:color w:val="000000"/>
          <w:szCs w:val="18"/>
          <w:lang w:val="en-US" w:eastAsia="en-GB"/>
        </w:rPr>
        <w:t>Major Proportion</w:t>
      </w:r>
    </w:p>
    <w:p w14:paraId="466463F5" w14:textId="06BC0CD4" w:rsidR="003C0B9A" w:rsidRPr="00A95414" w:rsidRDefault="003C0B9A" w:rsidP="003C0B9A">
      <w:pPr>
        <w:spacing w:after="240"/>
        <w:rPr>
          <w:rFonts w:cs="Arial"/>
          <w:color w:val="000000"/>
          <w:szCs w:val="18"/>
          <w:lang w:val="en-US"/>
        </w:rPr>
      </w:pPr>
      <w:r w:rsidRPr="00A95414">
        <w:rPr>
          <w:rFonts w:cs="Arial"/>
          <w:color w:val="000000"/>
          <w:szCs w:val="18"/>
          <w:lang w:val="en-US"/>
        </w:rPr>
        <w:t>The total production of the Applicant is 97.7% of the total domestic production of the Subject Goods in Indonesia. Therefore, it represents a major proportion as required by Article 4.1(c) of the WTO Agreement on Safeguards.</w:t>
      </w:r>
    </w:p>
    <w:p w14:paraId="145B9A34" w14:textId="77777777" w:rsidR="003C0B9A" w:rsidRPr="00A95414" w:rsidRDefault="003C0B9A" w:rsidP="004B4A5E">
      <w:pPr>
        <w:keepNext/>
        <w:spacing w:before="120" w:after="120"/>
        <w:jc w:val="left"/>
        <w:rPr>
          <w:rFonts w:eastAsia="Times New Roman"/>
          <w:b/>
          <w:bCs/>
          <w:color w:val="006283"/>
          <w:szCs w:val="20"/>
          <w:lang w:val="en-US" w:eastAsia="en-GB"/>
        </w:rPr>
      </w:pPr>
      <w:r w:rsidRPr="00A95414">
        <w:rPr>
          <w:rFonts w:eastAsia="Times New Roman"/>
          <w:b/>
          <w:bCs/>
          <w:color w:val="006283"/>
          <w:szCs w:val="20"/>
          <w:lang w:val="en-US" w:eastAsia="en-GB"/>
        </w:rPr>
        <w:lastRenderedPageBreak/>
        <w:t>Table 1. Major Proportion</w:t>
      </w:r>
    </w:p>
    <w:tbl>
      <w:tblPr>
        <w:tblW w:w="3114" w:type="pct"/>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674"/>
        <w:gridCol w:w="1929"/>
      </w:tblGrid>
      <w:tr w:rsidR="003C0B9A" w:rsidRPr="003C0B9A" w14:paraId="7D28647E" w14:textId="77777777" w:rsidTr="004C0E79">
        <w:trPr>
          <w:trHeight w:val="276"/>
        </w:trPr>
        <w:tc>
          <w:tcPr>
            <w:tcW w:w="3279" w:type="pct"/>
            <w:shd w:val="clear" w:color="auto" w:fill="auto"/>
            <w:vAlign w:val="center"/>
            <w:hideMark/>
          </w:tcPr>
          <w:p w14:paraId="19377B75" w14:textId="77777777" w:rsidR="003C0B9A" w:rsidRPr="003C0B9A" w:rsidRDefault="003C0B9A" w:rsidP="005326E8">
            <w:pPr>
              <w:rPr>
                <w:rFonts w:cs="Arial"/>
                <w:b/>
                <w:sz w:val="16"/>
                <w:szCs w:val="16"/>
                <w:lang w:val="en-US"/>
              </w:rPr>
            </w:pPr>
            <w:r w:rsidRPr="003C0B9A">
              <w:rPr>
                <w:rFonts w:cs="Arial"/>
                <w:b/>
                <w:sz w:val="16"/>
                <w:szCs w:val="16"/>
                <w:lang w:val="en-US"/>
              </w:rPr>
              <w:t>Companies</w:t>
            </w:r>
          </w:p>
        </w:tc>
        <w:tc>
          <w:tcPr>
            <w:tcW w:w="1721" w:type="pct"/>
            <w:shd w:val="clear" w:color="auto" w:fill="auto"/>
            <w:vAlign w:val="center"/>
            <w:hideMark/>
          </w:tcPr>
          <w:p w14:paraId="008804AF" w14:textId="77777777" w:rsidR="003C0B9A" w:rsidRPr="003C0B9A" w:rsidRDefault="003C0B9A" w:rsidP="005326E8">
            <w:pPr>
              <w:rPr>
                <w:rFonts w:cs="Arial"/>
                <w:b/>
                <w:sz w:val="16"/>
                <w:szCs w:val="16"/>
                <w:lang w:val="en-US"/>
              </w:rPr>
            </w:pPr>
            <w:r w:rsidRPr="003C0B9A">
              <w:rPr>
                <w:rFonts w:cs="Arial"/>
                <w:b/>
                <w:sz w:val="16"/>
                <w:szCs w:val="16"/>
                <w:lang w:val="en-US"/>
              </w:rPr>
              <w:t>Proportion (%)</w:t>
            </w:r>
          </w:p>
        </w:tc>
      </w:tr>
      <w:tr w:rsidR="003C0B9A" w:rsidRPr="003C0B9A" w14:paraId="06F15E45" w14:textId="77777777" w:rsidTr="004C0E79">
        <w:trPr>
          <w:trHeight w:val="70"/>
        </w:trPr>
        <w:tc>
          <w:tcPr>
            <w:tcW w:w="3279" w:type="pct"/>
            <w:shd w:val="clear" w:color="auto" w:fill="auto"/>
            <w:vAlign w:val="center"/>
            <w:hideMark/>
          </w:tcPr>
          <w:p w14:paraId="11A43B73" w14:textId="77777777" w:rsidR="003C0B9A" w:rsidRPr="003C0B9A" w:rsidRDefault="003C0B9A" w:rsidP="005326E8">
            <w:pPr>
              <w:rPr>
                <w:rFonts w:cs="Arial"/>
                <w:sz w:val="16"/>
                <w:szCs w:val="16"/>
                <w:lang w:val="en-US"/>
              </w:rPr>
            </w:pPr>
            <w:r w:rsidRPr="003C0B9A">
              <w:rPr>
                <w:rFonts w:cs="Arial"/>
                <w:sz w:val="16"/>
                <w:szCs w:val="16"/>
                <w:lang w:val="en-US"/>
              </w:rPr>
              <w:t>PT. Gunung Raja Paksi, Tbk</w:t>
            </w:r>
          </w:p>
        </w:tc>
        <w:tc>
          <w:tcPr>
            <w:tcW w:w="1721" w:type="pct"/>
            <w:shd w:val="clear" w:color="auto" w:fill="auto"/>
            <w:vAlign w:val="center"/>
          </w:tcPr>
          <w:p w14:paraId="64896B97" w14:textId="77777777" w:rsidR="003C0B9A" w:rsidRPr="003C0B9A" w:rsidRDefault="003C0B9A" w:rsidP="005326E8">
            <w:pPr>
              <w:jc w:val="center"/>
              <w:rPr>
                <w:rFonts w:cs="Arial"/>
                <w:sz w:val="16"/>
                <w:szCs w:val="16"/>
                <w:lang w:val="en-US"/>
              </w:rPr>
            </w:pPr>
            <w:r w:rsidRPr="003C0B9A">
              <w:rPr>
                <w:rFonts w:cs="Arial"/>
                <w:sz w:val="16"/>
                <w:szCs w:val="16"/>
                <w:lang w:val="en-US"/>
              </w:rPr>
              <w:t>97.7</w:t>
            </w:r>
          </w:p>
        </w:tc>
      </w:tr>
      <w:tr w:rsidR="003C0B9A" w:rsidRPr="003C0B9A" w14:paraId="15DC2899" w14:textId="77777777" w:rsidTr="004C0E79">
        <w:tc>
          <w:tcPr>
            <w:tcW w:w="3279" w:type="pct"/>
            <w:shd w:val="clear" w:color="auto" w:fill="auto"/>
            <w:vAlign w:val="center"/>
            <w:hideMark/>
          </w:tcPr>
          <w:p w14:paraId="74BA2B72" w14:textId="77777777" w:rsidR="003C0B9A" w:rsidRPr="003C0B9A" w:rsidRDefault="003C0B9A" w:rsidP="005326E8">
            <w:pPr>
              <w:rPr>
                <w:rFonts w:cs="Arial"/>
                <w:b/>
                <w:sz w:val="16"/>
                <w:szCs w:val="16"/>
                <w:lang w:val="en-US"/>
              </w:rPr>
            </w:pPr>
            <w:r w:rsidRPr="003C0B9A">
              <w:rPr>
                <w:rFonts w:cs="Arial"/>
                <w:b/>
                <w:sz w:val="16"/>
                <w:szCs w:val="16"/>
                <w:lang w:val="en-US"/>
              </w:rPr>
              <w:t>National Production</w:t>
            </w:r>
          </w:p>
        </w:tc>
        <w:tc>
          <w:tcPr>
            <w:tcW w:w="1721" w:type="pct"/>
            <w:shd w:val="clear" w:color="auto" w:fill="auto"/>
            <w:vAlign w:val="center"/>
            <w:hideMark/>
          </w:tcPr>
          <w:p w14:paraId="25219EF7" w14:textId="77777777" w:rsidR="003C0B9A" w:rsidRPr="003C0B9A" w:rsidRDefault="003C0B9A" w:rsidP="005326E8">
            <w:pPr>
              <w:jc w:val="center"/>
              <w:rPr>
                <w:rFonts w:cs="Arial"/>
                <w:b/>
                <w:sz w:val="16"/>
                <w:szCs w:val="16"/>
                <w:lang w:val="en-US"/>
              </w:rPr>
            </w:pPr>
            <w:r w:rsidRPr="003C0B9A">
              <w:rPr>
                <w:rFonts w:cs="Arial"/>
                <w:b/>
                <w:sz w:val="16"/>
                <w:szCs w:val="16"/>
                <w:lang w:val="en-US"/>
              </w:rPr>
              <w:t>100</w:t>
            </w:r>
          </w:p>
        </w:tc>
      </w:tr>
    </w:tbl>
    <w:p w14:paraId="4E917BDE" w14:textId="77777777" w:rsidR="003C0B9A" w:rsidRPr="00A95414" w:rsidRDefault="003C0B9A" w:rsidP="004B4A5E">
      <w:pPr>
        <w:numPr>
          <w:ilvl w:val="0"/>
          <w:numId w:val="18"/>
        </w:numPr>
        <w:spacing w:before="240" w:after="240"/>
        <w:ind w:left="357" w:hanging="357"/>
        <w:rPr>
          <w:b/>
          <w:color w:val="000000"/>
          <w:szCs w:val="18"/>
          <w:lang w:val="en-US" w:eastAsia="en-GB"/>
        </w:rPr>
      </w:pPr>
      <w:r w:rsidRPr="00A95414">
        <w:rPr>
          <w:b/>
          <w:color w:val="000000"/>
          <w:szCs w:val="18"/>
          <w:lang w:val="en-US" w:eastAsia="en-GB"/>
        </w:rPr>
        <w:t>Evidence and Views by Interested Parties</w:t>
      </w:r>
    </w:p>
    <w:p w14:paraId="31685A0E" w14:textId="1C4715E8" w:rsidR="003C0B9A" w:rsidRPr="00495A4F" w:rsidRDefault="003C0B9A" w:rsidP="00495A4F">
      <w:pPr>
        <w:spacing w:after="240"/>
        <w:rPr>
          <w:lang w:val="en-US" w:eastAsia="en-GB"/>
        </w:rPr>
      </w:pPr>
      <w:r w:rsidRPr="00A95414">
        <w:rPr>
          <w:lang w:val="en-US" w:eastAsia="en-GB"/>
        </w:rPr>
        <w:t>In accordance with Article 3.1 of the WTO Agreement on Safeguards, during the process of investigation, the Investigating Authority has provided opportunities to all interested parties, to submit their views, evidence, comments, and responses concerning the investigation. In light of the aforementioned, a public hearing was held on 10 March 2021.</w:t>
      </w:r>
    </w:p>
    <w:p w14:paraId="0B53A4DB" w14:textId="77777777" w:rsidR="003C0B9A" w:rsidRPr="00A95414" w:rsidRDefault="003C0B9A" w:rsidP="004B4A5E">
      <w:pPr>
        <w:numPr>
          <w:ilvl w:val="0"/>
          <w:numId w:val="18"/>
        </w:numPr>
        <w:spacing w:after="240"/>
        <w:ind w:left="357" w:hanging="357"/>
        <w:rPr>
          <w:b/>
          <w:color w:val="000000"/>
          <w:szCs w:val="18"/>
          <w:lang w:val="en-US" w:eastAsia="en-GB"/>
        </w:rPr>
      </w:pPr>
      <w:r w:rsidRPr="00A95414">
        <w:rPr>
          <w:b/>
          <w:lang w:val="en-US"/>
        </w:rPr>
        <w:t>The WTO document referring to the notification of initial extension of the measure</w:t>
      </w:r>
    </w:p>
    <w:p w14:paraId="22E809E7" w14:textId="77777777" w:rsidR="003C0B9A" w:rsidRDefault="003C0B9A" w:rsidP="00495A4F">
      <w:pPr>
        <w:spacing w:after="240"/>
        <w:rPr>
          <w:lang w:val="en-US"/>
        </w:rPr>
      </w:pPr>
      <w:r w:rsidRPr="00A95414">
        <w:rPr>
          <w:lang w:val="en-US"/>
        </w:rPr>
        <w:t>G/SG/N/6/IDN/25/Suppl.4/Corr.1</w:t>
      </w:r>
    </w:p>
    <w:p w14:paraId="6FB34C06" w14:textId="77777777" w:rsidR="003C0B9A" w:rsidRPr="00A95414" w:rsidRDefault="003C0B9A" w:rsidP="004B4A5E">
      <w:pPr>
        <w:numPr>
          <w:ilvl w:val="0"/>
          <w:numId w:val="18"/>
        </w:numPr>
        <w:spacing w:after="240"/>
        <w:ind w:left="357" w:hanging="357"/>
        <w:rPr>
          <w:b/>
          <w:color w:val="000000"/>
          <w:szCs w:val="18"/>
          <w:lang w:val="en-US" w:eastAsia="en-GB"/>
        </w:rPr>
      </w:pPr>
      <w:r w:rsidRPr="00A95414">
        <w:rPr>
          <w:b/>
          <w:color w:val="000000"/>
          <w:szCs w:val="18"/>
          <w:lang w:val="en-US" w:eastAsia="en-GB"/>
        </w:rPr>
        <w:t>The duration of the measure from initial application till the date at which it will be extended</w:t>
      </w:r>
    </w:p>
    <w:p w14:paraId="4C7877D1" w14:textId="3652A4A9" w:rsidR="003C0B9A" w:rsidRPr="00A95414" w:rsidRDefault="003C0B9A" w:rsidP="00495A4F">
      <w:pPr>
        <w:spacing w:after="240"/>
        <w:rPr>
          <w:lang w:val="en-US" w:eastAsia="en-GB"/>
        </w:rPr>
      </w:pPr>
      <w:r w:rsidRPr="00A95414">
        <w:rPr>
          <w:lang w:val="en-US" w:eastAsia="en-GB"/>
        </w:rPr>
        <w:t>The duration of initial application of the safeguard measure until the date at which it will be extended is six years, the date of initial application of the safeguard measure is 21 January 2015 – 20 January 2018 and the first extension of the safeguard measure is 21 January 2018 – 20 January 2021.</w:t>
      </w:r>
    </w:p>
    <w:p w14:paraId="44996DA9" w14:textId="77777777" w:rsidR="003C0B9A" w:rsidRPr="00A95414" w:rsidRDefault="003C0B9A" w:rsidP="004B4A5E">
      <w:pPr>
        <w:numPr>
          <w:ilvl w:val="0"/>
          <w:numId w:val="18"/>
        </w:numPr>
        <w:spacing w:after="240"/>
        <w:ind w:left="357" w:hanging="357"/>
        <w:rPr>
          <w:b/>
          <w:color w:val="000000"/>
          <w:szCs w:val="18"/>
          <w:lang w:val="en-US" w:eastAsia="en-GB"/>
        </w:rPr>
      </w:pPr>
      <w:r w:rsidRPr="00A95414">
        <w:rPr>
          <w:b/>
          <w:lang w:val="en-US"/>
        </w:rPr>
        <w:t>Precise description of the product involved</w:t>
      </w:r>
    </w:p>
    <w:p w14:paraId="4D10B2FA" w14:textId="1AD307B5" w:rsidR="003C0B9A" w:rsidRPr="00A95414" w:rsidRDefault="0061416A" w:rsidP="004B4A5E">
      <w:pPr>
        <w:numPr>
          <w:ilvl w:val="1"/>
          <w:numId w:val="23"/>
        </w:numPr>
        <w:spacing w:after="240"/>
        <w:ind w:left="714" w:hanging="357"/>
        <w:rPr>
          <w:color w:val="000000"/>
          <w:szCs w:val="18"/>
          <w:lang w:val="en-US" w:eastAsia="en-GB"/>
        </w:rPr>
      </w:pPr>
      <w:r>
        <w:rPr>
          <w:color w:val="000000"/>
          <w:szCs w:val="18"/>
          <w:lang w:val="en-US" w:eastAsia="en-GB"/>
        </w:rPr>
        <w:t xml:space="preserve"> </w:t>
      </w:r>
      <w:r w:rsidR="003C0B9A" w:rsidRPr="00A95414">
        <w:rPr>
          <w:color w:val="000000"/>
          <w:szCs w:val="18"/>
          <w:lang w:val="en-US" w:eastAsia="en-GB"/>
        </w:rPr>
        <w:t>I Section with a height or a width of 100 mm up to 600 mm, and H Section with height 100</w:t>
      </w:r>
      <w:r w:rsidR="00587E8A">
        <w:rPr>
          <w:color w:val="000000"/>
          <w:szCs w:val="18"/>
          <w:lang w:val="en-US" w:eastAsia="en-GB"/>
        </w:rPr>
        <w:t> </w:t>
      </w:r>
      <w:r w:rsidR="003C0B9A" w:rsidRPr="00A95414">
        <w:rPr>
          <w:color w:val="000000"/>
          <w:szCs w:val="18"/>
          <w:lang w:val="en-US" w:eastAsia="en-GB"/>
        </w:rPr>
        <w:t>mm up to 350 mm, of other alloy steel, not further worked than hot-rolled, hot-drawn, or extruded, under HS. Code ex. 7228.70.10; and</w:t>
      </w:r>
    </w:p>
    <w:p w14:paraId="14AEFEB5" w14:textId="77F42101" w:rsidR="003C0B9A" w:rsidRPr="00A95414" w:rsidRDefault="0061416A" w:rsidP="004B4A5E">
      <w:pPr>
        <w:numPr>
          <w:ilvl w:val="1"/>
          <w:numId w:val="23"/>
        </w:numPr>
        <w:spacing w:after="240"/>
        <w:ind w:left="714" w:hanging="357"/>
        <w:rPr>
          <w:b/>
          <w:color w:val="000000"/>
          <w:szCs w:val="18"/>
          <w:lang w:val="en-US" w:eastAsia="en-GB"/>
        </w:rPr>
      </w:pPr>
      <w:r>
        <w:rPr>
          <w:color w:val="000000"/>
          <w:szCs w:val="18"/>
          <w:lang w:val="en-US" w:eastAsia="en-GB"/>
        </w:rPr>
        <w:t xml:space="preserve"> </w:t>
      </w:r>
      <w:r w:rsidR="003C0B9A" w:rsidRPr="00A95414">
        <w:rPr>
          <w:color w:val="000000"/>
          <w:szCs w:val="18"/>
          <w:lang w:val="en-US" w:eastAsia="en-GB"/>
        </w:rPr>
        <w:t>I Section with a height or a width of 100 mm up to 600 mm, and H Section with height 100</w:t>
      </w:r>
      <w:r w:rsidR="00587E8A">
        <w:rPr>
          <w:color w:val="000000"/>
          <w:szCs w:val="18"/>
          <w:lang w:val="en-US" w:eastAsia="en-GB"/>
        </w:rPr>
        <w:t> </w:t>
      </w:r>
      <w:r w:rsidR="003C0B9A" w:rsidRPr="00A95414">
        <w:rPr>
          <w:color w:val="000000"/>
          <w:szCs w:val="18"/>
          <w:lang w:val="en-US" w:eastAsia="en-GB"/>
        </w:rPr>
        <w:t>mm up to 350 mm, of other alloy steel, hot-rolled, hot-drawn, or extruded, and further worked, under HS. Code ex. 7228.70.90.</w:t>
      </w:r>
    </w:p>
    <w:p w14:paraId="186E3016" w14:textId="77777777" w:rsidR="003C0B9A" w:rsidRPr="00A95414" w:rsidRDefault="003C0B9A" w:rsidP="004B4A5E">
      <w:pPr>
        <w:numPr>
          <w:ilvl w:val="0"/>
          <w:numId w:val="18"/>
        </w:numPr>
        <w:spacing w:after="240"/>
        <w:ind w:left="357" w:hanging="357"/>
        <w:rPr>
          <w:b/>
          <w:color w:val="000000"/>
          <w:szCs w:val="18"/>
          <w:lang w:val="en-US" w:eastAsia="en-GB"/>
        </w:rPr>
      </w:pPr>
      <w:r w:rsidRPr="00A95414">
        <w:rPr>
          <w:b/>
          <w:color w:val="000000"/>
          <w:szCs w:val="18"/>
          <w:lang w:val="en-US" w:eastAsia="en-GB"/>
        </w:rPr>
        <w:t>Period of Investigation</w:t>
      </w:r>
    </w:p>
    <w:p w14:paraId="28D013DA" w14:textId="2F88319E" w:rsidR="003C0B9A" w:rsidRPr="00495A4F" w:rsidRDefault="003C0B9A" w:rsidP="00495A4F">
      <w:pPr>
        <w:spacing w:after="240"/>
        <w:rPr>
          <w:b/>
          <w:lang w:val="en-US" w:eastAsia="en-GB"/>
        </w:rPr>
      </w:pPr>
      <w:r w:rsidRPr="00A95414">
        <w:rPr>
          <w:lang w:val="en-US"/>
        </w:rPr>
        <w:t xml:space="preserve">The period of investigation covers </w:t>
      </w:r>
      <w:r w:rsidR="00F36253">
        <w:rPr>
          <w:lang w:val="en-US"/>
        </w:rPr>
        <w:t>May</w:t>
      </w:r>
      <w:r w:rsidRPr="00A95414">
        <w:rPr>
          <w:lang w:val="en-US"/>
        </w:rPr>
        <w:t xml:space="preserve"> 2017 to April 2020</w:t>
      </w:r>
    </w:p>
    <w:p w14:paraId="10DE3C6A" w14:textId="5ABDB551" w:rsidR="003C0B9A" w:rsidRPr="00495A4F" w:rsidRDefault="003C0B9A" w:rsidP="00495A4F">
      <w:pPr>
        <w:keepNext/>
        <w:keepLines/>
        <w:numPr>
          <w:ilvl w:val="0"/>
          <w:numId w:val="17"/>
        </w:numPr>
        <w:spacing w:after="240"/>
        <w:ind w:left="357" w:hanging="357"/>
        <w:outlineLvl w:val="0"/>
        <w:rPr>
          <w:rFonts w:eastAsia="Times New Roman"/>
          <w:b/>
          <w:bCs/>
          <w:caps/>
          <w:color w:val="006283"/>
          <w:szCs w:val="28"/>
          <w:lang w:val="en-US"/>
        </w:rPr>
      </w:pPr>
      <w:r w:rsidRPr="00A95414">
        <w:rPr>
          <w:rFonts w:eastAsia="Times New Roman"/>
          <w:b/>
          <w:bCs/>
          <w:caps/>
          <w:color w:val="006283"/>
          <w:szCs w:val="28"/>
          <w:lang w:val="en-US"/>
        </w:rPr>
        <w:t>NOTIFICATION OTIFICATION UNDER ARTICLE 12.1(B) OF THE AGREEMENT ON SAFEGUARDS ON FINDING A SERIOUS INJURY OR THREAT THEREOF CAUSED BY INCREASED IMPORTS</w:t>
      </w:r>
    </w:p>
    <w:p w14:paraId="38C05B17" w14:textId="77777777" w:rsidR="003C0B9A" w:rsidRPr="00A95414" w:rsidRDefault="003C0B9A" w:rsidP="004B4A5E">
      <w:pPr>
        <w:numPr>
          <w:ilvl w:val="0"/>
          <w:numId w:val="19"/>
        </w:numPr>
        <w:spacing w:after="240"/>
        <w:ind w:left="357" w:hanging="357"/>
        <w:rPr>
          <w:b/>
          <w:lang w:val="en-US"/>
        </w:rPr>
      </w:pPr>
      <w:r w:rsidRPr="00A95414">
        <w:rPr>
          <w:b/>
          <w:lang w:val="en-US"/>
        </w:rPr>
        <w:t>Information on absolute increase in imports</w:t>
      </w:r>
    </w:p>
    <w:p w14:paraId="46735E1E" w14:textId="77777777" w:rsidR="003C0B9A" w:rsidRPr="00A95414" w:rsidRDefault="003C0B9A" w:rsidP="004B4A5E">
      <w:pPr>
        <w:keepNext/>
        <w:spacing w:before="120" w:after="120"/>
        <w:jc w:val="left"/>
        <w:rPr>
          <w:rFonts w:eastAsia="Times New Roman"/>
          <w:b/>
          <w:bCs/>
          <w:color w:val="006283"/>
          <w:szCs w:val="20"/>
          <w:lang w:val="en-US" w:eastAsia="en-GB"/>
        </w:rPr>
      </w:pPr>
      <w:r w:rsidRPr="00A95414">
        <w:rPr>
          <w:rFonts w:eastAsia="Times New Roman"/>
          <w:b/>
          <w:bCs/>
          <w:color w:val="006283"/>
          <w:szCs w:val="20"/>
          <w:lang w:val="en-US" w:eastAsia="en-GB"/>
        </w:rPr>
        <w:t>Table 2. Volume of Imports</w:t>
      </w:r>
    </w:p>
    <w:tbl>
      <w:tblPr>
        <w:tblW w:w="4923" w:type="pct"/>
        <w:tblInd w:w="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408"/>
        <w:gridCol w:w="1104"/>
        <w:gridCol w:w="2069"/>
        <w:gridCol w:w="2207"/>
        <w:gridCol w:w="2069"/>
      </w:tblGrid>
      <w:tr w:rsidR="003C0B9A" w:rsidRPr="00495A4F" w14:paraId="3FF3AFE9" w14:textId="77777777" w:rsidTr="00495A4F">
        <w:trPr>
          <w:trHeight w:val="179"/>
        </w:trPr>
        <w:tc>
          <w:tcPr>
            <w:tcW w:w="795" w:type="pct"/>
            <w:vMerge w:val="restart"/>
            <w:shd w:val="clear" w:color="auto" w:fill="auto"/>
            <w:vAlign w:val="center"/>
          </w:tcPr>
          <w:p w14:paraId="52EE79CB" w14:textId="77777777" w:rsidR="003C0B9A" w:rsidRPr="00495A4F" w:rsidRDefault="003C0B9A" w:rsidP="005326E8">
            <w:pPr>
              <w:contextualSpacing/>
              <w:jc w:val="center"/>
              <w:rPr>
                <w:rFonts w:cs="Arial"/>
                <w:b/>
                <w:sz w:val="16"/>
                <w:szCs w:val="18"/>
                <w:lang w:val="en-US" w:eastAsia="en-GB"/>
              </w:rPr>
            </w:pPr>
            <w:r w:rsidRPr="00495A4F">
              <w:rPr>
                <w:rFonts w:cs="Arial"/>
                <w:b/>
                <w:sz w:val="16"/>
                <w:szCs w:val="18"/>
                <w:lang w:val="en-US" w:eastAsia="en-GB"/>
              </w:rPr>
              <w:t>Description</w:t>
            </w:r>
          </w:p>
        </w:tc>
        <w:tc>
          <w:tcPr>
            <w:tcW w:w="623" w:type="pct"/>
            <w:vMerge w:val="restart"/>
            <w:vAlign w:val="center"/>
          </w:tcPr>
          <w:p w14:paraId="21C332DF" w14:textId="77777777" w:rsidR="003C0B9A" w:rsidRPr="00495A4F" w:rsidRDefault="003C0B9A" w:rsidP="005326E8">
            <w:pPr>
              <w:contextualSpacing/>
              <w:jc w:val="center"/>
              <w:rPr>
                <w:rFonts w:cs="Arial"/>
                <w:b/>
                <w:sz w:val="16"/>
                <w:szCs w:val="18"/>
                <w:lang w:val="en-US" w:eastAsia="en-GB"/>
              </w:rPr>
            </w:pPr>
            <w:r w:rsidRPr="00495A4F">
              <w:rPr>
                <w:rFonts w:cs="Arial"/>
                <w:b/>
                <w:sz w:val="16"/>
                <w:szCs w:val="18"/>
                <w:lang w:val="en-US" w:eastAsia="en-GB"/>
              </w:rPr>
              <w:t>Unit</w:t>
            </w:r>
          </w:p>
        </w:tc>
        <w:tc>
          <w:tcPr>
            <w:tcW w:w="3582" w:type="pct"/>
            <w:gridSpan w:val="3"/>
            <w:shd w:val="clear" w:color="auto" w:fill="auto"/>
            <w:vAlign w:val="center"/>
          </w:tcPr>
          <w:p w14:paraId="58834B7C" w14:textId="77777777" w:rsidR="003C0B9A" w:rsidRPr="00495A4F" w:rsidRDefault="003C0B9A" w:rsidP="005326E8">
            <w:pPr>
              <w:contextualSpacing/>
              <w:jc w:val="center"/>
              <w:rPr>
                <w:rFonts w:cs="Arial"/>
                <w:b/>
                <w:sz w:val="16"/>
                <w:szCs w:val="18"/>
                <w:lang w:val="en-US" w:eastAsia="en-GB"/>
              </w:rPr>
            </w:pPr>
            <w:r w:rsidRPr="00495A4F">
              <w:rPr>
                <w:rFonts w:cs="Arial"/>
                <w:b/>
                <w:sz w:val="16"/>
                <w:szCs w:val="18"/>
                <w:lang w:val="en-US" w:eastAsia="en-GB"/>
              </w:rPr>
              <w:t>Year</w:t>
            </w:r>
          </w:p>
        </w:tc>
      </w:tr>
      <w:tr w:rsidR="003C0B9A" w:rsidRPr="00495A4F" w14:paraId="0E713BAC" w14:textId="77777777" w:rsidTr="00495A4F">
        <w:trPr>
          <w:trHeight w:val="830"/>
        </w:trPr>
        <w:tc>
          <w:tcPr>
            <w:tcW w:w="795" w:type="pct"/>
            <w:vMerge/>
            <w:shd w:val="clear" w:color="auto" w:fill="auto"/>
            <w:vAlign w:val="center"/>
          </w:tcPr>
          <w:p w14:paraId="02B04BA6" w14:textId="77777777" w:rsidR="003C0B9A" w:rsidRPr="00495A4F" w:rsidRDefault="003C0B9A" w:rsidP="005326E8">
            <w:pPr>
              <w:contextualSpacing/>
              <w:jc w:val="center"/>
              <w:rPr>
                <w:rFonts w:cs="Arial"/>
                <w:b/>
                <w:sz w:val="16"/>
                <w:szCs w:val="18"/>
                <w:lang w:val="en-US" w:eastAsia="en-GB"/>
              </w:rPr>
            </w:pPr>
          </w:p>
        </w:tc>
        <w:tc>
          <w:tcPr>
            <w:tcW w:w="623" w:type="pct"/>
            <w:vMerge/>
            <w:vAlign w:val="center"/>
          </w:tcPr>
          <w:p w14:paraId="4052D627" w14:textId="77777777" w:rsidR="003C0B9A" w:rsidRPr="00495A4F" w:rsidRDefault="003C0B9A" w:rsidP="005326E8">
            <w:pPr>
              <w:contextualSpacing/>
              <w:jc w:val="center"/>
              <w:rPr>
                <w:rFonts w:cs="Arial"/>
                <w:b/>
                <w:sz w:val="16"/>
                <w:szCs w:val="18"/>
                <w:lang w:val="en-US" w:eastAsia="en-GB"/>
              </w:rPr>
            </w:pPr>
          </w:p>
        </w:tc>
        <w:tc>
          <w:tcPr>
            <w:tcW w:w="1168" w:type="pct"/>
            <w:shd w:val="clear" w:color="auto" w:fill="auto"/>
            <w:vAlign w:val="center"/>
          </w:tcPr>
          <w:p w14:paraId="44EE6E83" w14:textId="77777777" w:rsidR="003C0B9A" w:rsidRPr="00495A4F" w:rsidRDefault="003C0B9A" w:rsidP="005326E8">
            <w:pPr>
              <w:contextualSpacing/>
              <w:jc w:val="center"/>
              <w:rPr>
                <w:rFonts w:cs="Arial"/>
                <w:b/>
                <w:sz w:val="16"/>
                <w:szCs w:val="18"/>
                <w:lang w:val="en-US" w:eastAsia="en-GB"/>
              </w:rPr>
            </w:pPr>
            <w:r w:rsidRPr="00495A4F">
              <w:rPr>
                <w:rFonts w:cs="Arial"/>
                <w:b/>
                <w:sz w:val="16"/>
                <w:szCs w:val="18"/>
                <w:lang w:val="en-US" w:eastAsia="en-GB"/>
              </w:rPr>
              <w:t xml:space="preserve">Period I </w:t>
            </w:r>
          </w:p>
          <w:p w14:paraId="0A1267FE" w14:textId="77777777" w:rsidR="003C0B9A" w:rsidRPr="00495A4F" w:rsidRDefault="003C0B9A" w:rsidP="005326E8">
            <w:pPr>
              <w:contextualSpacing/>
              <w:jc w:val="center"/>
              <w:rPr>
                <w:rFonts w:cs="Arial"/>
                <w:b/>
                <w:sz w:val="16"/>
                <w:szCs w:val="18"/>
                <w:lang w:val="en-US" w:eastAsia="en-GB"/>
              </w:rPr>
            </w:pPr>
            <w:r w:rsidRPr="00495A4F">
              <w:rPr>
                <w:rFonts w:cs="Arial"/>
                <w:b/>
                <w:sz w:val="16"/>
                <w:szCs w:val="18"/>
                <w:lang w:val="en-US" w:eastAsia="en-GB"/>
              </w:rPr>
              <w:t>(May 2017- April 2018)</w:t>
            </w:r>
          </w:p>
        </w:tc>
        <w:tc>
          <w:tcPr>
            <w:tcW w:w="1246" w:type="pct"/>
            <w:shd w:val="clear" w:color="auto" w:fill="auto"/>
            <w:vAlign w:val="center"/>
          </w:tcPr>
          <w:p w14:paraId="7F2C2AED" w14:textId="77777777" w:rsidR="003C0B9A" w:rsidRPr="00495A4F" w:rsidRDefault="003C0B9A" w:rsidP="005326E8">
            <w:pPr>
              <w:contextualSpacing/>
              <w:jc w:val="center"/>
              <w:rPr>
                <w:rFonts w:cs="Arial"/>
                <w:b/>
                <w:sz w:val="16"/>
                <w:szCs w:val="18"/>
                <w:lang w:val="en-US" w:eastAsia="en-GB"/>
              </w:rPr>
            </w:pPr>
            <w:r w:rsidRPr="00495A4F">
              <w:rPr>
                <w:rFonts w:cs="Arial"/>
                <w:b/>
                <w:sz w:val="16"/>
                <w:szCs w:val="18"/>
                <w:lang w:val="en-US" w:eastAsia="en-GB"/>
              </w:rPr>
              <w:t xml:space="preserve">Period II </w:t>
            </w:r>
          </w:p>
          <w:p w14:paraId="5C77B404" w14:textId="77777777" w:rsidR="003C0B9A" w:rsidRPr="00495A4F" w:rsidRDefault="003C0B9A" w:rsidP="005326E8">
            <w:pPr>
              <w:contextualSpacing/>
              <w:jc w:val="center"/>
              <w:rPr>
                <w:rFonts w:cs="Arial"/>
                <w:b/>
                <w:sz w:val="16"/>
                <w:szCs w:val="18"/>
                <w:lang w:val="en-US" w:eastAsia="en-GB"/>
              </w:rPr>
            </w:pPr>
            <w:r w:rsidRPr="00495A4F">
              <w:rPr>
                <w:rFonts w:cs="Arial"/>
                <w:b/>
                <w:sz w:val="16"/>
                <w:szCs w:val="18"/>
                <w:lang w:val="en-US" w:eastAsia="en-GB"/>
              </w:rPr>
              <w:t>(May 2018- April 2019)</w:t>
            </w:r>
          </w:p>
        </w:tc>
        <w:tc>
          <w:tcPr>
            <w:tcW w:w="1168" w:type="pct"/>
            <w:shd w:val="clear" w:color="auto" w:fill="auto"/>
            <w:vAlign w:val="center"/>
          </w:tcPr>
          <w:p w14:paraId="7741E946" w14:textId="77777777" w:rsidR="003C0B9A" w:rsidRPr="00495A4F" w:rsidRDefault="003C0B9A" w:rsidP="005326E8">
            <w:pPr>
              <w:contextualSpacing/>
              <w:jc w:val="center"/>
              <w:rPr>
                <w:rFonts w:cs="Arial"/>
                <w:b/>
                <w:sz w:val="16"/>
                <w:szCs w:val="18"/>
                <w:lang w:val="en-US" w:eastAsia="en-GB"/>
              </w:rPr>
            </w:pPr>
            <w:r w:rsidRPr="00495A4F">
              <w:rPr>
                <w:rFonts w:cs="Arial"/>
                <w:b/>
                <w:sz w:val="16"/>
                <w:szCs w:val="18"/>
                <w:lang w:val="en-US" w:eastAsia="en-GB"/>
              </w:rPr>
              <w:t xml:space="preserve">Period III </w:t>
            </w:r>
          </w:p>
          <w:p w14:paraId="369F0AE1" w14:textId="77777777" w:rsidR="003C0B9A" w:rsidRPr="00495A4F" w:rsidRDefault="003C0B9A" w:rsidP="005326E8">
            <w:pPr>
              <w:contextualSpacing/>
              <w:jc w:val="center"/>
              <w:rPr>
                <w:rFonts w:cs="Arial"/>
                <w:b/>
                <w:sz w:val="16"/>
                <w:szCs w:val="18"/>
                <w:lang w:val="en-US" w:eastAsia="en-GB"/>
              </w:rPr>
            </w:pPr>
            <w:r w:rsidRPr="00495A4F">
              <w:rPr>
                <w:rFonts w:cs="Arial"/>
                <w:b/>
                <w:sz w:val="16"/>
                <w:szCs w:val="18"/>
                <w:lang w:val="en-US" w:eastAsia="en-GB"/>
              </w:rPr>
              <w:t>(May 2019- April 2020)</w:t>
            </w:r>
          </w:p>
        </w:tc>
      </w:tr>
      <w:tr w:rsidR="003C0B9A" w:rsidRPr="00495A4F" w14:paraId="376E6262" w14:textId="77777777" w:rsidTr="00495A4F">
        <w:trPr>
          <w:trHeight w:val="193"/>
        </w:trPr>
        <w:tc>
          <w:tcPr>
            <w:tcW w:w="795" w:type="pct"/>
            <w:shd w:val="clear" w:color="auto" w:fill="auto"/>
          </w:tcPr>
          <w:p w14:paraId="290AF879" w14:textId="77777777" w:rsidR="003C0B9A" w:rsidRPr="00495A4F" w:rsidRDefault="003C0B9A" w:rsidP="005326E8">
            <w:pPr>
              <w:contextualSpacing/>
              <w:jc w:val="center"/>
              <w:rPr>
                <w:rFonts w:cs="Arial"/>
                <w:b/>
                <w:sz w:val="16"/>
                <w:szCs w:val="18"/>
                <w:lang w:val="en-US" w:eastAsia="en-GB"/>
              </w:rPr>
            </w:pPr>
            <w:r w:rsidRPr="00495A4F">
              <w:rPr>
                <w:rFonts w:cs="Arial"/>
                <w:color w:val="000000"/>
                <w:sz w:val="16"/>
                <w:szCs w:val="18"/>
                <w:lang w:val="en-US" w:eastAsia="en-GB"/>
              </w:rPr>
              <w:t>Import quantities</w:t>
            </w:r>
          </w:p>
        </w:tc>
        <w:tc>
          <w:tcPr>
            <w:tcW w:w="623" w:type="pct"/>
          </w:tcPr>
          <w:p w14:paraId="24EAFC45" w14:textId="77777777" w:rsidR="003C0B9A" w:rsidRPr="00495A4F" w:rsidRDefault="003C0B9A" w:rsidP="005326E8">
            <w:pPr>
              <w:contextualSpacing/>
              <w:jc w:val="center"/>
              <w:rPr>
                <w:rFonts w:cs="Arial"/>
                <w:sz w:val="16"/>
                <w:szCs w:val="18"/>
                <w:lang w:val="en-US" w:eastAsia="en-GB"/>
              </w:rPr>
            </w:pPr>
            <w:r w:rsidRPr="00495A4F">
              <w:rPr>
                <w:rFonts w:cs="Arial"/>
                <w:sz w:val="16"/>
                <w:szCs w:val="18"/>
                <w:lang w:val="en-US" w:eastAsia="en-GB"/>
              </w:rPr>
              <w:t>Ton</w:t>
            </w:r>
          </w:p>
        </w:tc>
        <w:tc>
          <w:tcPr>
            <w:tcW w:w="1168" w:type="pct"/>
            <w:shd w:val="clear" w:color="auto" w:fill="auto"/>
          </w:tcPr>
          <w:p w14:paraId="65DCB363" w14:textId="77777777" w:rsidR="003C0B9A" w:rsidRPr="00495A4F" w:rsidRDefault="003C0B9A" w:rsidP="005326E8">
            <w:pPr>
              <w:contextualSpacing/>
              <w:jc w:val="center"/>
              <w:rPr>
                <w:rFonts w:cs="Arial"/>
                <w:sz w:val="16"/>
                <w:szCs w:val="18"/>
                <w:lang w:val="en-US" w:eastAsia="en-GB"/>
              </w:rPr>
            </w:pPr>
            <w:r w:rsidRPr="00495A4F">
              <w:rPr>
                <w:rFonts w:cs="Arial"/>
                <w:sz w:val="16"/>
                <w:szCs w:val="18"/>
                <w:lang w:val="en-US" w:eastAsia="en-GB"/>
              </w:rPr>
              <w:t>18.934</w:t>
            </w:r>
          </w:p>
        </w:tc>
        <w:tc>
          <w:tcPr>
            <w:tcW w:w="1246" w:type="pct"/>
            <w:shd w:val="clear" w:color="auto" w:fill="auto"/>
          </w:tcPr>
          <w:p w14:paraId="5EDAD260" w14:textId="77777777" w:rsidR="003C0B9A" w:rsidRPr="00495A4F" w:rsidRDefault="003C0B9A" w:rsidP="005326E8">
            <w:pPr>
              <w:contextualSpacing/>
              <w:jc w:val="center"/>
              <w:rPr>
                <w:rFonts w:cs="Arial"/>
                <w:sz w:val="16"/>
                <w:szCs w:val="18"/>
                <w:lang w:val="en-US" w:eastAsia="en-GB"/>
              </w:rPr>
            </w:pPr>
            <w:r w:rsidRPr="00495A4F">
              <w:rPr>
                <w:rFonts w:cs="Arial"/>
                <w:sz w:val="16"/>
                <w:szCs w:val="18"/>
                <w:lang w:val="en-US" w:eastAsia="en-GB"/>
              </w:rPr>
              <w:t>32.499</w:t>
            </w:r>
          </w:p>
        </w:tc>
        <w:tc>
          <w:tcPr>
            <w:tcW w:w="1168" w:type="pct"/>
            <w:shd w:val="clear" w:color="auto" w:fill="auto"/>
          </w:tcPr>
          <w:p w14:paraId="0BC59EEB" w14:textId="77777777" w:rsidR="003C0B9A" w:rsidRPr="00495A4F" w:rsidRDefault="003C0B9A" w:rsidP="005326E8">
            <w:pPr>
              <w:contextualSpacing/>
              <w:jc w:val="center"/>
              <w:rPr>
                <w:rFonts w:cs="Arial"/>
                <w:sz w:val="16"/>
                <w:szCs w:val="18"/>
                <w:lang w:val="en-US" w:eastAsia="en-GB"/>
              </w:rPr>
            </w:pPr>
            <w:r w:rsidRPr="00495A4F">
              <w:rPr>
                <w:rFonts w:cs="Arial"/>
                <w:sz w:val="16"/>
                <w:szCs w:val="18"/>
                <w:lang w:val="en-US" w:eastAsia="en-GB"/>
              </w:rPr>
              <w:t>23.242</w:t>
            </w:r>
          </w:p>
        </w:tc>
      </w:tr>
      <w:tr w:rsidR="003C0B9A" w:rsidRPr="00495A4F" w14:paraId="2500C174" w14:textId="77777777" w:rsidTr="00495A4F">
        <w:trPr>
          <w:trHeight w:val="151"/>
        </w:trPr>
        <w:tc>
          <w:tcPr>
            <w:tcW w:w="795" w:type="pct"/>
            <w:shd w:val="clear" w:color="auto" w:fill="auto"/>
          </w:tcPr>
          <w:p w14:paraId="20C1083E" w14:textId="77777777" w:rsidR="003C0B9A" w:rsidRPr="00495A4F" w:rsidRDefault="003C0B9A" w:rsidP="005326E8">
            <w:pPr>
              <w:contextualSpacing/>
              <w:jc w:val="center"/>
              <w:rPr>
                <w:rFonts w:cs="Arial"/>
                <w:sz w:val="16"/>
                <w:szCs w:val="18"/>
                <w:lang w:val="en-US" w:eastAsia="en-GB"/>
              </w:rPr>
            </w:pPr>
            <w:r w:rsidRPr="00495A4F">
              <w:rPr>
                <w:rFonts w:cs="Arial"/>
                <w:sz w:val="16"/>
                <w:szCs w:val="18"/>
                <w:lang w:val="en-US" w:eastAsia="en-GB"/>
              </w:rPr>
              <w:t>growth</w:t>
            </w:r>
          </w:p>
        </w:tc>
        <w:tc>
          <w:tcPr>
            <w:tcW w:w="623" w:type="pct"/>
          </w:tcPr>
          <w:p w14:paraId="286606AB" w14:textId="77777777" w:rsidR="003C0B9A" w:rsidRPr="00495A4F" w:rsidRDefault="003C0B9A" w:rsidP="005326E8">
            <w:pPr>
              <w:contextualSpacing/>
              <w:jc w:val="center"/>
              <w:rPr>
                <w:rFonts w:cs="Arial"/>
                <w:sz w:val="16"/>
                <w:szCs w:val="18"/>
                <w:lang w:val="en-US" w:eastAsia="en-GB"/>
              </w:rPr>
            </w:pPr>
            <w:r w:rsidRPr="00495A4F">
              <w:rPr>
                <w:rFonts w:cs="Arial"/>
                <w:sz w:val="16"/>
                <w:szCs w:val="18"/>
                <w:lang w:val="en-US" w:eastAsia="en-GB"/>
              </w:rPr>
              <w:t>%</w:t>
            </w:r>
          </w:p>
        </w:tc>
        <w:tc>
          <w:tcPr>
            <w:tcW w:w="1168" w:type="pct"/>
            <w:shd w:val="clear" w:color="auto" w:fill="auto"/>
            <w:vAlign w:val="center"/>
          </w:tcPr>
          <w:p w14:paraId="6D1AA749" w14:textId="77777777" w:rsidR="003C0B9A" w:rsidRPr="00495A4F" w:rsidRDefault="003C0B9A" w:rsidP="005326E8">
            <w:pPr>
              <w:contextualSpacing/>
              <w:jc w:val="center"/>
              <w:rPr>
                <w:rFonts w:cs="Arial"/>
                <w:sz w:val="16"/>
                <w:szCs w:val="18"/>
                <w:lang w:val="en-US" w:eastAsia="en-GB"/>
              </w:rPr>
            </w:pPr>
            <w:r w:rsidRPr="00495A4F">
              <w:rPr>
                <w:rFonts w:cs="Arial"/>
                <w:sz w:val="16"/>
                <w:szCs w:val="18"/>
                <w:lang w:val="en-US" w:eastAsia="en-GB"/>
              </w:rPr>
              <w:t>-</w:t>
            </w:r>
          </w:p>
        </w:tc>
        <w:tc>
          <w:tcPr>
            <w:tcW w:w="1246" w:type="pct"/>
            <w:shd w:val="clear" w:color="auto" w:fill="auto"/>
          </w:tcPr>
          <w:p w14:paraId="32907B34" w14:textId="77777777" w:rsidR="003C0B9A" w:rsidRPr="00495A4F" w:rsidRDefault="003C0B9A" w:rsidP="005326E8">
            <w:pPr>
              <w:contextualSpacing/>
              <w:jc w:val="center"/>
              <w:rPr>
                <w:rFonts w:cs="Arial"/>
                <w:sz w:val="16"/>
                <w:szCs w:val="18"/>
                <w:lang w:val="en-US" w:eastAsia="en-GB"/>
              </w:rPr>
            </w:pPr>
            <w:r w:rsidRPr="00495A4F">
              <w:rPr>
                <w:rFonts w:cs="Arial"/>
                <w:sz w:val="16"/>
                <w:szCs w:val="18"/>
                <w:lang w:val="en-US" w:eastAsia="en-GB"/>
              </w:rPr>
              <w:t>71,65</w:t>
            </w:r>
          </w:p>
        </w:tc>
        <w:tc>
          <w:tcPr>
            <w:tcW w:w="1168" w:type="pct"/>
            <w:shd w:val="clear" w:color="auto" w:fill="auto"/>
          </w:tcPr>
          <w:p w14:paraId="6BD35214" w14:textId="77777777" w:rsidR="003C0B9A" w:rsidRPr="00495A4F" w:rsidRDefault="003C0B9A" w:rsidP="005326E8">
            <w:pPr>
              <w:contextualSpacing/>
              <w:jc w:val="center"/>
              <w:rPr>
                <w:rFonts w:cs="Arial"/>
                <w:sz w:val="16"/>
                <w:szCs w:val="18"/>
                <w:lang w:val="en-US" w:eastAsia="en-GB"/>
              </w:rPr>
            </w:pPr>
            <w:r w:rsidRPr="00495A4F">
              <w:rPr>
                <w:rFonts w:cs="Arial"/>
                <w:sz w:val="16"/>
                <w:szCs w:val="18"/>
                <w:lang w:val="en-US" w:eastAsia="en-GB"/>
              </w:rPr>
              <w:t>(28,48)</w:t>
            </w:r>
          </w:p>
        </w:tc>
      </w:tr>
      <w:tr w:rsidR="003C0B9A" w:rsidRPr="00495A4F" w14:paraId="0CCE0D30" w14:textId="77777777" w:rsidTr="00495A4F">
        <w:trPr>
          <w:trHeight w:val="236"/>
        </w:trPr>
        <w:tc>
          <w:tcPr>
            <w:tcW w:w="795" w:type="pct"/>
            <w:shd w:val="clear" w:color="auto" w:fill="auto"/>
          </w:tcPr>
          <w:p w14:paraId="290A401B" w14:textId="77777777" w:rsidR="003C0B9A" w:rsidRPr="00495A4F" w:rsidRDefault="003C0B9A" w:rsidP="005326E8">
            <w:pPr>
              <w:contextualSpacing/>
              <w:jc w:val="center"/>
              <w:rPr>
                <w:rFonts w:cs="Arial"/>
                <w:b/>
                <w:sz w:val="16"/>
                <w:szCs w:val="18"/>
                <w:lang w:val="en-US" w:eastAsia="en-GB"/>
              </w:rPr>
            </w:pPr>
            <w:r w:rsidRPr="00495A4F">
              <w:rPr>
                <w:rFonts w:cs="Arial"/>
                <w:b/>
                <w:sz w:val="16"/>
                <w:szCs w:val="18"/>
                <w:lang w:val="en-US" w:eastAsia="en-GB"/>
              </w:rPr>
              <w:t>Trend</w:t>
            </w:r>
          </w:p>
        </w:tc>
        <w:tc>
          <w:tcPr>
            <w:tcW w:w="623" w:type="pct"/>
          </w:tcPr>
          <w:p w14:paraId="094A11CC" w14:textId="77777777" w:rsidR="003C0B9A" w:rsidRPr="00495A4F" w:rsidRDefault="003C0B9A" w:rsidP="005326E8">
            <w:pPr>
              <w:contextualSpacing/>
              <w:jc w:val="center"/>
              <w:rPr>
                <w:rFonts w:cs="Arial"/>
                <w:b/>
                <w:sz w:val="16"/>
                <w:szCs w:val="18"/>
                <w:lang w:val="en-US" w:eastAsia="en-GB"/>
              </w:rPr>
            </w:pPr>
            <w:r w:rsidRPr="00495A4F">
              <w:rPr>
                <w:rFonts w:cs="Arial"/>
                <w:b/>
                <w:sz w:val="16"/>
                <w:szCs w:val="18"/>
                <w:lang w:val="en-US" w:eastAsia="en-GB"/>
              </w:rPr>
              <w:t>%</w:t>
            </w:r>
          </w:p>
        </w:tc>
        <w:tc>
          <w:tcPr>
            <w:tcW w:w="3582" w:type="pct"/>
            <w:gridSpan w:val="3"/>
            <w:shd w:val="clear" w:color="auto" w:fill="auto"/>
          </w:tcPr>
          <w:p w14:paraId="7999653F" w14:textId="77777777" w:rsidR="003C0B9A" w:rsidRPr="00495A4F" w:rsidRDefault="003C0B9A" w:rsidP="005326E8">
            <w:pPr>
              <w:contextualSpacing/>
              <w:jc w:val="center"/>
              <w:rPr>
                <w:rFonts w:cs="Arial"/>
                <w:b/>
                <w:sz w:val="16"/>
                <w:szCs w:val="18"/>
                <w:lang w:val="en-US" w:eastAsia="en-GB"/>
              </w:rPr>
            </w:pPr>
            <w:r w:rsidRPr="00495A4F">
              <w:rPr>
                <w:rFonts w:cs="Arial"/>
                <w:b/>
                <w:sz w:val="16"/>
                <w:szCs w:val="18"/>
                <w:lang w:val="en-US" w:eastAsia="en-GB"/>
              </w:rPr>
              <w:t>10,79</w:t>
            </w:r>
          </w:p>
        </w:tc>
      </w:tr>
    </w:tbl>
    <w:p w14:paraId="4643E470" w14:textId="43D06E81" w:rsidR="003C0B9A" w:rsidRPr="00275F4A" w:rsidRDefault="003C0B9A" w:rsidP="006F642C">
      <w:pPr>
        <w:spacing w:before="120" w:after="240"/>
        <w:rPr>
          <w:rFonts w:cs="Arial"/>
          <w:color w:val="000000"/>
          <w:sz w:val="16"/>
          <w:szCs w:val="18"/>
          <w:lang w:val="en-US"/>
        </w:rPr>
      </w:pPr>
      <w:r w:rsidRPr="00A95414">
        <w:rPr>
          <w:rFonts w:cs="Arial"/>
          <w:color w:val="000000"/>
          <w:sz w:val="16"/>
          <w:szCs w:val="18"/>
          <w:lang w:val="en-US"/>
        </w:rPr>
        <w:t>Source: Indonesian Statistic/</w:t>
      </w:r>
      <w:r w:rsidRPr="00A95414">
        <w:rPr>
          <w:rFonts w:cs="Arial"/>
          <w:i/>
          <w:color w:val="000000"/>
          <w:sz w:val="16"/>
          <w:szCs w:val="18"/>
          <w:lang w:val="en-US"/>
        </w:rPr>
        <w:t xml:space="preserve">Badan Pusat </w:t>
      </w:r>
      <w:proofErr w:type="spellStart"/>
      <w:r w:rsidRPr="00A95414">
        <w:rPr>
          <w:rFonts w:cs="Arial"/>
          <w:i/>
          <w:color w:val="000000"/>
          <w:sz w:val="16"/>
          <w:szCs w:val="18"/>
          <w:lang w:val="en-US"/>
        </w:rPr>
        <w:t>Statistik</w:t>
      </w:r>
      <w:proofErr w:type="spellEnd"/>
      <w:r w:rsidRPr="00A95414">
        <w:rPr>
          <w:rFonts w:cs="Arial"/>
          <w:i/>
          <w:color w:val="000000"/>
          <w:sz w:val="16"/>
          <w:szCs w:val="18"/>
          <w:lang w:val="en-US"/>
        </w:rPr>
        <w:t xml:space="preserve"> </w:t>
      </w:r>
      <w:r w:rsidRPr="00A95414">
        <w:rPr>
          <w:rFonts w:cs="Arial"/>
          <w:color w:val="000000"/>
          <w:sz w:val="16"/>
          <w:szCs w:val="18"/>
          <w:lang w:val="en-US"/>
        </w:rPr>
        <w:t>(BPS).</w:t>
      </w:r>
    </w:p>
    <w:p w14:paraId="416AAC87" w14:textId="78A3A0F4" w:rsidR="003C0B9A" w:rsidRPr="00275F4A" w:rsidRDefault="003C0B9A" w:rsidP="004B4A5E">
      <w:pPr>
        <w:spacing w:after="240"/>
        <w:rPr>
          <w:lang w:val="en-US" w:eastAsia="en-GB"/>
        </w:rPr>
      </w:pPr>
      <w:r w:rsidRPr="00A95414">
        <w:rPr>
          <w:lang w:val="en-US" w:eastAsia="en-GB"/>
        </w:rPr>
        <w:t xml:space="preserve">As shown in Table 2, </w:t>
      </w:r>
      <w:r w:rsidRPr="00A95414">
        <w:rPr>
          <w:rFonts w:cs="Arial"/>
          <w:lang w:val="en-US"/>
        </w:rPr>
        <w:t xml:space="preserve">imports increased in absolute terms with a trend of 10.79%. </w:t>
      </w:r>
      <w:r w:rsidRPr="00A95414">
        <w:rPr>
          <w:lang w:val="en-US" w:eastAsia="en-GB"/>
        </w:rPr>
        <w:t xml:space="preserve">It is verified that the volume of imports increased significantly by 71.65% in period II (May 2018- April 2019) compared to the previous period. Eventually, in period III </w:t>
      </w:r>
      <w:r w:rsidRPr="00A95414">
        <w:rPr>
          <w:rFonts w:cs="Arial"/>
          <w:lang w:val="en-US"/>
        </w:rPr>
        <w:t>(May 2019- April 2020)</w:t>
      </w:r>
      <w:r w:rsidRPr="00A95414">
        <w:rPr>
          <w:lang w:val="en-US" w:eastAsia="en-GB"/>
        </w:rPr>
        <w:t xml:space="preserve"> the import of the </w:t>
      </w:r>
      <w:r w:rsidRPr="00A95414">
        <w:rPr>
          <w:lang w:val="en-US" w:eastAsia="en-GB"/>
        </w:rPr>
        <w:lastRenderedPageBreak/>
        <w:t xml:space="preserve">subject goods decreased by 28.48% compared to the previous period, but this is still higher than the import quantities in the period I. </w:t>
      </w:r>
    </w:p>
    <w:p w14:paraId="34697D67" w14:textId="77777777" w:rsidR="003C0B9A" w:rsidRPr="00A95414" w:rsidRDefault="003C0B9A" w:rsidP="00E10060">
      <w:pPr>
        <w:keepNext/>
        <w:numPr>
          <w:ilvl w:val="0"/>
          <w:numId w:val="19"/>
        </w:numPr>
        <w:spacing w:after="240"/>
        <w:ind w:left="357" w:hanging="357"/>
        <w:rPr>
          <w:b/>
          <w:lang w:val="en-US"/>
        </w:rPr>
      </w:pPr>
      <w:r w:rsidRPr="00A95414">
        <w:rPr>
          <w:b/>
          <w:lang w:val="en-US"/>
        </w:rPr>
        <w:t>Information on imports relative to the domestic production</w:t>
      </w:r>
    </w:p>
    <w:p w14:paraId="4DFCA166" w14:textId="77777777" w:rsidR="003C0B9A" w:rsidRPr="00A95414" w:rsidRDefault="003C0B9A" w:rsidP="004B4A5E">
      <w:pPr>
        <w:keepNext/>
        <w:spacing w:before="120" w:after="120"/>
        <w:jc w:val="left"/>
        <w:rPr>
          <w:rFonts w:eastAsia="Times New Roman"/>
          <w:b/>
          <w:bCs/>
          <w:color w:val="006283"/>
          <w:szCs w:val="20"/>
          <w:lang w:val="en-US" w:eastAsia="en-GB"/>
        </w:rPr>
      </w:pPr>
      <w:r w:rsidRPr="00A95414">
        <w:rPr>
          <w:rFonts w:eastAsia="Times New Roman"/>
          <w:b/>
          <w:bCs/>
          <w:color w:val="006283"/>
          <w:szCs w:val="20"/>
          <w:lang w:val="en-US" w:eastAsia="en-GB"/>
        </w:rPr>
        <w:t>Table 3. Volume of Imports and Domestic Production</w:t>
      </w:r>
    </w:p>
    <w:tbl>
      <w:tblPr>
        <w:tblW w:w="4977" w:type="pct"/>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032"/>
        <w:gridCol w:w="1127"/>
        <w:gridCol w:w="1932"/>
        <w:gridCol w:w="1932"/>
        <w:gridCol w:w="1932"/>
      </w:tblGrid>
      <w:tr w:rsidR="003C0B9A" w:rsidRPr="00275F4A" w14:paraId="3D3D1AA2" w14:textId="77777777" w:rsidTr="001B67D4">
        <w:trPr>
          <w:trHeight w:val="20"/>
        </w:trPr>
        <w:tc>
          <w:tcPr>
            <w:tcW w:w="1134" w:type="pct"/>
            <w:vMerge w:val="restart"/>
            <w:shd w:val="clear" w:color="auto" w:fill="auto"/>
            <w:vAlign w:val="center"/>
          </w:tcPr>
          <w:p w14:paraId="6FC89CBE" w14:textId="77777777" w:rsidR="003C0B9A" w:rsidRPr="00275F4A" w:rsidRDefault="003C0B9A" w:rsidP="005326E8">
            <w:pPr>
              <w:contextualSpacing/>
              <w:jc w:val="center"/>
              <w:rPr>
                <w:rFonts w:cs="Arial"/>
                <w:b/>
                <w:sz w:val="16"/>
                <w:szCs w:val="18"/>
                <w:lang w:val="en-US" w:eastAsia="en-GB"/>
              </w:rPr>
            </w:pPr>
            <w:r w:rsidRPr="00275F4A">
              <w:rPr>
                <w:rFonts w:cs="Arial"/>
                <w:b/>
                <w:sz w:val="16"/>
                <w:szCs w:val="18"/>
                <w:lang w:val="en-US" w:eastAsia="en-GB"/>
              </w:rPr>
              <w:t>Description</w:t>
            </w:r>
          </w:p>
        </w:tc>
        <w:tc>
          <w:tcPr>
            <w:tcW w:w="629" w:type="pct"/>
            <w:vMerge w:val="restart"/>
            <w:vAlign w:val="center"/>
          </w:tcPr>
          <w:p w14:paraId="7E322B4B" w14:textId="77777777" w:rsidR="003C0B9A" w:rsidRPr="00275F4A" w:rsidRDefault="003C0B9A" w:rsidP="005326E8">
            <w:pPr>
              <w:contextualSpacing/>
              <w:jc w:val="center"/>
              <w:rPr>
                <w:rFonts w:cs="Arial"/>
                <w:b/>
                <w:sz w:val="16"/>
                <w:szCs w:val="18"/>
                <w:lang w:val="en-US" w:eastAsia="en-GB"/>
              </w:rPr>
            </w:pPr>
            <w:r w:rsidRPr="00275F4A">
              <w:rPr>
                <w:rFonts w:cs="Arial"/>
                <w:b/>
                <w:sz w:val="16"/>
                <w:szCs w:val="18"/>
                <w:lang w:val="en-US" w:eastAsia="en-GB"/>
              </w:rPr>
              <w:t>Unit</w:t>
            </w:r>
          </w:p>
        </w:tc>
        <w:tc>
          <w:tcPr>
            <w:tcW w:w="3237" w:type="pct"/>
            <w:gridSpan w:val="3"/>
            <w:shd w:val="clear" w:color="auto" w:fill="auto"/>
            <w:vAlign w:val="center"/>
          </w:tcPr>
          <w:p w14:paraId="65B3C944" w14:textId="77777777" w:rsidR="003C0B9A" w:rsidRPr="00275F4A" w:rsidRDefault="003C0B9A" w:rsidP="005326E8">
            <w:pPr>
              <w:contextualSpacing/>
              <w:jc w:val="center"/>
              <w:rPr>
                <w:rFonts w:cs="Arial"/>
                <w:b/>
                <w:sz w:val="16"/>
                <w:szCs w:val="18"/>
                <w:lang w:val="en-US" w:eastAsia="en-GB"/>
              </w:rPr>
            </w:pPr>
            <w:r w:rsidRPr="00275F4A">
              <w:rPr>
                <w:rFonts w:cs="Arial"/>
                <w:b/>
                <w:sz w:val="16"/>
                <w:szCs w:val="18"/>
                <w:lang w:val="en-US" w:eastAsia="en-GB"/>
              </w:rPr>
              <w:t xml:space="preserve">Year </w:t>
            </w:r>
          </w:p>
        </w:tc>
      </w:tr>
      <w:tr w:rsidR="003C0B9A" w:rsidRPr="00275F4A" w14:paraId="52896A10" w14:textId="77777777" w:rsidTr="001B67D4">
        <w:trPr>
          <w:trHeight w:val="493"/>
        </w:trPr>
        <w:tc>
          <w:tcPr>
            <w:tcW w:w="1134" w:type="pct"/>
            <w:vMerge/>
            <w:shd w:val="clear" w:color="auto" w:fill="auto"/>
            <w:vAlign w:val="center"/>
          </w:tcPr>
          <w:p w14:paraId="6C338606" w14:textId="77777777" w:rsidR="003C0B9A" w:rsidRPr="00275F4A" w:rsidRDefault="003C0B9A" w:rsidP="005326E8">
            <w:pPr>
              <w:contextualSpacing/>
              <w:jc w:val="center"/>
              <w:rPr>
                <w:rFonts w:cs="Arial"/>
                <w:b/>
                <w:sz w:val="16"/>
                <w:szCs w:val="18"/>
                <w:lang w:val="en-US" w:eastAsia="en-GB"/>
              </w:rPr>
            </w:pPr>
          </w:p>
        </w:tc>
        <w:tc>
          <w:tcPr>
            <w:tcW w:w="629" w:type="pct"/>
            <w:vMerge/>
            <w:vAlign w:val="center"/>
          </w:tcPr>
          <w:p w14:paraId="0FA997D5" w14:textId="77777777" w:rsidR="003C0B9A" w:rsidRPr="00275F4A" w:rsidRDefault="003C0B9A" w:rsidP="005326E8">
            <w:pPr>
              <w:contextualSpacing/>
              <w:jc w:val="center"/>
              <w:rPr>
                <w:rFonts w:cs="Arial"/>
                <w:b/>
                <w:sz w:val="16"/>
                <w:szCs w:val="18"/>
                <w:lang w:val="en-US" w:eastAsia="en-GB"/>
              </w:rPr>
            </w:pPr>
          </w:p>
        </w:tc>
        <w:tc>
          <w:tcPr>
            <w:tcW w:w="1079" w:type="pct"/>
            <w:vMerge w:val="restart"/>
            <w:shd w:val="clear" w:color="auto" w:fill="auto"/>
            <w:vAlign w:val="center"/>
          </w:tcPr>
          <w:p w14:paraId="78327F65" w14:textId="77777777" w:rsidR="003C0B9A" w:rsidRPr="00275F4A" w:rsidRDefault="003C0B9A" w:rsidP="005326E8">
            <w:pPr>
              <w:contextualSpacing/>
              <w:jc w:val="center"/>
              <w:rPr>
                <w:rFonts w:cs="Arial"/>
                <w:b/>
                <w:sz w:val="16"/>
                <w:szCs w:val="18"/>
                <w:lang w:val="en-US" w:eastAsia="en-GB"/>
              </w:rPr>
            </w:pPr>
            <w:r w:rsidRPr="00275F4A">
              <w:rPr>
                <w:rFonts w:cs="Arial"/>
                <w:b/>
                <w:sz w:val="16"/>
                <w:szCs w:val="18"/>
                <w:lang w:val="en-US" w:eastAsia="en-GB"/>
              </w:rPr>
              <w:t xml:space="preserve">Period I </w:t>
            </w:r>
          </w:p>
          <w:p w14:paraId="444E4EA9" w14:textId="77777777" w:rsidR="003C0B9A" w:rsidRPr="00275F4A" w:rsidRDefault="003C0B9A" w:rsidP="005326E8">
            <w:pPr>
              <w:contextualSpacing/>
              <w:jc w:val="center"/>
              <w:rPr>
                <w:rFonts w:cs="Arial"/>
                <w:b/>
                <w:sz w:val="16"/>
                <w:szCs w:val="18"/>
                <w:lang w:val="en-US" w:eastAsia="en-GB"/>
              </w:rPr>
            </w:pPr>
            <w:r w:rsidRPr="00275F4A">
              <w:rPr>
                <w:rFonts w:cs="Arial"/>
                <w:b/>
                <w:sz w:val="16"/>
                <w:szCs w:val="18"/>
                <w:lang w:val="en-US" w:eastAsia="en-GB"/>
              </w:rPr>
              <w:t>(May 2017- April 2018)</w:t>
            </w:r>
          </w:p>
        </w:tc>
        <w:tc>
          <w:tcPr>
            <w:tcW w:w="1079" w:type="pct"/>
            <w:vMerge w:val="restart"/>
            <w:shd w:val="clear" w:color="auto" w:fill="auto"/>
            <w:vAlign w:val="center"/>
          </w:tcPr>
          <w:p w14:paraId="0B2C84BC" w14:textId="77777777" w:rsidR="003C0B9A" w:rsidRPr="00275F4A" w:rsidRDefault="003C0B9A" w:rsidP="005326E8">
            <w:pPr>
              <w:contextualSpacing/>
              <w:jc w:val="center"/>
              <w:rPr>
                <w:rFonts w:cs="Arial"/>
                <w:b/>
                <w:sz w:val="16"/>
                <w:szCs w:val="18"/>
                <w:lang w:val="en-US" w:eastAsia="en-GB"/>
              </w:rPr>
            </w:pPr>
            <w:r w:rsidRPr="00275F4A">
              <w:rPr>
                <w:rFonts w:cs="Arial"/>
                <w:b/>
                <w:sz w:val="16"/>
                <w:szCs w:val="18"/>
                <w:lang w:val="en-US" w:eastAsia="en-GB"/>
              </w:rPr>
              <w:t xml:space="preserve">Period II </w:t>
            </w:r>
          </w:p>
          <w:p w14:paraId="45ECE3E2" w14:textId="77777777" w:rsidR="003C0B9A" w:rsidRPr="00275F4A" w:rsidRDefault="003C0B9A" w:rsidP="005326E8">
            <w:pPr>
              <w:contextualSpacing/>
              <w:jc w:val="center"/>
              <w:rPr>
                <w:rFonts w:cs="Arial"/>
                <w:b/>
                <w:sz w:val="16"/>
                <w:szCs w:val="18"/>
                <w:lang w:val="en-US" w:eastAsia="en-GB"/>
              </w:rPr>
            </w:pPr>
            <w:r w:rsidRPr="00275F4A">
              <w:rPr>
                <w:rFonts w:cs="Arial"/>
                <w:b/>
                <w:sz w:val="16"/>
                <w:szCs w:val="18"/>
                <w:lang w:val="en-US" w:eastAsia="en-GB"/>
              </w:rPr>
              <w:t>(May 2018- April 2019)</w:t>
            </w:r>
          </w:p>
        </w:tc>
        <w:tc>
          <w:tcPr>
            <w:tcW w:w="1079" w:type="pct"/>
            <w:vMerge w:val="restart"/>
            <w:shd w:val="clear" w:color="auto" w:fill="auto"/>
            <w:vAlign w:val="center"/>
          </w:tcPr>
          <w:p w14:paraId="2BEF28CC" w14:textId="77777777" w:rsidR="003C0B9A" w:rsidRPr="00275F4A" w:rsidRDefault="003C0B9A" w:rsidP="005326E8">
            <w:pPr>
              <w:contextualSpacing/>
              <w:jc w:val="center"/>
              <w:rPr>
                <w:rFonts w:cs="Arial"/>
                <w:b/>
                <w:sz w:val="16"/>
                <w:szCs w:val="18"/>
                <w:lang w:val="en-US" w:eastAsia="en-GB"/>
              </w:rPr>
            </w:pPr>
            <w:r w:rsidRPr="00275F4A">
              <w:rPr>
                <w:rFonts w:cs="Arial"/>
                <w:b/>
                <w:sz w:val="16"/>
                <w:szCs w:val="18"/>
                <w:lang w:val="en-US" w:eastAsia="en-GB"/>
              </w:rPr>
              <w:t xml:space="preserve">Period III </w:t>
            </w:r>
          </w:p>
          <w:p w14:paraId="10FCEFD5" w14:textId="77777777" w:rsidR="003C0B9A" w:rsidRPr="00275F4A" w:rsidRDefault="003C0B9A" w:rsidP="005326E8">
            <w:pPr>
              <w:contextualSpacing/>
              <w:jc w:val="center"/>
              <w:rPr>
                <w:rFonts w:cs="Arial"/>
                <w:b/>
                <w:sz w:val="16"/>
                <w:szCs w:val="18"/>
                <w:lang w:val="en-US" w:eastAsia="en-GB"/>
              </w:rPr>
            </w:pPr>
            <w:r w:rsidRPr="00275F4A">
              <w:rPr>
                <w:rFonts w:cs="Arial"/>
                <w:b/>
                <w:sz w:val="16"/>
                <w:szCs w:val="18"/>
                <w:lang w:val="en-US" w:eastAsia="en-GB"/>
              </w:rPr>
              <w:t>(May 2019- April 2020)</w:t>
            </w:r>
          </w:p>
        </w:tc>
      </w:tr>
      <w:tr w:rsidR="003C0B9A" w:rsidRPr="00275F4A" w14:paraId="156656C6" w14:textId="77777777" w:rsidTr="001B67D4">
        <w:trPr>
          <w:trHeight w:val="493"/>
        </w:trPr>
        <w:tc>
          <w:tcPr>
            <w:tcW w:w="1134" w:type="pct"/>
            <w:vMerge/>
            <w:shd w:val="clear" w:color="auto" w:fill="auto"/>
            <w:vAlign w:val="center"/>
          </w:tcPr>
          <w:p w14:paraId="7CB6BDAD" w14:textId="77777777" w:rsidR="003C0B9A" w:rsidRPr="00275F4A" w:rsidRDefault="003C0B9A" w:rsidP="005326E8">
            <w:pPr>
              <w:contextualSpacing/>
              <w:jc w:val="center"/>
              <w:rPr>
                <w:rFonts w:cs="Arial"/>
                <w:b/>
                <w:sz w:val="16"/>
                <w:szCs w:val="18"/>
                <w:lang w:val="en-US" w:eastAsia="en-GB"/>
              </w:rPr>
            </w:pPr>
          </w:p>
        </w:tc>
        <w:tc>
          <w:tcPr>
            <w:tcW w:w="629" w:type="pct"/>
            <w:vMerge/>
            <w:vAlign w:val="center"/>
          </w:tcPr>
          <w:p w14:paraId="09979C33" w14:textId="77777777" w:rsidR="003C0B9A" w:rsidRPr="00275F4A" w:rsidRDefault="003C0B9A" w:rsidP="005326E8">
            <w:pPr>
              <w:contextualSpacing/>
              <w:jc w:val="center"/>
              <w:rPr>
                <w:rFonts w:cs="Arial"/>
                <w:b/>
                <w:sz w:val="16"/>
                <w:szCs w:val="18"/>
                <w:lang w:val="en-US" w:eastAsia="en-GB"/>
              </w:rPr>
            </w:pPr>
          </w:p>
        </w:tc>
        <w:tc>
          <w:tcPr>
            <w:tcW w:w="1079" w:type="pct"/>
            <w:vMerge/>
            <w:shd w:val="clear" w:color="auto" w:fill="auto"/>
            <w:vAlign w:val="center"/>
          </w:tcPr>
          <w:p w14:paraId="184FF7DE" w14:textId="77777777" w:rsidR="003C0B9A" w:rsidRPr="00275F4A" w:rsidRDefault="003C0B9A" w:rsidP="005326E8">
            <w:pPr>
              <w:contextualSpacing/>
              <w:jc w:val="center"/>
              <w:rPr>
                <w:rFonts w:cs="Arial"/>
                <w:b/>
                <w:sz w:val="16"/>
                <w:szCs w:val="18"/>
                <w:lang w:val="en-US" w:eastAsia="en-GB"/>
              </w:rPr>
            </w:pPr>
          </w:p>
        </w:tc>
        <w:tc>
          <w:tcPr>
            <w:tcW w:w="1079" w:type="pct"/>
            <w:vMerge/>
            <w:shd w:val="clear" w:color="auto" w:fill="auto"/>
            <w:vAlign w:val="center"/>
          </w:tcPr>
          <w:p w14:paraId="4EE4C0FC" w14:textId="77777777" w:rsidR="003C0B9A" w:rsidRPr="00275F4A" w:rsidRDefault="003C0B9A" w:rsidP="005326E8">
            <w:pPr>
              <w:contextualSpacing/>
              <w:jc w:val="center"/>
              <w:rPr>
                <w:rFonts w:cs="Arial"/>
                <w:b/>
                <w:sz w:val="16"/>
                <w:szCs w:val="18"/>
                <w:lang w:val="en-US" w:eastAsia="en-GB"/>
              </w:rPr>
            </w:pPr>
          </w:p>
        </w:tc>
        <w:tc>
          <w:tcPr>
            <w:tcW w:w="1079" w:type="pct"/>
            <w:vMerge/>
            <w:shd w:val="clear" w:color="auto" w:fill="auto"/>
            <w:vAlign w:val="center"/>
          </w:tcPr>
          <w:p w14:paraId="38CC6C5F" w14:textId="77777777" w:rsidR="003C0B9A" w:rsidRPr="00275F4A" w:rsidRDefault="003C0B9A" w:rsidP="005326E8">
            <w:pPr>
              <w:contextualSpacing/>
              <w:jc w:val="center"/>
              <w:rPr>
                <w:rFonts w:cs="Arial"/>
                <w:b/>
                <w:sz w:val="16"/>
                <w:szCs w:val="18"/>
                <w:lang w:val="en-US" w:eastAsia="en-GB"/>
              </w:rPr>
            </w:pPr>
          </w:p>
        </w:tc>
      </w:tr>
      <w:tr w:rsidR="003C0B9A" w:rsidRPr="00275F4A" w14:paraId="44447C26" w14:textId="77777777" w:rsidTr="001B67D4">
        <w:trPr>
          <w:trHeight w:val="20"/>
        </w:trPr>
        <w:tc>
          <w:tcPr>
            <w:tcW w:w="1134" w:type="pct"/>
            <w:shd w:val="clear" w:color="auto" w:fill="auto"/>
            <w:vAlign w:val="center"/>
          </w:tcPr>
          <w:p w14:paraId="121BB0BD" w14:textId="77777777" w:rsidR="003C0B9A" w:rsidRPr="00275F4A" w:rsidRDefault="003C0B9A" w:rsidP="005326E8">
            <w:pPr>
              <w:contextualSpacing/>
              <w:jc w:val="center"/>
              <w:rPr>
                <w:rFonts w:cs="Arial"/>
                <w:b/>
                <w:sz w:val="16"/>
                <w:szCs w:val="18"/>
                <w:lang w:val="en-US" w:eastAsia="en-GB"/>
              </w:rPr>
            </w:pPr>
            <w:r w:rsidRPr="00275F4A">
              <w:rPr>
                <w:rFonts w:cs="Arial"/>
                <w:sz w:val="16"/>
                <w:szCs w:val="16"/>
                <w:lang w:val="en-US" w:eastAsia="en-GB"/>
              </w:rPr>
              <w:t>Total Domestic Production</w:t>
            </w:r>
          </w:p>
        </w:tc>
        <w:tc>
          <w:tcPr>
            <w:tcW w:w="629" w:type="pct"/>
            <w:vAlign w:val="center"/>
          </w:tcPr>
          <w:p w14:paraId="4B580F16" w14:textId="77777777" w:rsidR="003C0B9A" w:rsidRPr="00275F4A" w:rsidRDefault="003C0B9A" w:rsidP="005326E8">
            <w:pPr>
              <w:contextualSpacing/>
              <w:jc w:val="center"/>
              <w:rPr>
                <w:rFonts w:cs="Arial"/>
                <w:sz w:val="16"/>
                <w:szCs w:val="18"/>
                <w:lang w:val="en-US" w:eastAsia="en-GB"/>
              </w:rPr>
            </w:pPr>
            <w:r w:rsidRPr="00275F4A">
              <w:rPr>
                <w:rFonts w:cs="Arial"/>
                <w:sz w:val="16"/>
                <w:szCs w:val="18"/>
                <w:lang w:val="en-US" w:eastAsia="en-GB"/>
              </w:rPr>
              <w:t>Index</w:t>
            </w:r>
          </w:p>
        </w:tc>
        <w:tc>
          <w:tcPr>
            <w:tcW w:w="1079" w:type="pct"/>
            <w:shd w:val="clear" w:color="auto" w:fill="auto"/>
            <w:vAlign w:val="center"/>
          </w:tcPr>
          <w:p w14:paraId="0C47A353" w14:textId="77777777" w:rsidR="003C0B9A" w:rsidRPr="00275F4A" w:rsidRDefault="003C0B9A" w:rsidP="005326E8">
            <w:pPr>
              <w:contextualSpacing/>
              <w:jc w:val="center"/>
              <w:rPr>
                <w:rFonts w:cs="Arial"/>
                <w:sz w:val="16"/>
                <w:szCs w:val="18"/>
                <w:lang w:val="en-US" w:eastAsia="en-GB"/>
              </w:rPr>
            </w:pPr>
            <w:r w:rsidRPr="00275F4A">
              <w:rPr>
                <w:rFonts w:cs="Arial"/>
                <w:sz w:val="16"/>
                <w:szCs w:val="18"/>
                <w:lang w:val="en-US" w:eastAsia="en-GB"/>
              </w:rPr>
              <w:t>100</w:t>
            </w:r>
          </w:p>
        </w:tc>
        <w:tc>
          <w:tcPr>
            <w:tcW w:w="1079" w:type="pct"/>
            <w:shd w:val="clear" w:color="auto" w:fill="auto"/>
            <w:vAlign w:val="center"/>
          </w:tcPr>
          <w:p w14:paraId="335162F2" w14:textId="77777777" w:rsidR="003C0B9A" w:rsidRPr="00275F4A" w:rsidRDefault="003C0B9A" w:rsidP="005326E8">
            <w:pPr>
              <w:contextualSpacing/>
              <w:jc w:val="center"/>
              <w:rPr>
                <w:rFonts w:cs="Arial"/>
                <w:sz w:val="16"/>
                <w:szCs w:val="18"/>
                <w:lang w:val="en-US" w:eastAsia="en-GB"/>
              </w:rPr>
            </w:pPr>
            <w:r w:rsidRPr="00275F4A">
              <w:rPr>
                <w:rFonts w:cs="Arial"/>
                <w:sz w:val="16"/>
                <w:szCs w:val="18"/>
                <w:lang w:val="en-US" w:eastAsia="en-GB"/>
              </w:rPr>
              <w:t>86,93</w:t>
            </w:r>
          </w:p>
        </w:tc>
        <w:tc>
          <w:tcPr>
            <w:tcW w:w="1079" w:type="pct"/>
            <w:shd w:val="clear" w:color="auto" w:fill="auto"/>
            <w:vAlign w:val="center"/>
          </w:tcPr>
          <w:p w14:paraId="544DB5CE" w14:textId="77777777" w:rsidR="003C0B9A" w:rsidRPr="00275F4A" w:rsidRDefault="003C0B9A" w:rsidP="005326E8">
            <w:pPr>
              <w:contextualSpacing/>
              <w:jc w:val="center"/>
              <w:rPr>
                <w:rFonts w:cs="Arial"/>
                <w:sz w:val="16"/>
                <w:szCs w:val="18"/>
                <w:lang w:val="en-US" w:eastAsia="en-GB"/>
              </w:rPr>
            </w:pPr>
            <w:r w:rsidRPr="00275F4A">
              <w:rPr>
                <w:rFonts w:cs="Arial"/>
                <w:sz w:val="16"/>
                <w:szCs w:val="18"/>
                <w:lang w:val="en-US" w:eastAsia="en-GB"/>
              </w:rPr>
              <w:t>62,71</w:t>
            </w:r>
          </w:p>
        </w:tc>
      </w:tr>
      <w:tr w:rsidR="003C0B9A" w:rsidRPr="00275F4A" w14:paraId="69ED3F3C" w14:textId="77777777" w:rsidTr="001B67D4">
        <w:trPr>
          <w:trHeight w:val="20"/>
        </w:trPr>
        <w:tc>
          <w:tcPr>
            <w:tcW w:w="1134" w:type="pct"/>
            <w:shd w:val="clear" w:color="auto" w:fill="auto"/>
            <w:vAlign w:val="center"/>
          </w:tcPr>
          <w:p w14:paraId="125B8F41" w14:textId="77777777" w:rsidR="003C0B9A" w:rsidRPr="00275F4A" w:rsidRDefault="003C0B9A" w:rsidP="005326E8">
            <w:pPr>
              <w:contextualSpacing/>
              <w:jc w:val="center"/>
              <w:rPr>
                <w:rFonts w:cs="Arial"/>
                <w:b/>
                <w:sz w:val="16"/>
                <w:szCs w:val="18"/>
                <w:lang w:val="en-US" w:eastAsia="en-GB"/>
              </w:rPr>
            </w:pPr>
            <w:r w:rsidRPr="00275F4A">
              <w:rPr>
                <w:rFonts w:cs="Arial"/>
                <w:color w:val="000000"/>
                <w:sz w:val="16"/>
                <w:szCs w:val="16"/>
                <w:lang w:val="en-US" w:eastAsia="en-GB"/>
              </w:rPr>
              <w:t>Import quantities</w:t>
            </w:r>
          </w:p>
        </w:tc>
        <w:tc>
          <w:tcPr>
            <w:tcW w:w="629" w:type="pct"/>
            <w:vAlign w:val="center"/>
          </w:tcPr>
          <w:p w14:paraId="5D937519" w14:textId="77777777" w:rsidR="003C0B9A" w:rsidRPr="00275F4A" w:rsidRDefault="003C0B9A" w:rsidP="005326E8">
            <w:pPr>
              <w:contextualSpacing/>
              <w:jc w:val="center"/>
              <w:rPr>
                <w:rFonts w:cs="Arial"/>
                <w:sz w:val="16"/>
                <w:szCs w:val="18"/>
                <w:lang w:val="en-US" w:eastAsia="en-GB"/>
              </w:rPr>
            </w:pPr>
            <w:r w:rsidRPr="00275F4A">
              <w:rPr>
                <w:rFonts w:cs="Arial"/>
                <w:sz w:val="16"/>
                <w:szCs w:val="18"/>
                <w:lang w:val="en-US" w:eastAsia="en-GB"/>
              </w:rPr>
              <w:t>Ton</w:t>
            </w:r>
          </w:p>
        </w:tc>
        <w:tc>
          <w:tcPr>
            <w:tcW w:w="1079" w:type="pct"/>
            <w:shd w:val="clear" w:color="auto" w:fill="auto"/>
            <w:vAlign w:val="center"/>
          </w:tcPr>
          <w:p w14:paraId="7D001AAB" w14:textId="77777777" w:rsidR="003C0B9A" w:rsidRPr="00275F4A" w:rsidRDefault="003C0B9A" w:rsidP="005326E8">
            <w:pPr>
              <w:contextualSpacing/>
              <w:jc w:val="center"/>
              <w:rPr>
                <w:rFonts w:cs="Arial"/>
                <w:sz w:val="16"/>
                <w:szCs w:val="18"/>
                <w:lang w:val="en-US" w:eastAsia="en-GB"/>
              </w:rPr>
            </w:pPr>
            <w:r w:rsidRPr="00275F4A">
              <w:rPr>
                <w:rFonts w:cs="Arial"/>
                <w:sz w:val="16"/>
                <w:szCs w:val="18"/>
                <w:lang w:val="en-US" w:eastAsia="en-GB"/>
              </w:rPr>
              <w:t>18.934</w:t>
            </w:r>
          </w:p>
        </w:tc>
        <w:tc>
          <w:tcPr>
            <w:tcW w:w="1079" w:type="pct"/>
            <w:shd w:val="clear" w:color="auto" w:fill="auto"/>
            <w:vAlign w:val="center"/>
          </w:tcPr>
          <w:p w14:paraId="080C031E" w14:textId="77777777" w:rsidR="003C0B9A" w:rsidRPr="00275F4A" w:rsidRDefault="003C0B9A" w:rsidP="005326E8">
            <w:pPr>
              <w:contextualSpacing/>
              <w:jc w:val="center"/>
              <w:rPr>
                <w:rFonts w:cs="Arial"/>
                <w:sz w:val="16"/>
                <w:szCs w:val="18"/>
                <w:lang w:val="en-US" w:eastAsia="en-GB"/>
              </w:rPr>
            </w:pPr>
            <w:r w:rsidRPr="00275F4A">
              <w:rPr>
                <w:rFonts w:cs="Arial"/>
                <w:sz w:val="16"/>
                <w:szCs w:val="18"/>
                <w:lang w:val="en-US" w:eastAsia="en-GB"/>
              </w:rPr>
              <w:t>32.499</w:t>
            </w:r>
          </w:p>
        </w:tc>
        <w:tc>
          <w:tcPr>
            <w:tcW w:w="1079" w:type="pct"/>
            <w:shd w:val="clear" w:color="auto" w:fill="auto"/>
            <w:vAlign w:val="center"/>
          </w:tcPr>
          <w:p w14:paraId="4FE04614" w14:textId="77777777" w:rsidR="003C0B9A" w:rsidRPr="00275F4A" w:rsidRDefault="003C0B9A" w:rsidP="005326E8">
            <w:pPr>
              <w:contextualSpacing/>
              <w:jc w:val="center"/>
              <w:rPr>
                <w:rFonts w:cs="Arial"/>
                <w:sz w:val="16"/>
                <w:szCs w:val="18"/>
                <w:lang w:val="en-US" w:eastAsia="en-GB"/>
              </w:rPr>
            </w:pPr>
            <w:r w:rsidRPr="00275F4A">
              <w:rPr>
                <w:rFonts w:cs="Arial"/>
                <w:sz w:val="16"/>
                <w:szCs w:val="18"/>
                <w:lang w:val="en-US" w:eastAsia="en-GB"/>
              </w:rPr>
              <w:t>23.242</w:t>
            </w:r>
          </w:p>
        </w:tc>
      </w:tr>
      <w:tr w:rsidR="003C0B9A" w:rsidRPr="00275F4A" w14:paraId="474919AA" w14:textId="77777777" w:rsidTr="001B67D4">
        <w:trPr>
          <w:trHeight w:val="327"/>
        </w:trPr>
        <w:tc>
          <w:tcPr>
            <w:tcW w:w="1134" w:type="pct"/>
            <w:shd w:val="clear" w:color="auto" w:fill="auto"/>
            <w:vAlign w:val="center"/>
          </w:tcPr>
          <w:p w14:paraId="4D9FD60F" w14:textId="77777777" w:rsidR="003C0B9A" w:rsidRPr="00275F4A" w:rsidRDefault="003C0B9A" w:rsidP="005326E8">
            <w:pPr>
              <w:contextualSpacing/>
              <w:jc w:val="center"/>
              <w:rPr>
                <w:rFonts w:cs="Arial"/>
                <w:b/>
                <w:sz w:val="16"/>
                <w:szCs w:val="18"/>
                <w:lang w:val="en-US" w:eastAsia="en-GB"/>
              </w:rPr>
            </w:pPr>
            <w:r w:rsidRPr="00275F4A">
              <w:rPr>
                <w:rFonts w:cs="Arial"/>
                <w:sz w:val="16"/>
                <w:szCs w:val="16"/>
                <w:lang w:val="en-US" w:eastAsia="en-GB"/>
              </w:rPr>
              <w:t>Imports Relative to the Total of Domestic Production</w:t>
            </w:r>
          </w:p>
        </w:tc>
        <w:tc>
          <w:tcPr>
            <w:tcW w:w="629" w:type="pct"/>
            <w:vAlign w:val="center"/>
          </w:tcPr>
          <w:p w14:paraId="07E3E18F" w14:textId="77777777" w:rsidR="003C0B9A" w:rsidRPr="00275F4A" w:rsidRDefault="003C0B9A" w:rsidP="005326E8">
            <w:pPr>
              <w:contextualSpacing/>
              <w:jc w:val="center"/>
              <w:rPr>
                <w:rFonts w:cs="Arial"/>
                <w:sz w:val="16"/>
                <w:szCs w:val="18"/>
                <w:lang w:val="en-US" w:eastAsia="en-GB"/>
              </w:rPr>
            </w:pPr>
            <w:r w:rsidRPr="00275F4A">
              <w:rPr>
                <w:rFonts w:cs="Arial"/>
                <w:sz w:val="16"/>
                <w:szCs w:val="18"/>
                <w:lang w:val="en-US" w:eastAsia="en-GB"/>
              </w:rPr>
              <w:t>Index</w:t>
            </w:r>
          </w:p>
        </w:tc>
        <w:tc>
          <w:tcPr>
            <w:tcW w:w="1079" w:type="pct"/>
            <w:shd w:val="clear" w:color="auto" w:fill="auto"/>
            <w:vAlign w:val="center"/>
          </w:tcPr>
          <w:p w14:paraId="4C50D1D6" w14:textId="77777777" w:rsidR="003C0B9A" w:rsidRPr="00275F4A" w:rsidRDefault="003C0B9A" w:rsidP="005326E8">
            <w:pPr>
              <w:contextualSpacing/>
              <w:jc w:val="center"/>
              <w:rPr>
                <w:rFonts w:cs="Arial"/>
                <w:sz w:val="16"/>
                <w:szCs w:val="18"/>
                <w:lang w:val="en-US" w:eastAsia="en-GB"/>
              </w:rPr>
            </w:pPr>
            <w:r w:rsidRPr="00275F4A">
              <w:rPr>
                <w:rFonts w:cs="Arial"/>
                <w:sz w:val="16"/>
                <w:szCs w:val="18"/>
                <w:lang w:val="en-US" w:eastAsia="en-GB"/>
              </w:rPr>
              <w:t>100</w:t>
            </w:r>
          </w:p>
        </w:tc>
        <w:tc>
          <w:tcPr>
            <w:tcW w:w="1079" w:type="pct"/>
            <w:shd w:val="clear" w:color="auto" w:fill="auto"/>
            <w:vAlign w:val="center"/>
          </w:tcPr>
          <w:p w14:paraId="538EE2FF" w14:textId="77777777" w:rsidR="003C0B9A" w:rsidRPr="00275F4A" w:rsidRDefault="003C0B9A" w:rsidP="005326E8">
            <w:pPr>
              <w:contextualSpacing/>
              <w:jc w:val="center"/>
              <w:rPr>
                <w:rFonts w:cs="Arial"/>
                <w:sz w:val="16"/>
                <w:szCs w:val="18"/>
                <w:lang w:val="en-US" w:eastAsia="en-GB"/>
              </w:rPr>
            </w:pPr>
            <w:r w:rsidRPr="00275F4A">
              <w:rPr>
                <w:rFonts w:cs="Arial"/>
                <w:sz w:val="16"/>
                <w:szCs w:val="18"/>
                <w:lang w:val="en-US" w:eastAsia="en-GB"/>
              </w:rPr>
              <w:t>197,46</w:t>
            </w:r>
          </w:p>
        </w:tc>
        <w:tc>
          <w:tcPr>
            <w:tcW w:w="1079" w:type="pct"/>
            <w:shd w:val="clear" w:color="auto" w:fill="auto"/>
            <w:vAlign w:val="center"/>
          </w:tcPr>
          <w:p w14:paraId="2BA72BD3" w14:textId="77777777" w:rsidR="003C0B9A" w:rsidRPr="00275F4A" w:rsidRDefault="003C0B9A" w:rsidP="005326E8">
            <w:pPr>
              <w:contextualSpacing/>
              <w:jc w:val="center"/>
              <w:rPr>
                <w:rFonts w:cs="Arial"/>
                <w:sz w:val="16"/>
                <w:szCs w:val="18"/>
                <w:lang w:val="en-US" w:eastAsia="en-GB"/>
              </w:rPr>
            </w:pPr>
            <w:r w:rsidRPr="00275F4A">
              <w:rPr>
                <w:rFonts w:cs="Arial"/>
                <w:sz w:val="16"/>
                <w:szCs w:val="18"/>
                <w:lang w:val="en-US" w:eastAsia="en-GB"/>
              </w:rPr>
              <w:t>195,74</w:t>
            </w:r>
          </w:p>
        </w:tc>
      </w:tr>
      <w:tr w:rsidR="003C0B9A" w:rsidRPr="00275F4A" w14:paraId="7A6C9443" w14:textId="77777777" w:rsidTr="001B67D4">
        <w:trPr>
          <w:trHeight w:val="156"/>
        </w:trPr>
        <w:tc>
          <w:tcPr>
            <w:tcW w:w="1134" w:type="pct"/>
            <w:shd w:val="clear" w:color="auto" w:fill="auto"/>
          </w:tcPr>
          <w:p w14:paraId="5A6A6AB2" w14:textId="77777777" w:rsidR="003C0B9A" w:rsidRPr="00275F4A" w:rsidRDefault="003C0B9A" w:rsidP="005326E8">
            <w:pPr>
              <w:contextualSpacing/>
              <w:jc w:val="center"/>
              <w:rPr>
                <w:rFonts w:cs="Arial"/>
                <w:b/>
                <w:sz w:val="16"/>
                <w:szCs w:val="18"/>
                <w:lang w:val="en-US" w:eastAsia="en-GB"/>
              </w:rPr>
            </w:pPr>
            <w:r w:rsidRPr="00275F4A">
              <w:rPr>
                <w:rFonts w:cs="Arial"/>
                <w:b/>
                <w:sz w:val="16"/>
                <w:szCs w:val="18"/>
                <w:lang w:val="en-US" w:eastAsia="en-GB"/>
              </w:rPr>
              <w:t>Trend</w:t>
            </w:r>
          </w:p>
        </w:tc>
        <w:tc>
          <w:tcPr>
            <w:tcW w:w="629" w:type="pct"/>
            <w:vAlign w:val="center"/>
          </w:tcPr>
          <w:p w14:paraId="3F8C03A2" w14:textId="77777777" w:rsidR="003C0B9A" w:rsidRPr="00275F4A" w:rsidRDefault="003C0B9A" w:rsidP="005326E8">
            <w:pPr>
              <w:contextualSpacing/>
              <w:jc w:val="center"/>
              <w:rPr>
                <w:rFonts w:cs="Arial"/>
                <w:b/>
                <w:sz w:val="16"/>
                <w:szCs w:val="18"/>
                <w:lang w:val="en-US" w:eastAsia="en-GB"/>
              </w:rPr>
            </w:pPr>
            <w:r w:rsidRPr="00275F4A">
              <w:rPr>
                <w:rFonts w:cs="Arial"/>
                <w:b/>
                <w:sz w:val="16"/>
                <w:szCs w:val="18"/>
                <w:lang w:val="en-US" w:eastAsia="en-GB"/>
              </w:rPr>
              <w:t>%</w:t>
            </w:r>
          </w:p>
        </w:tc>
        <w:tc>
          <w:tcPr>
            <w:tcW w:w="3237" w:type="pct"/>
            <w:gridSpan w:val="3"/>
            <w:shd w:val="clear" w:color="auto" w:fill="auto"/>
            <w:vAlign w:val="center"/>
          </w:tcPr>
          <w:p w14:paraId="797436F0" w14:textId="77777777" w:rsidR="003C0B9A" w:rsidRPr="00275F4A" w:rsidRDefault="003C0B9A" w:rsidP="005326E8">
            <w:pPr>
              <w:contextualSpacing/>
              <w:jc w:val="center"/>
              <w:rPr>
                <w:rFonts w:cs="Arial"/>
                <w:b/>
                <w:sz w:val="16"/>
                <w:szCs w:val="18"/>
                <w:lang w:val="en-US" w:eastAsia="en-GB"/>
              </w:rPr>
            </w:pPr>
            <w:r w:rsidRPr="00275F4A">
              <w:rPr>
                <w:rFonts w:cs="Arial"/>
                <w:b/>
                <w:sz w:val="16"/>
                <w:szCs w:val="18"/>
                <w:lang w:val="en-US" w:eastAsia="en-GB"/>
              </w:rPr>
              <w:t>39,91</w:t>
            </w:r>
          </w:p>
        </w:tc>
      </w:tr>
    </w:tbl>
    <w:p w14:paraId="12DC781C" w14:textId="49C4F3AA" w:rsidR="003C0B9A" w:rsidRPr="0049448D" w:rsidRDefault="003C0B9A" w:rsidP="006F642C">
      <w:pPr>
        <w:spacing w:before="120" w:after="240"/>
        <w:rPr>
          <w:rFonts w:cs="Arial"/>
          <w:sz w:val="16"/>
          <w:szCs w:val="18"/>
          <w:lang w:val="en-US"/>
        </w:rPr>
      </w:pPr>
      <w:r w:rsidRPr="00A95414">
        <w:rPr>
          <w:rFonts w:cs="Arial"/>
          <w:color w:val="000000"/>
          <w:sz w:val="16"/>
          <w:szCs w:val="18"/>
          <w:lang w:val="en-US"/>
        </w:rPr>
        <w:t xml:space="preserve">Source: </w:t>
      </w:r>
      <w:r w:rsidRPr="00A95414">
        <w:rPr>
          <w:rFonts w:cs="Arial"/>
          <w:bCs/>
          <w:sz w:val="16"/>
          <w:szCs w:val="18"/>
          <w:lang w:val="en-US"/>
        </w:rPr>
        <w:t>Statistics Indonesia and as verified by Investigating Authority.</w:t>
      </w:r>
    </w:p>
    <w:p w14:paraId="0C6F4CB3" w14:textId="39A90608" w:rsidR="003C0B9A" w:rsidRPr="00A95414" w:rsidRDefault="003C0B9A" w:rsidP="0049448D">
      <w:pPr>
        <w:spacing w:after="240"/>
        <w:rPr>
          <w:rFonts w:cs="Arial"/>
          <w:color w:val="000000"/>
          <w:szCs w:val="18"/>
          <w:lang w:val="en-US"/>
        </w:rPr>
      </w:pPr>
      <w:r w:rsidRPr="00A95414">
        <w:rPr>
          <w:rFonts w:cs="Arial"/>
          <w:color w:val="000000"/>
          <w:szCs w:val="18"/>
          <w:lang w:val="en-US"/>
        </w:rPr>
        <w:t>As seen in Table 3 above, there was a surge increase in imports relative to the national production during the investigation period by a trend of 39.91%.</w:t>
      </w:r>
    </w:p>
    <w:p w14:paraId="24DE1731" w14:textId="77777777" w:rsidR="003C0B9A" w:rsidRPr="00A95414" w:rsidRDefault="003C0B9A" w:rsidP="0049448D">
      <w:pPr>
        <w:numPr>
          <w:ilvl w:val="0"/>
          <w:numId w:val="19"/>
        </w:numPr>
        <w:spacing w:after="240"/>
        <w:ind w:left="357" w:hanging="357"/>
        <w:rPr>
          <w:b/>
          <w:lang w:val="en-US"/>
        </w:rPr>
      </w:pPr>
      <w:r w:rsidRPr="00A95414">
        <w:rPr>
          <w:b/>
          <w:lang w:val="en-US"/>
        </w:rPr>
        <w:t>Evidence of Serious Injury or Threat Thereof Caused by Increased Imports</w:t>
      </w:r>
    </w:p>
    <w:p w14:paraId="772C740F" w14:textId="77777777" w:rsidR="003C0B9A" w:rsidRPr="00A95414" w:rsidRDefault="003C0B9A" w:rsidP="00E10060">
      <w:pPr>
        <w:spacing w:after="240"/>
        <w:rPr>
          <w:rFonts w:cs="Arial"/>
          <w:color w:val="000000"/>
          <w:szCs w:val="18"/>
          <w:lang w:val="en-US"/>
        </w:rPr>
      </w:pPr>
      <w:r w:rsidRPr="00A95414">
        <w:rPr>
          <w:rFonts w:cs="Arial"/>
          <w:color w:val="000000"/>
          <w:szCs w:val="18"/>
          <w:lang w:val="en-US"/>
        </w:rPr>
        <w:t>The Investigating Authority examined all data and information available based on the actual condition of the domestic industry. The Investigating Authority also conducted on-site verifications to the domestic industry. The following table 4 and table 5, contain data and information of the situation of the domestic industry, which is provided in indices.</w:t>
      </w:r>
    </w:p>
    <w:p w14:paraId="7F6D6BAA" w14:textId="16E44F4C" w:rsidR="003C0B9A" w:rsidRPr="00A95414" w:rsidRDefault="00DB77BF" w:rsidP="004B4A5E">
      <w:pPr>
        <w:keepNext/>
        <w:spacing w:before="120" w:after="120"/>
        <w:jc w:val="left"/>
        <w:rPr>
          <w:rFonts w:eastAsia="Times New Roman"/>
          <w:b/>
          <w:bCs/>
          <w:color w:val="006283"/>
          <w:szCs w:val="20"/>
          <w:lang w:val="en-US" w:eastAsia="en-GB"/>
        </w:rPr>
      </w:pPr>
      <w:r>
        <w:rPr>
          <w:rFonts w:eastAsia="Times New Roman"/>
          <w:b/>
          <w:bCs/>
          <w:color w:val="006283"/>
          <w:szCs w:val="20"/>
          <w:lang w:val="en-US" w:eastAsia="en-GB"/>
        </w:rPr>
        <w:t>Table</w:t>
      </w:r>
      <w:r w:rsidR="003C0B9A" w:rsidRPr="00A95414">
        <w:rPr>
          <w:rFonts w:eastAsia="Times New Roman"/>
          <w:b/>
          <w:bCs/>
          <w:color w:val="006283"/>
          <w:szCs w:val="20"/>
          <w:lang w:val="en-US" w:eastAsia="en-GB"/>
        </w:rPr>
        <w:t xml:space="preserve"> 4. Market Share of the Imports, Market Share of The Applicants and</w:t>
      </w:r>
      <w:r w:rsidR="0049448D">
        <w:rPr>
          <w:rFonts w:eastAsia="Times New Roman"/>
          <w:b/>
          <w:bCs/>
          <w:color w:val="006283"/>
          <w:szCs w:val="20"/>
          <w:lang w:val="en-US" w:eastAsia="en-GB"/>
        </w:rPr>
        <w:br/>
      </w:r>
      <w:r w:rsidR="003C0B9A" w:rsidRPr="00A95414">
        <w:rPr>
          <w:rFonts w:eastAsia="Times New Roman"/>
          <w:b/>
          <w:bCs/>
          <w:color w:val="006283"/>
          <w:szCs w:val="20"/>
          <w:lang w:val="en-US" w:eastAsia="en-GB"/>
        </w:rPr>
        <w:t>the non-Applicants</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5E0" w:firstRow="1" w:lastRow="1" w:firstColumn="1" w:lastColumn="1" w:noHBand="0" w:noVBand="1"/>
      </w:tblPr>
      <w:tblGrid>
        <w:gridCol w:w="3002"/>
        <w:gridCol w:w="828"/>
        <w:gridCol w:w="1380"/>
        <w:gridCol w:w="1519"/>
        <w:gridCol w:w="1384"/>
        <w:gridCol w:w="883"/>
      </w:tblGrid>
      <w:tr w:rsidR="003C0B9A" w:rsidRPr="0049448D" w14:paraId="2E8D56FC" w14:textId="77777777" w:rsidTr="0049448D">
        <w:trPr>
          <w:trHeight w:val="54"/>
        </w:trPr>
        <w:tc>
          <w:tcPr>
            <w:tcW w:w="1669" w:type="pct"/>
            <w:vMerge w:val="restart"/>
            <w:vAlign w:val="center"/>
          </w:tcPr>
          <w:p w14:paraId="5957181C" w14:textId="77777777" w:rsidR="003C0B9A" w:rsidRPr="0049448D" w:rsidRDefault="003C0B9A" w:rsidP="005326E8">
            <w:pPr>
              <w:contextualSpacing/>
              <w:jc w:val="center"/>
              <w:rPr>
                <w:rFonts w:cs="Arial"/>
                <w:b/>
                <w:sz w:val="16"/>
                <w:szCs w:val="18"/>
                <w:lang w:val="en-US" w:eastAsia="en-GB"/>
              </w:rPr>
            </w:pPr>
            <w:r w:rsidRPr="0049448D">
              <w:rPr>
                <w:rFonts w:cs="Arial"/>
                <w:b/>
                <w:sz w:val="16"/>
                <w:szCs w:val="18"/>
                <w:lang w:val="en-US" w:eastAsia="en-GB"/>
              </w:rPr>
              <w:t>Description</w:t>
            </w:r>
          </w:p>
        </w:tc>
        <w:tc>
          <w:tcPr>
            <w:tcW w:w="460" w:type="pct"/>
            <w:vMerge w:val="restart"/>
            <w:vAlign w:val="center"/>
          </w:tcPr>
          <w:p w14:paraId="7D44DF35" w14:textId="77777777" w:rsidR="003C0B9A" w:rsidRPr="0049448D" w:rsidRDefault="003C0B9A" w:rsidP="005326E8">
            <w:pPr>
              <w:contextualSpacing/>
              <w:jc w:val="center"/>
              <w:rPr>
                <w:rFonts w:cs="Arial"/>
                <w:b/>
                <w:sz w:val="16"/>
                <w:szCs w:val="18"/>
                <w:lang w:val="en-US" w:eastAsia="en-GB"/>
              </w:rPr>
            </w:pPr>
            <w:r w:rsidRPr="0049448D">
              <w:rPr>
                <w:rFonts w:cs="Arial"/>
                <w:b/>
                <w:sz w:val="16"/>
                <w:szCs w:val="18"/>
                <w:lang w:val="en-US" w:eastAsia="en-GB"/>
              </w:rPr>
              <w:t>Unit</w:t>
            </w:r>
          </w:p>
        </w:tc>
        <w:tc>
          <w:tcPr>
            <w:tcW w:w="2380" w:type="pct"/>
            <w:gridSpan w:val="3"/>
          </w:tcPr>
          <w:p w14:paraId="5633E9D1" w14:textId="77777777" w:rsidR="003C0B9A" w:rsidRPr="0049448D" w:rsidRDefault="003C0B9A" w:rsidP="005326E8">
            <w:pPr>
              <w:contextualSpacing/>
              <w:jc w:val="center"/>
              <w:rPr>
                <w:rFonts w:cs="Arial"/>
                <w:b/>
                <w:sz w:val="16"/>
                <w:szCs w:val="18"/>
                <w:lang w:val="en-US" w:eastAsia="en-GB"/>
              </w:rPr>
            </w:pPr>
            <w:r w:rsidRPr="0049448D">
              <w:rPr>
                <w:rFonts w:cs="Arial"/>
                <w:b/>
                <w:sz w:val="16"/>
                <w:szCs w:val="18"/>
                <w:lang w:val="en-US" w:eastAsia="en-GB"/>
              </w:rPr>
              <w:t>Year</w:t>
            </w:r>
          </w:p>
        </w:tc>
        <w:tc>
          <w:tcPr>
            <w:tcW w:w="491" w:type="pct"/>
            <w:vMerge w:val="restart"/>
          </w:tcPr>
          <w:p w14:paraId="209DD09E" w14:textId="77777777" w:rsidR="003C0B9A" w:rsidRPr="0049448D" w:rsidRDefault="003C0B9A" w:rsidP="005326E8">
            <w:pPr>
              <w:contextualSpacing/>
              <w:jc w:val="center"/>
              <w:rPr>
                <w:rFonts w:cs="Arial"/>
                <w:b/>
                <w:sz w:val="16"/>
                <w:szCs w:val="18"/>
                <w:lang w:val="en-US" w:eastAsia="en-GB"/>
              </w:rPr>
            </w:pPr>
          </w:p>
          <w:p w14:paraId="61590122" w14:textId="77777777" w:rsidR="003C0B9A" w:rsidRPr="0049448D" w:rsidRDefault="003C0B9A" w:rsidP="005326E8">
            <w:pPr>
              <w:contextualSpacing/>
              <w:jc w:val="center"/>
              <w:rPr>
                <w:rFonts w:cs="Arial"/>
                <w:b/>
                <w:sz w:val="16"/>
                <w:szCs w:val="18"/>
                <w:lang w:val="en-US" w:eastAsia="en-GB"/>
              </w:rPr>
            </w:pPr>
            <w:r w:rsidRPr="0049448D">
              <w:rPr>
                <w:rFonts w:cs="Arial"/>
                <w:b/>
                <w:sz w:val="16"/>
                <w:szCs w:val="18"/>
                <w:lang w:val="en-US" w:eastAsia="en-GB"/>
              </w:rPr>
              <w:t>Trend (%)</w:t>
            </w:r>
          </w:p>
        </w:tc>
      </w:tr>
      <w:tr w:rsidR="003C0B9A" w:rsidRPr="0049448D" w14:paraId="5AC81E7F" w14:textId="77777777" w:rsidTr="0049448D">
        <w:trPr>
          <w:trHeight w:val="624"/>
        </w:trPr>
        <w:tc>
          <w:tcPr>
            <w:tcW w:w="1669" w:type="pct"/>
            <w:vMerge/>
            <w:vAlign w:val="center"/>
          </w:tcPr>
          <w:p w14:paraId="7F4ECF05" w14:textId="77777777" w:rsidR="003C0B9A" w:rsidRPr="0049448D" w:rsidRDefault="003C0B9A" w:rsidP="005326E8">
            <w:pPr>
              <w:contextualSpacing/>
              <w:jc w:val="center"/>
              <w:rPr>
                <w:rFonts w:cs="Arial"/>
                <w:b/>
                <w:sz w:val="16"/>
                <w:szCs w:val="18"/>
                <w:lang w:val="en-US" w:eastAsia="en-GB"/>
              </w:rPr>
            </w:pPr>
          </w:p>
        </w:tc>
        <w:tc>
          <w:tcPr>
            <w:tcW w:w="460" w:type="pct"/>
            <w:vMerge/>
            <w:vAlign w:val="center"/>
          </w:tcPr>
          <w:p w14:paraId="0D68EBFB" w14:textId="77777777" w:rsidR="003C0B9A" w:rsidRPr="0049448D" w:rsidRDefault="003C0B9A" w:rsidP="005326E8">
            <w:pPr>
              <w:contextualSpacing/>
              <w:jc w:val="center"/>
              <w:rPr>
                <w:rFonts w:cs="Arial"/>
                <w:b/>
                <w:sz w:val="16"/>
                <w:szCs w:val="18"/>
                <w:lang w:val="en-US" w:eastAsia="en-GB"/>
              </w:rPr>
            </w:pPr>
          </w:p>
        </w:tc>
        <w:tc>
          <w:tcPr>
            <w:tcW w:w="767" w:type="pct"/>
            <w:vAlign w:val="center"/>
          </w:tcPr>
          <w:p w14:paraId="0D31A4B9" w14:textId="77777777" w:rsidR="003C0B9A" w:rsidRPr="0049448D" w:rsidRDefault="003C0B9A" w:rsidP="005326E8">
            <w:pPr>
              <w:contextualSpacing/>
              <w:jc w:val="center"/>
              <w:rPr>
                <w:rFonts w:cs="Arial"/>
                <w:b/>
                <w:sz w:val="16"/>
                <w:szCs w:val="18"/>
                <w:lang w:val="en-US" w:eastAsia="en-GB"/>
              </w:rPr>
            </w:pPr>
            <w:r w:rsidRPr="0049448D">
              <w:rPr>
                <w:rFonts w:cs="Arial"/>
                <w:b/>
                <w:sz w:val="16"/>
                <w:szCs w:val="18"/>
                <w:lang w:val="en-US" w:eastAsia="en-GB"/>
              </w:rPr>
              <w:t xml:space="preserve">Period I </w:t>
            </w:r>
          </w:p>
          <w:p w14:paraId="44890AF3" w14:textId="77777777" w:rsidR="003C0B9A" w:rsidRPr="0049448D" w:rsidRDefault="003C0B9A" w:rsidP="005326E8">
            <w:pPr>
              <w:contextualSpacing/>
              <w:jc w:val="center"/>
              <w:rPr>
                <w:rFonts w:cs="Arial"/>
                <w:b/>
                <w:sz w:val="16"/>
                <w:szCs w:val="18"/>
                <w:lang w:val="en-US" w:eastAsia="en-GB"/>
              </w:rPr>
            </w:pPr>
            <w:r w:rsidRPr="0049448D">
              <w:rPr>
                <w:rFonts w:cs="Arial"/>
                <w:b/>
                <w:sz w:val="16"/>
                <w:szCs w:val="18"/>
                <w:lang w:val="en-US" w:eastAsia="en-GB"/>
              </w:rPr>
              <w:t xml:space="preserve">(May 2017- April 2018) </w:t>
            </w:r>
          </w:p>
        </w:tc>
        <w:tc>
          <w:tcPr>
            <w:tcW w:w="844" w:type="pct"/>
            <w:vAlign w:val="center"/>
          </w:tcPr>
          <w:p w14:paraId="5875D987" w14:textId="77777777" w:rsidR="003C0B9A" w:rsidRPr="0049448D" w:rsidRDefault="003C0B9A" w:rsidP="005326E8">
            <w:pPr>
              <w:contextualSpacing/>
              <w:jc w:val="center"/>
              <w:rPr>
                <w:rFonts w:cs="Arial"/>
                <w:b/>
                <w:sz w:val="16"/>
                <w:szCs w:val="18"/>
                <w:lang w:val="en-US" w:eastAsia="en-GB"/>
              </w:rPr>
            </w:pPr>
            <w:r w:rsidRPr="0049448D">
              <w:rPr>
                <w:rFonts w:cs="Arial"/>
                <w:b/>
                <w:sz w:val="16"/>
                <w:szCs w:val="18"/>
                <w:lang w:val="en-US" w:eastAsia="en-GB"/>
              </w:rPr>
              <w:t xml:space="preserve">Period II </w:t>
            </w:r>
          </w:p>
          <w:p w14:paraId="3C26F44C" w14:textId="77777777" w:rsidR="003C0B9A" w:rsidRPr="0049448D" w:rsidRDefault="003C0B9A" w:rsidP="005326E8">
            <w:pPr>
              <w:contextualSpacing/>
              <w:jc w:val="center"/>
              <w:rPr>
                <w:rFonts w:cs="Arial"/>
                <w:b/>
                <w:sz w:val="16"/>
                <w:szCs w:val="18"/>
                <w:lang w:val="en-US" w:eastAsia="en-GB"/>
              </w:rPr>
            </w:pPr>
            <w:r w:rsidRPr="0049448D">
              <w:rPr>
                <w:rFonts w:cs="Arial"/>
                <w:b/>
                <w:sz w:val="16"/>
                <w:szCs w:val="18"/>
                <w:lang w:val="en-US" w:eastAsia="en-GB"/>
              </w:rPr>
              <w:t>(May 2018- April 2019)</w:t>
            </w:r>
          </w:p>
        </w:tc>
        <w:tc>
          <w:tcPr>
            <w:tcW w:w="769" w:type="pct"/>
            <w:vAlign w:val="center"/>
          </w:tcPr>
          <w:p w14:paraId="3D76E2CC" w14:textId="77777777" w:rsidR="003C0B9A" w:rsidRPr="0049448D" w:rsidRDefault="003C0B9A" w:rsidP="005326E8">
            <w:pPr>
              <w:contextualSpacing/>
              <w:jc w:val="center"/>
              <w:rPr>
                <w:rFonts w:cs="Arial"/>
                <w:b/>
                <w:sz w:val="16"/>
                <w:szCs w:val="18"/>
                <w:lang w:val="en-US" w:eastAsia="en-GB"/>
              </w:rPr>
            </w:pPr>
            <w:r w:rsidRPr="0049448D">
              <w:rPr>
                <w:rFonts w:cs="Arial"/>
                <w:b/>
                <w:sz w:val="16"/>
                <w:szCs w:val="18"/>
                <w:lang w:val="en-US" w:eastAsia="en-GB"/>
              </w:rPr>
              <w:t xml:space="preserve">Period III </w:t>
            </w:r>
          </w:p>
          <w:p w14:paraId="14E78820" w14:textId="77777777" w:rsidR="003C0B9A" w:rsidRPr="0049448D" w:rsidRDefault="003C0B9A" w:rsidP="005326E8">
            <w:pPr>
              <w:contextualSpacing/>
              <w:jc w:val="center"/>
              <w:rPr>
                <w:rFonts w:cs="Arial"/>
                <w:b/>
                <w:sz w:val="16"/>
                <w:szCs w:val="18"/>
                <w:lang w:val="en-US" w:eastAsia="en-GB"/>
              </w:rPr>
            </w:pPr>
            <w:r w:rsidRPr="0049448D">
              <w:rPr>
                <w:rFonts w:cs="Arial"/>
                <w:b/>
                <w:sz w:val="16"/>
                <w:szCs w:val="18"/>
                <w:lang w:val="en-US" w:eastAsia="en-GB"/>
              </w:rPr>
              <w:t>(May 2019- April 2020)</w:t>
            </w:r>
          </w:p>
        </w:tc>
        <w:tc>
          <w:tcPr>
            <w:tcW w:w="491" w:type="pct"/>
            <w:vMerge/>
          </w:tcPr>
          <w:p w14:paraId="115DE934" w14:textId="77777777" w:rsidR="003C0B9A" w:rsidRPr="0049448D" w:rsidRDefault="003C0B9A" w:rsidP="005326E8">
            <w:pPr>
              <w:contextualSpacing/>
              <w:jc w:val="center"/>
              <w:rPr>
                <w:rFonts w:cs="Arial"/>
                <w:b/>
                <w:sz w:val="16"/>
                <w:szCs w:val="18"/>
                <w:lang w:val="en-US" w:eastAsia="en-GB"/>
              </w:rPr>
            </w:pPr>
          </w:p>
        </w:tc>
      </w:tr>
      <w:tr w:rsidR="003C0B9A" w:rsidRPr="0049448D" w14:paraId="3D4D0DFC" w14:textId="77777777" w:rsidTr="0049448D">
        <w:trPr>
          <w:trHeight w:val="412"/>
        </w:trPr>
        <w:tc>
          <w:tcPr>
            <w:tcW w:w="1669" w:type="pct"/>
            <w:vAlign w:val="center"/>
          </w:tcPr>
          <w:p w14:paraId="4A46C73A" w14:textId="77777777" w:rsidR="003C0B9A" w:rsidRPr="0049448D" w:rsidRDefault="003C0B9A" w:rsidP="005326E8">
            <w:pPr>
              <w:contextualSpacing/>
              <w:jc w:val="left"/>
              <w:rPr>
                <w:rFonts w:cs="Arial"/>
                <w:sz w:val="16"/>
                <w:szCs w:val="16"/>
                <w:lang w:val="en-US" w:eastAsia="en-GB"/>
              </w:rPr>
            </w:pPr>
            <w:r w:rsidRPr="0049448D">
              <w:rPr>
                <w:rFonts w:cs="Arial"/>
                <w:color w:val="000000"/>
                <w:sz w:val="16"/>
                <w:szCs w:val="16"/>
                <w:lang w:val="en-US" w:eastAsia="en-GB"/>
              </w:rPr>
              <w:t>National Consumption</w:t>
            </w:r>
          </w:p>
        </w:tc>
        <w:tc>
          <w:tcPr>
            <w:tcW w:w="460" w:type="pct"/>
            <w:vAlign w:val="center"/>
          </w:tcPr>
          <w:p w14:paraId="1855D4CA" w14:textId="77777777" w:rsidR="003C0B9A" w:rsidRPr="0049448D" w:rsidRDefault="003C0B9A" w:rsidP="005326E8">
            <w:pPr>
              <w:jc w:val="center"/>
              <w:rPr>
                <w:rFonts w:cs="Arial"/>
                <w:sz w:val="16"/>
                <w:szCs w:val="18"/>
                <w:vertAlign w:val="superscript"/>
                <w:lang w:val="en-US" w:eastAsia="en-GB"/>
              </w:rPr>
            </w:pPr>
            <w:r w:rsidRPr="0049448D">
              <w:rPr>
                <w:rFonts w:cs="Arial"/>
                <w:sz w:val="16"/>
                <w:szCs w:val="18"/>
                <w:lang w:val="en-US" w:eastAsia="en-GB"/>
              </w:rPr>
              <w:t>Index</w:t>
            </w:r>
          </w:p>
        </w:tc>
        <w:tc>
          <w:tcPr>
            <w:tcW w:w="767" w:type="pct"/>
            <w:vAlign w:val="center"/>
          </w:tcPr>
          <w:p w14:paraId="2FD0FF42" w14:textId="77777777" w:rsidR="003C0B9A" w:rsidRPr="0049448D" w:rsidRDefault="003C0B9A" w:rsidP="005326E8">
            <w:pPr>
              <w:contextualSpacing/>
              <w:jc w:val="left"/>
              <w:rPr>
                <w:rFonts w:cs="Arial"/>
                <w:color w:val="000000"/>
                <w:sz w:val="16"/>
                <w:szCs w:val="16"/>
                <w:lang w:val="en-US" w:eastAsia="en-GB"/>
              </w:rPr>
            </w:pPr>
            <w:r w:rsidRPr="0049448D">
              <w:rPr>
                <w:rFonts w:cs="Arial"/>
                <w:color w:val="000000"/>
                <w:sz w:val="16"/>
                <w:szCs w:val="16"/>
                <w:lang w:val="en-US" w:eastAsia="en-GB"/>
              </w:rPr>
              <w:t>100</w:t>
            </w:r>
          </w:p>
        </w:tc>
        <w:tc>
          <w:tcPr>
            <w:tcW w:w="844" w:type="pct"/>
            <w:vAlign w:val="center"/>
          </w:tcPr>
          <w:p w14:paraId="7FDD5174" w14:textId="77777777" w:rsidR="003C0B9A" w:rsidRPr="0049448D" w:rsidRDefault="003C0B9A" w:rsidP="005326E8">
            <w:pPr>
              <w:contextualSpacing/>
              <w:jc w:val="left"/>
              <w:rPr>
                <w:rFonts w:cs="Arial"/>
                <w:color w:val="000000"/>
                <w:sz w:val="16"/>
                <w:szCs w:val="16"/>
                <w:lang w:val="en-US" w:eastAsia="en-GB"/>
              </w:rPr>
            </w:pPr>
            <w:r w:rsidRPr="0049448D">
              <w:rPr>
                <w:rFonts w:cs="Arial"/>
                <w:color w:val="000000"/>
                <w:sz w:val="16"/>
                <w:szCs w:val="16"/>
                <w:lang w:val="en-US" w:eastAsia="en-GB"/>
              </w:rPr>
              <w:t>84.16</w:t>
            </w:r>
          </w:p>
        </w:tc>
        <w:tc>
          <w:tcPr>
            <w:tcW w:w="769" w:type="pct"/>
            <w:vAlign w:val="center"/>
          </w:tcPr>
          <w:p w14:paraId="688ABE1B" w14:textId="77777777" w:rsidR="003C0B9A" w:rsidRPr="0049448D" w:rsidRDefault="003C0B9A" w:rsidP="005326E8">
            <w:pPr>
              <w:contextualSpacing/>
              <w:jc w:val="left"/>
              <w:rPr>
                <w:rFonts w:cs="Arial"/>
                <w:color w:val="000000"/>
                <w:sz w:val="16"/>
                <w:szCs w:val="16"/>
                <w:lang w:val="en-US" w:eastAsia="en-GB"/>
              </w:rPr>
            </w:pPr>
            <w:r w:rsidRPr="0049448D">
              <w:rPr>
                <w:rFonts w:cs="Arial"/>
                <w:color w:val="000000"/>
                <w:sz w:val="16"/>
                <w:szCs w:val="16"/>
                <w:lang w:val="en-US" w:eastAsia="en-GB"/>
              </w:rPr>
              <w:t>78.18</w:t>
            </w:r>
          </w:p>
        </w:tc>
        <w:tc>
          <w:tcPr>
            <w:tcW w:w="491" w:type="pct"/>
            <w:vAlign w:val="center"/>
          </w:tcPr>
          <w:p w14:paraId="2DAC1276" w14:textId="77777777" w:rsidR="003C0B9A" w:rsidRPr="0049448D" w:rsidRDefault="003C0B9A" w:rsidP="005326E8">
            <w:pPr>
              <w:contextualSpacing/>
              <w:jc w:val="left"/>
              <w:rPr>
                <w:rFonts w:cs="Arial"/>
                <w:color w:val="000000"/>
                <w:sz w:val="16"/>
                <w:szCs w:val="16"/>
                <w:lang w:val="en-US" w:eastAsia="en-GB"/>
              </w:rPr>
            </w:pPr>
            <w:r w:rsidRPr="0049448D">
              <w:rPr>
                <w:rFonts w:cs="Arial"/>
                <w:color w:val="000000"/>
                <w:sz w:val="16"/>
                <w:szCs w:val="16"/>
                <w:lang w:val="en-US" w:eastAsia="en-GB"/>
              </w:rPr>
              <w:t>(11.58)</w:t>
            </w:r>
          </w:p>
        </w:tc>
      </w:tr>
      <w:tr w:rsidR="003C0B9A" w:rsidRPr="0049448D" w14:paraId="08AD031A" w14:textId="77777777" w:rsidTr="0049448D">
        <w:trPr>
          <w:trHeight w:val="412"/>
        </w:trPr>
        <w:tc>
          <w:tcPr>
            <w:tcW w:w="1669" w:type="pct"/>
            <w:vAlign w:val="center"/>
          </w:tcPr>
          <w:p w14:paraId="501E6393" w14:textId="77777777" w:rsidR="003C0B9A" w:rsidRPr="0049448D" w:rsidRDefault="003C0B9A" w:rsidP="005326E8">
            <w:pPr>
              <w:contextualSpacing/>
              <w:jc w:val="left"/>
              <w:rPr>
                <w:rFonts w:cs="Arial"/>
                <w:sz w:val="16"/>
                <w:szCs w:val="16"/>
                <w:lang w:val="en-US" w:eastAsia="en-GB"/>
              </w:rPr>
            </w:pPr>
            <w:r w:rsidRPr="0049448D">
              <w:rPr>
                <w:rFonts w:cs="Arial"/>
                <w:sz w:val="16"/>
                <w:szCs w:val="16"/>
                <w:lang w:val="en-US" w:eastAsia="en-GB"/>
              </w:rPr>
              <w:t>Market Share of Import</w:t>
            </w:r>
          </w:p>
        </w:tc>
        <w:tc>
          <w:tcPr>
            <w:tcW w:w="460" w:type="pct"/>
            <w:vAlign w:val="center"/>
          </w:tcPr>
          <w:p w14:paraId="38DECEE0" w14:textId="77777777" w:rsidR="003C0B9A" w:rsidRPr="0049448D" w:rsidRDefault="003C0B9A" w:rsidP="005326E8">
            <w:pPr>
              <w:contextualSpacing/>
              <w:jc w:val="center"/>
              <w:rPr>
                <w:rFonts w:cs="Arial"/>
                <w:sz w:val="14"/>
                <w:szCs w:val="18"/>
                <w:lang w:val="en-US" w:eastAsia="en-GB"/>
              </w:rPr>
            </w:pPr>
            <w:r w:rsidRPr="0049448D">
              <w:rPr>
                <w:rFonts w:cs="Arial"/>
                <w:sz w:val="16"/>
                <w:szCs w:val="18"/>
                <w:lang w:val="en-US" w:eastAsia="en-GB"/>
              </w:rPr>
              <w:t>Index</w:t>
            </w:r>
          </w:p>
        </w:tc>
        <w:tc>
          <w:tcPr>
            <w:tcW w:w="767" w:type="pct"/>
            <w:vAlign w:val="center"/>
          </w:tcPr>
          <w:p w14:paraId="56B3445C" w14:textId="77777777" w:rsidR="003C0B9A" w:rsidRPr="0049448D" w:rsidRDefault="003C0B9A" w:rsidP="005326E8">
            <w:pPr>
              <w:contextualSpacing/>
              <w:jc w:val="left"/>
              <w:rPr>
                <w:rFonts w:cs="Arial"/>
                <w:color w:val="000000"/>
                <w:sz w:val="16"/>
                <w:szCs w:val="16"/>
                <w:lang w:val="en-US" w:eastAsia="en-GB"/>
              </w:rPr>
            </w:pPr>
            <w:r w:rsidRPr="0049448D">
              <w:rPr>
                <w:rFonts w:cs="Arial"/>
                <w:color w:val="000000"/>
                <w:sz w:val="16"/>
                <w:szCs w:val="16"/>
                <w:lang w:val="en-US" w:eastAsia="en-GB"/>
              </w:rPr>
              <w:t>100</w:t>
            </w:r>
          </w:p>
        </w:tc>
        <w:tc>
          <w:tcPr>
            <w:tcW w:w="844" w:type="pct"/>
            <w:vAlign w:val="center"/>
          </w:tcPr>
          <w:p w14:paraId="36526739" w14:textId="77777777" w:rsidR="003C0B9A" w:rsidRPr="0049448D" w:rsidRDefault="003C0B9A" w:rsidP="005326E8">
            <w:pPr>
              <w:contextualSpacing/>
              <w:jc w:val="left"/>
              <w:rPr>
                <w:rFonts w:cs="Arial"/>
                <w:color w:val="000000"/>
                <w:sz w:val="16"/>
                <w:szCs w:val="16"/>
                <w:lang w:val="en-US" w:eastAsia="en-GB"/>
              </w:rPr>
            </w:pPr>
            <w:r w:rsidRPr="0049448D">
              <w:rPr>
                <w:rFonts w:cs="Arial"/>
                <w:color w:val="000000"/>
                <w:sz w:val="16"/>
                <w:szCs w:val="16"/>
                <w:lang w:val="en-US" w:eastAsia="en-GB"/>
              </w:rPr>
              <w:t>203.96</w:t>
            </w:r>
          </w:p>
        </w:tc>
        <w:tc>
          <w:tcPr>
            <w:tcW w:w="769" w:type="pct"/>
            <w:vAlign w:val="center"/>
          </w:tcPr>
          <w:p w14:paraId="124EBB78" w14:textId="77777777" w:rsidR="003C0B9A" w:rsidRPr="0049448D" w:rsidRDefault="003C0B9A" w:rsidP="005326E8">
            <w:pPr>
              <w:contextualSpacing/>
              <w:jc w:val="left"/>
              <w:rPr>
                <w:rFonts w:cs="Arial"/>
                <w:color w:val="000000"/>
                <w:sz w:val="16"/>
                <w:szCs w:val="16"/>
                <w:lang w:val="en-US" w:eastAsia="en-GB"/>
              </w:rPr>
            </w:pPr>
            <w:r w:rsidRPr="0049448D">
              <w:rPr>
                <w:rFonts w:cs="Arial"/>
                <w:color w:val="000000"/>
                <w:sz w:val="16"/>
                <w:szCs w:val="16"/>
                <w:lang w:val="en-US" w:eastAsia="en-GB"/>
              </w:rPr>
              <w:t>157.02</w:t>
            </w:r>
          </w:p>
        </w:tc>
        <w:tc>
          <w:tcPr>
            <w:tcW w:w="491" w:type="pct"/>
            <w:vAlign w:val="center"/>
          </w:tcPr>
          <w:p w14:paraId="717AA230" w14:textId="77777777" w:rsidR="003C0B9A" w:rsidRPr="0049448D" w:rsidRDefault="003C0B9A" w:rsidP="005326E8">
            <w:pPr>
              <w:contextualSpacing/>
              <w:jc w:val="left"/>
              <w:rPr>
                <w:rFonts w:cs="Arial"/>
                <w:color w:val="000000"/>
                <w:sz w:val="16"/>
                <w:szCs w:val="16"/>
                <w:lang w:val="en-US" w:eastAsia="en-GB"/>
              </w:rPr>
            </w:pPr>
            <w:r w:rsidRPr="0049448D">
              <w:rPr>
                <w:rFonts w:cs="Arial"/>
                <w:color w:val="000000"/>
                <w:sz w:val="16"/>
                <w:szCs w:val="16"/>
                <w:lang w:val="en-US" w:eastAsia="en-GB"/>
              </w:rPr>
              <w:t>25.31</w:t>
            </w:r>
          </w:p>
        </w:tc>
      </w:tr>
      <w:tr w:rsidR="003C0B9A" w:rsidRPr="0049448D" w14:paraId="7760508F" w14:textId="77777777" w:rsidTr="0049448D">
        <w:trPr>
          <w:trHeight w:val="412"/>
        </w:trPr>
        <w:tc>
          <w:tcPr>
            <w:tcW w:w="1669" w:type="pct"/>
            <w:vAlign w:val="center"/>
          </w:tcPr>
          <w:p w14:paraId="705CB311" w14:textId="77777777" w:rsidR="003C0B9A" w:rsidRPr="0049448D" w:rsidRDefault="003C0B9A" w:rsidP="005326E8">
            <w:pPr>
              <w:contextualSpacing/>
              <w:jc w:val="left"/>
              <w:rPr>
                <w:rFonts w:cs="Arial"/>
                <w:sz w:val="16"/>
                <w:szCs w:val="16"/>
                <w:lang w:val="en-US" w:eastAsia="en-GB"/>
              </w:rPr>
            </w:pPr>
            <w:r w:rsidRPr="0049448D">
              <w:rPr>
                <w:rFonts w:cs="Arial"/>
                <w:sz w:val="16"/>
                <w:szCs w:val="16"/>
                <w:lang w:val="en-US" w:eastAsia="en-GB"/>
              </w:rPr>
              <w:t>Market Share of the Applicant</w:t>
            </w:r>
          </w:p>
        </w:tc>
        <w:tc>
          <w:tcPr>
            <w:tcW w:w="460" w:type="pct"/>
            <w:vAlign w:val="center"/>
          </w:tcPr>
          <w:p w14:paraId="2F4E7CFA" w14:textId="77777777" w:rsidR="003C0B9A" w:rsidRPr="0049448D" w:rsidRDefault="003C0B9A" w:rsidP="005326E8">
            <w:pPr>
              <w:contextualSpacing/>
              <w:jc w:val="center"/>
              <w:rPr>
                <w:rFonts w:cs="Arial"/>
                <w:sz w:val="14"/>
                <w:szCs w:val="18"/>
                <w:lang w:val="en-US" w:eastAsia="en-GB"/>
              </w:rPr>
            </w:pPr>
            <w:r w:rsidRPr="0049448D">
              <w:rPr>
                <w:rFonts w:cs="Arial"/>
                <w:sz w:val="16"/>
                <w:szCs w:val="18"/>
                <w:lang w:val="en-US" w:eastAsia="en-GB"/>
              </w:rPr>
              <w:t>Index</w:t>
            </w:r>
          </w:p>
        </w:tc>
        <w:tc>
          <w:tcPr>
            <w:tcW w:w="767" w:type="pct"/>
            <w:vAlign w:val="center"/>
          </w:tcPr>
          <w:p w14:paraId="711D4893" w14:textId="77777777" w:rsidR="003C0B9A" w:rsidRPr="0049448D" w:rsidRDefault="003C0B9A" w:rsidP="005326E8">
            <w:pPr>
              <w:contextualSpacing/>
              <w:jc w:val="left"/>
              <w:rPr>
                <w:rFonts w:cs="Arial"/>
                <w:color w:val="000000"/>
                <w:sz w:val="16"/>
                <w:szCs w:val="16"/>
                <w:lang w:val="en-US" w:eastAsia="en-GB"/>
              </w:rPr>
            </w:pPr>
            <w:r w:rsidRPr="0049448D">
              <w:rPr>
                <w:rFonts w:cs="Arial"/>
                <w:color w:val="000000"/>
                <w:sz w:val="16"/>
                <w:szCs w:val="16"/>
                <w:lang w:val="en-US" w:eastAsia="en-GB"/>
              </w:rPr>
              <w:t>100</w:t>
            </w:r>
          </w:p>
        </w:tc>
        <w:tc>
          <w:tcPr>
            <w:tcW w:w="844" w:type="pct"/>
            <w:vAlign w:val="center"/>
          </w:tcPr>
          <w:p w14:paraId="0B7633BB" w14:textId="77777777" w:rsidR="003C0B9A" w:rsidRPr="0049448D" w:rsidRDefault="003C0B9A" w:rsidP="005326E8">
            <w:pPr>
              <w:contextualSpacing/>
              <w:jc w:val="left"/>
              <w:rPr>
                <w:rFonts w:cs="Arial"/>
                <w:color w:val="000000"/>
                <w:sz w:val="16"/>
                <w:szCs w:val="16"/>
                <w:lang w:val="en-US" w:eastAsia="en-GB"/>
              </w:rPr>
            </w:pPr>
            <w:r w:rsidRPr="0049448D">
              <w:rPr>
                <w:rFonts w:cs="Arial"/>
                <w:color w:val="000000"/>
                <w:sz w:val="16"/>
                <w:szCs w:val="16"/>
                <w:lang w:val="en-US" w:eastAsia="en-GB"/>
              </w:rPr>
              <w:t>96.7</w:t>
            </w:r>
          </w:p>
        </w:tc>
        <w:tc>
          <w:tcPr>
            <w:tcW w:w="769" w:type="pct"/>
            <w:vAlign w:val="center"/>
          </w:tcPr>
          <w:p w14:paraId="50AB3804" w14:textId="77777777" w:rsidR="003C0B9A" w:rsidRPr="0049448D" w:rsidRDefault="003C0B9A" w:rsidP="005326E8">
            <w:pPr>
              <w:contextualSpacing/>
              <w:jc w:val="left"/>
              <w:rPr>
                <w:rFonts w:cs="Arial"/>
                <w:color w:val="000000"/>
                <w:sz w:val="16"/>
                <w:szCs w:val="16"/>
                <w:lang w:val="en-US" w:eastAsia="en-GB"/>
              </w:rPr>
            </w:pPr>
            <w:r w:rsidRPr="0049448D">
              <w:rPr>
                <w:rFonts w:cs="Arial"/>
                <w:color w:val="000000"/>
                <w:sz w:val="16"/>
                <w:szCs w:val="16"/>
                <w:lang w:val="en-US" w:eastAsia="en-GB"/>
              </w:rPr>
              <w:t>98.0</w:t>
            </w:r>
          </w:p>
        </w:tc>
        <w:tc>
          <w:tcPr>
            <w:tcW w:w="491" w:type="pct"/>
            <w:vAlign w:val="center"/>
          </w:tcPr>
          <w:p w14:paraId="5390DC4D" w14:textId="77777777" w:rsidR="003C0B9A" w:rsidRPr="0049448D" w:rsidRDefault="003C0B9A" w:rsidP="005326E8">
            <w:pPr>
              <w:contextualSpacing/>
              <w:jc w:val="left"/>
              <w:rPr>
                <w:rFonts w:cs="Arial"/>
                <w:color w:val="000000"/>
                <w:sz w:val="16"/>
                <w:szCs w:val="16"/>
                <w:lang w:val="en-US" w:eastAsia="en-GB"/>
              </w:rPr>
            </w:pPr>
            <w:r w:rsidRPr="0049448D">
              <w:rPr>
                <w:rFonts w:cs="Arial"/>
                <w:color w:val="000000"/>
                <w:sz w:val="16"/>
                <w:szCs w:val="16"/>
                <w:lang w:val="en-US" w:eastAsia="en-GB"/>
              </w:rPr>
              <w:t>(1.02)</w:t>
            </w:r>
          </w:p>
        </w:tc>
      </w:tr>
      <w:tr w:rsidR="003C0B9A" w:rsidRPr="0049448D" w14:paraId="0414AAC7" w14:textId="77777777" w:rsidTr="0049448D">
        <w:trPr>
          <w:trHeight w:val="412"/>
        </w:trPr>
        <w:tc>
          <w:tcPr>
            <w:tcW w:w="1669" w:type="pct"/>
            <w:vAlign w:val="center"/>
          </w:tcPr>
          <w:p w14:paraId="44FF6EF1" w14:textId="77777777" w:rsidR="003C0B9A" w:rsidRPr="0049448D" w:rsidRDefault="003C0B9A" w:rsidP="005326E8">
            <w:pPr>
              <w:contextualSpacing/>
              <w:jc w:val="left"/>
              <w:rPr>
                <w:rFonts w:cs="Arial"/>
                <w:sz w:val="16"/>
                <w:szCs w:val="16"/>
                <w:lang w:val="en-US" w:eastAsia="en-GB"/>
              </w:rPr>
            </w:pPr>
            <w:r w:rsidRPr="0049448D">
              <w:rPr>
                <w:rFonts w:cs="Arial"/>
                <w:sz w:val="16"/>
                <w:szCs w:val="16"/>
                <w:lang w:val="en-US" w:eastAsia="en-GB"/>
              </w:rPr>
              <w:t>Market Share of the Non-Applicant</w:t>
            </w:r>
          </w:p>
        </w:tc>
        <w:tc>
          <w:tcPr>
            <w:tcW w:w="460" w:type="pct"/>
            <w:vAlign w:val="center"/>
          </w:tcPr>
          <w:p w14:paraId="164FEA19" w14:textId="77777777" w:rsidR="003C0B9A" w:rsidRPr="0049448D" w:rsidRDefault="003C0B9A" w:rsidP="005326E8">
            <w:pPr>
              <w:contextualSpacing/>
              <w:jc w:val="center"/>
              <w:rPr>
                <w:rFonts w:cs="Arial"/>
                <w:sz w:val="14"/>
                <w:szCs w:val="18"/>
                <w:lang w:val="en-US" w:eastAsia="en-GB"/>
              </w:rPr>
            </w:pPr>
            <w:r w:rsidRPr="0049448D">
              <w:rPr>
                <w:rFonts w:cs="Arial"/>
                <w:sz w:val="16"/>
                <w:szCs w:val="18"/>
                <w:lang w:val="en-US" w:eastAsia="en-GB"/>
              </w:rPr>
              <w:t>Index</w:t>
            </w:r>
          </w:p>
        </w:tc>
        <w:tc>
          <w:tcPr>
            <w:tcW w:w="767" w:type="pct"/>
            <w:vAlign w:val="center"/>
          </w:tcPr>
          <w:p w14:paraId="12D46CB2" w14:textId="77777777" w:rsidR="003C0B9A" w:rsidRPr="0049448D" w:rsidRDefault="003C0B9A" w:rsidP="005326E8">
            <w:pPr>
              <w:contextualSpacing/>
              <w:jc w:val="left"/>
              <w:rPr>
                <w:rFonts w:cs="Arial"/>
                <w:color w:val="000000"/>
                <w:sz w:val="16"/>
                <w:szCs w:val="16"/>
                <w:lang w:val="en-US" w:eastAsia="en-GB"/>
              </w:rPr>
            </w:pPr>
            <w:r w:rsidRPr="0049448D">
              <w:rPr>
                <w:rFonts w:cs="Arial"/>
                <w:color w:val="000000"/>
                <w:sz w:val="16"/>
                <w:szCs w:val="16"/>
                <w:lang w:val="en-US" w:eastAsia="en-GB"/>
              </w:rPr>
              <w:t>100</w:t>
            </w:r>
          </w:p>
        </w:tc>
        <w:tc>
          <w:tcPr>
            <w:tcW w:w="844" w:type="pct"/>
            <w:vAlign w:val="center"/>
          </w:tcPr>
          <w:p w14:paraId="7A5A9132" w14:textId="77777777" w:rsidR="003C0B9A" w:rsidRPr="0049448D" w:rsidRDefault="003C0B9A" w:rsidP="005326E8">
            <w:pPr>
              <w:contextualSpacing/>
              <w:jc w:val="left"/>
              <w:rPr>
                <w:rFonts w:cs="Arial"/>
                <w:color w:val="000000"/>
                <w:sz w:val="16"/>
                <w:szCs w:val="16"/>
                <w:lang w:val="en-US" w:eastAsia="en-GB"/>
              </w:rPr>
            </w:pPr>
            <w:r w:rsidRPr="0049448D">
              <w:rPr>
                <w:rFonts w:cs="Arial"/>
                <w:color w:val="000000"/>
                <w:sz w:val="16"/>
                <w:szCs w:val="16"/>
                <w:lang w:val="en-US" w:eastAsia="en-GB"/>
              </w:rPr>
              <w:t>55.7</w:t>
            </w:r>
          </w:p>
        </w:tc>
        <w:tc>
          <w:tcPr>
            <w:tcW w:w="769" w:type="pct"/>
            <w:vAlign w:val="center"/>
          </w:tcPr>
          <w:p w14:paraId="7F8135A1" w14:textId="77777777" w:rsidR="003C0B9A" w:rsidRPr="0049448D" w:rsidRDefault="003C0B9A" w:rsidP="005326E8">
            <w:pPr>
              <w:contextualSpacing/>
              <w:jc w:val="left"/>
              <w:rPr>
                <w:rFonts w:cs="Arial"/>
                <w:color w:val="000000"/>
                <w:sz w:val="16"/>
                <w:szCs w:val="16"/>
                <w:lang w:val="en-US" w:eastAsia="en-GB"/>
              </w:rPr>
            </w:pPr>
            <w:r w:rsidRPr="0049448D">
              <w:rPr>
                <w:rFonts w:cs="Arial"/>
                <w:color w:val="000000"/>
                <w:sz w:val="16"/>
                <w:szCs w:val="16"/>
                <w:lang w:val="en-US" w:eastAsia="en-GB"/>
              </w:rPr>
              <w:t>86.6</w:t>
            </w:r>
          </w:p>
        </w:tc>
        <w:tc>
          <w:tcPr>
            <w:tcW w:w="491" w:type="pct"/>
            <w:vAlign w:val="center"/>
          </w:tcPr>
          <w:p w14:paraId="1AF3551B" w14:textId="77777777" w:rsidR="003C0B9A" w:rsidRPr="0049448D" w:rsidRDefault="003C0B9A" w:rsidP="005326E8">
            <w:pPr>
              <w:contextualSpacing/>
              <w:jc w:val="left"/>
              <w:rPr>
                <w:rFonts w:cs="Arial"/>
                <w:color w:val="000000"/>
                <w:sz w:val="16"/>
                <w:szCs w:val="16"/>
                <w:lang w:val="en-US" w:eastAsia="en-GB"/>
              </w:rPr>
            </w:pPr>
            <w:r w:rsidRPr="0049448D">
              <w:rPr>
                <w:rFonts w:cs="Arial"/>
                <w:color w:val="000000"/>
                <w:sz w:val="16"/>
                <w:szCs w:val="16"/>
                <w:lang w:val="en-US" w:eastAsia="en-GB"/>
              </w:rPr>
              <w:t>(6.94)</w:t>
            </w:r>
          </w:p>
        </w:tc>
      </w:tr>
    </w:tbl>
    <w:p w14:paraId="27E85016" w14:textId="77777777" w:rsidR="003C0B9A" w:rsidRPr="00A95414" w:rsidRDefault="003C0B9A" w:rsidP="006F642C">
      <w:pPr>
        <w:spacing w:before="120" w:after="240"/>
        <w:rPr>
          <w:rFonts w:cs="Arial"/>
          <w:sz w:val="16"/>
          <w:szCs w:val="18"/>
          <w:lang w:val="en-US"/>
        </w:rPr>
      </w:pPr>
      <w:r w:rsidRPr="00A95414">
        <w:rPr>
          <w:rFonts w:cs="Arial"/>
          <w:color w:val="000000"/>
          <w:sz w:val="16"/>
          <w:szCs w:val="18"/>
          <w:lang w:val="en-US"/>
        </w:rPr>
        <w:t xml:space="preserve">Source: </w:t>
      </w:r>
      <w:r w:rsidRPr="00A95414">
        <w:rPr>
          <w:rFonts w:cs="Arial"/>
          <w:bCs/>
          <w:sz w:val="16"/>
          <w:szCs w:val="18"/>
          <w:lang w:val="en-US"/>
        </w:rPr>
        <w:t>as verified by the Investigating Authority.</w:t>
      </w:r>
    </w:p>
    <w:p w14:paraId="673E50F4" w14:textId="7F2A4B9A" w:rsidR="003C0B9A" w:rsidRPr="006F0470" w:rsidRDefault="003C0B9A" w:rsidP="006F0470">
      <w:pPr>
        <w:pStyle w:val="ListParagraph"/>
        <w:spacing w:after="240"/>
        <w:ind w:left="0"/>
        <w:contextualSpacing w:val="0"/>
        <w:rPr>
          <w:color w:val="000000"/>
          <w:szCs w:val="18"/>
          <w:lang w:val="en-US" w:eastAsia="en-GB"/>
        </w:rPr>
      </w:pPr>
      <w:r w:rsidRPr="00A95414">
        <w:rPr>
          <w:color w:val="000000"/>
          <w:szCs w:val="18"/>
          <w:lang w:val="en-US" w:eastAsia="en-GB"/>
        </w:rPr>
        <w:t>Based on table 3 above, National Consumption during the period of investigation decreased by a trend of 11.58%, which in period I to Period II decreased by 15.84%, and in period II to period III continued to decline by 7.10%. This table also shows that market share of the applicant, and non</w:t>
      </w:r>
      <w:r w:rsidR="00587E8A">
        <w:rPr>
          <w:color w:val="000000"/>
          <w:szCs w:val="18"/>
          <w:lang w:val="en-US" w:eastAsia="en-GB"/>
        </w:rPr>
        <w:noBreakHyphen/>
      </w:r>
      <w:r w:rsidRPr="00A95414">
        <w:rPr>
          <w:color w:val="000000"/>
          <w:szCs w:val="18"/>
          <w:lang w:val="en-US" w:eastAsia="en-GB"/>
        </w:rPr>
        <w:t xml:space="preserve">applicant, decreased with a trend of 1.02% and 6.94% respectively while market share of imports significantly increased with a trend of 25.31%. </w:t>
      </w:r>
    </w:p>
    <w:p w14:paraId="5CB48B7D" w14:textId="77777777" w:rsidR="003C0B9A" w:rsidRPr="00A95414" w:rsidRDefault="003C0B9A" w:rsidP="006F642C">
      <w:pPr>
        <w:keepNext/>
        <w:keepLines/>
        <w:pageBreakBefore/>
        <w:spacing w:before="120" w:after="120"/>
        <w:jc w:val="left"/>
        <w:rPr>
          <w:rFonts w:eastAsia="Times New Roman"/>
          <w:b/>
          <w:bCs/>
          <w:color w:val="006283"/>
          <w:szCs w:val="20"/>
          <w:lang w:val="en-US" w:eastAsia="en-GB"/>
        </w:rPr>
      </w:pPr>
      <w:r w:rsidRPr="00A95414">
        <w:rPr>
          <w:rFonts w:eastAsia="Times New Roman"/>
          <w:b/>
          <w:bCs/>
          <w:color w:val="006283"/>
          <w:szCs w:val="20"/>
          <w:lang w:val="en-US" w:eastAsia="en-GB"/>
        </w:rPr>
        <w:lastRenderedPageBreak/>
        <w:t>Table 5. The Applicant's Indicators of Injury</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5E0" w:firstRow="1" w:lastRow="1" w:firstColumn="1" w:lastColumn="1" w:noHBand="0" w:noVBand="1"/>
      </w:tblPr>
      <w:tblGrid>
        <w:gridCol w:w="2918"/>
        <w:gridCol w:w="745"/>
        <w:gridCol w:w="1297"/>
        <w:gridCol w:w="1436"/>
        <w:gridCol w:w="1301"/>
        <w:gridCol w:w="1299"/>
      </w:tblGrid>
      <w:tr w:rsidR="003C0B9A" w:rsidRPr="006F0470" w14:paraId="148ABB36" w14:textId="77777777" w:rsidTr="004C0E79">
        <w:trPr>
          <w:trHeight w:val="54"/>
        </w:trPr>
        <w:tc>
          <w:tcPr>
            <w:tcW w:w="1622" w:type="pct"/>
            <w:vMerge w:val="restart"/>
            <w:vAlign w:val="center"/>
          </w:tcPr>
          <w:p w14:paraId="15581500" w14:textId="77777777" w:rsidR="003C0B9A" w:rsidRPr="006F0470" w:rsidRDefault="003C0B9A" w:rsidP="005326E8">
            <w:pPr>
              <w:contextualSpacing/>
              <w:jc w:val="center"/>
              <w:rPr>
                <w:rFonts w:cs="Arial"/>
                <w:b/>
                <w:sz w:val="16"/>
                <w:szCs w:val="16"/>
                <w:lang w:val="en-US" w:eastAsia="en-GB"/>
              </w:rPr>
            </w:pPr>
            <w:r w:rsidRPr="006F0470">
              <w:rPr>
                <w:rFonts w:cs="Arial"/>
                <w:b/>
                <w:sz w:val="16"/>
                <w:szCs w:val="16"/>
                <w:lang w:val="en-US" w:eastAsia="en-GB"/>
              </w:rPr>
              <w:t>Description</w:t>
            </w:r>
          </w:p>
        </w:tc>
        <w:tc>
          <w:tcPr>
            <w:tcW w:w="414" w:type="pct"/>
            <w:vMerge w:val="restart"/>
            <w:vAlign w:val="center"/>
          </w:tcPr>
          <w:p w14:paraId="6F2A6BA0" w14:textId="77777777" w:rsidR="003C0B9A" w:rsidRPr="006F0470" w:rsidRDefault="003C0B9A" w:rsidP="005326E8">
            <w:pPr>
              <w:contextualSpacing/>
              <w:jc w:val="center"/>
              <w:rPr>
                <w:rFonts w:cs="Arial"/>
                <w:b/>
                <w:sz w:val="16"/>
                <w:szCs w:val="16"/>
                <w:lang w:val="en-US" w:eastAsia="en-GB"/>
              </w:rPr>
            </w:pPr>
            <w:r w:rsidRPr="006F0470">
              <w:rPr>
                <w:rFonts w:cs="Arial"/>
                <w:b/>
                <w:sz w:val="16"/>
                <w:szCs w:val="16"/>
                <w:lang w:val="en-US" w:eastAsia="en-GB"/>
              </w:rPr>
              <w:t>Unit</w:t>
            </w:r>
          </w:p>
        </w:tc>
        <w:tc>
          <w:tcPr>
            <w:tcW w:w="2242" w:type="pct"/>
            <w:gridSpan w:val="3"/>
          </w:tcPr>
          <w:p w14:paraId="496FD608" w14:textId="77777777" w:rsidR="003C0B9A" w:rsidRPr="006F0470" w:rsidRDefault="003C0B9A" w:rsidP="005326E8">
            <w:pPr>
              <w:contextualSpacing/>
              <w:jc w:val="center"/>
              <w:rPr>
                <w:rFonts w:cs="Arial"/>
                <w:b/>
                <w:sz w:val="16"/>
                <w:szCs w:val="16"/>
                <w:lang w:val="en-US" w:eastAsia="en-GB"/>
              </w:rPr>
            </w:pPr>
            <w:r w:rsidRPr="006F0470">
              <w:rPr>
                <w:rFonts w:cs="Arial"/>
                <w:b/>
                <w:sz w:val="16"/>
                <w:szCs w:val="16"/>
                <w:lang w:val="en-US" w:eastAsia="en-GB"/>
              </w:rPr>
              <w:t>Year</w:t>
            </w:r>
          </w:p>
        </w:tc>
        <w:tc>
          <w:tcPr>
            <w:tcW w:w="722" w:type="pct"/>
            <w:vMerge w:val="restart"/>
          </w:tcPr>
          <w:p w14:paraId="6272C2F3" w14:textId="77777777" w:rsidR="003C0B9A" w:rsidRPr="006F0470" w:rsidRDefault="003C0B9A" w:rsidP="005326E8">
            <w:pPr>
              <w:contextualSpacing/>
              <w:jc w:val="center"/>
              <w:rPr>
                <w:rFonts w:cs="Arial"/>
                <w:b/>
                <w:sz w:val="16"/>
                <w:szCs w:val="16"/>
                <w:lang w:val="en-US" w:eastAsia="en-GB"/>
              </w:rPr>
            </w:pPr>
          </w:p>
          <w:p w14:paraId="67ADE082" w14:textId="77777777" w:rsidR="003C0B9A" w:rsidRPr="006F0470" w:rsidRDefault="003C0B9A" w:rsidP="005326E8">
            <w:pPr>
              <w:contextualSpacing/>
              <w:jc w:val="center"/>
              <w:rPr>
                <w:rFonts w:cs="Arial"/>
                <w:b/>
                <w:sz w:val="16"/>
                <w:szCs w:val="16"/>
                <w:lang w:val="en-US" w:eastAsia="en-GB"/>
              </w:rPr>
            </w:pPr>
            <w:r w:rsidRPr="006F0470">
              <w:rPr>
                <w:rFonts w:cs="Arial"/>
                <w:b/>
                <w:sz w:val="16"/>
                <w:szCs w:val="16"/>
                <w:lang w:val="en-US" w:eastAsia="en-GB"/>
              </w:rPr>
              <w:t>Trend (%)</w:t>
            </w:r>
          </w:p>
        </w:tc>
      </w:tr>
      <w:tr w:rsidR="003C0B9A" w:rsidRPr="006F0470" w14:paraId="077E0819" w14:textId="77777777" w:rsidTr="004C0E79">
        <w:trPr>
          <w:trHeight w:val="624"/>
        </w:trPr>
        <w:tc>
          <w:tcPr>
            <w:tcW w:w="1622" w:type="pct"/>
            <w:vMerge/>
            <w:vAlign w:val="center"/>
          </w:tcPr>
          <w:p w14:paraId="293CD43F" w14:textId="77777777" w:rsidR="003C0B9A" w:rsidRPr="006F0470" w:rsidRDefault="003C0B9A" w:rsidP="005326E8">
            <w:pPr>
              <w:contextualSpacing/>
              <w:jc w:val="center"/>
              <w:rPr>
                <w:rFonts w:cs="Arial"/>
                <w:b/>
                <w:sz w:val="16"/>
                <w:szCs w:val="16"/>
                <w:lang w:val="en-US" w:eastAsia="en-GB"/>
              </w:rPr>
            </w:pPr>
          </w:p>
        </w:tc>
        <w:tc>
          <w:tcPr>
            <w:tcW w:w="414" w:type="pct"/>
            <w:vMerge/>
            <w:vAlign w:val="center"/>
          </w:tcPr>
          <w:p w14:paraId="1DA72F42" w14:textId="77777777" w:rsidR="003C0B9A" w:rsidRPr="006F0470" w:rsidRDefault="003C0B9A" w:rsidP="005326E8">
            <w:pPr>
              <w:contextualSpacing/>
              <w:jc w:val="center"/>
              <w:rPr>
                <w:rFonts w:cs="Arial"/>
                <w:b/>
                <w:sz w:val="16"/>
                <w:szCs w:val="16"/>
                <w:lang w:val="en-US" w:eastAsia="en-GB"/>
              </w:rPr>
            </w:pPr>
          </w:p>
        </w:tc>
        <w:tc>
          <w:tcPr>
            <w:tcW w:w="721" w:type="pct"/>
            <w:vAlign w:val="center"/>
          </w:tcPr>
          <w:p w14:paraId="31CCBD8F" w14:textId="77777777" w:rsidR="003C0B9A" w:rsidRPr="006F0470" w:rsidRDefault="003C0B9A" w:rsidP="005326E8">
            <w:pPr>
              <w:contextualSpacing/>
              <w:jc w:val="center"/>
              <w:rPr>
                <w:rFonts w:cs="Arial"/>
                <w:b/>
                <w:sz w:val="16"/>
                <w:szCs w:val="16"/>
                <w:lang w:val="en-US" w:eastAsia="en-GB"/>
              </w:rPr>
            </w:pPr>
            <w:r w:rsidRPr="006F0470">
              <w:rPr>
                <w:rFonts w:cs="Arial"/>
                <w:b/>
                <w:sz w:val="16"/>
                <w:szCs w:val="16"/>
                <w:lang w:val="en-US" w:eastAsia="en-GB"/>
              </w:rPr>
              <w:t xml:space="preserve">Period I </w:t>
            </w:r>
          </w:p>
          <w:p w14:paraId="1690F4D6" w14:textId="77777777" w:rsidR="003C0B9A" w:rsidRPr="006F0470" w:rsidRDefault="003C0B9A" w:rsidP="005326E8">
            <w:pPr>
              <w:contextualSpacing/>
              <w:jc w:val="center"/>
              <w:rPr>
                <w:rFonts w:cs="Arial"/>
                <w:b/>
                <w:sz w:val="16"/>
                <w:szCs w:val="16"/>
                <w:lang w:val="en-US" w:eastAsia="en-GB"/>
              </w:rPr>
            </w:pPr>
            <w:r w:rsidRPr="006F0470">
              <w:rPr>
                <w:rFonts w:cs="Arial"/>
                <w:b/>
                <w:sz w:val="16"/>
                <w:szCs w:val="16"/>
                <w:lang w:val="en-US" w:eastAsia="en-GB"/>
              </w:rPr>
              <w:t xml:space="preserve">(May 2017- April 2018) </w:t>
            </w:r>
          </w:p>
        </w:tc>
        <w:tc>
          <w:tcPr>
            <w:tcW w:w="798" w:type="pct"/>
            <w:vAlign w:val="center"/>
          </w:tcPr>
          <w:p w14:paraId="520D8012" w14:textId="77777777" w:rsidR="003C0B9A" w:rsidRPr="006F0470" w:rsidRDefault="003C0B9A" w:rsidP="005326E8">
            <w:pPr>
              <w:contextualSpacing/>
              <w:jc w:val="center"/>
              <w:rPr>
                <w:rFonts w:cs="Arial"/>
                <w:b/>
                <w:sz w:val="16"/>
                <w:szCs w:val="16"/>
                <w:lang w:val="en-US" w:eastAsia="en-GB"/>
              </w:rPr>
            </w:pPr>
            <w:r w:rsidRPr="006F0470">
              <w:rPr>
                <w:rFonts w:cs="Arial"/>
                <w:b/>
                <w:sz w:val="16"/>
                <w:szCs w:val="16"/>
                <w:lang w:val="en-US" w:eastAsia="en-GB"/>
              </w:rPr>
              <w:t xml:space="preserve">Period II </w:t>
            </w:r>
          </w:p>
          <w:p w14:paraId="6AF71392" w14:textId="77777777" w:rsidR="003C0B9A" w:rsidRPr="006F0470" w:rsidRDefault="003C0B9A" w:rsidP="005326E8">
            <w:pPr>
              <w:contextualSpacing/>
              <w:jc w:val="center"/>
              <w:rPr>
                <w:rFonts w:cs="Arial"/>
                <w:b/>
                <w:sz w:val="16"/>
                <w:szCs w:val="16"/>
                <w:lang w:val="en-US" w:eastAsia="en-GB"/>
              </w:rPr>
            </w:pPr>
            <w:r w:rsidRPr="006F0470">
              <w:rPr>
                <w:rFonts w:cs="Arial"/>
                <w:b/>
                <w:sz w:val="16"/>
                <w:szCs w:val="16"/>
                <w:lang w:val="en-US" w:eastAsia="en-GB"/>
              </w:rPr>
              <w:t>(May 2018- April 2019)</w:t>
            </w:r>
          </w:p>
        </w:tc>
        <w:tc>
          <w:tcPr>
            <w:tcW w:w="723" w:type="pct"/>
            <w:vAlign w:val="center"/>
          </w:tcPr>
          <w:p w14:paraId="23B6AA7F" w14:textId="77777777" w:rsidR="003C0B9A" w:rsidRPr="006F0470" w:rsidRDefault="003C0B9A" w:rsidP="005326E8">
            <w:pPr>
              <w:contextualSpacing/>
              <w:jc w:val="center"/>
              <w:rPr>
                <w:rFonts w:cs="Arial"/>
                <w:b/>
                <w:sz w:val="16"/>
                <w:szCs w:val="16"/>
                <w:lang w:val="en-US" w:eastAsia="en-GB"/>
              </w:rPr>
            </w:pPr>
            <w:r w:rsidRPr="006F0470">
              <w:rPr>
                <w:rFonts w:cs="Arial"/>
                <w:b/>
                <w:sz w:val="16"/>
                <w:szCs w:val="16"/>
                <w:lang w:val="en-US" w:eastAsia="en-GB"/>
              </w:rPr>
              <w:t xml:space="preserve">Period III </w:t>
            </w:r>
          </w:p>
          <w:p w14:paraId="31B797B0" w14:textId="77777777" w:rsidR="003C0B9A" w:rsidRPr="006F0470" w:rsidRDefault="003C0B9A" w:rsidP="005326E8">
            <w:pPr>
              <w:contextualSpacing/>
              <w:jc w:val="center"/>
              <w:rPr>
                <w:rFonts w:cs="Arial"/>
                <w:b/>
                <w:sz w:val="16"/>
                <w:szCs w:val="16"/>
                <w:lang w:val="en-US" w:eastAsia="en-GB"/>
              </w:rPr>
            </w:pPr>
            <w:r w:rsidRPr="006F0470">
              <w:rPr>
                <w:rFonts w:cs="Arial"/>
                <w:b/>
                <w:sz w:val="16"/>
                <w:szCs w:val="16"/>
                <w:lang w:val="en-US" w:eastAsia="en-GB"/>
              </w:rPr>
              <w:t>(May 2019- April 2020)</w:t>
            </w:r>
          </w:p>
        </w:tc>
        <w:tc>
          <w:tcPr>
            <w:tcW w:w="722" w:type="pct"/>
            <w:vMerge/>
          </w:tcPr>
          <w:p w14:paraId="6B4314B3" w14:textId="77777777" w:rsidR="003C0B9A" w:rsidRPr="006F0470" w:rsidRDefault="003C0B9A" w:rsidP="005326E8">
            <w:pPr>
              <w:contextualSpacing/>
              <w:jc w:val="center"/>
              <w:rPr>
                <w:rFonts w:cs="Arial"/>
                <w:b/>
                <w:sz w:val="16"/>
                <w:szCs w:val="16"/>
                <w:lang w:val="en-US" w:eastAsia="en-GB"/>
              </w:rPr>
            </w:pPr>
          </w:p>
        </w:tc>
      </w:tr>
      <w:tr w:rsidR="003C0B9A" w:rsidRPr="006F0470" w14:paraId="31A997EF" w14:textId="77777777" w:rsidTr="004C0E79">
        <w:trPr>
          <w:trHeight w:val="230"/>
        </w:trPr>
        <w:tc>
          <w:tcPr>
            <w:tcW w:w="1622" w:type="pct"/>
            <w:vAlign w:val="center"/>
          </w:tcPr>
          <w:p w14:paraId="09095E4F" w14:textId="77777777" w:rsidR="003C0B9A" w:rsidRPr="006F0470" w:rsidRDefault="003C0B9A" w:rsidP="005326E8">
            <w:pPr>
              <w:contextualSpacing/>
              <w:jc w:val="left"/>
              <w:rPr>
                <w:rFonts w:cs="Arial"/>
                <w:color w:val="000000"/>
                <w:sz w:val="16"/>
                <w:szCs w:val="16"/>
                <w:lang w:val="en-US" w:eastAsia="en-GB"/>
              </w:rPr>
            </w:pPr>
            <w:r w:rsidRPr="006F0470">
              <w:rPr>
                <w:rFonts w:cs="Arial"/>
                <w:color w:val="000000"/>
                <w:sz w:val="16"/>
                <w:szCs w:val="16"/>
                <w:lang w:val="en-US" w:eastAsia="en-GB"/>
              </w:rPr>
              <w:t>Production</w:t>
            </w:r>
          </w:p>
        </w:tc>
        <w:tc>
          <w:tcPr>
            <w:tcW w:w="414" w:type="pct"/>
            <w:vAlign w:val="center"/>
          </w:tcPr>
          <w:p w14:paraId="4773AB28" w14:textId="77777777" w:rsidR="003C0B9A" w:rsidRPr="006F0470" w:rsidRDefault="003C0B9A" w:rsidP="005326E8">
            <w:pPr>
              <w:contextualSpacing/>
              <w:jc w:val="left"/>
              <w:rPr>
                <w:rFonts w:cs="Arial"/>
                <w:color w:val="000000"/>
                <w:sz w:val="16"/>
                <w:szCs w:val="16"/>
                <w:lang w:val="en-US" w:eastAsia="en-GB"/>
              </w:rPr>
            </w:pPr>
            <w:r w:rsidRPr="006F0470">
              <w:rPr>
                <w:rFonts w:cs="Arial"/>
                <w:color w:val="000000"/>
                <w:sz w:val="16"/>
                <w:szCs w:val="16"/>
                <w:lang w:val="en-US" w:eastAsia="en-GB"/>
              </w:rPr>
              <w:t>Index</w:t>
            </w:r>
          </w:p>
        </w:tc>
        <w:tc>
          <w:tcPr>
            <w:tcW w:w="721" w:type="pct"/>
            <w:vAlign w:val="center"/>
          </w:tcPr>
          <w:p w14:paraId="3B79E8AF" w14:textId="77777777" w:rsidR="003C0B9A" w:rsidRPr="006F0470" w:rsidRDefault="003C0B9A" w:rsidP="005326E8">
            <w:pPr>
              <w:contextualSpacing/>
              <w:jc w:val="center"/>
              <w:rPr>
                <w:rFonts w:cs="Arial"/>
                <w:color w:val="000000"/>
                <w:sz w:val="16"/>
                <w:szCs w:val="16"/>
                <w:lang w:val="en-US" w:eastAsia="en-GB"/>
              </w:rPr>
            </w:pPr>
            <w:r w:rsidRPr="006F0470">
              <w:rPr>
                <w:rFonts w:cs="Arial"/>
                <w:color w:val="000000"/>
                <w:sz w:val="16"/>
                <w:szCs w:val="16"/>
                <w:lang w:val="en-US" w:eastAsia="en-GB"/>
              </w:rPr>
              <w:t>100</w:t>
            </w:r>
          </w:p>
        </w:tc>
        <w:tc>
          <w:tcPr>
            <w:tcW w:w="798" w:type="pct"/>
            <w:vAlign w:val="center"/>
          </w:tcPr>
          <w:p w14:paraId="4EE06288" w14:textId="77777777" w:rsidR="003C0B9A" w:rsidRPr="006F0470" w:rsidRDefault="003C0B9A" w:rsidP="005326E8">
            <w:pPr>
              <w:contextualSpacing/>
              <w:jc w:val="center"/>
              <w:rPr>
                <w:rFonts w:cs="Arial"/>
                <w:color w:val="000000"/>
                <w:sz w:val="16"/>
                <w:szCs w:val="16"/>
                <w:lang w:val="en-US" w:eastAsia="en-GB"/>
              </w:rPr>
            </w:pPr>
            <w:r w:rsidRPr="006F0470">
              <w:rPr>
                <w:rFonts w:cs="Arial"/>
                <w:color w:val="000000"/>
                <w:sz w:val="16"/>
                <w:szCs w:val="16"/>
                <w:lang w:val="en-US" w:eastAsia="en-GB"/>
              </w:rPr>
              <w:t>87.24</w:t>
            </w:r>
          </w:p>
        </w:tc>
        <w:tc>
          <w:tcPr>
            <w:tcW w:w="723" w:type="pct"/>
            <w:vAlign w:val="center"/>
          </w:tcPr>
          <w:p w14:paraId="1130D6E6" w14:textId="77777777" w:rsidR="003C0B9A" w:rsidRPr="006F0470" w:rsidRDefault="003C0B9A" w:rsidP="005326E8">
            <w:pPr>
              <w:contextualSpacing/>
              <w:jc w:val="center"/>
              <w:rPr>
                <w:rFonts w:cs="Arial"/>
                <w:color w:val="000000"/>
                <w:sz w:val="16"/>
                <w:szCs w:val="16"/>
                <w:lang w:val="en-US" w:eastAsia="en-GB"/>
              </w:rPr>
            </w:pPr>
            <w:r w:rsidRPr="006F0470">
              <w:rPr>
                <w:rFonts w:cs="Arial"/>
                <w:color w:val="000000"/>
                <w:sz w:val="16"/>
                <w:szCs w:val="16"/>
                <w:lang w:val="en-US" w:eastAsia="en-GB"/>
              </w:rPr>
              <w:t>62.82</w:t>
            </w:r>
          </w:p>
        </w:tc>
        <w:tc>
          <w:tcPr>
            <w:tcW w:w="722" w:type="pct"/>
            <w:vAlign w:val="center"/>
          </w:tcPr>
          <w:p w14:paraId="19B0E0B7" w14:textId="77777777" w:rsidR="003C0B9A" w:rsidRPr="006F0470" w:rsidRDefault="003C0B9A" w:rsidP="005326E8">
            <w:pPr>
              <w:contextualSpacing/>
              <w:jc w:val="center"/>
              <w:rPr>
                <w:rFonts w:cs="Arial"/>
                <w:color w:val="000000"/>
                <w:sz w:val="16"/>
                <w:szCs w:val="16"/>
                <w:lang w:val="en-US" w:eastAsia="en-GB"/>
              </w:rPr>
            </w:pPr>
            <w:r w:rsidRPr="006F0470">
              <w:rPr>
                <w:rFonts w:cs="Arial"/>
                <w:color w:val="000000"/>
                <w:sz w:val="16"/>
                <w:szCs w:val="16"/>
                <w:lang w:val="en-US" w:eastAsia="en-GB"/>
              </w:rPr>
              <w:t>(20.74)</w:t>
            </w:r>
          </w:p>
        </w:tc>
      </w:tr>
      <w:tr w:rsidR="003C0B9A" w:rsidRPr="006F0470" w14:paraId="466C6EF9" w14:textId="77777777" w:rsidTr="004C0E79">
        <w:trPr>
          <w:trHeight w:val="412"/>
        </w:trPr>
        <w:tc>
          <w:tcPr>
            <w:tcW w:w="1622" w:type="pct"/>
            <w:vAlign w:val="center"/>
          </w:tcPr>
          <w:p w14:paraId="5236824A" w14:textId="77777777" w:rsidR="003C0B9A" w:rsidRPr="006F0470" w:rsidRDefault="003C0B9A" w:rsidP="005326E8">
            <w:pPr>
              <w:contextualSpacing/>
              <w:jc w:val="left"/>
              <w:rPr>
                <w:rFonts w:cs="Arial"/>
                <w:color w:val="000000"/>
                <w:sz w:val="16"/>
                <w:szCs w:val="16"/>
                <w:lang w:val="en-US" w:eastAsia="en-GB"/>
              </w:rPr>
            </w:pPr>
            <w:r w:rsidRPr="006F0470">
              <w:rPr>
                <w:rFonts w:cs="Arial"/>
                <w:color w:val="000000"/>
                <w:sz w:val="16"/>
                <w:szCs w:val="16"/>
                <w:lang w:val="en-US" w:eastAsia="en-GB"/>
              </w:rPr>
              <w:t>Domestic Sales</w:t>
            </w:r>
          </w:p>
        </w:tc>
        <w:tc>
          <w:tcPr>
            <w:tcW w:w="414" w:type="pct"/>
            <w:vAlign w:val="center"/>
          </w:tcPr>
          <w:p w14:paraId="10314241" w14:textId="77777777" w:rsidR="003C0B9A" w:rsidRPr="006F0470" w:rsidRDefault="003C0B9A" w:rsidP="005326E8">
            <w:pPr>
              <w:contextualSpacing/>
              <w:jc w:val="left"/>
              <w:rPr>
                <w:rFonts w:cs="Arial"/>
                <w:color w:val="000000"/>
                <w:sz w:val="16"/>
                <w:szCs w:val="16"/>
                <w:lang w:val="en-US" w:eastAsia="en-GB"/>
              </w:rPr>
            </w:pPr>
            <w:r w:rsidRPr="006F0470">
              <w:rPr>
                <w:rFonts w:cs="Arial"/>
                <w:color w:val="000000"/>
                <w:sz w:val="16"/>
                <w:szCs w:val="16"/>
                <w:lang w:val="en-US" w:eastAsia="en-GB"/>
              </w:rPr>
              <w:t>Index</w:t>
            </w:r>
          </w:p>
        </w:tc>
        <w:tc>
          <w:tcPr>
            <w:tcW w:w="721" w:type="pct"/>
            <w:vAlign w:val="center"/>
          </w:tcPr>
          <w:p w14:paraId="4CC76445" w14:textId="77777777" w:rsidR="003C0B9A" w:rsidRPr="006F0470" w:rsidRDefault="003C0B9A" w:rsidP="005326E8">
            <w:pPr>
              <w:contextualSpacing/>
              <w:jc w:val="center"/>
              <w:rPr>
                <w:rFonts w:cs="Arial"/>
                <w:color w:val="000000"/>
                <w:sz w:val="16"/>
                <w:szCs w:val="16"/>
                <w:lang w:val="en-US" w:eastAsia="en-GB"/>
              </w:rPr>
            </w:pPr>
            <w:r w:rsidRPr="006F0470">
              <w:rPr>
                <w:rFonts w:cs="Arial"/>
                <w:color w:val="000000"/>
                <w:sz w:val="16"/>
                <w:szCs w:val="16"/>
                <w:lang w:val="en-US" w:eastAsia="en-GB"/>
              </w:rPr>
              <w:t>100</w:t>
            </w:r>
          </w:p>
        </w:tc>
        <w:tc>
          <w:tcPr>
            <w:tcW w:w="798" w:type="pct"/>
            <w:vAlign w:val="center"/>
          </w:tcPr>
          <w:p w14:paraId="185E8ECC" w14:textId="77777777" w:rsidR="003C0B9A" w:rsidRPr="006F0470" w:rsidRDefault="003C0B9A" w:rsidP="005326E8">
            <w:pPr>
              <w:contextualSpacing/>
              <w:jc w:val="center"/>
              <w:rPr>
                <w:rFonts w:cs="Arial"/>
                <w:color w:val="000000"/>
                <w:sz w:val="16"/>
                <w:szCs w:val="16"/>
                <w:lang w:val="en-US" w:eastAsia="en-GB"/>
              </w:rPr>
            </w:pPr>
            <w:r w:rsidRPr="006F0470">
              <w:rPr>
                <w:rFonts w:cs="Arial"/>
                <w:color w:val="000000"/>
                <w:sz w:val="16"/>
                <w:szCs w:val="16"/>
                <w:lang w:val="en-US" w:eastAsia="en-GB"/>
              </w:rPr>
              <w:t>81.37</w:t>
            </w:r>
          </w:p>
        </w:tc>
        <w:tc>
          <w:tcPr>
            <w:tcW w:w="723" w:type="pct"/>
            <w:vAlign w:val="center"/>
          </w:tcPr>
          <w:p w14:paraId="7E98F8E1" w14:textId="77777777" w:rsidR="003C0B9A" w:rsidRPr="006F0470" w:rsidRDefault="003C0B9A" w:rsidP="005326E8">
            <w:pPr>
              <w:contextualSpacing/>
              <w:jc w:val="center"/>
              <w:rPr>
                <w:rFonts w:cs="Arial"/>
                <w:color w:val="000000"/>
                <w:sz w:val="16"/>
                <w:szCs w:val="16"/>
                <w:lang w:val="en-US" w:eastAsia="en-GB"/>
              </w:rPr>
            </w:pPr>
            <w:r w:rsidRPr="006F0470">
              <w:rPr>
                <w:rFonts w:cs="Arial"/>
                <w:color w:val="000000"/>
                <w:sz w:val="16"/>
                <w:szCs w:val="16"/>
                <w:lang w:val="en-US" w:eastAsia="en-GB"/>
              </w:rPr>
              <w:t>76.58</w:t>
            </w:r>
          </w:p>
        </w:tc>
        <w:tc>
          <w:tcPr>
            <w:tcW w:w="722" w:type="pct"/>
            <w:vAlign w:val="center"/>
          </w:tcPr>
          <w:p w14:paraId="4D90C899" w14:textId="77777777" w:rsidR="003C0B9A" w:rsidRPr="006F0470" w:rsidRDefault="003C0B9A" w:rsidP="005326E8">
            <w:pPr>
              <w:contextualSpacing/>
              <w:jc w:val="center"/>
              <w:rPr>
                <w:rFonts w:cs="Arial"/>
                <w:color w:val="000000"/>
                <w:sz w:val="16"/>
                <w:szCs w:val="16"/>
                <w:lang w:val="en-US" w:eastAsia="en-GB"/>
              </w:rPr>
            </w:pPr>
            <w:r w:rsidRPr="006F0470">
              <w:rPr>
                <w:rFonts w:cs="Arial"/>
                <w:color w:val="000000"/>
                <w:sz w:val="16"/>
                <w:szCs w:val="16"/>
                <w:lang w:val="en-US" w:eastAsia="en-GB"/>
              </w:rPr>
              <w:t>(12,.49)</w:t>
            </w:r>
          </w:p>
        </w:tc>
      </w:tr>
      <w:tr w:rsidR="003C0B9A" w:rsidRPr="006F0470" w14:paraId="56D997BA" w14:textId="77777777" w:rsidTr="004C0E79">
        <w:trPr>
          <w:trHeight w:val="412"/>
        </w:trPr>
        <w:tc>
          <w:tcPr>
            <w:tcW w:w="1622" w:type="pct"/>
            <w:vAlign w:val="center"/>
          </w:tcPr>
          <w:p w14:paraId="48EA14AF" w14:textId="77777777" w:rsidR="003C0B9A" w:rsidRPr="006F0470" w:rsidRDefault="003C0B9A" w:rsidP="005326E8">
            <w:pPr>
              <w:contextualSpacing/>
              <w:jc w:val="left"/>
              <w:rPr>
                <w:rFonts w:cs="Arial"/>
                <w:color w:val="000000"/>
                <w:sz w:val="16"/>
                <w:szCs w:val="16"/>
                <w:lang w:val="en-US" w:eastAsia="en-GB"/>
              </w:rPr>
            </w:pPr>
            <w:r w:rsidRPr="006F0470">
              <w:rPr>
                <w:rFonts w:cs="Arial"/>
                <w:color w:val="000000"/>
                <w:sz w:val="16"/>
                <w:szCs w:val="16"/>
                <w:lang w:val="en-US" w:eastAsia="en-GB"/>
              </w:rPr>
              <w:t>Productivity</w:t>
            </w:r>
          </w:p>
        </w:tc>
        <w:tc>
          <w:tcPr>
            <w:tcW w:w="414" w:type="pct"/>
            <w:vAlign w:val="center"/>
          </w:tcPr>
          <w:p w14:paraId="57284953" w14:textId="77777777" w:rsidR="003C0B9A" w:rsidRPr="006F0470" w:rsidRDefault="003C0B9A" w:rsidP="005326E8">
            <w:pPr>
              <w:contextualSpacing/>
              <w:jc w:val="left"/>
              <w:rPr>
                <w:rFonts w:cs="Arial"/>
                <w:color w:val="000000"/>
                <w:sz w:val="16"/>
                <w:szCs w:val="16"/>
                <w:lang w:val="en-US" w:eastAsia="en-GB"/>
              </w:rPr>
            </w:pPr>
            <w:r w:rsidRPr="006F0470">
              <w:rPr>
                <w:rFonts w:cs="Arial"/>
                <w:color w:val="000000"/>
                <w:sz w:val="16"/>
                <w:szCs w:val="16"/>
                <w:lang w:val="en-US" w:eastAsia="en-GB"/>
              </w:rPr>
              <w:t>Index</w:t>
            </w:r>
          </w:p>
        </w:tc>
        <w:tc>
          <w:tcPr>
            <w:tcW w:w="721" w:type="pct"/>
            <w:vAlign w:val="center"/>
          </w:tcPr>
          <w:p w14:paraId="3F91E77E" w14:textId="77777777" w:rsidR="003C0B9A" w:rsidRPr="006F0470" w:rsidRDefault="003C0B9A" w:rsidP="005326E8">
            <w:pPr>
              <w:contextualSpacing/>
              <w:jc w:val="center"/>
              <w:rPr>
                <w:rFonts w:cs="Arial"/>
                <w:color w:val="000000"/>
                <w:sz w:val="16"/>
                <w:szCs w:val="16"/>
                <w:lang w:val="en-US" w:eastAsia="en-GB"/>
              </w:rPr>
            </w:pPr>
            <w:r w:rsidRPr="006F0470">
              <w:rPr>
                <w:rFonts w:cs="Arial"/>
                <w:color w:val="000000"/>
                <w:sz w:val="16"/>
                <w:szCs w:val="16"/>
                <w:lang w:val="en-US" w:eastAsia="en-GB"/>
              </w:rPr>
              <w:t>100</w:t>
            </w:r>
          </w:p>
        </w:tc>
        <w:tc>
          <w:tcPr>
            <w:tcW w:w="798" w:type="pct"/>
            <w:vAlign w:val="center"/>
          </w:tcPr>
          <w:p w14:paraId="5B6AADA8" w14:textId="77777777" w:rsidR="003C0B9A" w:rsidRPr="006F0470" w:rsidRDefault="003C0B9A" w:rsidP="005326E8">
            <w:pPr>
              <w:contextualSpacing/>
              <w:jc w:val="center"/>
              <w:rPr>
                <w:rFonts w:cs="Arial"/>
                <w:color w:val="000000"/>
                <w:sz w:val="16"/>
                <w:szCs w:val="16"/>
                <w:lang w:val="en-US" w:eastAsia="en-GB"/>
              </w:rPr>
            </w:pPr>
            <w:r w:rsidRPr="006F0470">
              <w:rPr>
                <w:rFonts w:cs="Arial"/>
                <w:color w:val="000000"/>
                <w:sz w:val="16"/>
                <w:szCs w:val="16"/>
                <w:lang w:val="en-US" w:eastAsia="en-GB"/>
              </w:rPr>
              <w:t>115.87</w:t>
            </w:r>
          </w:p>
        </w:tc>
        <w:tc>
          <w:tcPr>
            <w:tcW w:w="723" w:type="pct"/>
            <w:vAlign w:val="center"/>
          </w:tcPr>
          <w:p w14:paraId="2694DA8D" w14:textId="77777777" w:rsidR="003C0B9A" w:rsidRPr="006F0470" w:rsidRDefault="003C0B9A" w:rsidP="005326E8">
            <w:pPr>
              <w:contextualSpacing/>
              <w:jc w:val="center"/>
              <w:rPr>
                <w:rFonts w:cs="Arial"/>
                <w:color w:val="000000"/>
                <w:sz w:val="16"/>
                <w:szCs w:val="16"/>
                <w:lang w:val="en-US" w:eastAsia="en-GB"/>
              </w:rPr>
            </w:pPr>
            <w:r w:rsidRPr="006F0470">
              <w:rPr>
                <w:rFonts w:cs="Arial"/>
                <w:color w:val="000000"/>
                <w:sz w:val="16"/>
                <w:szCs w:val="16"/>
                <w:lang w:val="en-US" w:eastAsia="en-GB"/>
              </w:rPr>
              <w:t>83.91</w:t>
            </w:r>
          </w:p>
        </w:tc>
        <w:tc>
          <w:tcPr>
            <w:tcW w:w="722" w:type="pct"/>
            <w:vAlign w:val="center"/>
          </w:tcPr>
          <w:p w14:paraId="379128DE" w14:textId="77777777" w:rsidR="003C0B9A" w:rsidRPr="006F0470" w:rsidRDefault="003C0B9A" w:rsidP="005326E8">
            <w:pPr>
              <w:contextualSpacing/>
              <w:jc w:val="center"/>
              <w:rPr>
                <w:rFonts w:cs="Arial"/>
                <w:color w:val="000000"/>
                <w:sz w:val="16"/>
                <w:szCs w:val="16"/>
                <w:lang w:val="en-US" w:eastAsia="en-GB"/>
              </w:rPr>
            </w:pPr>
            <w:r w:rsidRPr="006F0470">
              <w:rPr>
                <w:rFonts w:cs="Arial"/>
                <w:color w:val="000000"/>
                <w:sz w:val="16"/>
                <w:szCs w:val="16"/>
                <w:lang w:val="en-US" w:eastAsia="en-GB"/>
              </w:rPr>
              <w:t>(8.40)</w:t>
            </w:r>
          </w:p>
        </w:tc>
      </w:tr>
      <w:tr w:rsidR="003C0B9A" w:rsidRPr="006F0470" w14:paraId="630C533D" w14:textId="77777777" w:rsidTr="004C0E79">
        <w:trPr>
          <w:trHeight w:val="412"/>
        </w:trPr>
        <w:tc>
          <w:tcPr>
            <w:tcW w:w="1622" w:type="pct"/>
            <w:vAlign w:val="center"/>
          </w:tcPr>
          <w:p w14:paraId="749E948E" w14:textId="77777777" w:rsidR="003C0B9A" w:rsidRPr="006F0470" w:rsidRDefault="003C0B9A" w:rsidP="005326E8">
            <w:pPr>
              <w:contextualSpacing/>
              <w:jc w:val="left"/>
              <w:rPr>
                <w:rFonts w:cs="Arial"/>
                <w:color w:val="000000"/>
                <w:sz w:val="16"/>
                <w:szCs w:val="16"/>
                <w:lang w:val="en-US" w:eastAsia="en-GB"/>
              </w:rPr>
            </w:pPr>
            <w:r w:rsidRPr="006F0470">
              <w:rPr>
                <w:rFonts w:cs="Arial"/>
                <w:color w:val="000000"/>
                <w:sz w:val="16"/>
                <w:szCs w:val="16"/>
                <w:lang w:val="en-US" w:eastAsia="en-GB"/>
              </w:rPr>
              <w:t>Utilization Capacity</w:t>
            </w:r>
          </w:p>
        </w:tc>
        <w:tc>
          <w:tcPr>
            <w:tcW w:w="414" w:type="pct"/>
            <w:vAlign w:val="center"/>
          </w:tcPr>
          <w:p w14:paraId="02B61190" w14:textId="77777777" w:rsidR="003C0B9A" w:rsidRPr="006F0470" w:rsidRDefault="003C0B9A" w:rsidP="005326E8">
            <w:pPr>
              <w:contextualSpacing/>
              <w:jc w:val="left"/>
              <w:rPr>
                <w:rFonts w:cs="Arial"/>
                <w:color w:val="000000"/>
                <w:sz w:val="16"/>
                <w:szCs w:val="16"/>
                <w:lang w:val="en-US" w:eastAsia="en-GB"/>
              </w:rPr>
            </w:pPr>
            <w:r w:rsidRPr="006F0470">
              <w:rPr>
                <w:rFonts w:cs="Arial"/>
                <w:color w:val="000000"/>
                <w:sz w:val="16"/>
                <w:szCs w:val="16"/>
                <w:lang w:val="en-US" w:eastAsia="en-GB"/>
              </w:rPr>
              <w:t>Index</w:t>
            </w:r>
          </w:p>
        </w:tc>
        <w:tc>
          <w:tcPr>
            <w:tcW w:w="721" w:type="pct"/>
            <w:vAlign w:val="center"/>
          </w:tcPr>
          <w:p w14:paraId="1DCC6C19" w14:textId="77777777" w:rsidR="003C0B9A" w:rsidRPr="006F0470" w:rsidRDefault="003C0B9A" w:rsidP="005326E8">
            <w:pPr>
              <w:contextualSpacing/>
              <w:jc w:val="center"/>
              <w:rPr>
                <w:rFonts w:cs="Arial"/>
                <w:color w:val="000000"/>
                <w:sz w:val="16"/>
                <w:szCs w:val="16"/>
                <w:lang w:val="en-US" w:eastAsia="en-GB"/>
              </w:rPr>
            </w:pPr>
            <w:r w:rsidRPr="006F0470">
              <w:rPr>
                <w:rFonts w:cs="Arial"/>
                <w:color w:val="000000"/>
                <w:sz w:val="16"/>
                <w:szCs w:val="16"/>
                <w:lang w:val="en-US" w:eastAsia="en-GB"/>
              </w:rPr>
              <w:t>100</w:t>
            </w:r>
          </w:p>
        </w:tc>
        <w:tc>
          <w:tcPr>
            <w:tcW w:w="798" w:type="pct"/>
            <w:vAlign w:val="center"/>
          </w:tcPr>
          <w:p w14:paraId="465BCA0F" w14:textId="77777777" w:rsidR="003C0B9A" w:rsidRPr="006F0470" w:rsidRDefault="003C0B9A" w:rsidP="005326E8">
            <w:pPr>
              <w:contextualSpacing/>
              <w:jc w:val="center"/>
              <w:rPr>
                <w:rFonts w:cs="Arial"/>
                <w:color w:val="000000"/>
                <w:sz w:val="16"/>
                <w:szCs w:val="16"/>
                <w:lang w:val="en-US" w:eastAsia="en-GB"/>
              </w:rPr>
            </w:pPr>
            <w:r w:rsidRPr="006F0470">
              <w:rPr>
                <w:rFonts w:cs="Arial"/>
                <w:color w:val="000000"/>
                <w:sz w:val="16"/>
                <w:szCs w:val="16"/>
                <w:lang w:val="en-US" w:eastAsia="en-GB"/>
              </w:rPr>
              <w:t>87.24</w:t>
            </w:r>
          </w:p>
        </w:tc>
        <w:tc>
          <w:tcPr>
            <w:tcW w:w="723" w:type="pct"/>
            <w:vAlign w:val="center"/>
          </w:tcPr>
          <w:p w14:paraId="4A637D29" w14:textId="77777777" w:rsidR="003C0B9A" w:rsidRPr="006F0470" w:rsidRDefault="003C0B9A" w:rsidP="005326E8">
            <w:pPr>
              <w:contextualSpacing/>
              <w:jc w:val="center"/>
              <w:rPr>
                <w:rFonts w:cs="Arial"/>
                <w:color w:val="000000"/>
                <w:sz w:val="16"/>
                <w:szCs w:val="16"/>
                <w:lang w:val="en-US" w:eastAsia="en-GB"/>
              </w:rPr>
            </w:pPr>
            <w:r w:rsidRPr="006F0470">
              <w:rPr>
                <w:rFonts w:cs="Arial"/>
                <w:color w:val="000000"/>
                <w:sz w:val="16"/>
                <w:szCs w:val="16"/>
                <w:lang w:val="en-US" w:eastAsia="en-GB"/>
              </w:rPr>
              <w:t>62.82</w:t>
            </w:r>
          </w:p>
        </w:tc>
        <w:tc>
          <w:tcPr>
            <w:tcW w:w="722" w:type="pct"/>
            <w:vAlign w:val="center"/>
          </w:tcPr>
          <w:p w14:paraId="65C57452" w14:textId="77777777" w:rsidR="003C0B9A" w:rsidRPr="006F0470" w:rsidRDefault="003C0B9A" w:rsidP="005326E8">
            <w:pPr>
              <w:contextualSpacing/>
              <w:jc w:val="center"/>
              <w:rPr>
                <w:rFonts w:cs="Arial"/>
                <w:color w:val="000000"/>
                <w:sz w:val="16"/>
                <w:szCs w:val="16"/>
                <w:lang w:val="en-US" w:eastAsia="en-GB"/>
              </w:rPr>
            </w:pPr>
            <w:r w:rsidRPr="006F0470">
              <w:rPr>
                <w:rFonts w:cs="Arial"/>
                <w:color w:val="000000"/>
                <w:sz w:val="16"/>
                <w:szCs w:val="16"/>
                <w:lang w:val="en-US" w:eastAsia="en-GB"/>
              </w:rPr>
              <w:t>(20.74)</w:t>
            </w:r>
          </w:p>
        </w:tc>
      </w:tr>
      <w:tr w:rsidR="003C0B9A" w:rsidRPr="006F0470" w14:paraId="2C9743A0" w14:textId="77777777" w:rsidTr="004C0E79">
        <w:trPr>
          <w:trHeight w:val="412"/>
        </w:trPr>
        <w:tc>
          <w:tcPr>
            <w:tcW w:w="1622" w:type="pct"/>
            <w:vAlign w:val="center"/>
          </w:tcPr>
          <w:p w14:paraId="6AE2491D" w14:textId="77777777" w:rsidR="003C0B9A" w:rsidRPr="006F0470" w:rsidRDefault="003C0B9A" w:rsidP="005326E8">
            <w:pPr>
              <w:contextualSpacing/>
              <w:jc w:val="left"/>
              <w:rPr>
                <w:rFonts w:cs="Arial"/>
                <w:color w:val="000000"/>
                <w:sz w:val="16"/>
                <w:szCs w:val="16"/>
                <w:lang w:val="en-US" w:eastAsia="en-GB"/>
              </w:rPr>
            </w:pPr>
            <w:r w:rsidRPr="006F0470">
              <w:rPr>
                <w:rFonts w:cs="Arial"/>
                <w:color w:val="000000"/>
                <w:sz w:val="16"/>
                <w:szCs w:val="16"/>
                <w:lang w:val="en-US" w:eastAsia="en-GB"/>
              </w:rPr>
              <w:t>Profit/Loss</w:t>
            </w:r>
          </w:p>
        </w:tc>
        <w:tc>
          <w:tcPr>
            <w:tcW w:w="414" w:type="pct"/>
            <w:vAlign w:val="center"/>
          </w:tcPr>
          <w:p w14:paraId="061BC457" w14:textId="77777777" w:rsidR="003C0B9A" w:rsidRPr="006F0470" w:rsidRDefault="003C0B9A" w:rsidP="005326E8">
            <w:pPr>
              <w:contextualSpacing/>
              <w:jc w:val="left"/>
              <w:rPr>
                <w:rFonts w:cs="Arial"/>
                <w:color w:val="000000"/>
                <w:sz w:val="16"/>
                <w:szCs w:val="16"/>
                <w:lang w:val="en-US" w:eastAsia="en-GB"/>
              </w:rPr>
            </w:pPr>
            <w:r w:rsidRPr="006F0470">
              <w:rPr>
                <w:rFonts w:cs="Arial"/>
                <w:color w:val="000000"/>
                <w:sz w:val="16"/>
                <w:szCs w:val="16"/>
                <w:lang w:val="en-US" w:eastAsia="en-GB"/>
              </w:rPr>
              <w:t>Index</w:t>
            </w:r>
          </w:p>
        </w:tc>
        <w:tc>
          <w:tcPr>
            <w:tcW w:w="721" w:type="pct"/>
            <w:vAlign w:val="center"/>
          </w:tcPr>
          <w:p w14:paraId="7247F92C" w14:textId="77777777" w:rsidR="003C0B9A" w:rsidRPr="006F0470" w:rsidRDefault="003C0B9A" w:rsidP="005326E8">
            <w:pPr>
              <w:contextualSpacing/>
              <w:jc w:val="center"/>
              <w:rPr>
                <w:rFonts w:cs="Arial"/>
                <w:color w:val="000000"/>
                <w:sz w:val="16"/>
                <w:szCs w:val="16"/>
                <w:lang w:val="en-US" w:eastAsia="en-GB"/>
              </w:rPr>
            </w:pPr>
            <w:r w:rsidRPr="006F0470">
              <w:rPr>
                <w:rFonts w:cs="Arial"/>
                <w:color w:val="000000"/>
                <w:sz w:val="16"/>
                <w:szCs w:val="16"/>
                <w:lang w:val="en-US" w:eastAsia="en-GB"/>
              </w:rPr>
              <w:t>100</w:t>
            </w:r>
          </w:p>
        </w:tc>
        <w:tc>
          <w:tcPr>
            <w:tcW w:w="798" w:type="pct"/>
            <w:vAlign w:val="center"/>
          </w:tcPr>
          <w:p w14:paraId="4E2EF655" w14:textId="77777777" w:rsidR="003C0B9A" w:rsidRPr="006F0470" w:rsidRDefault="003C0B9A" w:rsidP="005326E8">
            <w:pPr>
              <w:contextualSpacing/>
              <w:jc w:val="center"/>
              <w:rPr>
                <w:rFonts w:cs="Arial"/>
                <w:color w:val="000000"/>
                <w:sz w:val="16"/>
                <w:szCs w:val="16"/>
                <w:lang w:val="en-US" w:eastAsia="en-GB"/>
              </w:rPr>
            </w:pPr>
            <w:r w:rsidRPr="006F0470">
              <w:rPr>
                <w:rFonts w:cs="Arial"/>
                <w:color w:val="000000"/>
                <w:sz w:val="16"/>
                <w:szCs w:val="16"/>
                <w:lang w:val="en-US" w:eastAsia="en-GB"/>
              </w:rPr>
              <w:t>(8.51)</w:t>
            </w:r>
          </w:p>
        </w:tc>
        <w:tc>
          <w:tcPr>
            <w:tcW w:w="723" w:type="pct"/>
            <w:vAlign w:val="center"/>
          </w:tcPr>
          <w:p w14:paraId="7AAD03B3" w14:textId="77777777" w:rsidR="003C0B9A" w:rsidRPr="006F0470" w:rsidRDefault="003C0B9A" w:rsidP="005326E8">
            <w:pPr>
              <w:contextualSpacing/>
              <w:jc w:val="center"/>
              <w:rPr>
                <w:rFonts w:cs="Arial"/>
                <w:color w:val="000000"/>
                <w:sz w:val="16"/>
                <w:szCs w:val="16"/>
                <w:lang w:val="en-US" w:eastAsia="en-GB"/>
              </w:rPr>
            </w:pPr>
            <w:r w:rsidRPr="006F0470">
              <w:rPr>
                <w:rFonts w:cs="Arial"/>
                <w:color w:val="000000"/>
                <w:sz w:val="16"/>
                <w:szCs w:val="16"/>
                <w:lang w:val="en-US" w:eastAsia="en-GB"/>
              </w:rPr>
              <w:t>(77.02)</w:t>
            </w:r>
          </w:p>
        </w:tc>
        <w:tc>
          <w:tcPr>
            <w:tcW w:w="722" w:type="pct"/>
            <w:vAlign w:val="center"/>
          </w:tcPr>
          <w:p w14:paraId="5A73EEA6" w14:textId="77777777" w:rsidR="003C0B9A" w:rsidRPr="006F0470" w:rsidRDefault="003C0B9A" w:rsidP="005326E8">
            <w:pPr>
              <w:contextualSpacing/>
              <w:jc w:val="center"/>
              <w:rPr>
                <w:rFonts w:cs="Arial"/>
                <w:color w:val="000000"/>
                <w:sz w:val="16"/>
                <w:szCs w:val="16"/>
                <w:lang w:val="en-US" w:eastAsia="en-GB"/>
              </w:rPr>
            </w:pPr>
            <w:r w:rsidRPr="006F0470">
              <w:rPr>
                <w:rFonts w:cs="Arial"/>
                <w:color w:val="000000"/>
                <w:sz w:val="16"/>
                <w:szCs w:val="16"/>
                <w:lang w:val="en-US" w:eastAsia="en-GB"/>
              </w:rPr>
              <w:t>(92.58)</w:t>
            </w:r>
          </w:p>
        </w:tc>
      </w:tr>
      <w:tr w:rsidR="003C0B9A" w:rsidRPr="006F0470" w14:paraId="659E2B72" w14:textId="77777777" w:rsidTr="004C0E79">
        <w:trPr>
          <w:trHeight w:val="412"/>
        </w:trPr>
        <w:tc>
          <w:tcPr>
            <w:tcW w:w="1622" w:type="pct"/>
            <w:vAlign w:val="center"/>
          </w:tcPr>
          <w:p w14:paraId="420A2B7D" w14:textId="77777777" w:rsidR="003C0B9A" w:rsidRPr="006F0470" w:rsidRDefault="003C0B9A" w:rsidP="005326E8">
            <w:pPr>
              <w:contextualSpacing/>
              <w:jc w:val="left"/>
              <w:rPr>
                <w:rFonts w:cs="Arial"/>
                <w:color w:val="000000"/>
                <w:sz w:val="16"/>
                <w:szCs w:val="16"/>
                <w:lang w:val="en-US" w:eastAsia="en-GB"/>
              </w:rPr>
            </w:pPr>
            <w:r w:rsidRPr="006F0470">
              <w:rPr>
                <w:rFonts w:cs="Arial"/>
                <w:color w:val="000000"/>
                <w:sz w:val="16"/>
                <w:szCs w:val="16"/>
                <w:lang w:val="en-US" w:eastAsia="en-GB"/>
              </w:rPr>
              <w:t>Employment</w:t>
            </w:r>
          </w:p>
        </w:tc>
        <w:tc>
          <w:tcPr>
            <w:tcW w:w="414" w:type="pct"/>
            <w:vAlign w:val="center"/>
          </w:tcPr>
          <w:p w14:paraId="1B333680" w14:textId="77777777" w:rsidR="003C0B9A" w:rsidRPr="006F0470" w:rsidRDefault="003C0B9A" w:rsidP="005326E8">
            <w:pPr>
              <w:contextualSpacing/>
              <w:jc w:val="left"/>
              <w:rPr>
                <w:rFonts w:cs="Arial"/>
                <w:color w:val="000000"/>
                <w:sz w:val="16"/>
                <w:szCs w:val="16"/>
                <w:lang w:val="en-US" w:eastAsia="en-GB"/>
              </w:rPr>
            </w:pPr>
            <w:r w:rsidRPr="006F0470">
              <w:rPr>
                <w:rFonts w:cs="Arial"/>
                <w:color w:val="000000"/>
                <w:sz w:val="16"/>
                <w:szCs w:val="16"/>
                <w:lang w:val="en-US" w:eastAsia="en-GB"/>
              </w:rPr>
              <w:t>Index</w:t>
            </w:r>
          </w:p>
        </w:tc>
        <w:tc>
          <w:tcPr>
            <w:tcW w:w="721" w:type="pct"/>
            <w:vAlign w:val="center"/>
          </w:tcPr>
          <w:p w14:paraId="16BE890B" w14:textId="77777777" w:rsidR="003C0B9A" w:rsidRPr="006F0470" w:rsidRDefault="003C0B9A" w:rsidP="005326E8">
            <w:pPr>
              <w:contextualSpacing/>
              <w:jc w:val="center"/>
              <w:rPr>
                <w:rFonts w:cs="Arial"/>
                <w:color w:val="000000"/>
                <w:sz w:val="16"/>
                <w:szCs w:val="16"/>
                <w:lang w:val="en-US" w:eastAsia="en-GB"/>
              </w:rPr>
            </w:pPr>
            <w:r w:rsidRPr="006F0470">
              <w:rPr>
                <w:rFonts w:cs="Arial"/>
                <w:color w:val="000000"/>
                <w:sz w:val="16"/>
                <w:szCs w:val="16"/>
                <w:lang w:val="en-US" w:eastAsia="en-GB"/>
              </w:rPr>
              <w:t>100</w:t>
            </w:r>
          </w:p>
        </w:tc>
        <w:tc>
          <w:tcPr>
            <w:tcW w:w="798" w:type="pct"/>
            <w:vAlign w:val="center"/>
          </w:tcPr>
          <w:p w14:paraId="269C3BD8" w14:textId="77777777" w:rsidR="003C0B9A" w:rsidRPr="006F0470" w:rsidRDefault="003C0B9A" w:rsidP="005326E8">
            <w:pPr>
              <w:contextualSpacing/>
              <w:jc w:val="center"/>
              <w:rPr>
                <w:rFonts w:cs="Arial"/>
                <w:color w:val="000000"/>
                <w:sz w:val="16"/>
                <w:szCs w:val="16"/>
                <w:lang w:val="en-US" w:eastAsia="en-GB"/>
              </w:rPr>
            </w:pPr>
            <w:r w:rsidRPr="006F0470">
              <w:rPr>
                <w:rFonts w:cs="Arial"/>
                <w:color w:val="000000"/>
                <w:sz w:val="16"/>
                <w:szCs w:val="16"/>
                <w:lang w:val="en-US" w:eastAsia="en-GB"/>
              </w:rPr>
              <w:t>75.29</w:t>
            </w:r>
          </w:p>
        </w:tc>
        <w:tc>
          <w:tcPr>
            <w:tcW w:w="723" w:type="pct"/>
            <w:vAlign w:val="center"/>
          </w:tcPr>
          <w:p w14:paraId="52B0A6EF" w14:textId="77777777" w:rsidR="003C0B9A" w:rsidRPr="006F0470" w:rsidRDefault="003C0B9A" w:rsidP="005326E8">
            <w:pPr>
              <w:contextualSpacing/>
              <w:jc w:val="center"/>
              <w:rPr>
                <w:rFonts w:cs="Arial"/>
                <w:color w:val="000000"/>
                <w:sz w:val="16"/>
                <w:szCs w:val="16"/>
                <w:lang w:val="en-US" w:eastAsia="en-GB"/>
              </w:rPr>
            </w:pPr>
            <w:r w:rsidRPr="006F0470">
              <w:rPr>
                <w:rFonts w:cs="Arial"/>
                <w:color w:val="000000"/>
                <w:sz w:val="16"/>
                <w:szCs w:val="16"/>
                <w:lang w:val="en-US" w:eastAsia="en-GB"/>
              </w:rPr>
              <w:t>74.87</w:t>
            </w:r>
          </w:p>
        </w:tc>
        <w:tc>
          <w:tcPr>
            <w:tcW w:w="722" w:type="pct"/>
            <w:vAlign w:val="center"/>
          </w:tcPr>
          <w:p w14:paraId="5E00F404" w14:textId="77777777" w:rsidR="003C0B9A" w:rsidRPr="006F0470" w:rsidRDefault="003C0B9A" w:rsidP="005326E8">
            <w:pPr>
              <w:contextualSpacing/>
              <w:jc w:val="center"/>
              <w:rPr>
                <w:rFonts w:cs="Arial"/>
                <w:color w:val="000000"/>
                <w:sz w:val="16"/>
                <w:szCs w:val="16"/>
                <w:lang w:val="en-US" w:eastAsia="en-GB"/>
              </w:rPr>
            </w:pPr>
            <w:r w:rsidRPr="006F0470">
              <w:rPr>
                <w:rFonts w:cs="Arial"/>
                <w:color w:val="000000"/>
                <w:sz w:val="16"/>
                <w:szCs w:val="16"/>
                <w:lang w:val="en-US" w:eastAsia="en-GB"/>
              </w:rPr>
              <w:t>(13.47)</w:t>
            </w:r>
          </w:p>
        </w:tc>
      </w:tr>
    </w:tbl>
    <w:p w14:paraId="7FF5A720" w14:textId="77777777" w:rsidR="003C0B9A" w:rsidRPr="00A95414" w:rsidRDefault="003C0B9A" w:rsidP="006F642C">
      <w:pPr>
        <w:spacing w:before="120" w:after="240"/>
        <w:rPr>
          <w:rFonts w:cs="Arial"/>
          <w:sz w:val="16"/>
          <w:szCs w:val="18"/>
          <w:lang w:val="en-US"/>
        </w:rPr>
      </w:pPr>
      <w:r w:rsidRPr="00A95414">
        <w:rPr>
          <w:rFonts w:cs="Arial"/>
          <w:bCs/>
          <w:sz w:val="16"/>
          <w:szCs w:val="18"/>
          <w:lang w:val="en-US"/>
        </w:rPr>
        <w:t>Source: As verified by the Investigating Authority.</w:t>
      </w:r>
    </w:p>
    <w:p w14:paraId="02778EC3" w14:textId="77777777" w:rsidR="003C0B9A" w:rsidRPr="00A95414" w:rsidRDefault="003C0B9A" w:rsidP="006F0470">
      <w:pPr>
        <w:spacing w:after="240"/>
        <w:rPr>
          <w:rFonts w:cs="Arial"/>
          <w:spacing w:val="6"/>
          <w:szCs w:val="18"/>
          <w:lang w:val="en-US"/>
        </w:rPr>
      </w:pPr>
      <w:r w:rsidRPr="00A95414">
        <w:rPr>
          <w:rFonts w:cs="Arial"/>
          <w:spacing w:val="6"/>
          <w:szCs w:val="18"/>
          <w:lang w:val="en-US"/>
        </w:rPr>
        <w:t>As shown in the Table above, the performance of the applicant can be seen as follows:</w:t>
      </w:r>
    </w:p>
    <w:p w14:paraId="59CDBB0E" w14:textId="77777777" w:rsidR="003C0B9A" w:rsidRPr="00A95414" w:rsidRDefault="003C0B9A" w:rsidP="003C0B9A">
      <w:pPr>
        <w:numPr>
          <w:ilvl w:val="0"/>
          <w:numId w:val="20"/>
        </w:numPr>
        <w:ind w:left="426" w:hanging="426"/>
        <w:rPr>
          <w:rStyle w:val="jlqj4b"/>
          <w:szCs w:val="18"/>
          <w:lang w:val="en-US"/>
        </w:rPr>
      </w:pPr>
      <w:r w:rsidRPr="00A95414">
        <w:rPr>
          <w:rStyle w:val="jlqj4b"/>
          <w:szCs w:val="18"/>
          <w:lang w:val="en-US"/>
        </w:rPr>
        <w:t xml:space="preserve">The production experienced a decrease during the period of investigation with a trend of 20.74% from 100 indexed points in period I to 87.24 indexed points in period II and decreased to 62.82 indexed points in period III. </w:t>
      </w:r>
    </w:p>
    <w:p w14:paraId="448DDF87" w14:textId="1CA11231" w:rsidR="003C0B9A" w:rsidRPr="00A95414" w:rsidRDefault="003C0B9A" w:rsidP="003C0B9A">
      <w:pPr>
        <w:numPr>
          <w:ilvl w:val="0"/>
          <w:numId w:val="20"/>
        </w:numPr>
        <w:ind w:left="426" w:hanging="426"/>
        <w:rPr>
          <w:rStyle w:val="jlqj4b"/>
          <w:szCs w:val="18"/>
          <w:lang w:val="en-US"/>
        </w:rPr>
      </w:pPr>
      <w:r w:rsidRPr="00A95414">
        <w:rPr>
          <w:rStyle w:val="jlqj4b"/>
          <w:szCs w:val="18"/>
          <w:lang w:val="en-US"/>
        </w:rPr>
        <w:t>Domestic sales decreased with a trend of 12.49% during the period of investigation, from 100</w:t>
      </w:r>
      <w:r w:rsidR="00720D3E">
        <w:rPr>
          <w:rStyle w:val="jlqj4b"/>
          <w:szCs w:val="18"/>
          <w:lang w:val="en-US"/>
        </w:rPr>
        <w:t> </w:t>
      </w:r>
      <w:r w:rsidRPr="00A95414">
        <w:rPr>
          <w:rStyle w:val="jlqj4b"/>
          <w:szCs w:val="18"/>
          <w:lang w:val="en-US"/>
        </w:rPr>
        <w:t xml:space="preserve">indexed points in period I to 81.37 indexed points in period II and then decreased again to 76.58 indexed points in period III. </w:t>
      </w:r>
    </w:p>
    <w:p w14:paraId="11C516E9" w14:textId="0BBE05AA" w:rsidR="003C0B9A" w:rsidRPr="00A95414" w:rsidRDefault="003C0B9A" w:rsidP="003C0B9A">
      <w:pPr>
        <w:numPr>
          <w:ilvl w:val="0"/>
          <w:numId w:val="20"/>
        </w:numPr>
        <w:ind w:left="426" w:hanging="426"/>
        <w:rPr>
          <w:rStyle w:val="jlqj4b"/>
          <w:szCs w:val="18"/>
          <w:lang w:val="en-US"/>
        </w:rPr>
      </w:pPr>
      <w:r w:rsidRPr="00A95414">
        <w:rPr>
          <w:rStyle w:val="jlqj4b"/>
          <w:szCs w:val="18"/>
          <w:lang w:val="en-US"/>
        </w:rPr>
        <w:t>Productivity in period I was 100 indexed points, increased to 115.87 indexed points in period II, and in period III decrease to 83.91. During the period of investigation, the applicant</w:t>
      </w:r>
      <w:r w:rsidR="001B67D4">
        <w:rPr>
          <w:rStyle w:val="jlqj4b"/>
          <w:szCs w:val="18"/>
          <w:lang w:val="en-US"/>
        </w:rPr>
        <w:t>'</w:t>
      </w:r>
      <w:r w:rsidRPr="00A95414">
        <w:rPr>
          <w:rStyle w:val="jlqj4b"/>
          <w:szCs w:val="18"/>
          <w:lang w:val="en-US"/>
        </w:rPr>
        <w:t>s productivity experienced a decrease with the trend of 8.40% because of the decline in the employment and the production.</w:t>
      </w:r>
    </w:p>
    <w:p w14:paraId="510CAC74" w14:textId="77777777" w:rsidR="003C0B9A" w:rsidRPr="00A95414" w:rsidRDefault="003C0B9A" w:rsidP="003C0B9A">
      <w:pPr>
        <w:numPr>
          <w:ilvl w:val="0"/>
          <w:numId w:val="20"/>
        </w:numPr>
        <w:ind w:left="426" w:hanging="426"/>
        <w:rPr>
          <w:rStyle w:val="jlqj4b"/>
          <w:szCs w:val="18"/>
          <w:lang w:val="en-US"/>
        </w:rPr>
      </w:pPr>
      <w:r w:rsidRPr="00A95414">
        <w:rPr>
          <w:rStyle w:val="jlqj4b"/>
          <w:szCs w:val="18"/>
          <w:lang w:val="en-US"/>
        </w:rPr>
        <w:t>Utilization capacity experienced a decrease during the period of investigation with a trend of 2.74%. This decrease was due to a decrease in production of the applicant.</w:t>
      </w:r>
    </w:p>
    <w:p w14:paraId="6E40C6BD" w14:textId="621FF777" w:rsidR="003C0B9A" w:rsidRPr="00A95414" w:rsidRDefault="003C0B9A" w:rsidP="004B4A5E">
      <w:pPr>
        <w:numPr>
          <w:ilvl w:val="0"/>
          <w:numId w:val="20"/>
        </w:numPr>
        <w:spacing w:after="240"/>
        <w:ind w:left="425" w:hanging="425"/>
        <w:rPr>
          <w:rStyle w:val="jlqj4b"/>
          <w:szCs w:val="18"/>
          <w:lang w:val="en-US"/>
        </w:rPr>
      </w:pPr>
      <w:r w:rsidRPr="00A95414">
        <w:rPr>
          <w:rStyle w:val="jlqj4b"/>
          <w:szCs w:val="18"/>
          <w:lang w:val="en-US"/>
        </w:rPr>
        <w:t>The applicant gained profit in period I but suffered a financial loss during period II and period III which in line with the increase in imports. Moreover, the decline in domestic sales as a result of the increased imports also directly impacted the decline of the applicant</w:t>
      </w:r>
      <w:r w:rsidR="001B67D4">
        <w:rPr>
          <w:rStyle w:val="jlqj4b"/>
          <w:szCs w:val="18"/>
          <w:lang w:val="en-US"/>
        </w:rPr>
        <w:t>'</w:t>
      </w:r>
      <w:r w:rsidRPr="00A95414">
        <w:rPr>
          <w:rStyle w:val="jlqj4b"/>
          <w:szCs w:val="18"/>
          <w:lang w:val="en-US"/>
        </w:rPr>
        <w:t>s profit during the period of investigation with a trend of 92.58%</w:t>
      </w:r>
      <w:r w:rsidR="004B4A5E">
        <w:rPr>
          <w:rStyle w:val="jlqj4b"/>
          <w:szCs w:val="18"/>
          <w:lang w:val="en-US"/>
        </w:rPr>
        <w:t>.</w:t>
      </w:r>
    </w:p>
    <w:p w14:paraId="35EDCC7C" w14:textId="77777777" w:rsidR="003C0B9A" w:rsidRPr="00A95414" w:rsidRDefault="003C0B9A" w:rsidP="00382351">
      <w:pPr>
        <w:numPr>
          <w:ilvl w:val="0"/>
          <w:numId w:val="19"/>
        </w:numPr>
        <w:spacing w:after="200"/>
        <w:ind w:left="357" w:hanging="357"/>
        <w:rPr>
          <w:b/>
          <w:lang w:val="en-US"/>
        </w:rPr>
      </w:pPr>
      <w:r w:rsidRPr="00A95414">
        <w:rPr>
          <w:b/>
          <w:lang w:val="en-US"/>
        </w:rPr>
        <w:t>Evidence that the Applicant is adjusting</w:t>
      </w:r>
    </w:p>
    <w:p w14:paraId="3A1CA533" w14:textId="77777777" w:rsidR="003C0B9A" w:rsidRPr="00A95414" w:rsidRDefault="003C0B9A" w:rsidP="00382351">
      <w:pPr>
        <w:spacing w:after="200"/>
        <w:rPr>
          <w:rFonts w:eastAsia="SimSun" w:cs="Arial"/>
          <w:szCs w:val="18"/>
          <w:lang w:val="en-US"/>
        </w:rPr>
      </w:pPr>
      <w:r w:rsidRPr="00A95414">
        <w:rPr>
          <w:rFonts w:eastAsia="SimSun" w:cs="Arial"/>
          <w:szCs w:val="18"/>
          <w:lang w:val="en-US"/>
        </w:rPr>
        <w:t>During the imposition of the safeguard measures, the Applicant has undertaken the following adjustment program:</w:t>
      </w:r>
    </w:p>
    <w:p w14:paraId="77FA6938" w14:textId="669388EB" w:rsidR="003C0B9A" w:rsidRPr="00A95414" w:rsidRDefault="003C0B9A" w:rsidP="004A51BC">
      <w:pPr>
        <w:numPr>
          <w:ilvl w:val="1"/>
          <w:numId w:val="19"/>
        </w:numPr>
        <w:ind w:left="851" w:hanging="491"/>
        <w:rPr>
          <w:rFonts w:eastAsia="SimSun" w:cs="Arial"/>
          <w:szCs w:val="18"/>
          <w:lang w:val="en-US"/>
        </w:rPr>
      </w:pPr>
      <w:r w:rsidRPr="00A95414">
        <w:rPr>
          <w:rFonts w:eastAsia="SimSun" w:cs="Arial"/>
          <w:szCs w:val="18"/>
          <w:lang w:val="en-US"/>
        </w:rPr>
        <w:t>Purchased and installed light section mill machine</w:t>
      </w:r>
    </w:p>
    <w:p w14:paraId="5CA3856C" w14:textId="0EE0F52B" w:rsidR="003C0B9A" w:rsidRPr="00A95414" w:rsidRDefault="003C0B9A" w:rsidP="004A51BC">
      <w:pPr>
        <w:numPr>
          <w:ilvl w:val="1"/>
          <w:numId w:val="19"/>
        </w:numPr>
        <w:ind w:left="851" w:hanging="491"/>
        <w:rPr>
          <w:rFonts w:eastAsia="SimSun" w:cs="Arial"/>
          <w:szCs w:val="18"/>
          <w:lang w:val="en-US"/>
        </w:rPr>
      </w:pPr>
      <w:r w:rsidRPr="00A95414">
        <w:rPr>
          <w:rFonts w:eastAsia="SimSun" w:cs="Arial"/>
          <w:szCs w:val="18"/>
          <w:lang w:val="en-US"/>
        </w:rPr>
        <w:t>Increased the capacity of the descaler pump in the roughing mill process</w:t>
      </w:r>
    </w:p>
    <w:p w14:paraId="084278A6" w14:textId="56076A22" w:rsidR="003C0B9A" w:rsidRPr="00A95414" w:rsidRDefault="003C0B9A" w:rsidP="004A51BC">
      <w:pPr>
        <w:numPr>
          <w:ilvl w:val="1"/>
          <w:numId w:val="19"/>
        </w:numPr>
        <w:ind w:left="851" w:hanging="491"/>
        <w:rPr>
          <w:rFonts w:eastAsia="SimSun" w:cs="Arial"/>
          <w:szCs w:val="18"/>
          <w:lang w:val="en-US"/>
        </w:rPr>
      </w:pPr>
      <w:r w:rsidRPr="00A95414">
        <w:rPr>
          <w:rFonts w:eastAsia="SimSun" w:cs="Arial"/>
          <w:szCs w:val="18"/>
          <w:lang w:val="en-US"/>
        </w:rPr>
        <w:t>Sold products with the franco method</w:t>
      </w:r>
    </w:p>
    <w:p w14:paraId="791B27CE" w14:textId="3822F03F" w:rsidR="003C0B9A" w:rsidRPr="00A95414" w:rsidRDefault="003C0B9A" w:rsidP="004A51BC">
      <w:pPr>
        <w:numPr>
          <w:ilvl w:val="1"/>
          <w:numId w:val="19"/>
        </w:numPr>
        <w:ind w:left="851" w:hanging="491"/>
        <w:rPr>
          <w:rFonts w:eastAsia="SimSun" w:cs="Arial"/>
          <w:szCs w:val="18"/>
          <w:lang w:val="en-US"/>
        </w:rPr>
      </w:pPr>
      <w:r w:rsidRPr="00A95414">
        <w:rPr>
          <w:rFonts w:eastAsia="SimSun" w:cs="Arial"/>
          <w:szCs w:val="18"/>
          <w:lang w:val="en-US"/>
        </w:rPr>
        <w:t xml:space="preserve">Provided a sale with the cut-to-length service. </w:t>
      </w:r>
    </w:p>
    <w:p w14:paraId="21D3102F" w14:textId="2E329662" w:rsidR="003C0B9A" w:rsidRPr="00A95414" w:rsidRDefault="003C0B9A" w:rsidP="004A51BC">
      <w:pPr>
        <w:numPr>
          <w:ilvl w:val="1"/>
          <w:numId w:val="19"/>
        </w:numPr>
        <w:ind w:left="851" w:hanging="491"/>
        <w:rPr>
          <w:rFonts w:eastAsia="SimSun" w:cs="Arial"/>
          <w:szCs w:val="18"/>
          <w:lang w:val="en-US"/>
        </w:rPr>
      </w:pPr>
      <w:r w:rsidRPr="00A95414">
        <w:rPr>
          <w:rFonts w:eastAsia="SimSun" w:cs="Arial"/>
          <w:szCs w:val="18"/>
          <w:lang w:val="en-US"/>
        </w:rPr>
        <w:t>Expanded the Marketing Area</w:t>
      </w:r>
    </w:p>
    <w:p w14:paraId="3920A8C7" w14:textId="1243933A" w:rsidR="003C0B9A" w:rsidRPr="00A95414" w:rsidRDefault="003C0B9A" w:rsidP="004A51BC">
      <w:pPr>
        <w:numPr>
          <w:ilvl w:val="1"/>
          <w:numId w:val="19"/>
        </w:numPr>
        <w:ind w:left="851" w:hanging="491"/>
        <w:rPr>
          <w:rFonts w:eastAsia="SimSun" w:cs="Arial"/>
          <w:szCs w:val="18"/>
          <w:lang w:val="en-US"/>
        </w:rPr>
      </w:pPr>
      <w:r w:rsidRPr="00A95414">
        <w:rPr>
          <w:rFonts w:eastAsia="SimSun" w:cs="Arial"/>
          <w:szCs w:val="18"/>
          <w:lang w:val="en-US"/>
        </w:rPr>
        <w:t>Recertification of Indonesian National Standard</w:t>
      </w:r>
    </w:p>
    <w:p w14:paraId="34F79BA2" w14:textId="07967D0D" w:rsidR="003C0B9A" w:rsidRPr="00A95414" w:rsidRDefault="003C0B9A" w:rsidP="004A51BC">
      <w:pPr>
        <w:numPr>
          <w:ilvl w:val="1"/>
          <w:numId w:val="19"/>
        </w:numPr>
        <w:ind w:left="851" w:hanging="491"/>
        <w:rPr>
          <w:rFonts w:eastAsia="SimSun" w:cs="Arial"/>
          <w:szCs w:val="18"/>
          <w:lang w:val="en-US"/>
        </w:rPr>
      </w:pPr>
      <w:r w:rsidRPr="00A95414">
        <w:rPr>
          <w:rFonts w:eastAsia="SimSun" w:cs="Arial"/>
          <w:szCs w:val="18"/>
          <w:lang w:val="en-US"/>
        </w:rPr>
        <w:t xml:space="preserve">Boosted Promotion through national/international exhibitions, newspaper, magazines, and e-Commerce </w:t>
      </w:r>
    </w:p>
    <w:p w14:paraId="1A1A5851" w14:textId="6E3CAC0B" w:rsidR="003C0B9A" w:rsidRPr="00A95414" w:rsidRDefault="003C0B9A" w:rsidP="004A51BC">
      <w:pPr>
        <w:numPr>
          <w:ilvl w:val="1"/>
          <w:numId w:val="19"/>
        </w:numPr>
        <w:ind w:left="851" w:hanging="491"/>
        <w:rPr>
          <w:rFonts w:eastAsia="SimSun" w:cs="Arial"/>
          <w:szCs w:val="18"/>
          <w:lang w:val="en-US"/>
        </w:rPr>
      </w:pPr>
      <w:r w:rsidRPr="00A95414">
        <w:rPr>
          <w:rFonts w:eastAsia="SimSun" w:cs="Arial"/>
          <w:szCs w:val="18"/>
          <w:lang w:val="en-US"/>
        </w:rPr>
        <w:t>Improved the quality and quantity of Human Resources</w:t>
      </w:r>
    </w:p>
    <w:p w14:paraId="7FBAD352" w14:textId="44EF7B36" w:rsidR="003C0B9A" w:rsidRPr="00A95414" w:rsidRDefault="003C0B9A" w:rsidP="004A51BC">
      <w:pPr>
        <w:numPr>
          <w:ilvl w:val="1"/>
          <w:numId w:val="19"/>
        </w:numPr>
        <w:ind w:left="851" w:hanging="491"/>
        <w:rPr>
          <w:rFonts w:eastAsia="SimSun" w:cs="Arial"/>
          <w:szCs w:val="18"/>
          <w:lang w:val="en-US"/>
        </w:rPr>
      </w:pPr>
      <w:r w:rsidRPr="00A95414">
        <w:rPr>
          <w:rFonts w:eastAsia="SimSun" w:cs="Arial"/>
          <w:szCs w:val="18"/>
          <w:lang w:val="en-US"/>
        </w:rPr>
        <w:t xml:space="preserve">Reinforced the workforce. However, it did not optimally work due to the increase in imports in particular in period I and II. </w:t>
      </w:r>
    </w:p>
    <w:p w14:paraId="3D49DDF6" w14:textId="77777777" w:rsidR="003C0B9A" w:rsidRPr="00A95414" w:rsidRDefault="003C0B9A" w:rsidP="004A51BC">
      <w:pPr>
        <w:numPr>
          <w:ilvl w:val="1"/>
          <w:numId w:val="19"/>
        </w:numPr>
        <w:ind w:left="851" w:hanging="491"/>
        <w:rPr>
          <w:rFonts w:eastAsia="SimSun" w:cs="Arial"/>
          <w:szCs w:val="18"/>
          <w:lang w:val="en-US"/>
        </w:rPr>
      </w:pPr>
      <w:r w:rsidRPr="00A95414">
        <w:rPr>
          <w:rFonts w:eastAsia="SimSun" w:cs="Arial"/>
          <w:szCs w:val="18"/>
          <w:lang w:val="en-US"/>
        </w:rPr>
        <w:t>Maximized all production lines and increased the production capacity of the beam blank machine with the installation of a new beam blank caster machine in 2015. However, it did not optimally used due to the increase in import volume.</w:t>
      </w:r>
    </w:p>
    <w:p w14:paraId="55D4F2DE" w14:textId="77777777" w:rsidR="003C0B9A" w:rsidRPr="00A95414" w:rsidRDefault="003C0B9A" w:rsidP="004A51BC">
      <w:pPr>
        <w:numPr>
          <w:ilvl w:val="1"/>
          <w:numId w:val="19"/>
        </w:numPr>
        <w:spacing w:after="240"/>
        <w:ind w:left="851" w:hanging="491"/>
        <w:rPr>
          <w:rFonts w:eastAsia="SimSun" w:cs="Arial"/>
          <w:szCs w:val="18"/>
          <w:lang w:val="en-US"/>
        </w:rPr>
      </w:pPr>
      <w:r w:rsidRPr="00A95414">
        <w:rPr>
          <w:rFonts w:eastAsia="SimSun" w:cs="Arial"/>
          <w:szCs w:val="18"/>
          <w:lang w:val="en-US"/>
        </w:rPr>
        <w:t>Sold most of the products from the inventory and reached the reasonable level of inventory on the period III by 36.85 index point. However, the production volume was keep decreasing due to the increase of import volume as shown on the table 6 below:</w:t>
      </w:r>
    </w:p>
    <w:p w14:paraId="657619F2" w14:textId="77777777" w:rsidR="003C0B9A" w:rsidRPr="00A95414" w:rsidRDefault="003C0B9A" w:rsidP="00204640">
      <w:pPr>
        <w:keepNext/>
        <w:keepLines/>
        <w:spacing w:before="120" w:after="120"/>
        <w:jc w:val="left"/>
        <w:rPr>
          <w:rFonts w:eastAsia="Times New Roman"/>
          <w:b/>
          <w:bCs/>
          <w:color w:val="006283"/>
          <w:szCs w:val="20"/>
          <w:lang w:val="en-US" w:eastAsia="en-GB"/>
        </w:rPr>
      </w:pPr>
      <w:r w:rsidRPr="00A95414">
        <w:rPr>
          <w:rFonts w:eastAsia="Times New Roman"/>
          <w:b/>
          <w:bCs/>
          <w:color w:val="006283"/>
          <w:szCs w:val="20"/>
          <w:lang w:val="en-US" w:eastAsia="en-GB"/>
        </w:rPr>
        <w:lastRenderedPageBreak/>
        <w:t>Table 6. The Applicant's Production and Inventory</w:t>
      </w:r>
    </w:p>
    <w:tbl>
      <w:tblPr>
        <w:tblW w:w="4966"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5E0" w:firstRow="1" w:lastRow="1" w:firstColumn="1" w:lastColumn="1" w:noHBand="0" w:noVBand="1"/>
      </w:tblPr>
      <w:tblGrid>
        <w:gridCol w:w="2728"/>
        <w:gridCol w:w="966"/>
        <w:gridCol w:w="1794"/>
        <w:gridCol w:w="1658"/>
        <w:gridCol w:w="1789"/>
      </w:tblGrid>
      <w:tr w:rsidR="003C0B9A" w:rsidRPr="006F0470" w14:paraId="3D7355B6" w14:textId="77777777" w:rsidTr="006F0470">
        <w:trPr>
          <w:trHeight w:val="54"/>
        </w:trPr>
        <w:tc>
          <w:tcPr>
            <w:tcW w:w="1526" w:type="pct"/>
            <w:vMerge w:val="restart"/>
            <w:vAlign w:val="center"/>
          </w:tcPr>
          <w:p w14:paraId="7ECE36F2" w14:textId="77777777" w:rsidR="003C0B9A" w:rsidRPr="006F0470" w:rsidRDefault="003C0B9A" w:rsidP="005326E8">
            <w:pPr>
              <w:contextualSpacing/>
              <w:jc w:val="center"/>
              <w:rPr>
                <w:rFonts w:cs="Arial"/>
                <w:b/>
                <w:sz w:val="16"/>
                <w:szCs w:val="18"/>
                <w:lang w:val="en-US" w:eastAsia="en-GB"/>
              </w:rPr>
            </w:pPr>
          </w:p>
          <w:p w14:paraId="481EE08B" w14:textId="77777777" w:rsidR="003C0B9A" w:rsidRPr="006F0470" w:rsidRDefault="003C0B9A" w:rsidP="005326E8">
            <w:pPr>
              <w:contextualSpacing/>
              <w:jc w:val="center"/>
              <w:rPr>
                <w:rFonts w:cs="Arial"/>
                <w:b/>
                <w:sz w:val="16"/>
                <w:szCs w:val="18"/>
                <w:lang w:val="en-US" w:eastAsia="en-GB"/>
              </w:rPr>
            </w:pPr>
            <w:r w:rsidRPr="006F0470">
              <w:rPr>
                <w:rFonts w:cs="Arial"/>
                <w:b/>
                <w:sz w:val="16"/>
                <w:szCs w:val="18"/>
                <w:lang w:val="en-US" w:eastAsia="en-GB"/>
              </w:rPr>
              <w:t>Description</w:t>
            </w:r>
          </w:p>
        </w:tc>
        <w:tc>
          <w:tcPr>
            <w:tcW w:w="540" w:type="pct"/>
            <w:vMerge w:val="restart"/>
            <w:vAlign w:val="center"/>
          </w:tcPr>
          <w:p w14:paraId="63990D6F" w14:textId="77777777" w:rsidR="003C0B9A" w:rsidRPr="006F0470" w:rsidRDefault="003C0B9A" w:rsidP="005326E8">
            <w:pPr>
              <w:contextualSpacing/>
              <w:jc w:val="center"/>
              <w:rPr>
                <w:rFonts w:cs="Arial"/>
                <w:b/>
                <w:sz w:val="16"/>
                <w:szCs w:val="18"/>
                <w:lang w:val="en-US" w:eastAsia="en-GB"/>
              </w:rPr>
            </w:pPr>
            <w:r w:rsidRPr="006F0470">
              <w:rPr>
                <w:rFonts w:cs="Arial"/>
                <w:b/>
                <w:sz w:val="16"/>
                <w:szCs w:val="18"/>
                <w:lang w:val="en-US" w:eastAsia="en-GB"/>
              </w:rPr>
              <w:t>Unit</w:t>
            </w:r>
          </w:p>
        </w:tc>
        <w:tc>
          <w:tcPr>
            <w:tcW w:w="2933" w:type="pct"/>
            <w:gridSpan w:val="3"/>
          </w:tcPr>
          <w:p w14:paraId="01A54C78" w14:textId="77777777" w:rsidR="003C0B9A" w:rsidRPr="006F0470" w:rsidRDefault="003C0B9A" w:rsidP="005326E8">
            <w:pPr>
              <w:contextualSpacing/>
              <w:jc w:val="center"/>
              <w:rPr>
                <w:rFonts w:cs="Arial"/>
                <w:b/>
                <w:sz w:val="16"/>
                <w:szCs w:val="18"/>
                <w:lang w:val="en-US" w:eastAsia="en-GB"/>
              </w:rPr>
            </w:pPr>
            <w:r w:rsidRPr="006F0470">
              <w:rPr>
                <w:rFonts w:cs="Arial"/>
                <w:b/>
                <w:sz w:val="16"/>
                <w:szCs w:val="18"/>
                <w:lang w:val="en-US" w:eastAsia="en-GB"/>
              </w:rPr>
              <w:t>Year</w:t>
            </w:r>
          </w:p>
        </w:tc>
      </w:tr>
      <w:tr w:rsidR="003C0B9A" w:rsidRPr="006F0470" w14:paraId="6D8F5114" w14:textId="77777777" w:rsidTr="006F0470">
        <w:trPr>
          <w:trHeight w:val="624"/>
        </w:trPr>
        <w:tc>
          <w:tcPr>
            <w:tcW w:w="1526" w:type="pct"/>
            <w:vMerge/>
            <w:vAlign w:val="center"/>
          </w:tcPr>
          <w:p w14:paraId="0CABF0DA" w14:textId="77777777" w:rsidR="003C0B9A" w:rsidRPr="006F0470" w:rsidRDefault="003C0B9A" w:rsidP="005326E8">
            <w:pPr>
              <w:contextualSpacing/>
              <w:jc w:val="center"/>
              <w:rPr>
                <w:rFonts w:cs="Arial"/>
                <w:b/>
                <w:sz w:val="16"/>
                <w:szCs w:val="18"/>
                <w:lang w:val="en-US" w:eastAsia="en-GB"/>
              </w:rPr>
            </w:pPr>
          </w:p>
        </w:tc>
        <w:tc>
          <w:tcPr>
            <w:tcW w:w="540" w:type="pct"/>
            <w:vMerge/>
            <w:vAlign w:val="center"/>
          </w:tcPr>
          <w:p w14:paraId="3B438FF2" w14:textId="77777777" w:rsidR="003C0B9A" w:rsidRPr="006F0470" w:rsidRDefault="003C0B9A" w:rsidP="005326E8">
            <w:pPr>
              <w:contextualSpacing/>
              <w:jc w:val="center"/>
              <w:rPr>
                <w:rFonts w:cs="Arial"/>
                <w:b/>
                <w:sz w:val="16"/>
                <w:szCs w:val="18"/>
                <w:lang w:val="en-US" w:eastAsia="en-GB"/>
              </w:rPr>
            </w:pPr>
          </w:p>
        </w:tc>
        <w:tc>
          <w:tcPr>
            <w:tcW w:w="1004" w:type="pct"/>
            <w:vAlign w:val="center"/>
          </w:tcPr>
          <w:p w14:paraId="29F60BF6" w14:textId="77777777" w:rsidR="003C0B9A" w:rsidRPr="006F0470" w:rsidRDefault="003C0B9A" w:rsidP="005326E8">
            <w:pPr>
              <w:contextualSpacing/>
              <w:jc w:val="center"/>
              <w:rPr>
                <w:rFonts w:cs="Arial"/>
                <w:b/>
                <w:sz w:val="16"/>
                <w:szCs w:val="18"/>
                <w:lang w:val="en-US" w:eastAsia="en-GB"/>
              </w:rPr>
            </w:pPr>
            <w:r w:rsidRPr="006F0470">
              <w:rPr>
                <w:rFonts w:cs="Arial"/>
                <w:b/>
                <w:sz w:val="16"/>
                <w:szCs w:val="18"/>
                <w:lang w:val="en-US" w:eastAsia="en-GB"/>
              </w:rPr>
              <w:t xml:space="preserve">Period I </w:t>
            </w:r>
          </w:p>
          <w:p w14:paraId="5F35960F" w14:textId="77777777" w:rsidR="003C0B9A" w:rsidRPr="006F0470" w:rsidRDefault="003C0B9A" w:rsidP="005326E8">
            <w:pPr>
              <w:contextualSpacing/>
              <w:jc w:val="center"/>
              <w:rPr>
                <w:rFonts w:cs="Arial"/>
                <w:b/>
                <w:sz w:val="16"/>
                <w:szCs w:val="18"/>
                <w:lang w:val="en-US" w:eastAsia="en-GB"/>
              </w:rPr>
            </w:pPr>
            <w:r w:rsidRPr="006F0470">
              <w:rPr>
                <w:rFonts w:cs="Arial"/>
                <w:b/>
                <w:sz w:val="16"/>
                <w:szCs w:val="18"/>
                <w:lang w:val="en-US" w:eastAsia="en-GB"/>
              </w:rPr>
              <w:t xml:space="preserve">(May 2017- April 2018) </w:t>
            </w:r>
          </w:p>
        </w:tc>
        <w:tc>
          <w:tcPr>
            <w:tcW w:w="928" w:type="pct"/>
            <w:vAlign w:val="center"/>
          </w:tcPr>
          <w:p w14:paraId="25CAB869" w14:textId="77777777" w:rsidR="003C0B9A" w:rsidRPr="006F0470" w:rsidRDefault="003C0B9A" w:rsidP="005326E8">
            <w:pPr>
              <w:contextualSpacing/>
              <w:jc w:val="center"/>
              <w:rPr>
                <w:rFonts w:cs="Arial"/>
                <w:b/>
                <w:sz w:val="16"/>
                <w:szCs w:val="18"/>
                <w:lang w:val="en-US" w:eastAsia="en-GB"/>
              </w:rPr>
            </w:pPr>
            <w:r w:rsidRPr="006F0470">
              <w:rPr>
                <w:rFonts w:cs="Arial"/>
                <w:b/>
                <w:sz w:val="16"/>
                <w:szCs w:val="18"/>
                <w:lang w:val="en-US" w:eastAsia="en-GB"/>
              </w:rPr>
              <w:t xml:space="preserve">Period II </w:t>
            </w:r>
          </w:p>
          <w:p w14:paraId="6D114A64" w14:textId="77777777" w:rsidR="003C0B9A" w:rsidRPr="006F0470" w:rsidRDefault="003C0B9A" w:rsidP="005326E8">
            <w:pPr>
              <w:contextualSpacing/>
              <w:jc w:val="center"/>
              <w:rPr>
                <w:rFonts w:cs="Arial"/>
                <w:b/>
                <w:sz w:val="16"/>
                <w:szCs w:val="18"/>
                <w:lang w:val="en-US" w:eastAsia="en-GB"/>
              </w:rPr>
            </w:pPr>
            <w:r w:rsidRPr="006F0470">
              <w:rPr>
                <w:rFonts w:cs="Arial"/>
                <w:b/>
                <w:sz w:val="16"/>
                <w:szCs w:val="18"/>
                <w:lang w:val="en-US" w:eastAsia="en-GB"/>
              </w:rPr>
              <w:t>(May 2018- April 2019)</w:t>
            </w:r>
          </w:p>
        </w:tc>
        <w:tc>
          <w:tcPr>
            <w:tcW w:w="1001" w:type="pct"/>
            <w:vAlign w:val="center"/>
          </w:tcPr>
          <w:p w14:paraId="4B5FCBA6" w14:textId="77777777" w:rsidR="003C0B9A" w:rsidRPr="006F0470" w:rsidRDefault="003C0B9A" w:rsidP="005326E8">
            <w:pPr>
              <w:contextualSpacing/>
              <w:jc w:val="center"/>
              <w:rPr>
                <w:rFonts w:cs="Arial"/>
                <w:b/>
                <w:sz w:val="16"/>
                <w:szCs w:val="18"/>
                <w:lang w:val="en-US" w:eastAsia="en-GB"/>
              </w:rPr>
            </w:pPr>
            <w:r w:rsidRPr="006F0470">
              <w:rPr>
                <w:rFonts w:cs="Arial"/>
                <w:b/>
                <w:sz w:val="16"/>
                <w:szCs w:val="18"/>
                <w:lang w:val="en-US" w:eastAsia="en-GB"/>
              </w:rPr>
              <w:t xml:space="preserve">Period III </w:t>
            </w:r>
          </w:p>
          <w:p w14:paraId="351479BE" w14:textId="77777777" w:rsidR="003C0B9A" w:rsidRPr="006F0470" w:rsidRDefault="003C0B9A" w:rsidP="005326E8">
            <w:pPr>
              <w:contextualSpacing/>
              <w:jc w:val="center"/>
              <w:rPr>
                <w:rFonts w:cs="Arial"/>
                <w:b/>
                <w:sz w:val="16"/>
                <w:szCs w:val="18"/>
                <w:lang w:val="en-US" w:eastAsia="en-GB"/>
              </w:rPr>
            </w:pPr>
            <w:r w:rsidRPr="006F0470">
              <w:rPr>
                <w:rFonts w:cs="Arial"/>
                <w:b/>
                <w:sz w:val="16"/>
                <w:szCs w:val="18"/>
                <w:lang w:val="en-US" w:eastAsia="en-GB"/>
              </w:rPr>
              <w:t>(May 2019- April 2020)</w:t>
            </w:r>
          </w:p>
        </w:tc>
      </w:tr>
      <w:tr w:rsidR="003C0B9A" w:rsidRPr="006F0470" w14:paraId="649EC758" w14:textId="77777777" w:rsidTr="006F0470">
        <w:trPr>
          <w:trHeight w:val="412"/>
        </w:trPr>
        <w:tc>
          <w:tcPr>
            <w:tcW w:w="1526" w:type="pct"/>
            <w:vAlign w:val="center"/>
          </w:tcPr>
          <w:p w14:paraId="2E264B0D" w14:textId="77777777" w:rsidR="003C0B9A" w:rsidRPr="006F0470" w:rsidRDefault="003C0B9A" w:rsidP="005326E8">
            <w:pPr>
              <w:contextualSpacing/>
              <w:jc w:val="left"/>
              <w:rPr>
                <w:rFonts w:cs="Arial"/>
                <w:sz w:val="16"/>
                <w:szCs w:val="16"/>
                <w:lang w:val="en-US" w:eastAsia="en-GB"/>
              </w:rPr>
            </w:pPr>
            <w:r w:rsidRPr="006F0470">
              <w:rPr>
                <w:rFonts w:cs="Arial"/>
                <w:color w:val="000000"/>
                <w:sz w:val="16"/>
                <w:szCs w:val="16"/>
                <w:lang w:val="en-US" w:eastAsia="en-GB"/>
              </w:rPr>
              <w:t>Production</w:t>
            </w:r>
          </w:p>
        </w:tc>
        <w:tc>
          <w:tcPr>
            <w:tcW w:w="540" w:type="pct"/>
            <w:vAlign w:val="center"/>
          </w:tcPr>
          <w:p w14:paraId="0E1A0306" w14:textId="77777777" w:rsidR="003C0B9A" w:rsidRPr="006F0470" w:rsidRDefault="003C0B9A" w:rsidP="005326E8">
            <w:pPr>
              <w:jc w:val="center"/>
              <w:rPr>
                <w:rFonts w:cs="Arial"/>
                <w:sz w:val="16"/>
                <w:szCs w:val="18"/>
                <w:vertAlign w:val="superscript"/>
                <w:lang w:val="en-US" w:eastAsia="en-GB"/>
              </w:rPr>
            </w:pPr>
            <w:r w:rsidRPr="006F0470">
              <w:rPr>
                <w:rFonts w:cs="Arial"/>
                <w:sz w:val="16"/>
                <w:szCs w:val="18"/>
                <w:lang w:val="en-US" w:eastAsia="en-GB"/>
              </w:rPr>
              <w:t>Index</w:t>
            </w:r>
          </w:p>
        </w:tc>
        <w:tc>
          <w:tcPr>
            <w:tcW w:w="1004" w:type="pct"/>
            <w:vAlign w:val="center"/>
          </w:tcPr>
          <w:p w14:paraId="16F2B3BB" w14:textId="77777777" w:rsidR="003C0B9A" w:rsidRPr="006F0470" w:rsidRDefault="003C0B9A" w:rsidP="005326E8">
            <w:pPr>
              <w:contextualSpacing/>
              <w:jc w:val="left"/>
              <w:rPr>
                <w:rFonts w:cs="Arial"/>
                <w:color w:val="000000"/>
                <w:sz w:val="16"/>
                <w:szCs w:val="16"/>
                <w:lang w:val="en-US" w:eastAsia="en-GB"/>
              </w:rPr>
            </w:pPr>
            <w:r w:rsidRPr="006F0470">
              <w:rPr>
                <w:rFonts w:cs="Arial"/>
                <w:color w:val="000000"/>
                <w:sz w:val="16"/>
                <w:szCs w:val="16"/>
                <w:lang w:val="en-US" w:eastAsia="en-GB"/>
              </w:rPr>
              <w:t>100</w:t>
            </w:r>
          </w:p>
        </w:tc>
        <w:tc>
          <w:tcPr>
            <w:tcW w:w="928" w:type="pct"/>
            <w:vAlign w:val="center"/>
          </w:tcPr>
          <w:p w14:paraId="77E5C966" w14:textId="77777777" w:rsidR="003C0B9A" w:rsidRPr="006F0470" w:rsidRDefault="003C0B9A" w:rsidP="005326E8">
            <w:pPr>
              <w:contextualSpacing/>
              <w:jc w:val="left"/>
              <w:rPr>
                <w:rFonts w:cs="Arial"/>
                <w:color w:val="000000"/>
                <w:sz w:val="16"/>
                <w:szCs w:val="16"/>
                <w:lang w:val="en-US" w:eastAsia="en-GB"/>
              </w:rPr>
            </w:pPr>
            <w:r w:rsidRPr="006F0470">
              <w:rPr>
                <w:rFonts w:cs="Arial"/>
                <w:color w:val="000000"/>
                <w:sz w:val="16"/>
                <w:szCs w:val="16"/>
                <w:lang w:val="en-US" w:eastAsia="en-GB"/>
              </w:rPr>
              <w:t>87.24</w:t>
            </w:r>
          </w:p>
        </w:tc>
        <w:tc>
          <w:tcPr>
            <w:tcW w:w="1001" w:type="pct"/>
            <w:vAlign w:val="center"/>
          </w:tcPr>
          <w:p w14:paraId="456C3E4C" w14:textId="77777777" w:rsidR="003C0B9A" w:rsidRPr="006F0470" w:rsidRDefault="003C0B9A" w:rsidP="005326E8">
            <w:pPr>
              <w:contextualSpacing/>
              <w:jc w:val="left"/>
              <w:rPr>
                <w:rFonts w:cs="Arial"/>
                <w:color w:val="000000"/>
                <w:sz w:val="16"/>
                <w:szCs w:val="16"/>
                <w:lang w:val="en-US" w:eastAsia="en-GB"/>
              </w:rPr>
            </w:pPr>
            <w:r w:rsidRPr="006F0470">
              <w:rPr>
                <w:rFonts w:cs="Arial"/>
                <w:color w:val="000000"/>
                <w:sz w:val="16"/>
                <w:szCs w:val="16"/>
                <w:lang w:val="en-US" w:eastAsia="en-GB"/>
              </w:rPr>
              <w:t>62.82</w:t>
            </w:r>
          </w:p>
        </w:tc>
      </w:tr>
      <w:tr w:rsidR="003C0B9A" w:rsidRPr="006F0470" w14:paraId="2D1A7674" w14:textId="77777777" w:rsidTr="006F0470">
        <w:trPr>
          <w:trHeight w:val="412"/>
        </w:trPr>
        <w:tc>
          <w:tcPr>
            <w:tcW w:w="1526" w:type="pct"/>
            <w:vAlign w:val="center"/>
          </w:tcPr>
          <w:p w14:paraId="3A525DBA" w14:textId="77777777" w:rsidR="003C0B9A" w:rsidRPr="006F0470" w:rsidRDefault="003C0B9A" w:rsidP="005326E8">
            <w:pPr>
              <w:contextualSpacing/>
              <w:jc w:val="left"/>
              <w:rPr>
                <w:rFonts w:cs="Arial"/>
                <w:sz w:val="16"/>
                <w:szCs w:val="16"/>
                <w:lang w:val="en-US" w:eastAsia="en-GB"/>
              </w:rPr>
            </w:pPr>
            <w:r w:rsidRPr="006F0470">
              <w:rPr>
                <w:rFonts w:cs="Arial"/>
                <w:sz w:val="16"/>
                <w:szCs w:val="16"/>
                <w:lang w:val="en-US" w:eastAsia="en-GB"/>
              </w:rPr>
              <w:t>Inventory</w:t>
            </w:r>
          </w:p>
        </w:tc>
        <w:tc>
          <w:tcPr>
            <w:tcW w:w="540" w:type="pct"/>
            <w:vAlign w:val="center"/>
          </w:tcPr>
          <w:p w14:paraId="04E26B7C" w14:textId="77777777" w:rsidR="003C0B9A" w:rsidRPr="006F0470" w:rsidRDefault="003C0B9A" w:rsidP="005326E8">
            <w:pPr>
              <w:contextualSpacing/>
              <w:jc w:val="center"/>
              <w:rPr>
                <w:rFonts w:cs="Arial"/>
                <w:sz w:val="14"/>
                <w:szCs w:val="18"/>
                <w:lang w:val="en-US" w:eastAsia="en-GB"/>
              </w:rPr>
            </w:pPr>
            <w:r w:rsidRPr="006F0470">
              <w:rPr>
                <w:rFonts w:cs="Arial"/>
                <w:sz w:val="16"/>
                <w:szCs w:val="18"/>
                <w:lang w:val="en-US" w:eastAsia="en-GB"/>
              </w:rPr>
              <w:t>Index</w:t>
            </w:r>
          </w:p>
        </w:tc>
        <w:tc>
          <w:tcPr>
            <w:tcW w:w="1004" w:type="pct"/>
            <w:vAlign w:val="center"/>
          </w:tcPr>
          <w:p w14:paraId="7D422F63" w14:textId="77777777" w:rsidR="003C0B9A" w:rsidRPr="006F0470" w:rsidRDefault="003C0B9A" w:rsidP="005326E8">
            <w:pPr>
              <w:contextualSpacing/>
              <w:jc w:val="left"/>
              <w:rPr>
                <w:rFonts w:cs="Arial"/>
                <w:color w:val="000000"/>
                <w:sz w:val="16"/>
                <w:szCs w:val="16"/>
                <w:lang w:val="en-US" w:eastAsia="en-GB"/>
              </w:rPr>
            </w:pPr>
            <w:r w:rsidRPr="006F0470">
              <w:rPr>
                <w:rFonts w:cs="Arial"/>
                <w:color w:val="000000"/>
                <w:sz w:val="16"/>
                <w:szCs w:val="16"/>
                <w:lang w:val="en-US" w:eastAsia="en-GB"/>
              </w:rPr>
              <w:t>100</w:t>
            </w:r>
          </w:p>
        </w:tc>
        <w:tc>
          <w:tcPr>
            <w:tcW w:w="928" w:type="pct"/>
            <w:vAlign w:val="center"/>
          </w:tcPr>
          <w:p w14:paraId="6F20E3C5" w14:textId="77777777" w:rsidR="003C0B9A" w:rsidRPr="006F0470" w:rsidRDefault="003C0B9A" w:rsidP="005326E8">
            <w:pPr>
              <w:contextualSpacing/>
              <w:jc w:val="left"/>
              <w:rPr>
                <w:rFonts w:cs="Arial"/>
                <w:color w:val="000000"/>
                <w:sz w:val="16"/>
                <w:szCs w:val="16"/>
                <w:lang w:val="en-US" w:eastAsia="en-GB"/>
              </w:rPr>
            </w:pPr>
            <w:r w:rsidRPr="006F0470">
              <w:rPr>
                <w:rFonts w:cs="Arial"/>
                <w:color w:val="000000"/>
                <w:sz w:val="16"/>
                <w:szCs w:val="16"/>
                <w:lang w:val="en-US" w:eastAsia="en-GB"/>
              </w:rPr>
              <w:t>124.62</w:t>
            </w:r>
          </w:p>
        </w:tc>
        <w:tc>
          <w:tcPr>
            <w:tcW w:w="1001" w:type="pct"/>
            <w:vAlign w:val="center"/>
          </w:tcPr>
          <w:p w14:paraId="5BCEF1AE" w14:textId="77777777" w:rsidR="003C0B9A" w:rsidRPr="006F0470" w:rsidRDefault="003C0B9A" w:rsidP="005326E8">
            <w:pPr>
              <w:contextualSpacing/>
              <w:jc w:val="left"/>
              <w:rPr>
                <w:rFonts w:cs="Arial"/>
                <w:color w:val="000000"/>
                <w:sz w:val="16"/>
                <w:szCs w:val="16"/>
                <w:lang w:val="en-US" w:eastAsia="en-GB"/>
              </w:rPr>
            </w:pPr>
            <w:r w:rsidRPr="006F0470">
              <w:rPr>
                <w:rFonts w:cs="Arial"/>
                <w:color w:val="000000"/>
                <w:sz w:val="16"/>
                <w:szCs w:val="16"/>
                <w:lang w:val="en-US" w:eastAsia="en-GB"/>
              </w:rPr>
              <w:t>36.85</w:t>
            </w:r>
          </w:p>
        </w:tc>
      </w:tr>
    </w:tbl>
    <w:p w14:paraId="6F391F54" w14:textId="3B82F684" w:rsidR="003C0B9A" w:rsidRPr="006F0470" w:rsidRDefault="003C0B9A" w:rsidP="006F642C">
      <w:pPr>
        <w:spacing w:before="120" w:after="240"/>
        <w:rPr>
          <w:rFonts w:cs="Arial"/>
          <w:sz w:val="16"/>
          <w:szCs w:val="18"/>
          <w:lang w:val="en-US"/>
        </w:rPr>
      </w:pPr>
      <w:r w:rsidRPr="00A95414">
        <w:rPr>
          <w:rFonts w:cs="Arial"/>
          <w:color w:val="000000"/>
          <w:sz w:val="16"/>
          <w:szCs w:val="18"/>
          <w:lang w:val="en-US"/>
        </w:rPr>
        <w:t xml:space="preserve">Source: </w:t>
      </w:r>
      <w:r w:rsidRPr="00A95414">
        <w:rPr>
          <w:rFonts w:cs="Arial"/>
          <w:bCs/>
          <w:sz w:val="16"/>
          <w:szCs w:val="18"/>
          <w:lang w:val="en-US"/>
        </w:rPr>
        <w:t>as verified by the Investigating Authority.</w:t>
      </w:r>
    </w:p>
    <w:p w14:paraId="7D73BC31" w14:textId="77777777" w:rsidR="003C0B9A" w:rsidRPr="00A95414" w:rsidRDefault="003C0B9A" w:rsidP="006F0470">
      <w:pPr>
        <w:keepNext/>
        <w:numPr>
          <w:ilvl w:val="0"/>
          <w:numId w:val="19"/>
        </w:numPr>
        <w:spacing w:after="240"/>
        <w:ind w:left="360"/>
        <w:rPr>
          <w:rFonts w:eastAsia="SimSun" w:cs="Arial"/>
          <w:szCs w:val="18"/>
          <w:lang w:val="en-US"/>
        </w:rPr>
      </w:pPr>
      <w:r w:rsidRPr="00A95414">
        <w:rPr>
          <w:rFonts w:eastAsia="SimSun" w:cs="Arial"/>
          <w:b/>
          <w:szCs w:val="18"/>
          <w:lang w:val="en-US"/>
        </w:rPr>
        <w:t>Causal Link</w:t>
      </w:r>
    </w:p>
    <w:p w14:paraId="5C07AC8B" w14:textId="77777777" w:rsidR="003C0B9A" w:rsidRPr="00A95414" w:rsidRDefault="003C0B9A" w:rsidP="006F0470">
      <w:pPr>
        <w:keepNext/>
        <w:numPr>
          <w:ilvl w:val="0"/>
          <w:numId w:val="21"/>
        </w:numPr>
        <w:ind w:left="426" w:hanging="426"/>
        <w:rPr>
          <w:rFonts w:eastAsia="SimSun" w:cs="Arial"/>
          <w:szCs w:val="18"/>
          <w:lang w:val="en-US"/>
        </w:rPr>
      </w:pPr>
      <w:r w:rsidRPr="00A95414">
        <w:rPr>
          <w:rFonts w:eastAsia="SimSun" w:cs="Arial"/>
          <w:szCs w:val="18"/>
          <w:lang w:val="en-US"/>
        </w:rPr>
        <w:t>There was an increase in imports of the product under investigation during the investigation period, both in absolute terms (10.79%) and relative (39.91%).</w:t>
      </w:r>
    </w:p>
    <w:p w14:paraId="2D733D5E" w14:textId="77777777" w:rsidR="003C0B9A" w:rsidRPr="00A95414" w:rsidRDefault="003C0B9A" w:rsidP="006F0470">
      <w:pPr>
        <w:keepNext/>
        <w:numPr>
          <w:ilvl w:val="0"/>
          <w:numId w:val="21"/>
        </w:numPr>
        <w:ind w:left="426" w:hanging="426"/>
        <w:rPr>
          <w:rFonts w:eastAsia="SimSun" w:cs="Arial"/>
          <w:szCs w:val="18"/>
          <w:lang w:val="en-US"/>
        </w:rPr>
      </w:pPr>
      <w:r w:rsidRPr="00A95414">
        <w:rPr>
          <w:rFonts w:eastAsia="SimSun" w:cs="Arial"/>
          <w:szCs w:val="18"/>
          <w:lang w:val="en-US"/>
        </w:rPr>
        <w:t>Market share of Imports during the investigation period experienced an increasing trend of 25.31%. This resulted in a decline in the market share of Applicant and Non-Applicant with a trend of 1.02% and 6.94%.</w:t>
      </w:r>
    </w:p>
    <w:p w14:paraId="39061611" w14:textId="77777777" w:rsidR="003C0B9A" w:rsidRPr="00A95414" w:rsidRDefault="003C0B9A" w:rsidP="00295786">
      <w:pPr>
        <w:numPr>
          <w:ilvl w:val="0"/>
          <w:numId w:val="21"/>
        </w:numPr>
        <w:spacing w:after="240"/>
        <w:ind w:left="425" w:hanging="425"/>
        <w:rPr>
          <w:rFonts w:eastAsia="SimSun" w:cs="Arial"/>
          <w:szCs w:val="18"/>
          <w:lang w:val="en-US"/>
        </w:rPr>
      </w:pPr>
      <w:r w:rsidRPr="00A95414">
        <w:rPr>
          <w:rFonts w:eastAsia="SimSun" w:cs="Arial"/>
          <w:szCs w:val="18"/>
          <w:lang w:val="en-US"/>
        </w:rPr>
        <w:t>There was a downward trend in performance indicators during the investigation period, namely a decrease in the number of productions, domestic sales, profits, capacity utilization, employment and productivity.</w:t>
      </w:r>
    </w:p>
    <w:p w14:paraId="6519D2C8" w14:textId="77777777" w:rsidR="003C0B9A" w:rsidRPr="00A95414" w:rsidRDefault="003C0B9A" w:rsidP="003C0B9A">
      <w:pPr>
        <w:numPr>
          <w:ilvl w:val="0"/>
          <w:numId w:val="19"/>
        </w:numPr>
        <w:spacing w:after="240"/>
        <w:ind w:left="360"/>
        <w:rPr>
          <w:rFonts w:eastAsia="SimSun" w:cs="Arial"/>
          <w:szCs w:val="18"/>
          <w:lang w:val="en-US"/>
        </w:rPr>
      </w:pPr>
      <w:r w:rsidRPr="00A95414">
        <w:rPr>
          <w:rFonts w:eastAsia="SimSun" w:cs="Arial"/>
          <w:b/>
          <w:szCs w:val="18"/>
          <w:lang w:val="en-US"/>
        </w:rPr>
        <w:t>Evidence that the safeguard measure continues to be necessary to prevent or remedy serious injury</w:t>
      </w:r>
    </w:p>
    <w:p w14:paraId="2AB828A3" w14:textId="77777777" w:rsidR="003C0B9A" w:rsidRPr="00A95414" w:rsidRDefault="003C0B9A" w:rsidP="003C0B9A">
      <w:pPr>
        <w:numPr>
          <w:ilvl w:val="0"/>
          <w:numId w:val="22"/>
        </w:numPr>
        <w:ind w:left="426" w:hanging="426"/>
        <w:rPr>
          <w:rFonts w:eastAsia="SimSun" w:cs="Arial"/>
          <w:szCs w:val="18"/>
          <w:lang w:val="en-US"/>
        </w:rPr>
      </w:pPr>
      <w:r w:rsidRPr="00A95414">
        <w:rPr>
          <w:rFonts w:eastAsia="SimSun" w:cs="Arial"/>
          <w:szCs w:val="18"/>
          <w:lang w:val="en-US"/>
        </w:rPr>
        <w:t xml:space="preserve">Even though the safeguard measure has been imposed on the product under investigation, in fact, the volume of imports is still increasing both in absolute and relative terms. Import volume is expected to remain significantly increase if the safeguard measures are not extended; </w:t>
      </w:r>
    </w:p>
    <w:p w14:paraId="53BCB1E0" w14:textId="77777777" w:rsidR="003C0B9A" w:rsidRPr="00A95414" w:rsidRDefault="003C0B9A" w:rsidP="003C0B9A">
      <w:pPr>
        <w:numPr>
          <w:ilvl w:val="0"/>
          <w:numId w:val="22"/>
        </w:numPr>
        <w:ind w:left="426" w:hanging="426"/>
        <w:rPr>
          <w:rFonts w:eastAsia="SimSun" w:cs="Arial"/>
          <w:szCs w:val="18"/>
          <w:lang w:val="en-US"/>
        </w:rPr>
      </w:pPr>
      <w:r w:rsidRPr="00A95414">
        <w:rPr>
          <w:rFonts w:eastAsia="SimSun" w:cs="Arial"/>
          <w:szCs w:val="18"/>
          <w:lang w:val="en-US"/>
        </w:rPr>
        <w:t>The Applicant has carried out the structural adjustment program as previously committed in the first extension of the investigation. However, the Applicant still needs additional time to complete the structural adjustment to its optimal level. This is considered necessary so that the Applicant can be more ready to compete with imported goods in the future;</w:t>
      </w:r>
    </w:p>
    <w:p w14:paraId="0900C302" w14:textId="77777777" w:rsidR="003C0B9A" w:rsidRPr="00A95414" w:rsidRDefault="003C0B9A" w:rsidP="00295786">
      <w:pPr>
        <w:numPr>
          <w:ilvl w:val="0"/>
          <w:numId w:val="22"/>
        </w:numPr>
        <w:spacing w:after="240"/>
        <w:ind w:left="425" w:hanging="425"/>
        <w:rPr>
          <w:rFonts w:eastAsia="SimSun" w:cs="Arial"/>
          <w:szCs w:val="18"/>
          <w:lang w:val="en-US"/>
        </w:rPr>
      </w:pPr>
      <w:r w:rsidRPr="00A95414">
        <w:rPr>
          <w:rFonts w:eastAsia="SimSun" w:cs="Arial"/>
          <w:szCs w:val="18"/>
          <w:lang w:val="en-US"/>
        </w:rPr>
        <w:t>During the investigation period, it has been proven that there was a causal link between increase in the import of the product under investigation and the serious injury experienced by the Applicant. The investigating authority therefore concluded that if the imposition of the safeguard measures was not extended, it would hamper the recovery of the applicant's performance.</w:t>
      </w:r>
    </w:p>
    <w:p w14:paraId="7B0A5B4F" w14:textId="77777777" w:rsidR="003C0B9A" w:rsidRPr="00A95414" w:rsidRDefault="003C0B9A" w:rsidP="003C0B9A">
      <w:pPr>
        <w:keepNext/>
        <w:keepLines/>
        <w:numPr>
          <w:ilvl w:val="0"/>
          <w:numId w:val="17"/>
        </w:numPr>
        <w:ind w:left="360"/>
        <w:outlineLvl w:val="0"/>
        <w:rPr>
          <w:rFonts w:eastAsia="Times New Roman"/>
          <w:b/>
          <w:bCs/>
          <w:caps/>
          <w:color w:val="006283"/>
          <w:szCs w:val="28"/>
          <w:lang w:val="en-US"/>
        </w:rPr>
      </w:pPr>
      <w:r w:rsidRPr="00A95414">
        <w:rPr>
          <w:rFonts w:eastAsia="Times New Roman"/>
          <w:b/>
          <w:bCs/>
          <w:caps/>
          <w:color w:val="006283"/>
          <w:szCs w:val="28"/>
          <w:lang w:val="en-US"/>
        </w:rPr>
        <w:t>NOTIFICATION OF A PROPOSAL TO EXTEND A MEASURE</w:t>
      </w:r>
    </w:p>
    <w:p w14:paraId="48E4D9AE" w14:textId="77777777" w:rsidR="003C0B9A" w:rsidRPr="00A95414" w:rsidRDefault="003C0B9A" w:rsidP="00295786">
      <w:pPr>
        <w:spacing w:before="240" w:after="240"/>
        <w:rPr>
          <w:b/>
          <w:lang w:val="en-US"/>
        </w:rPr>
      </w:pPr>
      <w:r w:rsidRPr="00A95414">
        <w:rPr>
          <w:b/>
          <w:lang w:val="en-US"/>
        </w:rPr>
        <w:t>Proposed date of introduction of the measure</w:t>
      </w:r>
    </w:p>
    <w:p w14:paraId="7D16AF6A" w14:textId="72621313" w:rsidR="003C0B9A" w:rsidRPr="00A95414" w:rsidRDefault="003C0B9A" w:rsidP="00295786">
      <w:pPr>
        <w:spacing w:after="240"/>
        <w:rPr>
          <w:lang w:val="en-US"/>
        </w:rPr>
      </w:pPr>
      <w:r w:rsidRPr="00A95414">
        <w:rPr>
          <w:lang w:val="en-US"/>
        </w:rPr>
        <w:t>In a view of section B above, the investigation authority has proposed to extend the imposition of the safeguard measures on the importation of products under investigation.</w:t>
      </w:r>
    </w:p>
    <w:p w14:paraId="4293F720" w14:textId="1B0CDB69" w:rsidR="003C0B9A" w:rsidRPr="004C0E79" w:rsidRDefault="00C05779" w:rsidP="00C05779">
      <w:pPr>
        <w:spacing w:after="240"/>
        <w:rPr>
          <w:rFonts w:ascii="Calibri" w:hAnsi="Calibri"/>
          <w:sz w:val="22"/>
        </w:rPr>
      </w:pPr>
      <w:r>
        <w:t>The proposed safeguard measure to be imposed is now being circulated for inputs from relevant</w:t>
      </w:r>
      <w:r>
        <w:rPr>
          <w:rFonts w:ascii="Calibri" w:hAnsi="Calibri"/>
          <w:sz w:val="22"/>
        </w:rPr>
        <w:t xml:space="preserve"> </w:t>
      </w:r>
      <w:r>
        <w:t>government agencies, and will be elaborated in the notification under the Article 12.1(c) of the</w:t>
      </w:r>
      <w:r>
        <w:rPr>
          <w:rFonts w:ascii="Calibri" w:hAnsi="Calibri"/>
          <w:sz w:val="22"/>
        </w:rPr>
        <w:t xml:space="preserve"> </w:t>
      </w:r>
      <w:r>
        <w:t>WTO Agreement on Safeguards.</w:t>
      </w:r>
    </w:p>
    <w:p w14:paraId="5D50D299" w14:textId="43485F9F" w:rsidR="003C0B9A" w:rsidRPr="00A95414" w:rsidRDefault="003C0B9A" w:rsidP="00295786">
      <w:pPr>
        <w:spacing w:after="240"/>
        <w:rPr>
          <w:lang w:val="en-US"/>
        </w:rPr>
      </w:pPr>
      <w:r w:rsidRPr="00A95414">
        <w:rPr>
          <w:lang w:val="en-US"/>
        </w:rPr>
        <w:t xml:space="preserve">The imposition of the safeguard measures will be carried out in accordance with Article 2.2 and Article 9 of the WTO Agreement on Safeguards. The non-confidential version of the Final Report of this investigation, can be found on the website of the Indonesian Safeguard Committee: </w:t>
      </w:r>
      <w:hyperlink r:id="rId7" w:history="1">
        <w:r w:rsidRPr="00A95414">
          <w:rPr>
            <w:rStyle w:val="Hyperlink"/>
            <w:lang w:val="en-US"/>
          </w:rPr>
          <w:t>http://kppi.kemendag.go.id</w:t>
        </w:r>
      </w:hyperlink>
      <w:r w:rsidRPr="00A95414">
        <w:rPr>
          <w:lang w:val="en-US"/>
        </w:rPr>
        <w:t xml:space="preserve">. </w:t>
      </w:r>
    </w:p>
    <w:p w14:paraId="00AC1625" w14:textId="77777777" w:rsidR="003C0B9A" w:rsidRPr="00A95414" w:rsidRDefault="003C0B9A" w:rsidP="00295786">
      <w:pPr>
        <w:spacing w:after="240"/>
        <w:rPr>
          <w:lang w:val="en-US"/>
        </w:rPr>
      </w:pPr>
      <w:r w:rsidRPr="00A95414">
        <w:rPr>
          <w:lang w:val="en-US"/>
        </w:rPr>
        <w:t xml:space="preserve">In a view of the aforementioned findings, the safeguard measures have been proposed in a form of </w:t>
      </w:r>
      <w:r w:rsidRPr="00A95414">
        <w:rPr>
          <w:i/>
          <w:lang w:val="en-US"/>
        </w:rPr>
        <w:t xml:space="preserve">ad valorem </w:t>
      </w:r>
      <w:r w:rsidRPr="00A95414">
        <w:rPr>
          <w:lang w:val="en-US"/>
        </w:rPr>
        <w:t>duty with expected duration as follows:</w:t>
      </w:r>
    </w:p>
    <w:p w14:paraId="64DA45C2" w14:textId="77777777" w:rsidR="003C0B9A" w:rsidRPr="00A95414" w:rsidRDefault="003C0B9A" w:rsidP="006F642C">
      <w:pPr>
        <w:keepNext/>
        <w:pageBreakBefore/>
        <w:spacing w:before="120" w:after="120"/>
        <w:jc w:val="left"/>
        <w:rPr>
          <w:rFonts w:eastAsia="Times New Roman"/>
          <w:b/>
          <w:bCs/>
          <w:color w:val="006283"/>
          <w:szCs w:val="20"/>
          <w:lang w:val="en-US" w:eastAsia="en-GB"/>
        </w:rPr>
      </w:pPr>
      <w:r w:rsidRPr="00A95414">
        <w:rPr>
          <w:rFonts w:eastAsia="Times New Roman"/>
          <w:b/>
          <w:bCs/>
          <w:color w:val="006283"/>
          <w:szCs w:val="20"/>
          <w:lang w:val="en-US" w:eastAsia="en-GB"/>
        </w:rPr>
        <w:lastRenderedPageBreak/>
        <w:t>Table 7. Safeguard Measures</w:t>
      </w:r>
    </w:p>
    <w:tbl>
      <w:tblPr>
        <w:tblW w:w="880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5E0" w:firstRow="1" w:lastRow="1" w:firstColumn="1" w:lastColumn="1" w:noHBand="0" w:noVBand="1"/>
      </w:tblPr>
      <w:tblGrid>
        <w:gridCol w:w="2996"/>
        <w:gridCol w:w="5812"/>
      </w:tblGrid>
      <w:tr w:rsidR="003C0B9A" w:rsidRPr="00A95414" w14:paraId="0E9DC855" w14:textId="77777777" w:rsidTr="00295786">
        <w:trPr>
          <w:trHeight w:val="513"/>
        </w:trPr>
        <w:tc>
          <w:tcPr>
            <w:tcW w:w="2996" w:type="dxa"/>
            <w:vAlign w:val="center"/>
          </w:tcPr>
          <w:p w14:paraId="24B305C9" w14:textId="77777777" w:rsidR="003C0B9A" w:rsidRPr="00A95414" w:rsidRDefault="003C0B9A" w:rsidP="005326E8">
            <w:pPr>
              <w:jc w:val="center"/>
              <w:rPr>
                <w:rFonts w:cs="Arial"/>
                <w:bCs/>
                <w:sz w:val="16"/>
                <w:szCs w:val="18"/>
                <w:lang w:val="en-US"/>
              </w:rPr>
            </w:pPr>
            <w:r w:rsidRPr="00A95414">
              <w:rPr>
                <w:rFonts w:cs="Arial"/>
                <w:b/>
                <w:bCs/>
                <w:sz w:val="16"/>
                <w:szCs w:val="18"/>
                <w:lang w:val="en-US"/>
              </w:rPr>
              <w:t>Period</w:t>
            </w:r>
          </w:p>
        </w:tc>
        <w:tc>
          <w:tcPr>
            <w:tcW w:w="5812" w:type="dxa"/>
            <w:vAlign w:val="center"/>
          </w:tcPr>
          <w:p w14:paraId="02F1BAF4" w14:textId="77777777" w:rsidR="003C0B9A" w:rsidRPr="00A95414" w:rsidRDefault="003C0B9A" w:rsidP="005326E8">
            <w:pPr>
              <w:jc w:val="center"/>
              <w:rPr>
                <w:rFonts w:cs="Arial"/>
                <w:b/>
                <w:bCs/>
                <w:sz w:val="16"/>
                <w:szCs w:val="18"/>
                <w:lang w:val="en-US"/>
              </w:rPr>
            </w:pPr>
            <w:r w:rsidRPr="00A95414">
              <w:rPr>
                <w:rFonts w:cs="Arial"/>
                <w:b/>
                <w:bCs/>
                <w:sz w:val="16"/>
                <w:szCs w:val="18"/>
                <w:lang w:val="en-US"/>
              </w:rPr>
              <w:t>Safeguard Measures</w:t>
            </w:r>
          </w:p>
        </w:tc>
      </w:tr>
      <w:tr w:rsidR="003C0B9A" w:rsidRPr="00A95414" w14:paraId="75DCAD2C" w14:textId="77777777" w:rsidTr="00295786">
        <w:trPr>
          <w:trHeight w:val="273"/>
        </w:trPr>
        <w:tc>
          <w:tcPr>
            <w:tcW w:w="2996" w:type="dxa"/>
            <w:vAlign w:val="center"/>
          </w:tcPr>
          <w:p w14:paraId="561B265E" w14:textId="77777777" w:rsidR="003C0B9A" w:rsidRPr="00A95414" w:rsidRDefault="003C0B9A" w:rsidP="005326E8">
            <w:pPr>
              <w:autoSpaceDE w:val="0"/>
              <w:autoSpaceDN w:val="0"/>
              <w:adjustRightInd w:val="0"/>
              <w:jc w:val="center"/>
              <w:rPr>
                <w:rFonts w:cs="Arial"/>
                <w:sz w:val="16"/>
                <w:szCs w:val="16"/>
                <w:lang w:val="en-US" w:eastAsia="en-GB"/>
              </w:rPr>
            </w:pPr>
            <w:r w:rsidRPr="00A95414">
              <w:rPr>
                <w:rFonts w:cs="Arial"/>
                <w:sz w:val="16"/>
                <w:szCs w:val="16"/>
                <w:lang w:val="en-US" w:eastAsia="en-GB"/>
              </w:rPr>
              <w:t>Year 1</w:t>
            </w:r>
          </w:p>
        </w:tc>
        <w:tc>
          <w:tcPr>
            <w:tcW w:w="5812" w:type="dxa"/>
          </w:tcPr>
          <w:p w14:paraId="6A9BCB8C" w14:textId="77777777" w:rsidR="003C0B9A" w:rsidRPr="00A95414" w:rsidRDefault="003C0B9A" w:rsidP="005326E8">
            <w:pPr>
              <w:autoSpaceDE w:val="0"/>
              <w:autoSpaceDN w:val="0"/>
              <w:adjustRightInd w:val="0"/>
              <w:jc w:val="center"/>
              <w:rPr>
                <w:rFonts w:cs="Arial"/>
                <w:sz w:val="16"/>
                <w:szCs w:val="16"/>
                <w:lang w:val="en-US" w:eastAsia="en-GB"/>
              </w:rPr>
            </w:pPr>
            <w:r w:rsidRPr="00A95414">
              <w:rPr>
                <w:rFonts w:cs="Arial"/>
                <w:sz w:val="16"/>
                <w:szCs w:val="16"/>
                <w:lang w:val="en-US" w:eastAsia="en-GB"/>
              </w:rPr>
              <w:t>17.00 %</w:t>
            </w:r>
          </w:p>
        </w:tc>
      </w:tr>
      <w:tr w:rsidR="003C0B9A" w:rsidRPr="00A95414" w14:paraId="78C93AC6" w14:textId="77777777" w:rsidTr="00295786">
        <w:trPr>
          <w:trHeight w:val="273"/>
        </w:trPr>
        <w:tc>
          <w:tcPr>
            <w:tcW w:w="2996" w:type="dxa"/>
            <w:vAlign w:val="center"/>
          </w:tcPr>
          <w:p w14:paraId="2DEC5FBB" w14:textId="77777777" w:rsidR="003C0B9A" w:rsidRPr="00A95414" w:rsidRDefault="003C0B9A" w:rsidP="005326E8">
            <w:pPr>
              <w:autoSpaceDE w:val="0"/>
              <w:autoSpaceDN w:val="0"/>
              <w:adjustRightInd w:val="0"/>
              <w:jc w:val="center"/>
              <w:rPr>
                <w:rFonts w:cs="Arial"/>
                <w:sz w:val="16"/>
                <w:szCs w:val="16"/>
                <w:lang w:val="en-US" w:eastAsia="en-GB"/>
              </w:rPr>
            </w:pPr>
            <w:r w:rsidRPr="00A95414">
              <w:rPr>
                <w:rFonts w:cs="Arial"/>
                <w:sz w:val="16"/>
                <w:szCs w:val="16"/>
                <w:lang w:val="en-US" w:eastAsia="en-GB"/>
              </w:rPr>
              <w:t>Year 2</w:t>
            </w:r>
          </w:p>
        </w:tc>
        <w:tc>
          <w:tcPr>
            <w:tcW w:w="5812" w:type="dxa"/>
          </w:tcPr>
          <w:p w14:paraId="60214E64" w14:textId="77777777" w:rsidR="003C0B9A" w:rsidRPr="00A95414" w:rsidRDefault="003C0B9A" w:rsidP="005326E8">
            <w:pPr>
              <w:autoSpaceDE w:val="0"/>
              <w:autoSpaceDN w:val="0"/>
              <w:adjustRightInd w:val="0"/>
              <w:jc w:val="center"/>
              <w:rPr>
                <w:rFonts w:cs="Arial"/>
                <w:sz w:val="16"/>
                <w:szCs w:val="16"/>
                <w:lang w:val="en-US" w:eastAsia="en-GB"/>
              </w:rPr>
            </w:pPr>
            <w:r w:rsidRPr="00A95414">
              <w:rPr>
                <w:rFonts w:cs="Arial"/>
                <w:sz w:val="16"/>
                <w:szCs w:val="16"/>
                <w:lang w:val="en-US" w:eastAsia="en-GB"/>
              </w:rPr>
              <w:t>16.75 %</w:t>
            </w:r>
          </w:p>
        </w:tc>
      </w:tr>
      <w:tr w:rsidR="003C0B9A" w:rsidRPr="00A95414" w14:paraId="4B31A7DA" w14:textId="77777777" w:rsidTr="00295786">
        <w:trPr>
          <w:trHeight w:val="273"/>
        </w:trPr>
        <w:tc>
          <w:tcPr>
            <w:tcW w:w="2996" w:type="dxa"/>
            <w:vAlign w:val="center"/>
          </w:tcPr>
          <w:p w14:paraId="5AE0C613" w14:textId="77777777" w:rsidR="003C0B9A" w:rsidRPr="00A95414" w:rsidRDefault="003C0B9A" w:rsidP="005326E8">
            <w:pPr>
              <w:autoSpaceDE w:val="0"/>
              <w:autoSpaceDN w:val="0"/>
              <w:adjustRightInd w:val="0"/>
              <w:jc w:val="center"/>
              <w:rPr>
                <w:rFonts w:cs="Arial"/>
                <w:sz w:val="16"/>
                <w:szCs w:val="16"/>
                <w:lang w:val="en-US" w:eastAsia="en-GB"/>
              </w:rPr>
            </w:pPr>
            <w:r w:rsidRPr="00A95414">
              <w:rPr>
                <w:rFonts w:cs="Arial"/>
                <w:sz w:val="16"/>
                <w:szCs w:val="16"/>
                <w:lang w:val="en-US" w:eastAsia="en-GB"/>
              </w:rPr>
              <w:t>Year 3</w:t>
            </w:r>
          </w:p>
        </w:tc>
        <w:tc>
          <w:tcPr>
            <w:tcW w:w="5812" w:type="dxa"/>
          </w:tcPr>
          <w:p w14:paraId="7C1BA263" w14:textId="77777777" w:rsidR="003C0B9A" w:rsidRPr="00A95414" w:rsidRDefault="003C0B9A" w:rsidP="005326E8">
            <w:pPr>
              <w:autoSpaceDE w:val="0"/>
              <w:autoSpaceDN w:val="0"/>
              <w:adjustRightInd w:val="0"/>
              <w:jc w:val="center"/>
              <w:rPr>
                <w:rFonts w:cs="Arial"/>
                <w:sz w:val="16"/>
                <w:szCs w:val="16"/>
                <w:lang w:val="en-US" w:eastAsia="en-GB"/>
              </w:rPr>
            </w:pPr>
            <w:r w:rsidRPr="00A95414">
              <w:rPr>
                <w:rFonts w:cs="Arial"/>
                <w:sz w:val="16"/>
                <w:szCs w:val="16"/>
                <w:lang w:val="en-US" w:eastAsia="en-GB"/>
              </w:rPr>
              <w:t>16.50 %</w:t>
            </w:r>
          </w:p>
        </w:tc>
      </w:tr>
    </w:tbl>
    <w:p w14:paraId="0574B3C7" w14:textId="77777777" w:rsidR="003C0B9A" w:rsidRPr="00A95414" w:rsidRDefault="003C0B9A" w:rsidP="0056164E">
      <w:pPr>
        <w:keepNext/>
        <w:keepLines/>
        <w:numPr>
          <w:ilvl w:val="0"/>
          <w:numId w:val="17"/>
        </w:numPr>
        <w:spacing w:before="240" w:after="240"/>
        <w:ind w:left="425" w:hanging="425"/>
        <w:outlineLvl w:val="0"/>
        <w:rPr>
          <w:rFonts w:eastAsia="Times New Roman"/>
          <w:b/>
          <w:bCs/>
          <w:caps/>
          <w:color w:val="006283"/>
          <w:szCs w:val="28"/>
          <w:lang w:val="en-US"/>
        </w:rPr>
      </w:pPr>
      <w:r w:rsidRPr="00A95414">
        <w:rPr>
          <w:rFonts w:eastAsia="Times New Roman"/>
          <w:b/>
          <w:bCs/>
          <w:caps/>
          <w:color w:val="006283"/>
          <w:szCs w:val="28"/>
          <w:lang w:val="en-US"/>
        </w:rPr>
        <w:t>CONSULTATIONS</w:t>
      </w:r>
    </w:p>
    <w:p w14:paraId="44E90CD8" w14:textId="5229E0BA" w:rsidR="003C0B9A" w:rsidRPr="0056164E" w:rsidRDefault="003C0B9A" w:rsidP="0056164E">
      <w:pPr>
        <w:spacing w:after="240"/>
        <w:rPr>
          <w:lang w:val="en-US"/>
        </w:rPr>
      </w:pPr>
      <w:r w:rsidRPr="00A95414">
        <w:rPr>
          <w:lang w:val="en-US"/>
        </w:rPr>
        <w:t>Members having a substantial interest as exporters of the Subject Goods should submit a written request within a period of 7 days from the date of circulation of this notification. All written requests must be sent both in a written letter and in electronic format, and must indicate the name, address, email address, phone and fax number of the Members. In Accordance with article 12.3 WTO Agreement on Safeguards, the Government of the Republic of Indonesia is open for consultation in order to provide opportunities for those Members. The consultation is scheduled to be held no later than 3 June 2022. The contact information for correspondence is:</w:t>
      </w:r>
    </w:p>
    <w:p w14:paraId="3B9E9E33" w14:textId="77777777" w:rsidR="003C0B9A" w:rsidRPr="00A95414" w:rsidRDefault="003C0B9A" w:rsidP="003C0B9A">
      <w:pPr>
        <w:jc w:val="center"/>
        <w:rPr>
          <w:rFonts w:eastAsia="Arial Unicode MS" w:cs="Arial"/>
          <w:szCs w:val="18"/>
          <w:lang w:val="en-US"/>
        </w:rPr>
      </w:pPr>
      <w:r w:rsidRPr="00A95414">
        <w:rPr>
          <w:rFonts w:eastAsia="Arial Unicode MS" w:cs="Arial"/>
          <w:b/>
          <w:szCs w:val="18"/>
          <w:lang w:val="en-US"/>
        </w:rPr>
        <w:t>DIRECTORATE OF MULTILATERAL NEGOTIATION, MINISTRY OF TRADE</w:t>
      </w:r>
    </w:p>
    <w:p w14:paraId="4F27DB4D" w14:textId="77777777" w:rsidR="003C0B9A" w:rsidRPr="00A95414" w:rsidRDefault="003C0B9A" w:rsidP="003C0B9A">
      <w:pPr>
        <w:jc w:val="center"/>
        <w:rPr>
          <w:rFonts w:eastAsia="Arial Unicode MS" w:cs="Arial"/>
          <w:szCs w:val="18"/>
          <w:lang w:val="en-US"/>
        </w:rPr>
      </w:pPr>
      <w:r w:rsidRPr="00A95414">
        <w:rPr>
          <w:rFonts w:eastAsia="Arial Unicode MS" w:cs="Arial"/>
          <w:szCs w:val="18"/>
          <w:lang w:val="en-US"/>
        </w:rPr>
        <w:t>Jl. M.I. Ridwan Rais No.5, Building 2, 9</w:t>
      </w:r>
      <w:r w:rsidRPr="00A95414">
        <w:rPr>
          <w:rFonts w:eastAsia="Arial Unicode MS" w:cs="Arial"/>
          <w:szCs w:val="18"/>
          <w:vertAlign w:val="superscript"/>
          <w:lang w:val="en-US"/>
        </w:rPr>
        <w:t>th</w:t>
      </w:r>
      <w:r w:rsidRPr="00A95414">
        <w:rPr>
          <w:rFonts w:eastAsia="Arial Unicode MS" w:cs="Arial"/>
          <w:szCs w:val="18"/>
          <w:lang w:val="en-US"/>
        </w:rPr>
        <w:t xml:space="preserve"> floor, Jakarta 10110</w:t>
      </w:r>
    </w:p>
    <w:p w14:paraId="4714EB78" w14:textId="77777777" w:rsidR="003C0B9A" w:rsidRPr="00A95414" w:rsidRDefault="003C0B9A" w:rsidP="003C0B9A">
      <w:pPr>
        <w:jc w:val="center"/>
        <w:rPr>
          <w:rFonts w:eastAsia="Arial Unicode MS" w:cs="Arial"/>
          <w:szCs w:val="18"/>
          <w:lang w:val="en-US"/>
        </w:rPr>
      </w:pPr>
      <w:r w:rsidRPr="00A95414">
        <w:rPr>
          <w:rFonts w:eastAsia="Arial Unicode MS" w:cs="Arial"/>
          <w:szCs w:val="18"/>
          <w:lang w:val="en-US"/>
        </w:rPr>
        <w:t>Phone: (62-21) 3840139</w:t>
      </w:r>
    </w:p>
    <w:p w14:paraId="089A33E9" w14:textId="77777777" w:rsidR="003C0B9A" w:rsidRPr="00A95414" w:rsidRDefault="003C0B9A" w:rsidP="003C0B9A">
      <w:pPr>
        <w:jc w:val="center"/>
        <w:rPr>
          <w:rFonts w:eastAsia="Arial Unicode MS" w:cs="Arial"/>
          <w:szCs w:val="18"/>
          <w:lang w:val="en-US"/>
        </w:rPr>
      </w:pPr>
      <w:r w:rsidRPr="00A95414">
        <w:rPr>
          <w:rFonts w:eastAsia="Arial Unicode MS" w:cs="Arial"/>
          <w:szCs w:val="18"/>
          <w:lang w:val="en-US"/>
        </w:rPr>
        <w:t>Fax: (62-21) 3840139</w:t>
      </w:r>
    </w:p>
    <w:p w14:paraId="1EC638E7" w14:textId="13C77BF3" w:rsidR="003C0B9A" w:rsidRPr="00A95414" w:rsidRDefault="003C0B9A" w:rsidP="003C0B9A">
      <w:pPr>
        <w:jc w:val="center"/>
        <w:rPr>
          <w:lang w:val="en-US"/>
        </w:rPr>
      </w:pPr>
      <w:r w:rsidRPr="00A95414">
        <w:rPr>
          <w:rFonts w:eastAsia="Arial Unicode MS" w:cs="Arial"/>
          <w:szCs w:val="18"/>
          <w:lang w:val="en-US"/>
        </w:rPr>
        <w:t xml:space="preserve">E-mail: </w:t>
      </w:r>
      <w:hyperlink r:id="rId8" w:history="1">
        <w:r w:rsidR="0056164E" w:rsidRPr="00385A4D">
          <w:rPr>
            <w:rStyle w:val="Hyperlink"/>
            <w:rFonts w:eastAsia="Arial Unicode MS" w:cs="Arial"/>
            <w:szCs w:val="18"/>
            <w:lang w:val="en-US"/>
          </w:rPr>
          <w:t>dit.multilateral.ppi@kemendag.go.id</w:t>
        </w:r>
      </w:hyperlink>
      <w:r w:rsidR="0056164E">
        <w:rPr>
          <w:rFonts w:eastAsia="Arial Unicode MS" w:cs="Arial"/>
          <w:color w:val="000000"/>
          <w:szCs w:val="18"/>
          <w:lang w:val="en-US"/>
        </w:rPr>
        <w:t xml:space="preserve"> </w:t>
      </w:r>
    </w:p>
    <w:p w14:paraId="1293160A" w14:textId="3B8E7D6B" w:rsidR="003C0B9A" w:rsidRDefault="003C0B9A" w:rsidP="003C0B9A">
      <w:pPr>
        <w:rPr>
          <w:color w:val="000000"/>
          <w:lang w:val="en-US"/>
        </w:rPr>
      </w:pPr>
    </w:p>
    <w:p w14:paraId="13B58762" w14:textId="36176A2F" w:rsidR="00D05DD0" w:rsidRDefault="00D05DD0" w:rsidP="00D05DD0"/>
    <w:p w14:paraId="3B514DAA" w14:textId="391D3C43" w:rsidR="00D05DD0" w:rsidRPr="00D05DD0" w:rsidRDefault="00D05DD0" w:rsidP="00D05DD0">
      <w:pPr>
        <w:jc w:val="center"/>
      </w:pPr>
      <w:r>
        <w:rPr>
          <w:b/>
        </w:rPr>
        <w:t>__________</w:t>
      </w:r>
    </w:p>
    <w:sectPr w:rsidR="00D05DD0" w:rsidRPr="00D05DD0" w:rsidSect="00D62E01">
      <w:headerReference w:type="even" r:id="rId9"/>
      <w:headerReference w:type="default" r:id="rId10"/>
      <w:footerReference w:type="even" r:id="rId11"/>
      <w:footerReference w:type="default" r:id="rId12"/>
      <w:head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8F27A" w14:textId="77777777" w:rsidR="00993DFF" w:rsidRDefault="00993DFF" w:rsidP="00ED54E0">
      <w:r>
        <w:separator/>
      </w:r>
    </w:p>
  </w:endnote>
  <w:endnote w:type="continuationSeparator" w:id="0">
    <w:p w14:paraId="5A28E3B1" w14:textId="77777777" w:rsidR="00993DFF" w:rsidRDefault="00993DFF"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44CF" w14:textId="76A8D280" w:rsidR="00544326" w:rsidRPr="00D62E01" w:rsidRDefault="00D62E01" w:rsidP="00D62E0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8697" w14:textId="41D1A145" w:rsidR="00544326" w:rsidRPr="00D62E01" w:rsidRDefault="00D62E01" w:rsidP="00D62E01">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5FFE5" w14:textId="77777777" w:rsidR="00993DFF" w:rsidRDefault="00993DFF" w:rsidP="00ED54E0">
      <w:r>
        <w:separator/>
      </w:r>
    </w:p>
  </w:footnote>
  <w:footnote w:type="continuationSeparator" w:id="0">
    <w:p w14:paraId="737D4E9F" w14:textId="77777777" w:rsidR="00993DFF" w:rsidRDefault="00993DFF"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9455" w14:textId="77777777" w:rsidR="00D62E01" w:rsidRPr="00D62E01" w:rsidRDefault="00D62E01" w:rsidP="00D62E01">
    <w:pPr>
      <w:pStyle w:val="Header"/>
      <w:pBdr>
        <w:bottom w:val="single" w:sz="4" w:space="1" w:color="auto"/>
      </w:pBdr>
      <w:tabs>
        <w:tab w:val="clear" w:pos="4513"/>
        <w:tab w:val="clear" w:pos="9027"/>
      </w:tabs>
      <w:jc w:val="center"/>
    </w:pPr>
    <w:r w:rsidRPr="00D62E01">
      <w:t>G/SG/N/8/IDN/17/Suppl.4 • G/SG/N/10/IDN/17/Suppl.4</w:t>
    </w:r>
  </w:p>
  <w:p w14:paraId="40FB4A4D" w14:textId="77777777" w:rsidR="00D62E01" w:rsidRPr="00D62E01" w:rsidRDefault="00D62E01" w:rsidP="00D62E01">
    <w:pPr>
      <w:pStyle w:val="Header"/>
      <w:pBdr>
        <w:bottom w:val="single" w:sz="4" w:space="1" w:color="auto"/>
      </w:pBdr>
      <w:tabs>
        <w:tab w:val="clear" w:pos="4513"/>
        <w:tab w:val="clear" w:pos="9027"/>
      </w:tabs>
      <w:jc w:val="center"/>
    </w:pPr>
  </w:p>
  <w:p w14:paraId="27013D5C" w14:textId="05664F42" w:rsidR="00D62E01" w:rsidRPr="00D62E01" w:rsidRDefault="00D62E01" w:rsidP="00D62E01">
    <w:pPr>
      <w:pStyle w:val="Header"/>
      <w:pBdr>
        <w:bottom w:val="single" w:sz="4" w:space="1" w:color="auto"/>
      </w:pBdr>
      <w:tabs>
        <w:tab w:val="clear" w:pos="4513"/>
        <w:tab w:val="clear" w:pos="9027"/>
      </w:tabs>
      <w:jc w:val="center"/>
    </w:pPr>
    <w:r w:rsidRPr="00D62E01">
      <w:t xml:space="preserve">- </w:t>
    </w:r>
    <w:r w:rsidRPr="00D62E01">
      <w:fldChar w:fldCharType="begin"/>
    </w:r>
    <w:r w:rsidRPr="00D62E01">
      <w:instrText xml:space="preserve"> PAGE </w:instrText>
    </w:r>
    <w:r w:rsidRPr="00D62E01">
      <w:fldChar w:fldCharType="separate"/>
    </w:r>
    <w:r w:rsidRPr="00D62E01">
      <w:rPr>
        <w:noProof/>
      </w:rPr>
      <w:t>2</w:t>
    </w:r>
    <w:r w:rsidRPr="00D62E01">
      <w:fldChar w:fldCharType="end"/>
    </w:r>
    <w:r w:rsidRPr="00D62E01">
      <w:t xml:space="preserve"> -</w:t>
    </w:r>
  </w:p>
  <w:p w14:paraId="4D22DFE6" w14:textId="4034071A" w:rsidR="00544326" w:rsidRPr="00D62E01" w:rsidRDefault="00544326" w:rsidP="00D62E0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3B74" w14:textId="77777777" w:rsidR="00D62E01" w:rsidRPr="00D62E01" w:rsidRDefault="00D62E01" w:rsidP="00D62E01">
    <w:pPr>
      <w:pStyle w:val="Header"/>
      <w:pBdr>
        <w:bottom w:val="single" w:sz="4" w:space="1" w:color="auto"/>
      </w:pBdr>
      <w:tabs>
        <w:tab w:val="clear" w:pos="4513"/>
        <w:tab w:val="clear" w:pos="9027"/>
      </w:tabs>
      <w:jc w:val="center"/>
    </w:pPr>
    <w:r w:rsidRPr="00D62E01">
      <w:t>G/SG/N/8/IDN/17/Suppl.4 • G/SG/N/10/IDN/17/Suppl.4</w:t>
    </w:r>
  </w:p>
  <w:p w14:paraId="12E6ED8D" w14:textId="77777777" w:rsidR="00D62E01" w:rsidRPr="00D62E01" w:rsidRDefault="00D62E01" w:rsidP="00D62E01">
    <w:pPr>
      <w:pStyle w:val="Header"/>
      <w:pBdr>
        <w:bottom w:val="single" w:sz="4" w:space="1" w:color="auto"/>
      </w:pBdr>
      <w:tabs>
        <w:tab w:val="clear" w:pos="4513"/>
        <w:tab w:val="clear" w:pos="9027"/>
      </w:tabs>
      <w:jc w:val="center"/>
    </w:pPr>
  </w:p>
  <w:p w14:paraId="348ECDD1" w14:textId="0132BF70" w:rsidR="00D62E01" w:rsidRPr="00D62E01" w:rsidRDefault="00D62E01" w:rsidP="00D62E01">
    <w:pPr>
      <w:pStyle w:val="Header"/>
      <w:pBdr>
        <w:bottom w:val="single" w:sz="4" w:space="1" w:color="auto"/>
      </w:pBdr>
      <w:tabs>
        <w:tab w:val="clear" w:pos="4513"/>
        <w:tab w:val="clear" w:pos="9027"/>
      </w:tabs>
      <w:jc w:val="center"/>
    </w:pPr>
    <w:r w:rsidRPr="00D62E01">
      <w:t xml:space="preserve">- </w:t>
    </w:r>
    <w:r w:rsidRPr="00D62E01">
      <w:fldChar w:fldCharType="begin"/>
    </w:r>
    <w:r w:rsidRPr="00D62E01">
      <w:instrText xml:space="preserve"> PAGE </w:instrText>
    </w:r>
    <w:r w:rsidRPr="00D62E01">
      <w:fldChar w:fldCharType="separate"/>
    </w:r>
    <w:r w:rsidRPr="00D62E01">
      <w:rPr>
        <w:noProof/>
      </w:rPr>
      <w:t>2</w:t>
    </w:r>
    <w:r w:rsidRPr="00D62E01">
      <w:fldChar w:fldCharType="end"/>
    </w:r>
    <w:r w:rsidRPr="00D62E01">
      <w:t xml:space="preserve"> -</w:t>
    </w:r>
  </w:p>
  <w:p w14:paraId="63839ED3" w14:textId="45A05FFA" w:rsidR="00544326" w:rsidRPr="00D62E01" w:rsidRDefault="00544326" w:rsidP="00D62E0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21C73B72" w14:textId="77777777" w:rsidTr="00544326">
      <w:trPr>
        <w:trHeight w:val="240"/>
        <w:jc w:val="center"/>
      </w:trPr>
      <w:tc>
        <w:tcPr>
          <w:tcW w:w="3794" w:type="dxa"/>
          <w:shd w:val="clear" w:color="auto" w:fill="FFFFFF"/>
          <w:tcMar>
            <w:left w:w="108" w:type="dxa"/>
            <w:right w:w="108" w:type="dxa"/>
          </w:tcMar>
          <w:vAlign w:val="center"/>
        </w:tcPr>
        <w:p w14:paraId="6A76D692" w14:textId="77777777" w:rsidR="00ED54E0" w:rsidRPr="00182B84" w:rsidRDefault="00ED54E0" w:rsidP="00425DC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6C12A169" w14:textId="358CA348" w:rsidR="00ED54E0" w:rsidRPr="00182B84" w:rsidRDefault="00D62E01" w:rsidP="00425DC5">
          <w:pPr>
            <w:jc w:val="right"/>
            <w:rPr>
              <w:b/>
              <w:color w:val="FF0000"/>
              <w:szCs w:val="16"/>
            </w:rPr>
          </w:pPr>
          <w:r>
            <w:rPr>
              <w:b/>
              <w:color w:val="FF0000"/>
              <w:szCs w:val="16"/>
            </w:rPr>
            <w:t xml:space="preserve"> </w:t>
          </w:r>
        </w:p>
      </w:tc>
    </w:tr>
    <w:bookmarkEnd w:id="0"/>
    <w:tr w:rsidR="00ED54E0" w:rsidRPr="00182B84" w14:paraId="5ED9120E" w14:textId="77777777" w:rsidTr="00544326">
      <w:trPr>
        <w:trHeight w:val="213"/>
        <w:jc w:val="center"/>
      </w:trPr>
      <w:tc>
        <w:tcPr>
          <w:tcW w:w="3794" w:type="dxa"/>
          <w:vMerge w:val="restart"/>
          <w:shd w:val="clear" w:color="auto" w:fill="FFFFFF"/>
          <w:tcMar>
            <w:left w:w="0" w:type="dxa"/>
            <w:right w:w="0" w:type="dxa"/>
          </w:tcMar>
        </w:tcPr>
        <w:p w14:paraId="73405974" w14:textId="77777777" w:rsidR="00ED54E0" w:rsidRPr="00182B84" w:rsidRDefault="00ED54E0" w:rsidP="00425DC5">
          <w:pPr>
            <w:jc w:val="left"/>
          </w:pPr>
          <w:r w:rsidRPr="00182B84">
            <w:rPr>
              <w:noProof/>
              <w:lang w:val="en-US"/>
            </w:rPr>
            <w:drawing>
              <wp:inline distT="0" distB="0" distL="0" distR="0" wp14:anchorId="146C975B" wp14:editId="24F74791">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6B4BD91" w14:textId="77777777" w:rsidR="00ED54E0" w:rsidRPr="00182B84" w:rsidRDefault="00ED54E0" w:rsidP="00425DC5">
          <w:pPr>
            <w:jc w:val="right"/>
            <w:rPr>
              <w:b/>
              <w:szCs w:val="16"/>
            </w:rPr>
          </w:pPr>
        </w:p>
      </w:tc>
    </w:tr>
    <w:tr w:rsidR="00ED54E0" w:rsidRPr="00182B84" w14:paraId="4587B172" w14:textId="77777777" w:rsidTr="00544326">
      <w:trPr>
        <w:trHeight w:val="868"/>
        <w:jc w:val="center"/>
      </w:trPr>
      <w:tc>
        <w:tcPr>
          <w:tcW w:w="3794" w:type="dxa"/>
          <w:vMerge/>
          <w:shd w:val="clear" w:color="auto" w:fill="FFFFFF"/>
          <w:tcMar>
            <w:left w:w="108" w:type="dxa"/>
            <w:right w:w="108" w:type="dxa"/>
          </w:tcMar>
        </w:tcPr>
        <w:p w14:paraId="48968DA2"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28C50EAA" w14:textId="77777777" w:rsidR="00D62E01" w:rsidRDefault="00D62E01" w:rsidP="00425DC5">
          <w:pPr>
            <w:jc w:val="right"/>
            <w:rPr>
              <w:b/>
              <w:szCs w:val="16"/>
            </w:rPr>
          </w:pPr>
          <w:bookmarkStart w:id="1" w:name="bmkSymbols"/>
          <w:r>
            <w:rPr>
              <w:b/>
              <w:szCs w:val="16"/>
            </w:rPr>
            <w:t>G/SG/N/8/IDN/17/Suppl.4</w:t>
          </w:r>
        </w:p>
        <w:p w14:paraId="13D2906A" w14:textId="77777777" w:rsidR="00D62E01" w:rsidRDefault="00D62E01" w:rsidP="00425DC5">
          <w:pPr>
            <w:jc w:val="right"/>
            <w:rPr>
              <w:b/>
              <w:szCs w:val="16"/>
            </w:rPr>
          </w:pPr>
          <w:r>
            <w:rPr>
              <w:b/>
              <w:szCs w:val="16"/>
            </w:rPr>
            <w:t>G/SG/N/10/IDN/17/Suppl.4</w:t>
          </w:r>
        </w:p>
        <w:bookmarkEnd w:id="1"/>
        <w:p w14:paraId="5360D993" w14:textId="2AD04ACE" w:rsidR="00ED54E0" w:rsidRPr="00182B84" w:rsidRDefault="00ED54E0" w:rsidP="00425DC5">
          <w:pPr>
            <w:jc w:val="right"/>
            <w:rPr>
              <w:b/>
              <w:szCs w:val="16"/>
            </w:rPr>
          </w:pPr>
        </w:p>
      </w:tc>
    </w:tr>
    <w:tr w:rsidR="00ED54E0" w:rsidRPr="00182B84" w14:paraId="023A2DD7" w14:textId="77777777" w:rsidTr="00544326">
      <w:trPr>
        <w:trHeight w:val="240"/>
        <w:jc w:val="center"/>
      </w:trPr>
      <w:tc>
        <w:tcPr>
          <w:tcW w:w="3794" w:type="dxa"/>
          <w:vMerge/>
          <w:shd w:val="clear" w:color="auto" w:fill="FFFFFF"/>
          <w:tcMar>
            <w:left w:w="108" w:type="dxa"/>
            <w:right w:w="108" w:type="dxa"/>
          </w:tcMar>
          <w:vAlign w:val="center"/>
        </w:tcPr>
        <w:p w14:paraId="01AF427A" w14:textId="77777777" w:rsidR="00ED54E0" w:rsidRPr="00182B84" w:rsidRDefault="00ED54E0" w:rsidP="00425DC5"/>
      </w:tc>
      <w:tc>
        <w:tcPr>
          <w:tcW w:w="5448" w:type="dxa"/>
          <w:gridSpan w:val="2"/>
          <w:shd w:val="clear" w:color="auto" w:fill="FFFFFF"/>
          <w:tcMar>
            <w:left w:w="108" w:type="dxa"/>
            <w:right w:w="108" w:type="dxa"/>
          </w:tcMar>
          <w:vAlign w:val="center"/>
        </w:tcPr>
        <w:p w14:paraId="3B95F08D" w14:textId="1E4F06CD" w:rsidR="00ED54E0" w:rsidRPr="00182B84" w:rsidRDefault="00B34E62" w:rsidP="00425DC5">
          <w:pPr>
            <w:jc w:val="right"/>
            <w:rPr>
              <w:szCs w:val="16"/>
            </w:rPr>
          </w:pPr>
          <w:r>
            <w:rPr>
              <w:szCs w:val="16"/>
            </w:rPr>
            <w:t>13 May</w:t>
          </w:r>
          <w:r w:rsidR="00063DEC">
            <w:rPr>
              <w:szCs w:val="16"/>
            </w:rPr>
            <w:t xml:space="preserve"> 2022</w:t>
          </w:r>
        </w:p>
      </w:tc>
    </w:tr>
    <w:tr w:rsidR="00ED54E0" w:rsidRPr="00182B84" w14:paraId="499D3DD8"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CFD48B5" w14:textId="50055641" w:rsidR="00ED54E0" w:rsidRPr="00182B84" w:rsidRDefault="00ED54E0" w:rsidP="00425DC5">
          <w:pPr>
            <w:jc w:val="left"/>
            <w:rPr>
              <w:b/>
            </w:rPr>
          </w:pPr>
          <w:bookmarkStart w:id="2" w:name="bmkSerial" w:colFirst="0" w:colLast="0"/>
          <w:r w:rsidRPr="00182B84">
            <w:rPr>
              <w:color w:val="FF0000"/>
              <w:szCs w:val="16"/>
            </w:rPr>
            <w:t>(</w:t>
          </w:r>
          <w:r w:rsidR="00B34E62">
            <w:rPr>
              <w:color w:val="FF0000"/>
              <w:szCs w:val="16"/>
            </w:rPr>
            <w:t>22</w:t>
          </w:r>
          <w:r w:rsidRPr="00182B84">
            <w:rPr>
              <w:color w:val="FF0000"/>
              <w:szCs w:val="16"/>
            </w:rPr>
            <w:t>-</w:t>
          </w:r>
          <w:r w:rsidR="006F642C">
            <w:rPr>
              <w:color w:val="FF0000"/>
              <w:szCs w:val="16"/>
            </w:rPr>
            <w:t>3767</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6BDAF2B0" w14:textId="77777777" w:rsidR="00ED54E0" w:rsidRPr="00182B84" w:rsidRDefault="00ED54E0" w:rsidP="00425DC5">
          <w:pPr>
            <w:jc w:val="right"/>
            <w:rPr>
              <w:szCs w:val="16"/>
            </w:rPr>
          </w:pPr>
          <w:bookmarkStart w:id="3"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3"/>
        </w:p>
      </w:tc>
    </w:tr>
    <w:tr w:rsidR="00ED54E0" w:rsidRPr="00182B84" w14:paraId="4B76E535"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05A5206" w14:textId="580EB622" w:rsidR="00ED54E0" w:rsidRPr="00182B84" w:rsidRDefault="00D62E01" w:rsidP="00425DC5">
          <w:pPr>
            <w:jc w:val="left"/>
            <w:rPr>
              <w:sz w:val="14"/>
              <w:szCs w:val="16"/>
            </w:rPr>
          </w:pPr>
          <w:bookmarkStart w:id="4" w:name="bmkCommittee"/>
          <w:bookmarkStart w:id="5" w:name="bmkLanguage" w:colFirst="1" w:colLast="1"/>
          <w:bookmarkEnd w:id="2"/>
          <w:r>
            <w:rPr>
              <w:b/>
            </w:rPr>
            <w:t>Committee on Safeguards</w:t>
          </w:r>
          <w:bookmarkEnd w:id="4"/>
        </w:p>
      </w:tc>
      <w:tc>
        <w:tcPr>
          <w:tcW w:w="3325" w:type="dxa"/>
          <w:tcBorders>
            <w:top w:val="single" w:sz="4" w:space="0" w:color="auto"/>
          </w:tcBorders>
          <w:tcMar>
            <w:top w:w="113" w:type="dxa"/>
            <w:left w:w="108" w:type="dxa"/>
            <w:bottom w:w="57" w:type="dxa"/>
            <w:right w:w="108" w:type="dxa"/>
          </w:tcMar>
          <w:vAlign w:val="center"/>
        </w:tcPr>
        <w:p w14:paraId="14097FC2" w14:textId="610ABDCC" w:rsidR="00ED54E0" w:rsidRPr="00182B84" w:rsidRDefault="00D62E01" w:rsidP="00425DC5">
          <w:pPr>
            <w:jc w:val="right"/>
            <w:rPr>
              <w:bCs/>
              <w:szCs w:val="18"/>
            </w:rPr>
          </w:pPr>
          <w:r>
            <w:rPr>
              <w:szCs w:val="18"/>
            </w:rPr>
            <w:t>Original: English</w:t>
          </w:r>
        </w:p>
      </w:tc>
    </w:tr>
    <w:bookmarkEnd w:id="5"/>
  </w:tbl>
  <w:p w14:paraId="2B43F0C8"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2D7520"/>
    <w:multiLevelType w:val="hybridMultilevel"/>
    <w:tmpl w:val="7A6CE92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D25618"/>
    <w:multiLevelType w:val="multilevel"/>
    <w:tmpl w:val="514AF5FA"/>
    <w:lvl w:ilvl="0">
      <w:start w:val="6"/>
      <w:numFmt w:val="decimal"/>
      <w:lvlText w:val="%1"/>
      <w:lvlJc w:val="left"/>
      <w:pPr>
        <w:ind w:left="360" w:hanging="360"/>
      </w:pPr>
      <w:rPr>
        <w:rFonts w:hint="default"/>
      </w:rPr>
    </w:lvl>
    <w:lvl w:ilvl="1">
      <w:start w:val="1"/>
      <w:numFmt w:val="decimal"/>
      <w:lvlText w:val="%1.%2"/>
      <w:lvlJc w:val="left"/>
      <w:pPr>
        <w:ind w:left="907" w:hanging="360"/>
      </w:pPr>
      <w:rPr>
        <w:rFonts w:hint="default"/>
        <w:b w:val="0"/>
      </w:rPr>
    </w:lvl>
    <w:lvl w:ilvl="2">
      <w:start w:val="1"/>
      <w:numFmt w:val="decimal"/>
      <w:lvlText w:val="%1.%2.%3"/>
      <w:lvlJc w:val="left"/>
      <w:pPr>
        <w:ind w:left="1814" w:hanging="720"/>
      </w:pPr>
      <w:rPr>
        <w:rFonts w:hint="default"/>
      </w:rPr>
    </w:lvl>
    <w:lvl w:ilvl="3">
      <w:start w:val="1"/>
      <w:numFmt w:val="decimal"/>
      <w:lvlText w:val="%1.%2.%3.%4"/>
      <w:lvlJc w:val="left"/>
      <w:pPr>
        <w:ind w:left="2721" w:hanging="108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4175" w:hanging="144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629" w:hanging="1800"/>
      </w:pPr>
      <w:rPr>
        <w:rFonts w:hint="default"/>
      </w:rPr>
    </w:lvl>
    <w:lvl w:ilvl="8">
      <w:start w:val="1"/>
      <w:numFmt w:val="decimal"/>
      <w:lvlText w:val="%1.%2.%3.%4.%5.%6.%7.%8.%9"/>
      <w:lvlJc w:val="left"/>
      <w:pPr>
        <w:ind w:left="6536" w:hanging="2160"/>
      </w:pPr>
      <w:rPr>
        <w:rFonts w:hint="default"/>
      </w:rPr>
    </w:lvl>
  </w:abstractNum>
  <w:abstractNum w:abstractNumId="13" w15:restartNumberingAfterBreak="0">
    <w:nsid w:val="2E1930DD"/>
    <w:multiLevelType w:val="hybridMultilevel"/>
    <w:tmpl w:val="7A6CE92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2EB217F3"/>
    <w:multiLevelType w:val="hybridMultilevel"/>
    <w:tmpl w:val="F5985F2A"/>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6" w15:restartNumberingAfterBreak="0">
    <w:nsid w:val="57454AB1"/>
    <w:multiLevelType w:val="multilevel"/>
    <w:tmpl w:val="075A666C"/>
    <w:numStyleLink w:val="LegalHeadings"/>
  </w:abstractNum>
  <w:abstractNum w:abstractNumId="17"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8" w15:restartNumberingAfterBreak="0">
    <w:nsid w:val="58143123"/>
    <w:multiLevelType w:val="multilevel"/>
    <w:tmpl w:val="C86C8D4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9E911BC"/>
    <w:multiLevelType w:val="multilevel"/>
    <w:tmpl w:val="5DEED438"/>
    <w:lvl w:ilvl="0">
      <w:start w:val="1"/>
      <w:numFmt w:val="decimal"/>
      <w:lvlText w:val="%1."/>
      <w:lvlJc w:val="left"/>
      <w:pPr>
        <w:ind w:left="360" w:hanging="360"/>
      </w:pPr>
      <w:rPr>
        <w:b/>
      </w:rPr>
    </w:lvl>
    <w:lvl w:ilvl="1">
      <w:start w:val="1"/>
      <w:numFmt w:val="decimal"/>
      <w:lvlText w:val="6.%2."/>
      <w:lvlJc w:val="left"/>
      <w:pPr>
        <w:ind w:left="720" w:hanging="360"/>
      </w:pPr>
      <w:rPr>
        <w:rFonts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47D602F"/>
    <w:multiLevelType w:val="hybridMultilevel"/>
    <w:tmpl w:val="FC1C45AE"/>
    <w:lvl w:ilvl="0" w:tplc="04210015">
      <w:start w:val="1"/>
      <w:numFmt w:val="upperLetter"/>
      <w:lvlText w:val="%1."/>
      <w:lvlJc w:val="left"/>
      <w:pPr>
        <w:ind w:left="720" w:hanging="360"/>
      </w:pPr>
      <w:rPr>
        <w:color w:val="21586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7"/>
  </w:num>
  <w:num w:numId="7">
    <w:abstractNumId w:val="16"/>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8"/>
  </w:num>
  <w:num w:numId="12">
    <w:abstractNumId w:val="3"/>
  </w:num>
  <w:num w:numId="13">
    <w:abstractNumId w:val="2"/>
  </w:num>
  <w:num w:numId="14">
    <w:abstractNumId w:val="1"/>
  </w:num>
  <w:num w:numId="15">
    <w:abstractNumId w:val="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9"/>
  </w:num>
  <w:num w:numId="19">
    <w:abstractNumId w:val="18"/>
  </w:num>
  <w:num w:numId="20">
    <w:abstractNumId w:val="14"/>
  </w:num>
  <w:num w:numId="21">
    <w:abstractNumId w:val="10"/>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attachedTemplate r:id="rId1"/>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EC"/>
    <w:rsid w:val="000272F6"/>
    <w:rsid w:val="00037AC4"/>
    <w:rsid w:val="000423BF"/>
    <w:rsid w:val="00063DEC"/>
    <w:rsid w:val="00093B64"/>
    <w:rsid w:val="000A4945"/>
    <w:rsid w:val="000B31E1"/>
    <w:rsid w:val="0011356B"/>
    <w:rsid w:val="0013337F"/>
    <w:rsid w:val="00182B84"/>
    <w:rsid w:val="001B67D4"/>
    <w:rsid w:val="001E291F"/>
    <w:rsid w:val="00204640"/>
    <w:rsid w:val="00233408"/>
    <w:rsid w:val="0027067B"/>
    <w:rsid w:val="00275F4A"/>
    <w:rsid w:val="00295786"/>
    <w:rsid w:val="002D777F"/>
    <w:rsid w:val="003156C6"/>
    <w:rsid w:val="003572B4"/>
    <w:rsid w:val="00382351"/>
    <w:rsid w:val="003C0B9A"/>
    <w:rsid w:val="00467032"/>
    <w:rsid w:val="0046754A"/>
    <w:rsid w:val="0049448D"/>
    <w:rsid w:val="00495A4F"/>
    <w:rsid w:val="004A51BC"/>
    <w:rsid w:val="004B4A5E"/>
    <w:rsid w:val="004C0E79"/>
    <w:rsid w:val="004F203A"/>
    <w:rsid w:val="005002B3"/>
    <w:rsid w:val="00507628"/>
    <w:rsid w:val="005156F5"/>
    <w:rsid w:val="005336B8"/>
    <w:rsid w:val="00544326"/>
    <w:rsid w:val="00547B5F"/>
    <w:rsid w:val="0056164E"/>
    <w:rsid w:val="00571C7C"/>
    <w:rsid w:val="00587E8A"/>
    <w:rsid w:val="005A1A22"/>
    <w:rsid w:val="005B04B9"/>
    <w:rsid w:val="005B68C7"/>
    <w:rsid w:val="005B7054"/>
    <w:rsid w:val="005C55F2"/>
    <w:rsid w:val="005D5981"/>
    <w:rsid w:val="005F30CB"/>
    <w:rsid w:val="00612644"/>
    <w:rsid w:val="0061416A"/>
    <w:rsid w:val="00674CCD"/>
    <w:rsid w:val="006F0470"/>
    <w:rsid w:val="006F5826"/>
    <w:rsid w:val="006F642C"/>
    <w:rsid w:val="00700181"/>
    <w:rsid w:val="007141CF"/>
    <w:rsid w:val="00720D3E"/>
    <w:rsid w:val="00745146"/>
    <w:rsid w:val="007577E3"/>
    <w:rsid w:val="00760DB3"/>
    <w:rsid w:val="007E6507"/>
    <w:rsid w:val="007F2B8E"/>
    <w:rsid w:val="007F32D1"/>
    <w:rsid w:val="00807247"/>
    <w:rsid w:val="00840C2B"/>
    <w:rsid w:val="008739FD"/>
    <w:rsid w:val="00893E85"/>
    <w:rsid w:val="008E372C"/>
    <w:rsid w:val="00993DFF"/>
    <w:rsid w:val="009A6F54"/>
    <w:rsid w:val="00A4746B"/>
    <w:rsid w:val="00A6057A"/>
    <w:rsid w:val="00A62379"/>
    <w:rsid w:val="00A74017"/>
    <w:rsid w:val="00AA332C"/>
    <w:rsid w:val="00AC27F8"/>
    <w:rsid w:val="00AD4C72"/>
    <w:rsid w:val="00AE2AEE"/>
    <w:rsid w:val="00B00276"/>
    <w:rsid w:val="00B230EC"/>
    <w:rsid w:val="00B34E62"/>
    <w:rsid w:val="00B51DB9"/>
    <w:rsid w:val="00B52738"/>
    <w:rsid w:val="00B56EDC"/>
    <w:rsid w:val="00BB1F84"/>
    <w:rsid w:val="00BE5468"/>
    <w:rsid w:val="00C05779"/>
    <w:rsid w:val="00C11EAC"/>
    <w:rsid w:val="00C15F6D"/>
    <w:rsid w:val="00C236B2"/>
    <w:rsid w:val="00C305D7"/>
    <w:rsid w:val="00C30F2A"/>
    <w:rsid w:val="00C43456"/>
    <w:rsid w:val="00C65C0C"/>
    <w:rsid w:val="00C808FC"/>
    <w:rsid w:val="00CA2AC9"/>
    <w:rsid w:val="00CD7D97"/>
    <w:rsid w:val="00CE3EE6"/>
    <w:rsid w:val="00CE4BA1"/>
    <w:rsid w:val="00D000C7"/>
    <w:rsid w:val="00D05DD0"/>
    <w:rsid w:val="00D221B8"/>
    <w:rsid w:val="00D52A9D"/>
    <w:rsid w:val="00D55AAD"/>
    <w:rsid w:val="00D62E01"/>
    <w:rsid w:val="00D747AE"/>
    <w:rsid w:val="00D9226C"/>
    <w:rsid w:val="00DA20BD"/>
    <w:rsid w:val="00DB77BF"/>
    <w:rsid w:val="00DE50DB"/>
    <w:rsid w:val="00DF6AE1"/>
    <w:rsid w:val="00E10060"/>
    <w:rsid w:val="00E46FD5"/>
    <w:rsid w:val="00E544BB"/>
    <w:rsid w:val="00E56545"/>
    <w:rsid w:val="00EA5D4F"/>
    <w:rsid w:val="00EB6C56"/>
    <w:rsid w:val="00ED1D47"/>
    <w:rsid w:val="00ED54E0"/>
    <w:rsid w:val="00F04A9D"/>
    <w:rsid w:val="00F1136A"/>
    <w:rsid w:val="00F32397"/>
    <w:rsid w:val="00F36253"/>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91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DD0"/>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99"/>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99"/>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99"/>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link w:val="ListParagraphChar"/>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 w:type="paragraph" w:customStyle="1" w:styleId="paragraph">
    <w:name w:val="paragraph"/>
    <w:basedOn w:val="Normal"/>
    <w:rsid w:val="00D05DD0"/>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05DD0"/>
  </w:style>
  <w:style w:type="character" w:customStyle="1" w:styleId="ListParagraphChar">
    <w:name w:val="List Paragraph Char"/>
    <w:link w:val="ListParagraph"/>
    <w:locked/>
    <w:rsid w:val="003C0B9A"/>
    <w:rPr>
      <w:rFonts w:ascii="Verdana" w:hAnsi="Verdana"/>
      <w:sz w:val="18"/>
    </w:rPr>
  </w:style>
  <w:style w:type="character" w:customStyle="1" w:styleId="jlqj4b">
    <w:name w:val="jlqj4b"/>
    <w:rsid w:val="003C0B9A"/>
  </w:style>
  <w:style w:type="character" w:styleId="UnresolvedMention">
    <w:name w:val="Unresolved Mention"/>
    <w:basedOn w:val="DefaultParagraphFont"/>
    <w:uiPriority w:val="99"/>
    <w:semiHidden/>
    <w:unhideWhenUsed/>
    <w:rsid w:val="00561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 w:id="960309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dit.multilateral.ppi@kemendag.go.i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kppi.kemendag.go.i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6</Pages>
  <Words>2170</Words>
  <Characters>11500</Characters>
  <Application>Microsoft Office Word</Application>
  <DocSecurity>0</DocSecurity>
  <Lines>383</Lines>
  <Paragraphs>248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2022-05-13T12:56:00Z</dcterms:created>
  <dcterms:modified xsi:type="dcterms:W3CDTF">2022-05-13T14:58:00Z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b6323a3b-c333-494f-a325-4b36aeb9ce16</vt:lpwstr>
  </property>
  <property fmtid="{D5CDD505-2E9C-101B-9397-08002B2CF9AE}" pid="3" name="Symbol1">
    <vt:lpwstr>G/SG/N/8/IDN/17/Suppl.4</vt:lpwstr>
  </property>
  <property fmtid="{D5CDD505-2E9C-101B-9397-08002B2CF9AE}" pid="4" name="Symbol2">
    <vt:lpwstr>G/SG/N/10/IDN/17/Suppl.4</vt:lpwstr>
  </property>
  <property fmtid="{D5CDD505-2E9C-101B-9397-08002B2CF9AE}" pid="5" name="WTOCLASSIFICATION">
    <vt:lpwstr>WTO OFFICIAL</vt:lpwstr>
  </property>
</Properties>
</file>