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EE27" w14:textId="77777777" w:rsidR="001E3F35" w:rsidRDefault="001E3F35" w:rsidP="001E3F35">
      <w:pPr>
        <w:pStyle w:val="Title"/>
      </w:pPr>
      <w:r>
        <w:t>INFORMATION ON ACTIVITIES</w:t>
      </w:r>
    </w:p>
    <w:p w14:paraId="5895F834" w14:textId="77777777" w:rsidR="001E3F35" w:rsidRDefault="001E3F35" w:rsidP="001E3F35">
      <w:pPr>
        <w:pStyle w:val="Title2"/>
      </w:pPr>
      <w:r>
        <w:t>Communication from the Codex Alimentarius Commission (codex)</w:t>
      </w:r>
    </w:p>
    <w:p w14:paraId="0C5FB8E9" w14:textId="00712202" w:rsidR="001E3F35" w:rsidRDefault="001E3F35" w:rsidP="001E3F35">
      <w:r>
        <w:t xml:space="preserve">The following communication, received on </w:t>
      </w:r>
      <w:r w:rsidR="00CD635E">
        <w:t>14</w:t>
      </w:r>
      <w:r w:rsidR="00D02384">
        <w:rPr>
          <w:szCs w:val="16"/>
        </w:rPr>
        <w:t xml:space="preserve"> </w:t>
      </w:r>
      <w:r w:rsidR="000D202A">
        <w:rPr>
          <w:szCs w:val="16"/>
        </w:rPr>
        <w:t>October</w:t>
      </w:r>
      <w:r w:rsidR="00D02384">
        <w:rPr>
          <w:szCs w:val="16"/>
        </w:rPr>
        <w:t xml:space="preserve"> </w:t>
      </w:r>
      <w:r w:rsidR="00F46B2A">
        <w:t>202</w:t>
      </w:r>
      <w:r w:rsidR="009777C3">
        <w:t>1</w:t>
      </w:r>
      <w:r>
        <w:t>, is being c</w:t>
      </w:r>
      <w:r w:rsidR="00295D25">
        <w:t>irculated at the request of the </w:t>
      </w:r>
      <w:r w:rsidRPr="00331571">
        <w:rPr>
          <w:u w:val="single"/>
        </w:rPr>
        <w:t>Codex</w:t>
      </w:r>
      <w:r>
        <w:t xml:space="preserve"> secretariat.</w:t>
      </w:r>
    </w:p>
    <w:p w14:paraId="4F458A33" w14:textId="77777777" w:rsidR="001E3F35" w:rsidRDefault="001E3F35" w:rsidP="001E3F35"/>
    <w:p w14:paraId="39D3B246" w14:textId="77777777" w:rsidR="001E3F35" w:rsidRDefault="001E3F35" w:rsidP="001E3F35">
      <w:pPr>
        <w:jc w:val="center"/>
        <w:rPr>
          <w:b/>
        </w:rPr>
      </w:pPr>
      <w:r>
        <w:rPr>
          <w:b/>
        </w:rPr>
        <w:t>_______________</w:t>
      </w:r>
    </w:p>
    <w:p w14:paraId="096B08EA" w14:textId="77777777" w:rsidR="001E3F35" w:rsidRDefault="001E3F35" w:rsidP="001E3F35"/>
    <w:p w14:paraId="6A41B88B" w14:textId="03C21770" w:rsidR="001E3F35" w:rsidRDefault="001E3F35" w:rsidP="001E3F35"/>
    <w:p w14:paraId="4809E8EC" w14:textId="5803A6E3" w:rsidR="00DF70E3" w:rsidRPr="00CD635E" w:rsidRDefault="00DF70E3" w:rsidP="000C79CC">
      <w:pPr>
        <w:spacing w:after="240"/>
      </w:pPr>
      <w:r w:rsidRPr="00CD635E">
        <w:t>NOTE: All Codex meetings in 2021 are being held virtually.</w:t>
      </w:r>
    </w:p>
    <w:p w14:paraId="08197EE9" w14:textId="17A1051D" w:rsidR="009777C3" w:rsidRDefault="009777C3" w:rsidP="009777C3">
      <w:pPr>
        <w:pStyle w:val="Heading1"/>
      </w:pPr>
      <w:r w:rsidRPr="00CD635E">
        <w:t>Codex meetings held since the last session of the SPS Committee (</w:t>
      </w:r>
      <w:r w:rsidR="00CD635E">
        <w:t>14</w:t>
      </w:r>
      <w:r w:rsidR="00CD635E">
        <w:noBreakHyphen/>
        <w:t>16 JULy </w:t>
      </w:r>
      <w:r w:rsidRPr="00CD635E">
        <w:t>202</w:t>
      </w:r>
      <w:r w:rsidR="00DF70E3" w:rsidRPr="00CD635E">
        <w:t>1</w:t>
      </w:r>
      <w:r w:rsidRPr="00CD635E">
        <w:t>)</w:t>
      </w:r>
    </w:p>
    <w:p w14:paraId="174DDE36" w14:textId="507F741E" w:rsidR="00CD635E" w:rsidRDefault="00CD635E" w:rsidP="00CD635E">
      <w:pPr>
        <w:pStyle w:val="Heading2"/>
      </w:pPr>
      <w:r w:rsidRPr="00CD635E">
        <w:t>25</w:t>
      </w:r>
      <w:r w:rsidRPr="00CD635E">
        <w:rPr>
          <w:vertAlign w:val="superscript"/>
        </w:rPr>
        <w:t>th</w:t>
      </w:r>
      <w:r>
        <w:t xml:space="preserve"> </w:t>
      </w:r>
      <w:r w:rsidRPr="00CD635E">
        <w:t>Session of the Codex Committee on Residues of Veterinary Drugs in Foods (CCRVDF25, 12-19 July 2021)</w:t>
      </w:r>
    </w:p>
    <w:p w14:paraId="3AC6B77A" w14:textId="77777777" w:rsidR="00CD635E" w:rsidRDefault="00CD635E" w:rsidP="00CD635E">
      <w:pPr>
        <w:pStyle w:val="Heading3"/>
      </w:pPr>
      <w:r>
        <w:t>MRLs for Veterinary Drugs in Foods</w:t>
      </w:r>
    </w:p>
    <w:p w14:paraId="7479A506" w14:textId="0870F4B4" w:rsidR="00CD635E" w:rsidRDefault="00CD635E" w:rsidP="00CD635E">
      <w:pPr>
        <w:pStyle w:val="BodyText"/>
      </w:pPr>
      <w:r>
        <w:t xml:space="preserve">MRLs for </w:t>
      </w:r>
      <w:proofErr w:type="spellStart"/>
      <w:r>
        <w:t>flumethrin</w:t>
      </w:r>
      <w:proofErr w:type="spellEnd"/>
      <w:r>
        <w:t xml:space="preserve"> (honey), diflubenzuron (salmon - muscle plus skin in natural proportion) and </w:t>
      </w:r>
      <w:proofErr w:type="spellStart"/>
      <w:r>
        <w:t>halquinol</w:t>
      </w:r>
      <w:proofErr w:type="spellEnd"/>
      <w:r>
        <w:t xml:space="preserve"> (swine - muscle, skin plus fat, </w:t>
      </w:r>
      <w:proofErr w:type="gramStart"/>
      <w:r>
        <w:t>liver</w:t>
      </w:r>
      <w:proofErr w:type="gramEnd"/>
      <w:r>
        <w:t xml:space="preserve"> and kidney) were forwarded to the 44</w:t>
      </w:r>
      <w:r w:rsidRPr="00CD635E">
        <w:rPr>
          <w:vertAlign w:val="superscript"/>
        </w:rPr>
        <w:t>th</w:t>
      </w:r>
      <w:r>
        <w:t xml:space="preserve"> session of Codex Alimentarius Commission (CAC44) for final adoption. MRLs for ivermectin (sheep, goats, pigs – fat, kidney, </w:t>
      </w:r>
      <w:proofErr w:type="gramStart"/>
      <w:r>
        <w:t>liver</w:t>
      </w:r>
      <w:proofErr w:type="gramEnd"/>
      <w:r>
        <w:t xml:space="preserve"> and muscle) w</w:t>
      </w:r>
      <w:r w:rsidR="00DD6D66">
        <w:t>ere</w:t>
      </w:r>
      <w:r>
        <w:t xml:space="preserve"> forwarded to CAC44 for preliminary adoption.</w:t>
      </w:r>
    </w:p>
    <w:p w14:paraId="79BCD1FC" w14:textId="77777777" w:rsidR="00CD635E" w:rsidRDefault="00CD635E" w:rsidP="00CD635E">
      <w:pPr>
        <w:pStyle w:val="Heading3"/>
      </w:pPr>
      <w:r>
        <w:t>MRLs for zilpaterol hydrochloride (cattle fat, kidney, liver, muscle)</w:t>
      </w:r>
    </w:p>
    <w:p w14:paraId="5BD0A5A9" w14:textId="7068586E" w:rsidR="00CD635E" w:rsidRDefault="00CD635E" w:rsidP="00CD635E">
      <w:pPr>
        <w:pStyle w:val="BodyText"/>
      </w:pPr>
      <w:r>
        <w:t>CCRVDF25 was unable to reach consensus o</w:t>
      </w:r>
      <w:r w:rsidR="00DD6D66">
        <w:t>n</w:t>
      </w:r>
      <w:r>
        <w:t xml:space="preserve"> either advancing the MRLs for adoption or to </w:t>
      </w:r>
      <w:r w:rsidRPr="00A03EED">
        <w:t>retain</w:t>
      </w:r>
      <w:r>
        <w:t xml:space="preserve"> them. The Chairperson further noted that all efforts had been exhausted in CCRVDF to reach consensus and the Chairperson observed that CCRVDF had reiterated the views that there are no public health concerns regarding the proposed MRLs and supported the JECFA scientific evaluations while recognizing that some members disagreed. The Chairperson requested CCEXEC81 (2021) to provide a recommendation on the way forward in the framework of the critical review and to inform a CAC decision on the path forward for the MRLs in the Codex step process.</w:t>
      </w:r>
    </w:p>
    <w:p w14:paraId="6E701AA2" w14:textId="77777777" w:rsidR="00CD635E" w:rsidRDefault="00CD635E" w:rsidP="00CD635E">
      <w:pPr>
        <w:pStyle w:val="Heading3"/>
      </w:pPr>
      <w:r>
        <w:t>Extrapolation of maximum residue limits to one or more species</w:t>
      </w:r>
    </w:p>
    <w:p w14:paraId="5DBABBAD" w14:textId="77777777" w:rsidR="00CD635E" w:rsidRDefault="00CD635E" w:rsidP="00CD635E">
      <w:pPr>
        <w:pStyle w:val="BodyText"/>
      </w:pPr>
      <w:r>
        <w:t xml:space="preserve">CCRVDF agreed to forward the approach for extrapolation of MRLs for veterinary drugs to one or more species and amendment to the procedural manual on the </w:t>
      </w:r>
      <w:r w:rsidRPr="00CD635E">
        <w:rPr>
          <w:i/>
          <w:iCs/>
        </w:rPr>
        <w:t>Risk Analysis Principle Applied by CCRVDF</w:t>
      </w:r>
      <w:r>
        <w:t xml:space="preserve"> to CAC44 for adoption.</w:t>
      </w:r>
    </w:p>
    <w:p w14:paraId="5FBEBB61" w14:textId="66B0BBE0" w:rsidR="00CD635E" w:rsidRDefault="00CD635E" w:rsidP="00CD635E">
      <w:pPr>
        <w:pStyle w:val="BodyText"/>
      </w:pPr>
      <w:r>
        <w:t xml:space="preserve">The report of CCRVDF25 is available on the Codex </w:t>
      </w:r>
      <w:hyperlink r:id="rId8" w:history="1">
        <w:r w:rsidRPr="00CD635E">
          <w:rPr>
            <w:rStyle w:val="Hyperlink"/>
          </w:rPr>
          <w:t>webpage</w:t>
        </w:r>
      </w:hyperlink>
      <w:r>
        <w:t>.</w:t>
      </w:r>
    </w:p>
    <w:p w14:paraId="332768C8" w14:textId="2E37DD31" w:rsidR="00CD635E" w:rsidRDefault="00CD635E" w:rsidP="00CD635E">
      <w:pPr>
        <w:pStyle w:val="Heading2"/>
      </w:pPr>
      <w:r>
        <w:t>52</w:t>
      </w:r>
      <w:r w:rsidRPr="00CD635E">
        <w:rPr>
          <w:vertAlign w:val="superscript"/>
        </w:rPr>
        <w:t>nd</w:t>
      </w:r>
      <w:r>
        <w:t xml:space="preserve"> Session of the Codex Committee on Pesticide Residues (CCPR52, 26</w:t>
      </w:r>
      <w:r w:rsidR="00CD3B4C">
        <w:noBreakHyphen/>
      </w:r>
      <w:r>
        <w:t>31</w:t>
      </w:r>
      <w:r w:rsidR="00CD3B4C">
        <w:t> </w:t>
      </w:r>
      <w:r>
        <w:t>July</w:t>
      </w:r>
      <w:r w:rsidR="00CD3B4C">
        <w:t> </w:t>
      </w:r>
      <w:r>
        <w:t>2021)</w:t>
      </w:r>
    </w:p>
    <w:p w14:paraId="09EB93C1" w14:textId="77777777" w:rsidR="00CD635E" w:rsidRDefault="00CD635E" w:rsidP="00CD635E">
      <w:pPr>
        <w:pStyle w:val="Heading2"/>
      </w:pPr>
      <w:r>
        <w:t>MRLs for different combinations of pesticides and commodities</w:t>
      </w:r>
    </w:p>
    <w:p w14:paraId="2D901773" w14:textId="760BAA1C" w:rsidR="00CD635E" w:rsidRDefault="00CD635E" w:rsidP="00CD635E">
      <w:pPr>
        <w:pStyle w:val="BodyText"/>
      </w:pPr>
      <w:r>
        <w:t>CCPR52 agreed to forward to CAC44</w:t>
      </w:r>
      <w:r w:rsidR="00DD6D66">
        <w:t>,</w:t>
      </w:r>
      <w:r>
        <w:t xml:space="preserve"> MRLs for different combinations of pesticides and commodities for final adoption, and CXLs (Codex Maximum Residue Limit for Pesticide) for </w:t>
      </w:r>
      <w:r>
        <w:lastRenderedPageBreak/>
        <w:t>revocation. CCPR52 also forwarded the revision of the Classification of Food and Feed to CAC44 for final adoption.</w:t>
      </w:r>
    </w:p>
    <w:p w14:paraId="0BE0636F" w14:textId="77777777" w:rsidR="00CD635E" w:rsidRDefault="00CD635E" w:rsidP="00CD635E">
      <w:pPr>
        <w:pStyle w:val="Heading2"/>
      </w:pPr>
      <w:r>
        <w:t>Guidelines for compounds of low public health concerns that may be exempted from the establishment of CXLs or do not give rise to residues</w:t>
      </w:r>
    </w:p>
    <w:p w14:paraId="3A5345D5" w14:textId="6E157942" w:rsidR="00CD635E" w:rsidRDefault="00CD635E" w:rsidP="00CD635E">
      <w:pPr>
        <w:pStyle w:val="BodyText"/>
      </w:pPr>
      <w:r>
        <w:t>CCPR52 agreed to advance the Guidelines for preliminary adoption by CAC44.</w:t>
      </w:r>
    </w:p>
    <w:p w14:paraId="27AAD22C" w14:textId="4CDB0CFD" w:rsidR="00CD635E" w:rsidRDefault="00CD635E" w:rsidP="00CD635E">
      <w:pPr>
        <w:pStyle w:val="BodyText"/>
      </w:pPr>
      <w:r>
        <w:t xml:space="preserve">The report of CCPR52 is available on the Codex </w:t>
      </w:r>
      <w:hyperlink r:id="rId9" w:history="1">
        <w:r w:rsidRPr="00CD635E">
          <w:rPr>
            <w:rStyle w:val="Hyperlink"/>
          </w:rPr>
          <w:t>webpage</w:t>
        </w:r>
      </w:hyperlink>
      <w:r>
        <w:t>.</w:t>
      </w:r>
    </w:p>
    <w:p w14:paraId="5F4DBAFF" w14:textId="1A40F7D9" w:rsidR="00CD635E" w:rsidRDefault="00CD635E" w:rsidP="00CD635E">
      <w:pPr>
        <w:pStyle w:val="Heading2"/>
      </w:pPr>
      <w:r>
        <w:t>52</w:t>
      </w:r>
      <w:r w:rsidRPr="00CD635E">
        <w:rPr>
          <w:vertAlign w:val="superscript"/>
        </w:rPr>
        <w:t>nd</w:t>
      </w:r>
      <w:r>
        <w:t xml:space="preserve"> session of the Codex Committee on Food Additives (CCFA52, 1</w:t>
      </w:r>
      <w:r w:rsidR="00CD3B4C">
        <w:noBreakHyphen/>
      </w:r>
      <w:r>
        <w:t>10</w:t>
      </w:r>
      <w:r w:rsidR="00CD3B4C">
        <w:t> </w:t>
      </w:r>
      <w:r>
        <w:t>September</w:t>
      </w:r>
      <w:r w:rsidR="00CD3B4C">
        <w:t> </w:t>
      </w:r>
      <w:r>
        <w:t>2021)</w:t>
      </w:r>
    </w:p>
    <w:p w14:paraId="440BC0BF" w14:textId="77777777" w:rsidR="00CD635E" w:rsidRDefault="00CD635E" w:rsidP="00CD635E">
      <w:pPr>
        <w:pStyle w:val="Heading3"/>
      </w:pPr>
      <w:r>
        <w:t>Food additive provisions in the General Standard for Food Additives and commodity standards</w:t>
      </w:r>
    </w:p>
    <w:p w14:paraId="11EE3FBF" w14:textId="24B4AC32" w:rsidR="00CD635E" w:rsidRDefault="00CD635E" w:rsidP="00CD635E">
      <w:pPr>
        <w:pStyle w:val="BodyText"/>
      </w:pPr>
      <w:r>
        <w:t>CCFA52 forwarded its work on Specifications for the Identity and Purity of Food Additives; food</w:t>
      </w:r>
      <w:r w:rsidR="00C1036B">
        <w:noBreakHyphen/>
      </w:r>
      <w:r>
        <w:t>additive provisions of the General Standard for Food Additives (GSFA); revision of the Class</w:t>
      </w:r>
      <w:r w:rsidR="00C1036B">
        <w:t> </w:t>
      </w:r>
      <w:r>
        <w:t>Names and the International Numbering System for Food Additives for final adoption. With respect to alignment of food additive provisions, CCFA52 agreed to forward the revised food additives section of several commodity standards and GSFA to CAC44 for adoption.</w:t>
      </w:r>
    </w:p>
    <w:p w14:paraId="7C104C7D" w14:textId="0FE03D79" w:rsidR="00CD635E" w:rsidRDefault="00CD635E" w:rsidP="00CD635E">
      <w:pPr>
        <w:pStyle w:val="BodyText"/>
      </w:pPr>
      <w:r>
        <w:t xml:space="preserve">CCFA52 agreed to include xanthan gum (INS 415) and </w:t>
      </w:r>
      <w:proofErr w:type="spellStart"/>
      <w:r>
        <w:t>pectins</w:t>
      </w:r>
      <w:proofErr w:type="spellEnd"/>
      <w:r>
        <w:t xml:space="preserve"> (INS 440) in FC 13.1.3 "Formulae for special medical purposes for infants</w:t>
      </w:r>
      <w:proofErr w:type="gramStart"/>
      <w:r>
        <w:t>", and</w:t>
      </w:r>
      <w:proofErr w:type="gramEnd"/>
      <w:r>
        <w:t xml:space="preserve"> forward the revised provisions for sweeteners in different food categories in GSFA to CAC44 for adoption.</w:t>
      </w:r>
    </w:p>
    <w:p w14:paraId="185349E7" w14:textId="77777777" w:rsidR="00CD635E" w:rsidRDefault="00CD635E" w:rsidP="00CD635E">
      <w:pPr>
        <w:pStyle w:val="Heading3"/>
      </w:pPr>
      <w:r>
        <w:t>Guideline on avoiding future divergence of food additive provisions in the GSFA with Commodity Standards</w:t>
      </w:r>
    </w:p>
    <w:p w14:paraId="4E46EB60" w14:textId="5724EA84" w:rsidR="00CD635E" w:rsidRDefault="00CD635E" w:rsidP="00CD635E">
      <w:pPr>
        <w:pStyle w:val="BodyText"/>
      </w:pPr>
      <w:r>
        <w:t>CCFA52 agreed to publish on the Codex website the document titled "Guideline on avoiding future divergence of food additive provisions in the GSFA with Commodity Standards" as an information document and inform the corresponding Commodity Committees of this document.</w:t>
      </w:r>
    </w:p>
    <w:p w14:paraId="11C08E28" w14:textId="31800F51" w:rsidR="00CD635E" w:rsidRDefault="00CD635E" w:rsidP="00CD635E">
      <w:pPr>
        <w:pStyle w:val="BodyText"/>
      </w:pPr>
      <w:r>
        <w:t xml:space="preserve">The report of CCFA52 is available on the Codex </w:t>
      </w:r>
      <w:hyperlink r:id="rId10" w:history="1">
        <w:r w:rsidRPr="00CD635E">
          <w:rPr>
            <w:rStyle w:val="Hyperlink"/>
          </w:rPr>
          <w:t>webpage</w:t>
        </w:r>
      </w:hyperlink>
      <w:r>
        <w:t>.</w:t>
      </w:r>
    </w:p>
    <w:p w14:paraId="231A4490" w14:textId="3ED1C221" w:rsidR="00CD635E" w:rsidRDefault="00CD635E" w:rsidP="00CD635E">
      <w:pPr>
        <w:pStyle w:val="Heading2"/>
      </w:pPr>
      <w:r>
        <w:t>46</w:t>
      </w:r>
      <w:r w:rsidRPr="00CD635E">
        <w:rPr>
          <w:vertAlign w:val="superscript"/>
        </w:rPr>
        <w:t>th</w:t>
      </w:r>
      <w:r>
        <w:t xml:space="preserve"> Session of the Codex Committee on Food Labelling (CCFL46, 27</w:t>
      </w:r>
      <w:r w:rsidR="00CD3B4C">
        <w:t> </w:t>
      </w:r>
      <w:r>
        <w:t>September</w:t>
      </w:r>
      <w:r w:rsidR="00CD3B4C">
        <w:noBreakHyphen/>
      </w:r>
      <w:r>
        <w:t>7 October 2021)</w:t>
      </w:r>
    </w:p>
    <w:p w14:paraId="41C50C59" w14:textId="77777777" w:rsidR="00CD635E" w:rsidRDefault="00CD635E" w:rsidP="00CD635E">
      <w:pPr>
        <w:pStyle w:val="Heading3"/>
      </w:pPr>
      <w:r>
        <w:t>Guidance for the Labelling of Non-Retail Containers</w:t>
      </w:r>
    </w:p>
    <w:p w14:paraId="3F778979" w14:textId="77777777" w:rsidR="00CD635E" w:rsidRDefault="00CD635E" w:rsidP="00CD635E">
      <w:pPr>
        <w:pStyle w:val="BodyText"/>
      </w:pPr>
      <w:r>
        <w:t>CCFL46 concluded its work on the Standard for the Labelling of Non-Retail Containers of Foods and forwarded to CAC44 for final adoption.</w:t>
      </w:r>
    </w:p>
    <w:p w14:paraId="67E1CA4F" w14:textId="77777777" w:rsidR="00CD635E" w:rsidRDefault="00CD635E" w:rsidP="00CD635E">
      <w:pPr>
        <w:pStyle w:val="Heading3"/>
      </w:pPr>
      <w:r>
        <w:t>Guidelines on Front-of-Pack Nutrition Labelling</w:t>
      </w:r>
    </w:p>
    <w:p w14:paraId="5C1B335B" w14:textId="7EA0BF1D" w:rsidR="00CD635E" w:rsidRDefault="00CD635E" w:rsidP="00CD635E">
      <w:pPr>
        <w:pStyle w:val="BodyText"/>
      </w:pPr>
      <w:r>
        <w:t>CCFL46 concluded its work on Guidelines on Front-of-Pack Nutrition Labelling and forwarded to CAC44 for final adoption and inclusion as an Annex to the Guidelines on Nutrition Labelling (CXG2</w:t>
      </w:r>
      <w:r>
        <w:noBreakHyphen/>
        <w:t>195).</w:t>
      </w:r>
    </w:p>
    <w:p w14:paraId="1A8E112A" w14:textId="78C904DC" w:rsidR="00CD635E" w:rsidRDefault="00CD635E" w:rsidP="00CD635E">
      <w:pPr>
        <w:pStyle w:val="BodyText"/>
      </w:pPr>
      <w:r>
        <w:t xml:space="preserve">The report of CCFL46 will be made available on the Codex </w:t>
      </w:r>
      <w:hyperlink r:id="rId11" w:history="1">
        <w:r w:rsidRPr="00CD635E">
          <w:rPr>
            <w:rStyle w:val="Hyperlink"/>
          </w:rPr>
          <w:t>webpage</w:t>
        </w:r>
      </w:hyperlink>
      <w:r>
        <w:t xml:space="preserve"> (at the time of submission of this document only the draft report was available on the CCFL46 page).</w:t>
      </w:r>
    </w:p>
    <w:p w14:paraId="57352956" w14:textId="6BFDFC17" w:rsidR="00CD635E" w:rsidRDefault="00CD635E" w:rsidP="00CD635E">
      <w:pPr>
        <w:pStyle w:val="Heading2"/>
      </w:pPr>
      <w:r>
        <w:t>8</w:t>
      </w:r>
      <w:r w:rsidRPr="00CD635E">
        <w:rPr>
          <w:vertAlign w:val="superscript"/>
        </w:rPr>
        <w:t>th</w:t>
      </w:r>
      <w:r>
        <w:t xml:space="preserve"> Session of the Ad hoc Codex Intergovernmental Task Force on Antimicrobial Resistance (TFAMR8, 4-16 October 2021)</w:t>
      </w:r>
    </w:p>
    <w:p w14:paraId="2D7FA11C" w14:textId="77777777" w:rsidR="00CD635E" w:rsidRDefault="00CD635E" w:rsidP="00CD635E">
      <w:pPr>
        <w:pStyle w:val="Heading3"/>
      </w:pPr>
      <w:r>
        <w:t>Revision of the Code of practice to minimize and contain foodborne AMR</w:t>
      </w:r>
    </w:p>
    <w:p w14:paraId="145472FC" w14:textId="77777777" w:rsidR="00CD635E" w:rsidRDefault="00CD635E" w:rsidP="00CD635E">
      <w:pPr>
        <w:pStyle w:val="BodyText"/>
      </w:pPr>
      <w:r>
        <w:t>TFAMR8 concluded its work on the revision of the Code of Practice to Minimize and Contain Foodborne Antimicrobial Resistance (CXC 61-2005) and forwarded to CAC44 for final adoption.</w:t>
      </w:r>
    </w:p>
    <w:p w14:paraId="06CBEFCA" w14:textId="77777777" w:rsidR="00CD635E" w:rsidRDefault="00CD635E" w:rsidP="00CD635E">
      <w:pPr>
        <w:pStyle w:val="Heading3"/>
      </w:pPr>
      <w:r>
        <w:lastRenderedPageBreak/>
        <w:t>Guidelines on integrated monitoring and surveillance of foodborne antimicrobial resistance</w:t>
      </w:r>
    </w:p>
    <w:p w14:paraId="58BABB60" w14:textId="48D9B836" w:rsidR="00CD635E" w:rsidRDefault="00CD635E" w:rsidP="00CD635E">
      <w:pPr>
        <w:pStyle w:val="BodyText"/>
      </w:pPr>
      <w:r>
        <w:t xml:space="preserve">TFAMR8 concluded its work on the Proposed </w:t>
      </w:r>
      <w:r w:rsidR="00DA1565">
        <w:t>D</w:t>
      </w:r>
      <w:r>
        <w:t>raft Guidelines on Integrated Monitoring and Surveillance of Foodborne Antimicrobial Resistance and</w:t>
      </w:r>
      <w:r w:rsidR="00A03EED">
        <w:t xml:space="preserve"> was</w:t>
      </w:r>
      <w:r>
        <w:t xml:space="preserve"> forwarded to CAC44 for final adoption.</w:t>
      </w:r>
    </w:p>
    <w:p w14:paraId="0EB3250C" w14:textId="5747D8E1" w:rsidR="00CD635E" w:rsidRDefault="00CD635E" w:rsidP="00CD635E">
      <w:pPr>
        <w:pStyle w:val="BodyText"/>
      </w:pPr>
      <w:r>
        <w:t xml:space="preserve">The draft report of TFAMR8 will be made available on the Codex </w:t>
      </w:r>
      <w:hyperlink r:id="rId12" w:history="1">
        <w:r w:rsidRPr="00CD635E">
          <w:rPr>
            <w:rStyle w:val="Hyperlink"/>
          </w:rPr>
          <w:t>webpage</w:t>
        </w:r>
      </w:hyperlink>
      <w:r>
        <w:t xml:space="preserve"> (at the time of submission of this document only the draft report was available on the TFAMR8 page).</w:t>
      </w:r>
    </w:p>
    <w:p w14:paraId="09A108AA" w14:textId="114C9C97" w:rsidR="00CD635E" w:rsidRDefault="00CD635E" w:rsidP="00CD635E">
      <w:pPr>
        <w:pStyle w:val="Heading1"/>
      </w:pPr>
      <w:r>
        <w:t>OTHER CODEX EVENTS</w:t>
      </w:r>
    </w:p>
    <w:p w14:paraId="01D62A4B" w14:textId="0AC6048A" w:rsidR="00CD635E" w:rsidRDefault="00CD635E" w:rsidP="00CD635E">
      <w:pPr>
        <w:pStyle w:val="BodyText"/>
      </w:pPr>
      <w:r>
        <w:t>Several virtual working group meetings and webinars in support of upcoming sessions of Codex subsidiary bodies were held to support delegations' preparations and facilitate discussions and consensus-building:</w:t>
      </w:r>
    </w:p>
    <w:p w14:paraId="10212C22" w14:textId="39137F3B" w:rsidR="00CD635E" w:rsidRPr="00CD635E" w:rsidRDefault="00CD635E" w:rsidP="00CD635E">
      <w:pPr>
        <w:pStyle w:val="ListParagraph"/>
        <w:numPr>
          <w:ilvl w:val="0"/>
          <w:numId w:val="11"/>
        </w:numPr>
      </w:pPr>
      <w:r>
        <w:t xml:space="preserve">Codex Committee on </w:t>
      </w:r>
      <w:r w:rsidRPr="00CD635E">
        <w:t xml:space="preserve">Residues of Veterinary Drugs in Foods (CCRVDF) Working Group on Priority List of Veterinary Drugs for Evaluation / Re-Evaluation by the Joint FAO/WHO Expert Committee on Food Additives (JECFA), 6 July </w:t>
      </w:r>
      <w:proofErr w:type="gramStart"/>
      <w:r w:rsidRPr="00CD635E">
        <w:t>2021</w:t>
      </w:r>
      <w:r>
        <w:t>;</w:t>
      </w:r>
      <w:proofErr w:type="gramEnd"/>
    </w:p>
    <w:p w14:paraId="63A6C043" w14:textId="2E6F2A96" w:rsidR="00CD635E" w:rsidRPr="00CD635E" w:rsidRDefault="00CD635E" w:rsidP="00CD635E">
      <w:pPr>
        <w:pStyle w:val="ListParagraph"/>
        <w:numPr>
          <w:ilvl w:val="0"/>
          <w:numId w:val="11"/>
        </w:numPr>
      </w:pPr>
      <w:r w:rsidRPr="00CD635E">
        <w:t xml:space="preserve">Codex Committee on Pesticide Residues (CCPR) Working Groups on Revision of the Classification of Food and Feed, Review of the IESTI Equations, and Compounds of low public health concerns that may be exempted from the establishment of CXLs or do not give rise to residues, 22–23 July </w:t>
      </w:r>
      <w:proofErr w:type="gramStart"/>
      <w:r w:rsidRPr="00CD635E">
        <w:t>2021</w:t>
      </w:r>
      <w:r>
        <w:t>;</w:t>
      </w:r>
      <w:proofErr w:type="gramEnd"/>
    </w:p>
    <w:p w14:paraId="0F2AA5C1" w14:textId="5D027457" w:rsidR="00CD635E" w:rsidRPr="00CD635E" w:rsidRDefault="00CD635E" w:rsidP="00CD635E">
      <w:pPr>
        <w:pStyle w:val="ListParagraph"/>
        <w:numPr>
          <w:ilvl w:val="0"/>
          <w:numId w:val="11"/>
        </w:numPr>
        <w:spacing w:after="240"/>
        <w:ind w:left="714" w:hanging="357"/>
      </w:pPr>
      <w:r w:rsidRPr="00CD635E">
        <w:t>Codex Committee on Food Labelling (CCFL) Working Group on Front of Pack Nutrition Labelling (FOPNL), 21–22 September 2021</w:t>
      </w:r>
      <w:r>
        <w:t>.</w:t>
      </w:r>
    </w:p>
    <w:p w14:paraId="7225A7AA" w14:textId="77777777" w:rsidR="00CD635E" w:rsidRDefault="00CD635E" w:rsidP="00CD635E">
      <w:pPr>
        <w:pStyle w:val="Heading1"/>
      </w:pPr>
      <w:r>
        <w:t>FORTHCOMING CODEX MEETINGS</w:t>
      </w:r>
    </w:p>
    <w:p w14:paraId="299E1AB2" w14:textId="148E8E23" w:rsidR="00CD635E" w:rsidRPr="00CD635E" w:rsidRDefault="00241BBF" w:rsidP="00CD635E">
      <w:pPr>
        <w:pStyle w:val="ListParagraph"/>
        <w:numPr>
          <w:ilvl w:val="0"/>
          <w:numId w:val="10"/>
        </w:numPr>
      </w:pPr>
      <w:hyperlink r:id="rId13" w:history="1">
        <w:r w:rsidR="00CD635E" w:rsidRPr="00CD635E">
          <w:rPr>
            <w:rStyle w:val="Hyperlink"/>
          </w:rPr>
          <w:t>81</w:t>
        </w:r>
        <w:r w:rsidR="00CD635E" w:rsidRPr="00CD635E">
          <w:rPr>
            <w:rStyle w:val="Hyperlink"/>
            <w:vertAlign w:val="superscript"/>
          </w:rPr>
          <w:t>st</w:t>
        </w:r>
        <w:r w:rsidR="00CD635E" w:rsidRPr="00CD635E">
          <w:rPr>
            <w:rStyle w:val="Hyperlink"/>
          </w:rPr>
          <w:t xml:space="preserve"> Session of the Executive Committee of the Codex Alimentarius Commission</w:t>
        </w:r>
      </w:hyperlink>
      <w:r w:rsidR="00CD635E" w:rsidRPr="00CD635E">
        <w:t xml:space="preserve"> (28</w:t>
      </w:r>
      <w:r w:rsidR="00CD3B4C">
        <w:t> </w:t>
      </w:r>
      <w:r w:rsidR="00CD635E" w:rsidRPr="00CD635E">
        <w:t>October</w:t>
      </w:r>
      <w:r w:rsidR="00CD3B4C">
        <w:noBreakHyphen/>
      </w:r>
      <w:r w:rsidR="00CD635E" w:rsidRPr="00CD635E">
        <w:t>5 November 2021</w:t>
      </w:r>
      <w:proofErr w:type="gramStart"/>
      <w:r w:rsidR="00CD635E" w:rsidRPr="00CD635E">
        <w:t>)</w:t>
      </w:r>
      <w:r w:rsidR="00CD635E">
        <w:t>;</w:t>
      </w:r>
      <w:proofErr w:type="gramEnd"/>
    </w:p>
    <w:p w14:paraId="3172F4E8" w14:textId="3108832E" w:rsidR="00CD635E" w:rsidRPr="00CD635E" w:rsidRDefault="00241BBF" w:rsidP="00CD635E">
      <w:pPr>
        <w:pStyle w:val="ListParagraph"/>
        <w:numPr>
          <w:ilvl w:val="0"/>
          <w:numId w:val="10"/>
        </w:numPr>
      </w:pPr>
      <w:hyperlink r:id="rId14" w:history="1">
        <w:r w:rsidR="00CD635E" w:rsidRPr="00CD635E">
          <w:rPr>
            <w:rStyle w:val="Hyperlink"/>
          </w:rPr>
          <w:t>44</w:t>
        </w:r>
        <w:r w:rsidR="00CD635E" w:rsidRPr="00CD635E">
          <w:rPr>
            <w:rStyle w:val="Hyperlink"/>
            <w:vertAlign w:val="superscript"/>
          </w:rPr>
          <w:t>th</w:t>
        </w:r>
        <w:r w:rsidR="00CD635E" w:rsidRPr="00CD635E">
          <w:rPr>
            <w:rStyle w:val="Hyperlink"/>
          </w:rPr>
          <w:t xml:space="preserve"> Session of the Codex Alimentarius Commission</w:t>
        </w:r>
      </w:hyperlink>
      <w:r w:rsidR="00CD635E" w:rsidRPr="00CD635E">
        <w:t xml:space="preserve"> (8–18 November 2021</w:t>
      </w:r>
      <w:proofErr w:type="gramStart"/>
      <w:r w:rsidR="00CD635E" w:rsidRPr="00CD635E">
        <w:t>)</w:t>
      </w:r>
      <w:r w:rsidR="00CD635E">
        <w:t>;</w:t>
      </w:r>
      <w:proofErr w:type="gramEnd"/>
    </w:p>
    <w:p w14:paraId="222A44BF" w14:textId="3BEF9A66" w:rsidR="00CD635E" w:rsidRPr="00CD635E" w:rsidRDefault="00241BBF" w:rsidP="00CD635E">
      <w:pPr>
        <w:pStyle w:val="ListParagraph"/>
        <w:numPr>
          <w:ilvl w:val="0"/>
          <w:numId w:val="10"/>
        </w:numPr>
        <w:spacing w:after="240"/>
        <w:ind w:left="714" w:hanging="357"/>
      </w:pPr>
      <w:hyperlink r:id="rId15" w:history="1">
        <w:r w:rsidR="00CD635E" w:rsidRPr="00CD635E">
          <w:rPr>
            <w:rStyle w:val="Hyperlink"/>
          </w:rPr>
          <w:t>42</w:t>
        </w:r>
        <w:r w:rsidR="00CD635E" w:rsidRPr="00CD635E">
          <w:rPr>
            <w:rStyle w:val="Hyperlink"/>
            <w:vertAlign w:val="superscript"/>
          </w:rPr>
          <w:t>nd</w:t>
        </w:r>
        <w:r w:rsidR="00CD635E" w:rsidRPr="00CD635E">
          <w:rPr>
            <w:rStyle w:val="Hyperlink"/>
          </w:rPr>
          <w:t xml:space="preserve"> </w:t>
        </w:r>
        <w:r w:rsidR="008333EE">
          <w:rPr>
            <w:rStyle w:val="Hyperlink"/>
          </w:rPr>
          <w:t>S</w:t>
        </w:r>
        <w:r w:rsidR="00CD635E" w:rsidRPr="00CD635E">
          <w:rPr>
            <w:rStyle w:val="Hyperlink"/>
          </w:rPr>
          <w:t>ession of the Codex Committee on Nutrition and Foods for Special Dietary Uses</w:t>
        </w:r>
      </w:hyperlink>
      <w:r w:rsidR="00CD635E" w:rsidRPr="00CD635E">
        <w:t xml:space="preserve"> (19</w:t>
      </w:r>
      <w:r w:rsidR="00CD635E">
        <w:t> </w:t>
      </w:r>
      <w:r w:rsidR="00CD635E" w:rsidRPr="00CD635E">
        <w:t>November-1 December 2021)</w:t>
      </w:r>
      <w:r w:rsidR="00CD635E">
        <w:t>.</w:t>
      </w:r>
    </w:p>
    <w:p w14:paraId="4A9C0C68" w14:textId="5A4A0342" w:rsidR="00CD635E" w:rsidRDefault="00CD635E" w:rsidP="00CD635E">
      <w:pPr>
        <w:pStyle w:val="BodyText"/>
      </w:pPr>
      <w:r>
        <w:t xml:space="preserve">Regular updates on the status of work of these Committees are published on their dedicated webpages on the </w:t>
      </w:r>
      <w:hyperlink r:id="rId16" w:history="1">
        <w:r w:rsidRPr="00CD635E">
          <w:rPr>
            <w:rStyle w:val="Hyperlink"/>
          </w:rPr>
          <w:t>Codex website</w:t>
        </w:r>
      </w:hyperlink>
      <w:r>
        <w:t xml:space="preserve">. For specific questions on the status of work in Codex committees of interest to SPS delegates please check the dedicated webpages or send an email to </w:t>
      </w:r>
      <w:hyperlink r:id="rId17" w:history="1">
        <w:r w:rsidRPr="009643A2">
          <w:rPr>
            <w:rStyle w:val="Hyperlink"/>
          </w:rPr>
          <w:t>codex@fao.org</w:t>
        </w:r>
      </w:hyperlink>
      <w:r>
        <w:t>.</w:t>
      </w:r>
    </w:p>
    <w:p w14:paraId="76C5E97A" w14:textId="1FFF052B" w:rsidR="00CD635E" w:rsidRPr="00CD635E" w:rsidRDefault="00CD635E" w:rsidP="00CD635E">
      <w:pPr>
        <w:pStyle w:val="BodyText"/>
      </w:pPr>
      <w:r>
        <w:t xml:space="preserve">The Codex </w:t>
      </w:r>
      <w:r w:rsidR="008333EE">
        <w:t>s</w:t>
      </w:r>
      <w:r>
        <w:t xml:space="preserve">ecretariat in collaboration with host secretariats and working group leads are continuing to convene working group meetings and webinars in advance of Codex subsidiary sessions to support delegations' </w:t>
      </w:r>
      <w:proofErr w:type="gramStart"/>
      <w:r>
        <w:t>preparations</w:t>
      </w:r>
      <w:r w:rsidR="00DA1565">
        <w:t>,</w:t>
      </w:r>
      <w:r>
        <w:t xml:space="preserve"> and</w:t>
      </w:r>
      <w:proofErr w:type="gramEnd"/>
      <w:r>
        <w:t xml:space="preserve"> facilitate discussions and consensus-building. Further</w:t>
      </w:r>
      <w:r w:rsidR="00C1036B">
        <w:t> </w:t>
      </w:r>
      <w:r>
        <w:t xml:space="preserve">information is available on the Committee webpages and the Codex </w:t>
      </w:r>
      <w:hyperlink r:id="rId18" w:history="1">
        <w:r w:rsidRPr="00CD635E">
          <w:rPr>
            <w:rStyle w:val="Hyperlink"/>
          </w:rPr>
          <w:t>calendar</w:t>
        </w:r>
      </w:hyperlink>
      <w:r>
        <w:t>.</w:t>
      </w:r>
    </w:p>
    <w:p w14:paraId="5269B49F" w14:textId="3C4309CF" w:rsidR="009955A4" w:rsidRDefault="009955A4" w:rsidP="009955A4"/>
    <w:p w14:paraId="72DC2010" w14:textId="01C70C2A" w:rsidR="009955A4" w:rsidRPr="009955A4" w:rsidRDefault="009955A4" w:rsidP="009955A4">
      <w:pPr>
        <w:jc w:val="center"/>
      </w:pPr>
      <w:r>
        <w:rPr>
          <w:b/>
        </w:rPr>
        <w:t>__________</w:t>
      </w:r>
    </w:p>
    <w:sectPr w:rsidR="009955A4" w:rsidRPr="009955A4" w:rsidSect="00BA7104">
      <w:headerReference w:type="even" r:id="rId19"/>
      <w:headerReference w:type="default" r:id="rId20"/>
      <w:footerReference w:type="even" r:id="rId21"/>
      <w:footerReference w:type="default" r:id="rId22"/>
      <w:head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CB47" w14:textId="77777777" w:rsidR="001E3F35" w:rsidRDefault="001E3F35" w:rsidP="00ED54E0">
      <w:r>
        <w:separator/>
      </w:r>
    </w:p>
  </w:endnote>
  <w:endnote w:type="continuationSeparator" w:id="0">
    <w:p w14:paraId="35585EB9" w14:textId="77777777" w:rsidR="001E3F35" w:rsidRDefault="001E3F3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F3AE" w14:textId="348EAC3F" w:rsidR="00544326" w:rsidRPr="00540DFF" w:rsidRDefault="00540DFF" w:rsidP="00540D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D0EE" w14:textId="515FB1D4" w:rsidR="00544326" w:rsidRPr="00540DFF" w:rsidRDefault="00540DFF" w:rsidP="00540DF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F325" w14:textId="77777777" w:rsidR="001E3F35" w:rsidRDefault="001E3F35" w:rsidP="00ED54E0">
      <w:r>
        <w:separator/>
      </w:r>
    </w:p>
  </w:footnote>
  <w:footnote w:type="continuationSeparator" w:id="0">
    <w:p w14:paraId="08B6E1FA" w14:textId="77777777" w:rsidR="001E3F35" w:rsidRDefault="001E3F3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13BE" w14:textId="77777777" w:rsidR="00540DFF" w:rsidRPr="00540DFF" w:rsidRDefault="00540DFF" w:rsidP="00540DFF">
    <w:pPr>
      <w:pStyle w:val="Header"/>
      <w:pBdr>
        <w:bottom w:val="single" w:sz="4" w:space="1" w:color="auto"/>
      </w:pBdr>
      <w:tabs>
        <w:tab w:val="clear" w:pos="4513"/>
        <w:tab w:val="clear" w:pos="9027"/>
      </w:tabs>
      <w:jc w:val="center"/>
    </w:pPr>
    <w:r w:rsidRPr="00540DFF">
      <w:t>G/SPS/GEN/1964</w:t>
    </w:r>
  </w:p>
  <w:p w14:paraId="7D46710E" w14:textId="77777777" w:rsidR="00540DFF" w:rsidRPr="00540DFF" w:rsidRDefault="00540DFF" w:rsidP="00540DFF">
    <w:pPr>
      <w:pStyle w:val="Header"/>
      <w:pBdr>
        <w:bottom w:val="single" w:sz="4" w:space="1" w:color="auto"/>
      </w:pBdr>
      <w:tabs>
        <w:tab w:val="clear" w:pos="4513"/>
        <w:tab w:val="clear" w:pos="9027"/>
      </w:tabs>
      <w:jc w:val="center"/>
    </w:pPr>
  </w:p>
  <w:p w14:paraId="67FD3A73" w14:textId="78CA204F" w:rsidR="00540DFF" w:rsidRPr="00540DFF" w:rsidRDefault="00540DFF" w:rsidP="00540DFF">
    <w:pPr>
      <w:pStyle w:val="Header"/>
      <w:pBdr>
        <w:bottom w:val="single" w:sz="4" w:space="1" w:color="auto"/>
      </w:pBdr>
      <w:tabs>
        <w:tab w:val="clear" w:pos="4513"/>
        <w:tab w:val="clear" w:pos="9027"/>
      </w:tabs>
      <w:jc w:val="center"/>
    </w:pPr>
    <w:r w:rsidRPr="00540DFF">
      <w:t xml:space="preserve">- </w:t>
    </w:r>
    <w:r w:rsidRPr="00540DFF">
      <w:fldChar w:fldCharType="begin"/>
    </w:r>
    <w:r w:rsidRPr="00540DFF">
      <w:instrText xml:space="preserve"> PAGE </w:instrText>
    </w:r>
    <w:r w:rsidRPr="00540DFF">
      <w:fldChar w:fldCharType="separate"/>
    </w:r>
    <w:r w:rsidRPr="00540DFF">
      <w:rPr>
        <w:noProof/>
      </w:rPr>
      <w:t>2</w:t>
    </w:r>
    <w:r w:rsidRPr="00540DFF">
      <w:fldChar w:fldCharType="end"/>
    </w:r>
    <w:r w:rsidRPr="00540DFF">
      <w:t xml:space="preserve"> -</w:t>
    </w:r>
  </w:p>
  <w:p w14:paraId="6AD3CE8F" w14:textId="520369C3" w:rsidR="00544326" w:rsidRPr="00540DFF" w:rsidRDefault="00544326" w:rsidP="00540D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41D1" w14:textId="77777777" w:rsidR="00540DFF" w:rsidRPr="00540DFF" w:rsidRDefault="00540DFF" w:rsidP="00540DFF">
    <w:pPr>
      <w:pStyle w:val="Header"/>
      <w:pBdr>
        <w:bottom w:val="single" w:sz="4" w:space="1" w:color="auto"/>
      </w:pBdr>
      <w:tabs>
        <w:tab w:val="clear" w:pos="4513"/>
        <w:tab w:val="clear" w:pos="9027"/>
      </w:tabs>
      <w:jc w:val="center"/>
    </w:pPr>
    <w:r w:rsidRPr="00540DFF">
      <w:t>G/SPS/GEN/1964</w:t>
    </w:r>
  </w:p>
  <w:p w14:paraId="048DE128" w14:textId="77777777" w:rsidR="00540DFF" w:rsidRPr="00540DFF" w:rsidRDefault="00540DFF" w:rsidP="00540DFF">
    <w:pPr>
      <w:pStyle w:val="Header"/>
      <w:pBdr>
        <w:bottom w:val="single" w:sz="4" w:space="1" w:color="auto"/>
      </w:pBdr>
      <w:tabs>
        <w:tab w:val="clear" w:pos="4513"/>
        <w:tab w:val="clear" w:pos="9027"/>
      </w:tabs>
      <w:jc w:val="center"/>
    </w:pPr>
  </w:p>
  <w:p w14:paraId="2CAC3159" w14:textId="147FC3F9" w:rsidR="00540DFF" w:rsidRPr="00540DFF" w:rsidRDefault="00540DFF" w:rsidP="00540DFF">
    <w:pPr>
      <w:pStyle w:val="Header"/>
      <w:pBdr>
        <w:bottom w:val="single" w:sz="4" w:space="1" w:color="auto"/>
      </w:pBdr>
      <w:tabs>
        <w:tab w:val="clear" w:pos="4513"/>
        <w:tab w:val="clear" w:pos="9027"/>
      </w:tabs>
      <w:jc w:val="center"/>
    </w:pPr>
    <w:r w:rsidRPr="00540DFF">
      <w:t xml:space="preserve">- </w:t>
    </w:r>
    <w:r w:rsidRPr="00540DFF">
      <w:fldChar w:fldCharType="begin"/>
    </w:r>
    <w:r w:rsidRPr="00540DFF">
      <w:instrText xml:space="preserve"> PAGE </w:instrText>
    </w:r>
    <w:r w:rsidRPr="00540DFF">
      <w:fldChar w:fldCharType="separate"/>
    </w:r>
    <w:r w:rsidRPr="00540DFF">
      <w:rPr>
        <w:noProof/>
      </w:rPr>
      <w:t>3</w:t>
    </w:r>
    <w:r w:rsidRPr="00540DFF">
      <w:fldChar w:fldCharType="end"/>
    </w:r>
    <w:r w:rsidRPr="00540DFF">
      <w:t xml:space="preserve"> -</w:t>
    </w:r>
  </w:p>
  <w:p w14:paraId="3877B804" w14:textId="6072BC3C" w:rsidR="00544326" w:rsidRPr="00540DFF" w:rsidRDefault="00544326" w:rsidP="00540D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9FBD37A" w14:textId="77777777" w:rsidTr="00544326">
      <w:trPr>
        <w:trHeight w:val="240"/>
        <w:jc w:val="center"/>
      </w:trPr>
      <w:tc>
        <w:tcPr>
          <w:tcW w:w="3794" w:type="dxa"/>
          <w:shd w:val="clear" w:color="auto" w:fill="FFFFFF"/>
          <w:tcMar>
            <w:left w:w="108" w:type="dxa"/>
            <w:right w:w="108" w:type="dxa"/>
          </w:tcMar>
          <w:vAlign w:val="center"/>
        </w:tcPr>
        <w:p w14:paraId="6C4AB697"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94BBF70" w14:textId="0B5880C6" w:rsidR="00ED54E0" w:rsidRPr="00182B84" w:rsidRDefault="00BA7104" w:rsidP="00425DC5">
          <w:pPr>
            <w:jc w:val="right"/>
            <w:rPr>
              <w:b/>
              <w:color w:val="FF0000"/>
              <w:szCs w:val="16"/>
            </w:rPr>
          </w:pPr>
          <w:bookmarkStart w:id="0" w:name="bmkRestricted"/>
          <w:r>
            <w:rPr>
              <w:b/>
              <w:color w:val="FF0000"/>
              <w:szCs w:val="16"/>
            </w:rPr>
            <w:t xml:space="preserve"> </w:t>
          </w:r>
          <w:bookmarkEnd w:id="0"/>
        </w:p>
      </w:tc>
    </w:tr>
    <w:tr w:rsidR="00ED54E0" w:rsidRPr="00182B84" w14:paraId="238E87CA" w14:textId="77777777" w:rsidTr="00544326">
      <w:trPr>
        <w:trHeight w:val="213"/>
        <w:jc w:val="center"/>
      </w:trPr>
      <w:tc>
        <w:tcPr>
          <w:tcW w:w="3794" w:type="dxa"/>
          <w:vMerge w:val="restart"/>
          <w:shd w:val="clear" w:color="auto" w:fill="FFFFFF"/>
          <w:tcMar>
            <w:left w:w="0" w:type="dxa"/>
            <w:right w:w="0" w:type="dxa"/>
          </w:tcMar>
        </w:tcPr>
        <w:p w14:paraId="0CECB41C" w14:textId="77777777" w:rsidR="00ED54E0" w:rsidRPr="00182B84" w:rsidRDefault="00ED54E0" w:rsidP="00425DC5">
          <w:pPr>
            <w:jc w:val="left"/>
          </w:pPr>
          <w:r w:rsidRPr="00182B84">
            <w:rPr>
              <w:noProof/>
              <w:lang w:val="en-US"/>
            </w:rPr>
            <w:drawing>
              <wp:inline distT="0" distB="0" distL="0" distR="0" wp14:anchorId="5E609FD9" wp14:editId="3BE11F4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C63FE8" w14:textId="77777777" w:rsidR="00ED54E0" w:rsidRPr="00182B84" w:rsidRDefault="00ED54E0" w:rsidP="00425DC5">
          <w:pPr>
            <w:jc w:val="right"/>
            <w:rPr>
              <w:b/>
              <w:szCs w:val="16"/>
            </w:rPr>
          </w:pPr>
        </w:p>
      </w:tc>
    </w:tr>
    <w:tr w:rsidR="00ED54E0" w:rsidRPr="00182B84" w14:paraId="66EA11D8" w14:textId="77777777" w:rsidTr="00544326">
      <w:trPr>
        <w:trHeight w:val="868"/>
        <w:jc w:val="center"/>
      </w:trPr>
      <w:tc>
        <w:tcPr>
          <w:tcW w:w="3794" w:type="dxa"/>
          <w:vMerge/>
          <w:shd w:val="clear" w:color="auto" w:fill="FFFFFF"/>
          <w:tcMar>
            <w:left w:w="108" w:type="dxa"/>
            <w:right w:w="108" w:type="dxa"/>
          </w:tcMar>
        </w:tcPr>
        <w:p w14:paraId="2DFC286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B757F65" w14:textId="77777777" w:rsidR="00BA7104" w:rsidRDefault="00BA7104" w:rsidP="00425DC5">
          <w:pPr>
            <w:jc w:val="right"/>
            <w:rPr>
              <w:b/>
              <w:szCs w:val="16"/>
            </w:rPr>
          </w:pPr>
          <w:bookmarkStart w:id="1" w:name="bmkSymbols"/>
          <w:r>
            <w:rPr>
              <w:b/>
              <w:szCs w:val="16"/>
            </w:rPr>
            <w:t>G/SPS/GEN/1964</w:t>
          </w:r>
        </w:p>
        <w:bookmarkEnd w:id="1"/>
        <w:p w14:paraId="62EADB40" w14:textId="61B19D9A" w:rsidR="00ED54E0" w:rsidRPr="00182B84" w:rsidRDefault="00ED54E0" w:rsidP="00425DC5">
          <w:pPr>
            <w:jc w:val="right"/>
            <w:rPr>
              <w:b/>
              <w:szCs w:val="16"/>
            </w:rPr>
          </w:pPr>
        </w:p>
      </w:tc>
    </w:tr>
    <w:tr w:rsidR="00ED54E0" w:rsidRPr="00182B84" w14:paraId="5D6C741B" w14:textId="77777777" w:rsidTr="00544326">
      <w:trPr>
        <w:trHeight w:val="240"/>
        <w:jc w:val="center"/>
      </w:trPr>
      <w:tc>
        <w:tcPr>
          <w:tcW w:w="3794" w:type="dxa"/>
          <w:vMerge/>
          <w:shd w:val="clear" w:color="auto" w:fill="FFFFFF"/>
          <w:tcMar>
            <w:left w:w="108" w:type="dxa"/>
            <w:right w:w="108" w:type="dxa"/>
          </w:tcMar>
          <w:vAlign w:val="center"/>
        </w:tcPr>
        <w:p w14:paraId="3CBB8561" w14:textId="77777777" w:rsidR="00ED54E0" w:rsidRPr="00182B84" w:rsidRDefault="00ED54E0" w:rsidP="00425DC5"/>
      </w:tc>
      <w:tc>
        <w:tcPr>
          <w:tcW w:w="5448" w:type="dxa"/>
          <w:gridSpan w:val="2"/>
          <w:shd w:val="clear" w:color="auto" w:fill="FFFFFF"/>
          <w:tcMar>
            <w:left w:w="108" w:type="dxa"/>
            <w:right w:w="108" w:type="dxa"/>
          </w:tcMar>
          <w:vAlign w:val="center"/>
        </w:tcPr>
        <w:p w14:paraId="00F8A206" w14:textId="685B6601" w:rsidR="00ED54E0" w:rsidRPr="00182B84" w:rsidRDefault="00CD635E" w:rsidP="00425DC5">
          <w:pPr>
            <w:jc w:val="right"/>
            <w:rPr>
              <w:szCs w:val="16"/>
            </w:rPr>
          </w:pPr>
          <w:r>
            <w:rPr>
              <w:szCs w:val="16"/>
            </w:rPr>
            <w:t>15</w:t>
          </w:r>
          <w:r w:rsidR="00D02384">
            <w:rPr>
              <w:szCs w:val="16"/>
            </w:rPr>
            <w:t xml:space="preserve"> </w:t>
          </w:r>
          <w:r w:rsidR="000D202A">
            <w:rPr>
              <w:szCs w:val="16"/>
            </w:rPr>
            <w:t>October</w:t>
          </w:r>
          <w:r w:rsidR="009777C3">
            <w:rPr>
              <w:szCs w:val="16"/>
            </w:rPr>
            <w:t xml:space="preserve"> </w:t>
          </w:r>
          <w:r w:rsidR="00C8080C">
            <w:rPr>
              <w:szCs w:val="16"/>
            </w:rPr>
            <w:t>20</w:t>
          </w:r>
          <w:r w:rsidR="00F46B2A">
            <w:rPr>
              <w:szCs w:val="16"/>
            </w:rPr>
            <w:t>2</w:t>
          </w:r>
          <w:r w:rsidR="009777C3">
            <w:rPr>
              <w:szCs w:val="16"/>
            </w:rPr>
            <w:t>1</w:t>
          </w:r>
        </w:p>
      </w:tc>
    </w:tr>
    <w:tr w:rsidR="00ED54E0" w:rsidRPr="00182B84" w14:paraId="2CA06B5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AF04EE" w14:textId="0DD682FF" w:rsidR="00ED54E0" w:rsidRPr="00182B84" w:rsidRDefault="00ED54E0" w:rsidP="0068561F">
          <w:pPr>
            <w:jc w:val="left"/>
            <w:rPr>
              <w:b/>
            </w:rPr>
          </w:pPr>
          <w:bookmarkStart w:id="2" w:name="bmkSerial" w:colFirst="0" w:colLast="0"/>
          <w:r w:rsidRPr="00182B84">
            <w:rPr>
              <w:color w:val="FF0000"/>
              <w:szCs w:val="16"/>
            </w:rPr>
            <w:t>(</w:t>
          </w:r>
          <w:r w:rsidR="00F46B2A">
            <w:rPr>
              <w:color w:val="FF0000"/>
              <w:szCs w:val="16"/>
            </w:rPr>
            <w:t>2</w:t>
          </w:r>
          <w:r w:rsidR="009777C3">
            <w:rPr>
              <w:color w:val="FF0000"/>
              <w:szCs w:val="16"/>
            </w:rPr>
            <w:t>1</w:t>
          </w:r>
          <w:r w:rsidRPr="00182B84">
            <w:rPr>
              <w:color w:val="FF0000"/>
              <w:szCs w:val="16"/>
            </w:rPr>
            <w:t>-</w:t>
          </w:r>
          <w:r w:rsidR="00241BBF">
            <w:rPr>
              <w:color w:val="FF0000"/>
              <w:szCs w:val="16"/>
            </w:rPr>
            <w:t>7828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95CEA96"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D480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D480C">
            <w:rPr>
              <w:bCs/>
              <w:noProof/>
              <w:szCs w:val="16"/>
            </w:rPr>
            <w:t>3</w:t>
          </w:r>
          <w:r w:rsidRPr="00182B84">
            <w:rPr>
              <w:bCs/>
              <w:szCs w:val="16"/>
            </w:rPr>
            <w:fldChar w:fldCharType="end"/>
          </w:r>
          <w:bookmarkEnd w:id="3"/>
        </w:p>
      </w:tc>
    </w:tr>
    <w:tr w:rsidR="00ED54E0" w:rsidRPr="00182B84" w14:paraId="38480C0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41A857" w14:textId="0873F701" w:rsidR="00ED54E0" w:rsidRPr="00182B84" w:rsidRDefault="00BA7104" w:rsidP="00425DC5">
          <w:pPr>
            <w:jc w:val="left"/>
            <w:rPr>
              <w:sz w:val="14"/>
              <w:szCs w:val="16"/>
            </w:rPr>
          </w:pPr>
          <w:bookmarkStart w:id="4" w:name="bmkCommittee"/>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6EE3E7FF" w14:textId="67431269" w:rsidR="00ED54E0" w:rsidRPr="00182B84" w:rsidRDefault="00BA7104" w:rsidP="00425DC5">
          <w:pPr>
            <w:jc w:val="right"/>
            <w:rPr>
              <w:bCs/>
              <w:szCs w:val="18"/>
            </w:rPr>
          </w:pPr>
          <w:bookmarkStart w:id="5" w:name="bmkLanguage"/>
          <w:r>
            <w:rPr>
              <w:szCs w:val="18"/>
            </w:rPr>
            <w:t>Original: English</w:t>
          </w:r>
          <w:bookmarkEnd w:id="5"/>
        </w:p>
      </w:tc>
    </w:tr>
  </w:tbl>
  <w:p w14:paraId="3F028C6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4710798"/>
    <w:multiLevelType w:val="multilevel"/>
    <w:tmpl w:val="7FE8638A"/>
    <w:name w:val="WTO2012Leg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142"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rPr>
        <w:rFonts w:eastAsia="Calibri" w:cs="Times New Roman"/>
        <w:b/>
        <w:caps/>
        <w:szCs w:val="18"/>
        <w:lang w:eastAsia="en-GB"/>
      </w:rPr>
    </w:lvl>
    <w:lvl w:ilvl="8">
      <w:start w:val="1"/>
      <w:numFmt w:val="lowerRoman"/>
      <w:lvlText w:val="%9."/>
      <w:lvlJc w:val="left"/>
      <w:pPr>
        <w:tabs>
          <w:tab w:val="num" w:pos="1247"/>
        </w:tabs>
        <w:ind w:left="1247" w:hanging="340"/>
      </w:pPr>
    </w:lvl>
  </w:abstractNum>
  <w:abstractNum w:abstractNumId="6" w15:restartNumberingAfterBreak="0">
    <w:nsid w:val="09221D82"/>
    <w:multiLevelType w:val="multilevel"/>
    <w:tmpl w:val="A52E7018"/>
    <w:name w:val="WTO2012Legal623"/>
    <w:lvl w:ilvl="0">
      <w:start w:val="1"/>
      <w:numFmt w:val="decimal"/>
      <w:lvlRestart w:val="0"/>
      <w:isLgl/>
      <w:suff w:val="nothing"/>
      <w:lvlText w:val="%1.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7" w15:restartNumberingAfterBreak="0">
    <w:nsid w:val="2A8A2D76"/>
    <w:multiLevelType w:val="hybridMultilevel"/>
    <w:tmpl w:val="985EF90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42895"/>
    <w:multiLevelType w:val="multilevel"/>
    <w:tmpl w:val="30BE74DE"/>
    <w:name w:val="WTO2012Legal623"/>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9" w15:restartNumberingAfterBreak="0">
    <w:nsid w:val="48CB5A5E"/>
    <w:multiLevelType w:val="multilevel"/>
    <w:tmpl w:val="C0EA8298"/>
    <w:name w:val="WTO2012Leg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rPr>
        <w:rFonts w:eastAsia="Calibri" w:cs="Times New Roman"/>
        <w:b w:val="0"/>
        <w:caps w:val="0"/>
        <w:szCs w:val="18"/>
        <w:lang w:eastAsia="en-GB"/>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0B6024"/>
    <w:multiLevelType w:val="multilevel"/>
    <w:tmpl w:val="E68AE7AA"/>
    <w:name w:val="WTO2012Legal63"/>
    <w:lvl w:ilvl="0">
      <w:start w:val="1"/>
      <w:numFmt w:val="decimal"/>
      <w:lvlRestart w:val="0"/>
      <w:pStyle w:val="Heading1"/>
      <w:isLgl/>
      <w:suff w:val="nothing"/>
      <w:lvlText w:val="%1  "/>
      <w:lvlJc w:val="left"/>
      <w:pPr>
        <w:ind w:left="0" w:firstLine="0"/>
      </w:pPr>
      <w:rPr>
        <w:lang w:val="en-US"/>
      </w:rPr>
    </w:lvl>
    <w:lvl w:ilvl="1">
      <w:start w:val="1"/>
      <w:numFmt w:val="decimal"/>
      <w:pStyle w:val="Heading2"/>
      <w:isLgl/>
      <w:suff w:val="nothing"/>
      <w:lvlText w:val="%1.%2  "/>
      <w:lvlJc w:val="left"/>
      <w:pPr>
        <w:ind w:left="0" w:firstLine="0"/>
      </w:pPr>
    </w:lvl>
    <w:lvl w:ilvl="2">
      <w:start w:val="1"/>
      <w:numFmt w:val="decimal"/>
      <w:pStyle w:val="Heading3"/>
      <w:isLgl/>
      <w:suff w:val="nothing"/>
      <w:lvlText w:val="%1.%2.%3  "/>
      <w:lvlJc w:val="left"/>
      <w:pPr>
        <w:ind w:left="0" w:firstLine="0"/>
      </w:pPr>
    </w:lvl>
    <w:lvl w:ilvl="3">
      <w:start w:val="1"/>
      <w:numFmt w:val="decimal"/>
      <w:pStyle w:val="Heading4"/>
      <w:isLgl/>
      <w:suff w:val="nothing"/>
      <w:lvlText w:val="%1.%2.%3.%4  "/>
      <w:lvlJc w:val="left"/>
      <w:pPr>
        <w:ind w:left="0" w:firstLine="0"/>
      </w:pPr>
    </w:lvl>
    <w:lvl w:ilvl="4">
      <w:start w:val="1"/>
      <w:numFmt w:val="decimal"/>
      <w:pStyle w:val="Heading5"/>
      <w:isLgl/>
      <w:suff w:val="nothing"/>
      <w:lvlText w:val="%1.%2.%3.%4.%5  "/>
      <w:lvlJc w:val="left"/>
      <w:pPr>
        <w:ind w:left="0" w:firstLine="0"/>
      </w:pPr>
    </w:lvl>
    <w:lvl w:ilvl="5">
      <w:start w:val="1"/>
      <w:numFmt w:val="decimal"/>
      <w:pStyle w:val="Heading6"/>
      <w:isLgl/>
      <w:suff w:val="nothing"/>
      <w:lvlText w:val="%1.%2.%3.%4.%5.%6  "/>
      <w:lvlJc w:val="left"/>
      <w:pPr>
        <w:ind w:left="0" w:firstLine="0"/>
      </w:pPr>
    </w:lvl>
    <w:lvl w:ilvl="6">
      <w:start w:val="1"/>
      <w:numFmt w:val="decimal"/>
      <w:lvlRestart w:val="1"/>
      <w:pStyle w:val="BodyText"/>
      <w:isLgl/>
      <w:suff w:val="nothing"/>
      <w:lvlText w:val="%1.%7.  "/>
      <w:lvlJc w:val="left"/>
      <w:pPr>
        <w:ind w:left="0" w:firstLine="0"/>
      </w:pPr>
      <w:rPr>
        <w:b w:val="0"/>
        <w:bCs/>
      </w:rPr>
    </w:lvl>
    <w:lvl w:ilvl="7">
      <w:start w:val="1"/>
      <w:numFmt w:val="lowerLetter"/>
      <w:pStyle w:val="BodyText2"/>
      <w:lvlText w:val="%8."/>
      <w:lvlJc w:val="left"/>
      <w:pPr>
        <w:tabs>
          <w:tab w:val="num" w:pos="907"/>
        </w:tabs>
        <w:ind w:left="907" w:hanging="340"/>
      </w:pPr>
    </w:lvl>
    <w:lvl w:ilvl="8">
      <w:start w:val="1"/>
      <w:numFmt w:val="lowerRoman"/>
      <w:pStyle w:val="BodyText3"/>
      <w:lvlText w:val="%9."/>
      <w:lvlJc w:val="left"/>
      <w:pPr>
        <w:tabs>
          <w:tab w:val="num" w:pos="1247"/>
        </w:tabs>
        <w:ind w:left="1247" w:hanging="340"/>
      </w:pPr>
    </w:lvl>
  </w:abstractNum>
  <w:abstractNum w:abstractNumId="12"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8647AF"/>
    <w:multiLevelType w:val="multilevel"/>
    <w:tmpl w:val="6826E46E"/>
    <w:name w:val="WTO2012Legal62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5" w15:restartNumberingAfterBreak="0">
    <w:nsid w:val="717C7DF7"/>
    <w:multiLevelType w:val="hybridMultilevel"/>
    <w:tmpl w:val="94E45D5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3"/>
  </w:num>
  <w:num w:numId="6">
    <w:abstractNumId w:val="2"/>
  </w:num>
  <w:num w:numId="7">
    <w:abstractNumId w:val="1"/>
  </w:num>
  <w:num w:numId="8">
    <w:abstractNumId w:val="0"/>
  </w:num>
  <w:num w:numId="9">
    <w:abstractNumId w:val="11"/>
  </w:num>
  <w:num w:numId="10">
    <w:abstractNumId w:val="7"/>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attachedTemplate r:id="rId1"/>
  <w:defaultTabStop w:val="567"/>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35"/>
    <w:rsid w:val="00020D56"/>
    <w:rsid w:val="000272F6"/>
    <w:rsid w:val="00037AC4"/>
    <w:rsid w:val="00040E2A"/>
    <w:rsid w:val="000423BF"/>
    <w:rsid w:val="00075769"/>
    <w:rsid w:val="000A4945"/>
    <w:rsid w:val="000B31E1"/>
    <w:rsid w:val="000C79CC"/>
    <w:rsid w:val="000D202A"/>
    <w:rsid w:val="0010002A"/>
    <w:rsid w:val="0011356B"/>
    <w:rsid w:val="00130348"/>
    <w:rsid w:val="0013337F"/>
    <w:rsid w:val="00145CF1"/>
    <w:rsid w:val="00166BBC"/>
    <w:rsid w:val="00182B84"/>
    <w:rsid w:val="001A33CB"/>
    <w:rsid w:val="001B2F79"/>
    <w:rsid w:val="001C412F"/>
    <w:rsid w:val="001E291F"/>
    <w:rsid w:val="001E3F35"/>
    <w:rsid w:val="00233408"/>
    <w:rsid w:val="00236FA9"/>
    <w:rsid w:val="00241BBF"/>
    <w:rsid w:val="00252299"/>
    <w:rsid w:val="0027067B"/>
    <w:rsid w:val="00294035"/>
    <w:rsid w:val="00295D25"/>
    <w:rsid w:val="002A1D03"/>
    <w:rsid w:val="002A6C5E"/>
    <w:rsid w:val="003156C6"/>
    <w:rsid w:val="00316CDC"/>
    <w:rsid w:val="00324631"/>
    <w:rsid w:val="003253FA"/>
    <w:rsid w:val="0033610F"/>
    <w:rsid w:val="003572B4"/>
    <w:rsid w:val="00396B5E"/>
    <w:rsid w:val="003D3E64"/>
    <w:rsid w:val="003D5C55"/>
    <w:rsid w:val="003F72A5"/>
    <w:rsid w:val="00425C62"/>
    <w:rsid w:val="004626FE"/>
    <w:rsid w:val="00465E2E"/>
    <w:rsid w:val="00467032"/>
    <w:rsid w:val="0046754A"/>
    <w:rsid w:val="004B4B75"/>
    <w:rsid w:val="004C6A58"/>
    <w:rsid w:val="004F203A"/>
    <w:rsid w:val="00503B6E"/>
    <w:rsid w:val="005232D1"/>
    <w:rsid w:val="005256DE"/>
    <w:rsid w:val="005336B8"/>
    <w:rsid w:val="00540DFF"/>
    <w:rsid w:val="00544326"/>
    <w:rsid w:val="00547B5F"/>
    <w:rsid w:val="00592621"/>
    <w:rsid w:val="005A1A22"/>
    <w:rsid w:val="005B04B9"/>
    <w:rsid w:val="005B178D"/>
    <w:rsid w:val="005B4EA9"/>
    <w:rsid w:val="005B68C7"/>
    <w:rsid w:val="005B7054"/>
    <w:rsid w:val="005D5981"/>
    <w:rsid w:val="005F0FA2"/>
    <w:rsid w:val="005F30CB"/>
    <w:rsid w:val="005F565F"/>
    <w:rsid w:val="00601FF8"/>
    <w:rsid w:val="00612644"/>
    <w:rsid w:val="00625E02"/>
    <w:rsid w:val="00640B8C"/>
    <w:rsid w:val="00652629"/>
    <w:rsid w:val="00674CCD"/>
    <w:rsid w:val="0067609C"/>
    <w:rsid w:val="00683CED"/>
    <w:rsid w:val="0068561F"/>
    <w:rsid w:val="006C04D1"/>
    <w:rsid w:val="006E2DA9"/>
    <w:rsid w:val="006F5826"/>
    <w:rsid w:val="00700181"/>
    <w:rsid w:val="00712361"/>
    <w:rsid w:val="007141CF"/>
    <w:rsid w:val="0072134A"/>
    <w:rsid w:val="007320C5"/>
    <w:rsid w:val="007405B7"/>
    <w:rsid w:val="00745146"/>
    <w:rsid w:val="007577E3"/>
    <w:rsid w:val="00760DB3"/>
    <w:rsid w:val="007D2B72"/>
    <w:rsid w:val="007E260A"/>
    <w:rsid w:val="007E6507"/>
    <w:rsid w:val="007F2B8E"/>
    <w:rsid w:val="007F32D1"/>
    <w:rsid w:val="00807247"/>
    <w:rsid w:val="008333EE"/>
    <w:rsid w:val="00840C2B"/>
    <w:rsid w:val="00864E13"/>
    <w:rsid w:val="008739FD"/>
    <w:rsid w:val="00882C82"/>
    <w:rsid w:val="00882DD2"/>
    <w:rsid w:val="00893E85"/>
    <w:rsid w:val="008E372C"/>
    <w:rsid w:val="008F6094"/>
    <w:rsid w:val="00961D0C"/>
    <w:rsid w:val="009777C3"/>
    <w:rsid w:val="0098199C"/>
    <w:rsid w:val="00984315"/>
    <w:rsid w:val="009955A4"/>
    <w:rsid w:val="009A6F54"/>
    <w:rsid w:val="009B2903"/>
    <w:rsid w:val="009C3CD0"/>
    <w:rsid w:val="009D7007"/>
    <w:rsid w:val="00A03EED"/>
    <w:rsid w:val="00A118E7"/>
    <w:rsid w:val="00A1757C"/>
    <w:rsid w:val="00A6057A"/>
    <w:rsid w:val="00A74017"/>
    <w:rsid w:val="00AA332C"/>
    <w:rsid w:val="00AC1F38"/>
    <w:rsid w:val="00AC27F8"/>
    <w:rsid w:val="00AD4C72"/>
    <w:rsid w:val="00AD6235"/>
    <w:rsid w:val="00AE2AEE"/>
    <w:rsid w:val="00AF2936"/>
    <w:rsid w:val="00B00276"/>
    <w:rsid w:val="00B230EC"/>
    <w:rsid w:val="00B31B9A"/>
    <w:rsid w:val="00B42A08"/>
    <w:rsid w:val="00B52738"/>
    <w:rsid w:val="00B56EDC"/>
    <w:rsid w:val="00B6640D"/>
    <w:rsid w:val="00BA7104"/>
    <w:rsid w:val="00BB1F84"/>
    <w:rsid w:val="00BC0696"/>
    <w:rsid w:val="00BC69CD"/>
    <w:rsid w:val="00BD480C"/>
    <w:rsid w:val="00BE3441"/>
    <w:rsid w:val="00BE5468"/>
    <w:rsid w:val="00C1036B"/>
    <w:rsid w:val="00C11EAC"/>
    <w:rsid w:val="00C15F6D"/>
    <w:rsid w:val="00C305D7"/>
    <w:rsid w:val="00C30F2A"/>
    <w:rsid w:val="00C35EA6"/>
    <w:rsid w:val="00C43456"/>
    <w:rsid w:val="00C62311"/>
    <w:rsid w:val="00C65C0C"/>
    <w:rsid w:val="00C8080C"/>
    <w:rsid w:val="00C808FC"/>
    <w:rsid w:val="00C82ECC"/>
    <w:rsid w:val="00C96E37"/>
    <w:rsid w:val="00CB73E6"/>
    <w:rsid w:val="00CD144B"/>
    <w:rsid w:val="00CD3173"/>
    <w:rsid w:val="00CD3B4C"/>
    <w:rsid w:val="00CD635E"/>
    <w:rsid w:val="00CD78C3"/>
    <w:rsid w:val="00CD7D97"/>
    <w:rsid w:val="00CE2131"/>
    <w:rsid w:val="00CE3756"/>
    <w:rsid w:val="00CE3EE6"/>
    <w:rsid w:val="00CE4BA1"/>
    <w:rsid w:val="00CE5B90"/>
    <w:rsid w:val="00CF1E67"/>
    <w:rsid w:val="00D000C7"/>
    <w:rsid w:val="00D02384"/>
    <w:rsid w:val="00D221B8"/>
    <w:rsid w:val="00D52A9D"/>
    <w:rsid w:val="00D55AAD"/>
    <w:rsid w:val="00D73BD7"/>
    <w:rsid w:val="00D747AE"/>
    <w:rsid w:val="00D76722"/>
    <w:rsid w:val="00D8798A"/>
    <w:rsid w:val="00D9226C"/>
    <w:rsid w:val="00DA1565"/>
    <w:rsid w:val="00DA20BD"/>
    <w:rsid w:val="00DD6D66"/>
    <w:rsid w:val="00DE50DB"/>
    <w:rsid w:val="00DF6AE1"/>
    <w:rsid w:val="00DF70E3"/>
    <w:rsid w:val="00E05FD8"/>
    <w:rsid w:val="00E26348"/>
    <w:rsid w:val="00E352DC"/>
    <w:rsid w:val="00E46FD5"/>
    <w:rsid w:val="00E544BB"/>
    <w:rsid w:val="00E56545"/>
    <w:rsid w:val="00EA5D4F"/>
    <w:rsid w:val="00EB6C56"/>
    <w:rsid w:val="00EC341A"/>
    <w:rsid w:val="00ED1D47"/>
    <w:rsid w:val="00ED54E0"/>
    <w:rsid w:val="00ED5DF9"/>
    <w:rsid w:val="00EE0EE6"/>
    <w:rsid w:val="00EF321A"/>
    <w:rsid w:val="00F04052"/>
    <w:rsid w:val="00F32397"/>
    <w:rsid w:val="00F40595"/>
    <w:rsid w:val="00F46B2A"/>
    <w:rsid w:val="00F7357E"/>
    <w:rsid w:val="00FA5EBC"/>
    <w:rsid w:val="00FC0607"/>
    <w:rsid w:val="00FD224A"/>
    <w:rsid w:val="00FD4CD9"/>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6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9"/>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9"/>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9"/>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9"/>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9"/>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9"/>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9"/>
      </w:numPr>
      <w:spacing w:after="240"/>
    </w:pPr>
  </w:style>
  <w:style w:type="paragraph" w:styleId="BodyText2">
    <w:name w:val="Body Text 2"/>
    <w:basedOn w:val="Normal"/>
    <w:uiPriority w:val="1"/>
    <w:qFormat/>
    <w:rsid w:val="00D747AE"/>
    <w:pPr>
      <w:numPr>
        <w:ilvl w:val="7"/>
        <w:numId w:val="9"/>
      </w:numPr>
      <w:spacing w:after="240"/>
    </w:pPr>
  </w:style>
  <w:style w:type="paragraph" w:styleId="BodyText3">
    <w:name w:val="Body Text 3"/>
    <w:basedOn w:val="Normal"/>
    <w:uiPriority w:val="1"/>
    <w:qFormat/>
    <w:rsid w:val="00D747AE"/>
    <w:pPr>
      <w:numPr>
        <w:ilvl w:val="8"/>
        <w:numId w:val="9"/>
      </w:numPr>
      <w:spacing w:after="240"/>
    </w:pPr>
    <w:rPr>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99"/>
    <w:rsid w:val="00E56545"/>
    <w:pPr>
      <w:ind w:firstLine="567"/>
      <w:jc w:val="left"/>
    </w:pPr>
    <w:rPr>
      <w:rFonts w:eastAsia="Calibri" w:cs="Times New Roman"/>
      <w:sz w:val="16"/>
      <w:szCs w:val="18"/>
      <w:lang w:eastAsia="en-GB"/>
    </w:rPr>
  </w:style>
  <w:style w:type="paragraph" w:styleId="EndnoteText">
    <w:name w:val="endnote text"/>
    <w:basedOn w:val="FootnoteText"/>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4"/>
      </w:numPr>
      <w:contextualSpacing/>
    </w:pPr>
  </w:style>
  <w:style w:type="paragraph" w:styleId="ListNumber2">
    <w:name w:val="List Number 2"/>
    <w:basedOn w:val="Normal"/>
    <w:uiPriority w:val="49"/>
    <w:semiHidden/>
    <w:unhideWhenUsed/>
    <w:rsid w:val="00547B5F"/>
    <w:pPr>
      <w:numPr>
        <w:numId w:val="5"/>
      </w:numPr>
      <w:contextualSpacing/>
    </w:pPr>
  </w:style>
  <w:style w:type="paragraph" w:styleId="ListNumber3">
    <w:name w:val="List Number 3"/>
    <w:basedOn w:val="Normal"/>
    <w:uiPriority w:val="49"/>
    <w:semiHidden/>
    <w:unhideWhenUsed/>
    <w:rsid w:val="00547B5F"/>
    <w:pPr>
      <w:numPr>
        <w:numId w:val="6"/>
      </w:numPr>
      <w:contextualSpacing/>
    </w:pPr>
  </w:style>
  <w:style w:type="paragraph" w:styleId="ListNumber4">
    <w:name w:val="List Number 4"/>
    <w:basedOn w:val="Normal"/>
    <w:uiPriority w:val="49"/>
    <w:semiHidden/>
    <w:unhideWhenUsed/>
    <w:rsid w:val="00547B5F"/>
    <w:pPr>
      <w:numPr>
        <w:numId w:val="7"/>
      </w:numPr>
      <w:contextualSpacing/>
    </w:pPr>
  </w:style>
  <w:style w:type="paragraph" w:styleId="ListNumber5">
    <w:name w:val="List Number 5"/>
    <w:basedOn w:val="Normal"/>
    <w:uiPriority w:val="49"/>
    <w:semiHidden/>
    <w:unhideWhenUsed/>
    <w:rsid w:val="00547B5F"/>
    <w:pPr>
      <w:numPr>
        <w:numId w:val="8"/>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9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E352DC"/>
    <w:rPr>
      <w:color w:val="808080"/>
      <w:shd w:val="clear" w:color="auto" w:fill="E6E6E6"/>
    </w:rPr>
  </w:style>
  <w:style w:type="paragraph" w:customStyle="1" w:styleId="Default">
    <w:name w:val="Default"/>
    <w:rsid w:val="00CE213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ashtag">
    <w:name w:val="Hashtag"/>
    <w:basedOn w:val="DefaultParagraphFont"/>
    <w:uiPriority w:val="99"/>
    <w:semiHidden/>
    <w:unhideWhenUsed/>
    <w:rsid w:val="002A1D03"/>
    <w:rPr>
      <w:color w:val="2B579A"/>
      <w:shd w:val="clear" w:color="auto" w:fill="E1DFDD"/>
    </w:rPr>
  </w:style>
  <w:style w:type="character" w:styleId="Mention">
    <w:name w:val="Mention"/>
    <w:basedOn w:val="DefaultParagraphFont"/>
    <w:uiPriority w:val="99"/>
    <w:semiHidden/>
    <w:unhideWhenUsed/>
    <w:rsid w:val="002A1D03"/>
    <w:rPr>
      <w:color w:val="2B579A"/>
      <w:shd w:val="clear" w:color="auto" w:fill="E1DFDD"/>
    </w:rPr>
  </w:style>
  <w:style w:type="character" w:styleId="SmartHyperlink">
    <w:name w:val="Smart Hyperlink"/>
    <w:basedOn w:val="DefaultParagraphFont"/>
    <w:uiPriority w:val="99"/>
    <w:semiHidden/>
    <w:unhideWhenUsed/>
    <w:rsid w:val="002A1D03"/>
    <w:rPr>
      <w:u w:val="dotted"/>
    </w:rPr>
  </w:style>
  <w:style w:type="character" w:styleId="SmartLink">
    <w:name w:val="Smart Link"/>
    <w:basedOn w:val="DefaultParagraphFont"/>
    <w:uiPriority w:val="99"/>
    <w:semiHidden/>
    <w:unhideWhenUsed/>
    <w:rsid w:val="002A1D0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2A1D0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meetings/detail/en/?meeting=CCRVDF&amp;session=25" TargetMode="External"/><Relationship Id="rId13" Type="http://schemas.openxmlformats.org/officeDocument/2006/relationships/hyperlink" Target="http://www.fao.org/fao-who-codexalimentarius/meetings/detail/en/?meeting=CCRVDF&amp;session=25" TargetMode="External"/><Relationship Id="rId18" Type="http://schemas.openxmlformats.org/officeDocument/2006/relationships/hyperlink" Target="http://www.fao.org/fao-who-codexalimentarius/meetings/calendar/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o.org/fao-who-codexalimentarius/meetings/detail/en/?meeting=TFAMR&amp;session=8" TargetMode="External"/><Relationship Id="rId17" Type="http://schemas.openxmlformats.org/officeDocument/2006/relationships/hyperlink" Target="mailto:codex@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fao-who-codexalimentarius/committees/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ao-who-codexalimentarius/meetings/detail/en/?meeting=CCFL&amp;session=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fao-who-codexalimentarius/meetings/detail/en/?meeting=CCFA&amp;session=52" TargetMode="External"/><Relationship Id="rId23" Type="http://schemas.openxmlformats.org/officeDocument/2006/relationships/header" Target="header3.xml"/><Relationship Id="rId10" Type="http://schemas.openxmlformats.org/officeDocument/2006/relationships/hyperlink" Target="http://www.fao.org/fao-who-codexalimentarius/sh-proxy/en/?lnk=1&amp;url=https%253A%252F%252Fworkspace.fao.org%252Fsites%252Fcodex%252FMeetings%252FCX-711-52%252FFinal%252520report%252FREP21_FA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ao-who-codexalimentarius/meetings/detail/en/?meeting=CCPR&amp;session=52" TargetMode="External"/><Relationship Id="rId14" Type="http://schemas.openxmlformats.org/officeDocument/2006/relationships/hyperlink" Target="http://www.fao.org/fao-who-codexalimentarius/meetings/detail/en/?meeting=CCPR&amp;session=5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58E1-BBBA-49A3-A903-9C1ED8B3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2018-07-05T13:16:00Z</cp:lastPrinted>
  <dcterms:created xsi:type="dcterms:W3CDTF">2021-08-25T07:20:00Z</dcterms:created>
  <dcterms:modified xsi:type="dcterms:W3CDTF">2021-10-15T12:55:00Z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G/SPS/GEN/1964</vt:lpwstr>
  </property>
  <property fmtid="{D5CDD505-2E9C-101B-9397-08002B2CF9AE}" pid="3" name="TitusGUID">
    <vt:lpwstr>b3574164-d374-4ccc-86dc-b420b535d78c</vt:lpwstr>
  </property>
  <property fmtid="{D5CDD505-2E9C-101B-9397-08002B2CF9AE}" pid="4" name="WTOCLASSIFICATION">
    <vt:lpwstr>WTO OFFICIAL</vt:lpwstr>
  </property>
</Properties>
</file>