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DEE27" w14:textId="77777777" w:rsidR="001E3F35" w:rsidRDefault="001E3F35" w:rsidP="001E3F35">
      <w:pPr>
        <w:pStyle w:val="Title"/>
      </w:pPr>
      <w:bookmarkStart w:id="8" w:name="_Hlk104899267"/>
      <w:r>
        <w:t>INFORMATION ON ACTIVITIES</w:t>
      </w:r>
    </w:p>
    <w:p w14:paraId="5895F834" w14:textId="77777777" w:rsidR="001E3F35" w:rsidRDefault="001E3F35" w:rsidP="001E3F35">
      <w:pPr>
        <w:pStyle w:val="Title2"/>
      </w:pPr>
      <w:r>
        <w:t>Communication from the Codex Alimentarius Commission (codex)</w:t>
      </w:r>
    </w:p>
    <w:p w14:paraId="0C5FB8E9" w14:textId="6B89777F" w:rsidR="001E3F35" w:rsidRDefault="001E3F35" w:rsidP="001E3F35">
      <w:r>
        <w:t xml:space="preserve">The following communication, received on </w:t>
      </w:r>
      <w:r w:rsidR="00647926">
        <w:t>9</w:t>
      </w:r>
      <w:r w:rsidR="00D33889">
        <w:rPr>
          <w:szCs w:val="16"/>
        </w:rPr>
        <w:t xml:space="preserve"> </w:t>
      </w:r>
      <w:r w:rsidR="004D0612">
        <w:rPr>
          <w:szCs w:val="16"/>
        </w:rPr>
        <w:t xml:space="preserve">March </w:t>
      </w:r>
      <w:r w:rsidR="00F46B2A">
        <w:t>202</w:t>
      </w:r>
      <w:r w:rsidR="004D0612">
        <w:t>3</w:t>
      </w:r>
      <w:r>
        <w:t>, is being c</w:t>
      </w:r>
      <w:r w:rsidR="00295D25">
        <w:t>irculated at the request of the </w:t>
      </w:r>
      <w:r w:rsidRPr="00331571">
        <w:rPr>
          <w:u w:val="single"/>
        </w:rPr>
        <w:t>Codex</w:t>
      </w:r>
      <w:r>
        <w:t xml:space="preserve"> secretariat.</w:t>
      </w:r>
    </w:p>
    <w:p w14:paraId="4F458A33" w14:textId="77777777" w:rsidR="001E3F35" w:rsidRDefault="001E3F35" w:rsidP="001E3F35"/>
    <w:p w14:paraId="39D3B246" w14:textId="77777777" w:rsidR="001E3F35" w:rsidRDefault="001E3F35" w:rsidP="001E3F35">
      <w:pPr>
        <w:jc w:val="center"/>
        <w:rPr>
          <w:b/>
        </w:rPr>
      </w:pPr>
      <w:r>
        <w:rPr>
          <w:b/>
        </w:rPr>
        <w:t>_______________</w:t>
      </w:r>
    </w:p>
    <w:p w14:paraId="096B08EA" w14:textId="77777777" w:rsidR="001E3F35" w:rsidRDefault="001E3F35" w:rsidP="001E3F35"/>
    <w:p w14:paraId="6A41B88B" w14:textId="4D808567" w:rsidR="001E3F35" w:rsidRDefault="001E3F35" w:rsidP="001E3F35"/>
    <w:p w14:paraId="0E36B1E7" w14:textId="32B06CDD" w:rsidR="008D5A5E" w:rsidRPr="00924DAF" w:rsidRDefault="008D5A5E" w:rsidP="008D5A5E">
      <w:pPr>
        <w:pStyle w:val="Heading1"/>
      </w:pPr>
      <w:r w:rsidRPr="00924DAF">
        <w:t>Codex meetings held since the last session of the SPS Committee (</w:t>
      </w:r>
      <w:r w:rsidR="00924DAF" w:rsidRPr="00924DAF">
        <w:t>9</w:t>
      </w:r>
      <w:r w:rsidRPr="00924DAF">
        <w:noBreakHyphen/>
      </w:r>
      <w:r w:rsidR="00924DAF" w:rsidRPr="00924DAF">
        <w:t>11</w:t>
      </w:r>
      <w:r w:rsidRPr="00924DAF">
        <w:t> </w:t>
      </w:r>
      <w:r w:rsidR="00924DAF" w:rsidRPr="00924DAF">
        <w:t>november</w:t>
      </w:r>
      <w:r w:rsidRPr="00924DAF">
        <w:t xml:space="preserve"> 202</w:t>
      </w:r>
      <w:r w:rsidR="00672D96" w:rsidRPr="00924DAF">
        <w:t>2</w:t>
      </w:r>
      <w:r w:rsidRPr="00924DAF">
        <w:t>)</w:t>
      </w:r>
    </w:p>
    <w:p w14:paraId="45EF8900" w14:textId="77777777" w:rsidR="00924DAF" w:rsidRPr="00924DAF" w:rsidRDefault="00924DAF" w:rsidP="00647926">
      <w:pPr>
        <w:pStyle w:val="Heading2"/>
      </w:pPr>
      <w:proofErr w:type="spellStart"/>
      <w:r w:rsidRPr="00924DAF">
        <w:t>CCEXEC</w:t>
      </w:r>
      <w:proofErr w:type="spellEnd"/>
      <w:r w:rsidRPr="00924DAF">
        <w:t xml:space="preserve"> and CAC</w:t>
      </w:r>
    </w:p>
    <w:p w14:paraId="55F0A803" w14:textId="6FAD7124" w:rsidR="00647926" w:rsidRDefault="00647926" w:rsidP="00924DAF">
      <w:pPr>
        <w:pStyle w:val="Heading3"/>
      </w:pPr>
      <w:r w:rsidRPr="00924DAF">
        <w:t>8</w:t>
      </w:r>
      <w:r w:rsidR="00924DAF" w:rsidRPr="00924DAF">
        <w:t>3</w:t>
      </w:r>
      <w:r w:rsidR="00924DAF" w:rsidRPr="00924DAF">
        <w:rPr>
          <w:vertAlign w:val="superscript"/>
        </w:rPr>
        <w:t>rd</w:t>
      </w:r>
      <w:r w:rsidR="00924DAF" w:rsidRPr="00924DAF">
        <w:t xml:space="preserve"> </w:t>
      </w:r>
      <w:r w:rsidRPr="00924DAF">
        <w:t>Session of the Executive Committee of the Codex Alimentarius Commission (</w:t>
      </w:r>
      <w:r w:rsidR="00924DAF" w:rsidRPr="00924DAF">
        <w:t>Rome</w:t>
      </w:r>
      <w:r w:rsidRPr="00924DAF">
        <w:t xml:space="preserve">, </w:t>
      </w:r>
      <w:r w:rsidR="00924DAF" w:rsidRPr="00924DAF">
        <w:t>Italy</w:t>
      </w:r>
      <w:r w:rsidRPr="00924DAF">
        <w:t xml:space="preserve">, </w:t>
      </w:r>
      <w:r w:rsidR="00924DAF" w:rsidRPr="00924DAF">
        <w:t>14</w:t>
      </w:r>
      <w:r w:rsidRPr="00924DAF">
        <w:t>-</w:t>
      </w:r>
      <w:r w:rsidR="00924DAF" w:rsidRPr="00924DAF">
        <w:t>18</w:t>
      </w:r>
      <w:r w:rsidRPr="00924DAF">
        <w:t xml:space="preserve"> </w:t>
      </w:r>
      <w:r w:rsidR="00924DAF" w:rsidRPr="00924DAF">
        <w:t>November</w:t>
      </w:r>
      <w:r w:rsidRPr="00924DAF">
        <w:t xml:space="preserve"> 2022)</w:t>
      </w:r>
    </w:p>
    <w:p w14:paraId="4B3924CA" w14:textId="57A3DD84" w:rsidR="00924DAF" w:rsidRDefault="00924DAF" w:rsidP="00924DAF">
      <w:pPr>
        <w:pStyle w:val="BodyText"/>
      </w:pPr>
      <w:r>
        <w:t>Matters of relevance arising from CCEXEC83 are referred to in the decisions of CAC45 concerning the Statements of Principle Concerning the Role of Science in the Codex Decision-Making Process and the extent to which other factors are taken into account (</w:t>
      </w:r>
      <w:proofErr w:type="spellStart"/>
      <w:r>
        <w:t>SoP</w:t>
      </w:r>
      <w:proofErr w:type="spellEnd"/>
      <w:r>
        <w:t>), the 60</w:t>
      </w:r>
      <w:r w:rsidRPr="00F427A2">
        <w:rPr>
          <w:vertAlign w:val="superscript"/>
        </w:rPr>
        <w:t>th</w:t>
      </w:r>
      <w:r w:rsidR="00F427A2">
        <w:t xml:space="preserve"> </w:t>
      </w:r>
      <w:r>
        <w:t>Anniversary of the Codex Alimentarius Commission, the Codex Strategic Plan 2020-2025, New Food Sources and Production Systems and the Future of Codex.</w:t>
      </w:r>
    </w:p>
    <w:p w14:paraId="6A453D56" w14:textId="40F5F21C" w:rsidR="00924DAF" w:rsidRDefault="00924DAF" w:rsidP="00924DAF">
      <w:pPr>
        <w:pStyle w:val="Heading3"/>
      </w:pPr>
      <w:r>
        <w:t>45</w:t>
      </w:r>
      <w:r w:rsidRPr="00F427A2">
        <w:rPr>
          <w:vertAlign w:val="superscript"/>
        </w:rPr>
        <w:t>th</w:t>
      </w:r>
      <w:r>
        <w:t xml:space="preserve"> Session of the Codex Alimentarius Commission (Rome, Italy, 21 November </w:t>
      </w:r>
      <w:r w:rsidR="00F427A2">
        <w:t xml:space="preserve">2022 </w:t>
      </w:r>
      <w:r>
        <w:t>– 6</w:t>
      </w:r>
      <w:r w:rsidR="00F427A2">
        <w:t> </w:t>
      </w:r>
      <w:r>
        <w:t>February 2023)</w:t>
      </w:r>
    </w:p>
    <w:p w14:paraId="7D4EF1EB" w14:textId="6794F9A3" w:rsidR="00924DAF" w:rsidRDefault="00924DAF" w:rsidP="00924DAF">
      <w:pPr>
        <w:pStyle w:val="Heading4"/>
      </w:pPr>
      <w:r>
        <w:t>Standards and related texts</w:t>
      </w:r>
    </w:p>
    <w:p w14:paraId="58A3B0DE" w14:textId="135815EB" w:rsidR="00924DAF" w:rsidRDefault="00924DAF" w:rsidP="00924DAF">
      <w:pPr>
        <w:pStyle w:val="BodyText"/>
      </w:pPr>
      <w:r>
        <w:t>CAC adopted more than 500 new and revised Codex standards and related texts, of which of relevance to SPS are as follows:</w:t>
      </w:r>
    </w:p>
    <w:p w14:paraId="1AC50F17" w14:textId="0403D872" w:rsidR="00924DAF" w:rsidRDefault="00001A6E" w:rsidP="00001A6E">
      <w:pPr>
        <w:spacing w:after="240"/>
        <w:ind w:left="1134" w:hanging="567"/>
      </w:pPr>
      <w:r>
        <w:t>-</w:t>
      </w:r>
      <w:r>
        <w:tab/>
      </w:r>
      <w:r w:rsidR="00924DAF">
        <w:t xml:space="preserve">476 </w:t>
      </w:r>
      <w:proofErr w:type="spellStart"/>
      <w:r w:rsidR="00924DAF">
        <w:t>MRLs</w:t>
      </w:r>
      <w:proofErr w:type="spellEnd"/>
      <w:r w:rsidR="00924DAF">
        <w:t xml:space="preserve"> for different combinations of pesticides/commodity(</w:t>
      </w:r>
      <w:proofErr w:type="spellStart"/>
      <w:r w:rsidR="00924DAF">
        <w:t>ies</w:t>
      </w:r>
      <w:proofErr w:type="spellEnd"/>
      <w:r w:rsidR="00924DAF">
        <w:t>);</w:t>
      </w:r>
    </w:p>
    <w:p w14:paraId="14E0A20D" w14:textId="04083535" w:rsidR="00924DAF" w:rsidRDefault="00001A6E" w:rsidP="00001A6E">
      <w:pPr>
        <w:spacing w:after="240"/>
        <w:ind w:left="1134" w:hanging="567"/>
      </w:pPr>
      <w:r>
        <w:t>-</w:t>
      </w:r>
      <w:r>
        <w:tab/>
      </w:r>
      <w:r w:rsidR="00924DAF">
        <w:t>ML for cadmium in cocoa powder (100% cocoa solids on a dry matter basis);</w:t>
      </w:r>
    </w:p>
    <w:p w14:paraId="08B58526" w14:textId="43BBC953" w:rsidR="00924DAF" w:rsidRDefault="00001A6E" w:rsidP="00001A6E">
      <w:pPr>
        <w:spacing w:after="240"/>
        <w:ind w:left="1134" w:hanging="567"/>
      </w:pPr>
      <w:r>
        <w:t>-</w:t>
      </w:r>
      <w:r>
        <w:tab/>
      </w:r>
      <w:proofErr w:type="spellStart"/>
      <w:r w:rsidR="00924DAF">
        <w:t>MLs</w:t>
      </w:r>
      <w:proofErr w:type="spellEnd"/>
      <w:r w:rsidR="00924DAF">
        <w:t xml:space="preserve"> for lead in cereal-based foods for infants and young children, white and refined sugar, corn and maple syrups, honey and sugar-based candies</w:t>
      </w:r>
      <w:r w:rsidR="00F427A2">
        <w:t>;</w:t>
      </w:r>
    </w:p>
    <w:p w14:paraId="36C1ADAA" w14:textId="7E028CF3" w:rsidR="00924DAF" w:rsidRDefault="00001A6E" w:rsidP="00001A6E">
      <w:pPr>
        <w:spacing w:after="240"/>
        <w:ind w:left="1134" w:hanging="567"/>
      </w:pPr>
      <w:r>
        <w:t>-</w:t>
      </w:r>
      <w:r>
        <w:tab/>
      </w:r>
      <w:proofErr w:type="spellStart"/>
      <w:r w:rsidR="00924DAF">
        <w:t>MLs</w:t>
      </w:r>
      <w:proofErr w:type="spellEnd"/>
      <w:r w:rsidR="00924DAF">
        <w:t xml:space="preserve"> for methylmercury in orange </w:t>
      </w:r>
      <w:proofErr w:type="spellStart"/>
      <w:r w:rsidR="00924DAF">
        <w:t>roughy</w:t>
      </w:r>
      <w:proofErr w:type="spellEnd"/>
      <w:r w:rsidR="00924DAF">
        <w:t xml:space="preserve"> and pink cusk eel;</w:t>
      </w:r>
    </w:p>
    <w:p w14:paraId="3F3028B3" w14:textId="1658D7F3" w:rsidR="00924DAF" w:rsidRDefault="00001A6E" w:rsidP="00001A6E">
      <w:pPr>
        <w:spacing w:after="240"/>
        <w:ind w:left="1134" w:hanging="567"/>
      </w:pPr>
      <w:r>
        <w:t>-</w:t>
      </w:r>
      <w:r>
        <w:tab/>
      </w:r>
      <w:proofErr w:type="spellStart"/>
      <w:r w:rsidR="00924DAF">
        <w:t>MLs</w:t>
      </w:r>
      <w:proofErr w:type="spellEnd"/>
      <w:r w:rsidR="00924DAF">
        <w:t xml:space="preserve"> for total aflatoxins in maize grain, destined for further processing; flour meal, semolina and flakes derived from maize; husked rice; polished rice; sorghum grain, destined for further processing; cereal-based food for infants and young children (excluding foods for food aid programs); and cereal-based food for infants and young children for food aid programs</w:t>
      </w:r>
      <w:r w:rsidR="00F427A2">
        <w:t>;</w:t>
      </w:r>
    </w:p>
    <w:p w14:paraId="359641FB" w14:textId="52E7A8FB" w:rsidR="00924DAF" w:rsidRDefault="00001A6E" w:rsidP="00001A6E">
      <w:pPr>
        <w:spacing w:after="240"/>
        <w:ind w:left="1134" w:hanging="567"/>
      </w:pPr>
      <w:r>
        <w:t>-</w:t>
      </w:r>
      <w:r>
        <w:tab/>
      </w:r>
      <w:r w:rsidR="00924DAF">
        <w:t>Code of practice for the prevention and reduction of cadmium contamination in cocoa beans;</w:t>
      </w:r>
    </w:p>
    <w:p w14:paraId="606E03B0" w14:textId="73002371" w:rsidR="00924DAF" w:rsidRDefault="00001A6E" w:rsidP="00001A6E">
      <w:pPr>
        <w:spacing w:after="240"/>
        <w:ind w:left="1134" w:hanging="567"/>
      </w:pPr>
      <w:r>
        <w:lastRenderedPageBreak/>
        <w:t>-</w:t>
      </w:r>
      <w:r>
        <w:tab/>
      </w:r>
      <w:r w:rsidR="00924DAF">
        <w:t>Guidelines for the recognition of active substances or authorized uses of active substances of low public health concern that are considered exempted from the establishment of maximum residue limits or do not give rise to residues;</w:t>
      </w:r>
    </w:p>
    <w:p w14:paraId="7790580B" w14:textId="65C51B91" w:rsidR="00924DAF" w:rsidRDefault="00001A6E" w:rsidP="00001A6E">
      <w:pPr>
        <w:spacing w:after="240"/>
        <w:ind w:left="1134" w:hanging="567"/>
      </w:pPr>
      <w:r>
        <w:t>-</w:t>
      </w:r>
      <w:r>
        <w:tab/>
      </w:r>
      <w:r w:rsidR="00924DAF">
        <w:t>Guidelines for the management of biological foodborne outbreaks;</w:t>
      </w:r>
    </w:p>
    <w:p w14:paraId="778E876B" w14:textId="2C8A1768" w:rsidR="00924DAF" w:rsidRDefault="00001A6E" w:rsidP="00001A6E">
      <w:pPr>
        <w:spacing w:after="240"/>
        <w:ind w:left="1134" w:hanging="567"/>
      </w:pPr>
      <w:r>
        <w:t>-</w:t>
      </w:r>
      <w:r>
        <w:tab/>
      </w:r>
      <w:r w:rsidR="00924DAF">
        <w:t>General Principles of Food Hygiene (CXC 1-1969) (revision)</w:t>
      </w:r>
      <w:r w:rsidR="00F427A2">
        <w:t>;</w:t>
      </w:r>
    </w:p>
    <w:p w14:paraId="31EE0397" w14:textId="419664B8" w:rsidR="00924DAF" w:rsidRDefault="00001A6E" w:rsidP="00001A6E">
      <w:pPr>
        <w:spacing w:after="240"/>
        <w:ind w:left="1134" w:hanging="567"/>
      </w:pPr>
      <w:r>
        <w:t>-</w:t>
      </w:r>
      <w:r>
        <w:tab/>
      </w:r>
      <w:r w:rsidR="00924DAF">
        <w:t xml:space="preserve">Guidelines for Developing Harmonized Food Safety Legislation for the </w:t>
      </w:r>
      <w:proofErr w:type="spellStart"/>
      <w:r w:rsidR="00924DAF">
        <w:t>CCAFRICA</w:t>
      </w:r>
      <w:proofErr w:type="spellEnd"/>
      <w:r w:rsidR="00924DAF">
        <w:t xml:space="preserve"> Region (regional guidelines).</w:t>
      </w:r>
    </w:p>
    <w:p w14:paraId="130C8B1B" w14:textId="1B881A5E" w:rsidR="00924DAF" w:rsidRDefault="00924DAF" w:rsidP="00F427A2">
      <w:pPr>
        <w:pStyle w:val="BodyText"/>
      </w:pPr>
      <w:r>
        <w:t>CAC approved new work items on food safety related texts</w:t>
      </w:r>
      <w:r w:rsidR="00F427A2">
        <w:t>:</w:t>
      </w:r>
    </w:p>
    <w:p w14:paraId="634136B7" w14:textId="40C62C7C" w:rsidR="00924DAF" w:rsidRDefault="00001A6E" w:rsidP="00001A6E">
      <w:pPr>
        <w:spacing w:after="240"/>
        <w:ind w:left="1134" w:hanging="567"/>
      </w:pPr>
      <w:r>
        <w:t>-</w:t>
      </w:r>
      <w:r>
        <w:tab/>
      </w:r>
      <w:r w:rsidR="00924DAF">
        <w:t>Development of principles and guidelines on the use of remote audit and verification in regulatory frameworks; and</w:t>
      </w:r>
    </w:p>
    <w:p w14:paraId="57DCF541" w14:textId="1B61B667" w:rsidR="00924DAF" w:rsidRDefault="00001A6E" w:rsidP="00001A6E">
      <w:pPr>
        <w:spacing w:after="240"/>
        <w:ind w:left="1134" w:hanging="567"/>
      </w:pPr>
      <w:r>
        <w:t>-</w:t>
      </w:r>
      <w:r>
        <w:tab/>
      </w:r>
      <w:r w:rsidR="00924DAF">
        <w:t>Alignment of food hygiene texts with the revised General Principles on Food Hygiene (CXC</w:t>
      </w:r>
      <w:r w:rsidR="00F427A2">
        <w:t> </w:t>
      </w:r>
      <w:r w:rsidR="00924DAF">
        <w:t>1</w:t>
      </w:r>
      <w:r w:rsidR="00F427A2">
        <w:noBreakHyphen/>
      </w:r>
      <w:r w:rsidR="00924DAF">
        <w:t>1969).</w:t>
      </w:r>
    </w:p>
    <w:p w14:paraId="52B9923C" w14:textId="77777777" w:rsidR="00924DAF" w:rsidRDefault="00924DAF" w:rsidP="00924DAF">
      <w:pPr>
        <w:pStyle w:val="Heading4"/>
      </w:pPr>
      <w:r>
        <w:t>Cross-cutting matters of general interest to the work of CAC and its subsidiary bodies</w:t>
      </w:r>
    </w:p>
    <w:p w14:paraId="342BD68C" w14:textId="77777777" w:rsidR="00924DAF" w:rsidRPr="00924DAF" w:rsidRDefault="00924DAF" w:rsidP="00924DAF">
      <w:pPr>
        <w:pStyle w:val="SummarySubheader"/>
        <w:rPr>
          <w:i/>
          <w:iCs/>
        </w:rPr>
      </w:pPr>
      <w:r w:rsidRPr="00924DAF">
        <w:rPr>
          <w:i/>
          <w:iCs/>
        </w:rPr>
        <w:t>Application of the Statements of Principle Concerning the Role of Science in the Codex Decision-Making Process and the extent to which other factors are taken into account (</w:t>
      </w:r>
      <w:proofErr w:type="spellStart"/>
      <w:r w:rsidRPr="00924DAF">
        <w:rPr>
          <w:i/>
          <w:iCs/>
        </w:rPr>
        <w:t>SoP</w:t>
      </w:r>
      <w:proofErr w:type="spellEnd"/>
      <w:r w:rsidRPr="00924DAF">
        <w:rPr>
          <w:i/>
          <w:iCs/>
        </w:rPr>
        <w:t>)</w:t>
      </w:r>
    </w:p>
    <w:p w14:paraId="10D28F08" w14:textId="418FF13B" w:rsidR="00924DAF" w:rsidRDefault="00924DAF" w:rsidP="00924DAF">
      <w:pPr>
        <w:pStyle w:val="BodyText"/>
      </w:pPr>
      <w:r>
        <w:t xml:space="preserve">CAC agreed to refer the draft Guidance for Codex Chairpersons and </w:t>
      </w:r>
      <w:r w:rsidR="00F427A2">
        <w:t xml:space="preserve">members </w:t>
      </w:r>
      <w:r>
        <w:t xml:space="preserve">on the application of the </w:t>
      </w:r>
      <w:proofErr w:type="spellStart"/>
      <w:r>
        <w:t>SoP</w:t>
      </w:r>
      <w:proofErr w:type="spellEnd"/>
      <w:r>
        <w:t xml:space="preserve"> to the </w:t>
      </w:r>
      <w:r w:rsidR="008603EC">
        <w:t>c</w:t>
      </w:r>
      <w:r>
        <w:t xml:space="preserve">hairpersons of Codex subsidiary bodies to facilitate deliberations on matters that fell within the scope of the </w:t>
      </w:r>
      <w:proofErr w:type="spellStart"/>
      <w:r>
        <w:t>SoP</w:t>
      </w:r>
      <w:proofErr w:type="spellEnd"/>
      <w:r>
        <w:t xml:space="preserve"> and urged </w:t>
      </w:r>
      <w:r w:rsidR="00F427A2">
        <w:t xml:space="preserve">members </w:t>
      </w:r>
      <w:r>
        <w:t>to take account of the draft guidance as appropriate during the process of standards development and advancement.</w:t>
      </w:r>
    </w:p>
    <w:p w14:paraId="78C5D508" w14:textId="218C4B1F" w:rsidR="00924DAF" w:rsidRDefault="00924DAF" w:rsidP="00924DAF">
      <w:pPr>
        <w:pStyle w:val="BodyText"/>
      </w:pPr>
      <w:r>
        <w:t xml:space="preserve">CAC further requested the Codex </w:t>
      </w:r>
      <w:r w:rsidR="00F427A2">
        <w:t xml:space="preserve">secretariat </w:t>
      </w:r>
      <w:r>
        <w:t xml:space="preserve">to solicit the views of </w:t>
      </w:r>
      <w:r w:rsidR="00F427A2">
        <w:t xml:space="preserve">members </w:t>
      </w:r>
      <w:r>
        <w:t xml:space="preserve">and </w:t>
      </w:r>
      <w:r w:rsidR="00F427A2">
        <w:t xml:space="preserve">observers </w:t>
      </w:r>
      <w:r>
        <w:t xml:space="preserve">on specific suggestions to improve the draft guidance, its finalization and possible incorporation into guidance documents for </w:t>
      </w:r>
      <w:r w:rsidR="008603EC">
        <w:t>c</w:t>
      </w:r>
      <w:r>
        <w:t xml:space="preserve">hairpersons and </w:t>
      </w:r>
      <w:r w:rsidR="00F427A2">
        <w:t xml:space="preserve">members </w:t>
      </w:r>
      <w:r>
        <w:t>for discussion at CAC46 in 2023.</w:t>
      </w:r>
    </w:p>
    <w:p w14:paraId="588A9DC6" w14:textId="0AD11761" w:rsidR="00924DAF" w:rsidRPr="00924DAF" w:rsidRDefault="00924DAF" w:rsidP="00924DAF">
      <w:pPr>
        <w:pStyle w:val="SummarySubheader"/>
        <w:rPr>
          <w:i/>
          <w:iCs/>
        </w:rPr>
      </w:pPr>
      <w:r w:rsidRPr="00924DAF">
        <w:rPr>
          <w:i/>
          <w:iCs/>
        </w:rPr>
        <w:t>60</w:t>
      </w:r>
      <w:r w:rsidRPr="00924DAF">
        <w:rPr>
          <w:i/>
          <w:iCs/>
          <w:vertAlign w:val="superscript"/>
        </w:rPr>
        <w:t>th</w:t>
      </w:r>
      <w:r>
        <w:rPr>
          <w:i/>
          <w:iCs/>
        </w:rPr>
        <w:t xml:space="preserve"> </w:t>
      </w:r>
      <w:r w:rsidRPr="00924DAF">
        <w:rPr>
          <w:i/>
          <w:iCs/>
        </w:rPr>
        <w:t>Anniversary of the Codex Alimentarius Commission</w:t>
      </w:r>
    </w:p>
    <w:p w14:paraId="58D39729" w14:textId="474864D1" w:rsidR="00924DAF" w:rsidRDefault="00924DAF" w:rsidP="00924DAF">
      <w:pPr>
        <w:pStyle w:val="BodyText"/>
      </w:pPr>
      <w:r>
        <w:t xml:space="preserve">CAC encouraged </w:t>
      </w:r>
      <w:r w:rsidR="00F427A2">
        <w:t xml:space="preserve">members </w:t>
      </w:r>
      <w:r>
        <w:t xml:space="preserve">and </w:t>
      </w:r>
      <w:r w:rsidR="00F427A2">
        <w:t xml:space="preserve">observers </w:t>
      </w:r>
      <w:r>
        <w:t xml:space="preserve">to fully engage in the celebrations and to share information on their plans and activities directly and through the Codex </w:t>
      </w:r>
      <w:r w:rsidR="00F427A2">
        <w:t>secretariat</w:t>
      </w:r>
      <w:r>
        <w:t xml:space="preserve">; and urged </w:t>
      </w:r>
      <w:r w:rsidR="00F427A2">
        <w:t xml:space="preserve">members </w:t>
      </w:r>
      <w:r>
        <w:t>to commit to advocacy at all levels to ensure both the widest possible participation in the celebrations and the widest possible promotion of the work of Codex.</w:t>
      </w:r>
    </w:p>
    <w:p w14:paraId="485ADEC1" w14:textId="77777777" w:rsidR="00924DAF" w:rsidRPr="00924DAF" w:rsidRDefault="00924DAF" w:rsidP="00924DAF">
      <w:pPr>
        <w:pStyle w:val="SummarySubheader"/>
        <w:rPr>
          <w:i/>
          <w:iCs/>
        </w:rPr>
      </w:pPr>
      <w:r w:rsidRPr="00924DAF">
        <w:rPr>
          <w:i/>
          <w:iCs/>
        </w:rPr>
        <w:t>Codex Strategic Plan 2020-2025 (SP) – Monitoring framework on the use and impact of Codex standards</w:t>
      </w:r>
    </w:p>
    <w:p w14:paraId="61206A4D" w14:textId="3F508409" w:rsidR="00924DAF" w:rsidRDefault="00924DAF" w:rsidP="00924DAF">
      <w:pPr>
        <w:pStyle w:val="BodyText"/>
      </w:pPr>
      <w:r>
        <w:t xml:space="preserve">CAC noted the continuing evolution of the Codex SP monitoring framework and requested the Codex </w:t>
      </w:r>
      <w:r w:rsidR="00F427A2">
        <w:t xml:space="preserve">secretariat </w:t>
      </w:r>
      <w:r>
        <w:t>to review it with the intent to focus on the indicators where the most useful information was collected.</w:t>
      </w:r>
    </w:p>
    <w:p w14:paraId="339B0429" w14:textId="0EE62C82" w:rsidR="00924DAF" w:rsidRDefault="00924DAF" w:rsidP="00924DAF">
      <w:pPr>
        <w:pStyle w:val="BodyText"/>
      </w:pPr>
      <w:r>
        <w:t xml:space="preserve">CAC further noted that there would be benefit in undertaking the elaboration of the next Codex SP with the membership in parallel with the revision of the monitoring framework led by the Codex </w:t>
      </w:r>
      <w:r w:rsidR="00F427A2">
        <w:t>secretariat</w:t>
      </w:r>
      <w:r>
        <w:t>.</w:t>
      </w:r>
    </w:p>
    <w:p w14:paraId="5CFB59DB" w14:textId="77777777" w:rsidR="00924DAF" w:rsidRPr="00924DAF" w:rsidRDefault="00924DAF" w:rsidP="00924DAF">
      <w:pPr>
        <w:pStyle w:val="SummarySubheader"/>
        <w:rPr>
          <w:i/>
          <w:iCs/>
        </w:rPr>
      </w:pPr>
      <w:r w:rsidRPr="00924DAF">
        <w:rPr>
          <w:i/>
          <w:iCs/>
        </w:rPr>
        <w:t>New food sources and production systems (</w:t>
      </w:r>
      <w:proofErr w:type="spellStart"/>
      <w:r w:rsidRPr="00924DAF">
        <w:rPr>
          <w:i/>
          <w:iCs/>
        </w:rPr>
        <w:t>NFPS</w:t>
      </w:r>
      <w:proofErr w:type="spellEnd"/>
      <w:r w:rsidRPr="00924DAF">
        <w:rPr>
          <w:i/>
          <w:iCs/>
        </w:rPr>
        <w:t>)</w:t>
      </w:r>
    </w:p>
    <w:p w14:paraId="31B312E8" w14:textId="2F462589" w:rsidR="00924DAF" w:rsidRDefault="00924DAF" w:rsidP="00924DAF">
      <w:pPr>
        <w:pStyle w:val="BodyText"/>
      </w:pPr>
      <w:r>
        <w:t xml:space="preserve">CAC recognized the importance of Codex working in a flexible and timely manner to consider </w:t>
      </w:r>
      <w:proofErr w:type="spellStart"/>
      <w:r>
        <w:t>NFPS</w:t>
      </w:r>
      <w:proofErr w:type="spellEnd"/>
      <w:r>
        <w:t xml:space="preserve"> as an important topic in the development of international standards aimed at protecting consumer health and ensuring fair practices in the food trade</w:t>
      </w:r>
      <w:r w:rsidR="00F47B22">
        <w:t>.</w:t>
      </w:r>
    </w:p>
    <w:p w14:paraId="3DE91AC9" w14:textId="3AF18B31" w:rsidR="00924DAF" w:rsidRDefault="00924DAF" w:rsidP="00924DAF">
      <w:pPr>
        <w:pStyle w:val="BodyText"/>
      </w:pPr>
      <w:r>
        <w:lastRenderedPageBreak/>
        <w:t xml:space="preserve">CAC encouraged </w:t>
      </w:r>
      <w:r w:rsidR="00F47B22">
        <w:t xml:space="preserve">members </w:t>
      </w:r>
      <w:r>
        <w:t xml:space="preserve">to submit proposals related to </w:t>
      </w:r>
      <w:proofErr w:type="spellStart"/>
      <w:r>
        <w:t>NFPS</w:t>
      </w:r>
      <w:proofErr w:type="spellEnd"/>
      <w:r>
        <w:t xml:space="preserve"> using existing mechanisms and subsidiary bodies to consider </w:t>
      </w:r>
      <w:proofErr w:type="spellStart"/>
      <w:r>
        <w:t>NFPS</w:t>
      </w:r>
      <w:proofErr w:type="spellEnd"/>
      <w:r>
        <w:t xml:space="preserve"> in their deliberations and requested the Codex </w:t>
      </w:r>
      <w:r w:rsidR="00F427A2">
        <w:t xml:space="preserve">secretariat </w:t>
      </w:r>
      <w:r>
        <w:t xml:space="preserve">to solicit the views of </w:t>
      </w:r>
      <w:r w:rsidR="00F47B22">
        <w:t xml:space="preserve">members </w:t>
      </w:r>
      <w:r>
        <w:t xml:space="preserve">and </w:t>
      </w:r>
      <w:r w:rsidR="00F47B22">
        <w:t xml:space="preserve">observers </w:t>
      </w:r>
      <w:r>
        <w:t xml:space="preserve">on the identification of possible issues related to </w:t>
      </w:r>
      <w:proofErr w:type="spellStart"/>
      <w:r>
        <w:t>NFPS</w:t>
      </w:r>
      <w:proofErr w:type="spellEnd"/>
      <w:r>
        <w:t xml:space="preserve"> that the current structure and procedures could not address and options to address them for discussion at CAC46.</w:t>
      </w:r>
    </w:p>
    <w:p w14:paraId="32B555F4" w14:textId="77777777" w:rsidR="00924DAF" w:rsidRPr="00924DAF" w:rsidRDefault="00924DAF" w:rsidP="00924DAF">
      <w:pPr>
        <w:pStyle w:val="SummarySubheader"/>
        <w:rPr>
          <w:i/>
          <w:iCs/>
        </w:rPr>
      </w:pPr>
      <w:r w:rsidRPr="00924DAF">
        <w:rPr>
          <w:i/>
          <w:iCs/>
        </w:rPr>
        <w:t>Future of Codex</w:t>
      </w:r>
    </w:p>
    <w:p w14:paraId="71AF4FAC" w14:textId="496536AF" w:rsidR="00924DAF" w:rsidRDefault="00924DAF" w:rsidP="00924DAF">
      <w:pPr>
        <w:pStyle w:val="BodyText"/>
      </w:pPr>
      <w:r>
        <w:t>CAC considered a report to develop a blueprint for the future of Codex based on the experience gained and changes needed to remain active during the COVID-19 pandemic as well as the timely opportunity of the 60</w:t>
      </w:r>
      <w:r w:rsidRPr="00F427A2">
        <w:rPr>
          <w:vertAlign w:val="superscript"/>
        </w:rPr>
        <w:t>th</w:t>
      </w:r>
      <w:r w:rsidR="00F427A2">
        <w:t xml:space="preserve"> </w:t>
      </w:r>
      <w:r>
        <w:t>Anniversary to ensure that, in moving forward, Codex was fit for purpose. The work to date had focused on preparedness in terms of working modalities and the evolution of working practices within Codex related to meeting formats, meeting schedules and working groups, and other virtual informal working mechanisms.</w:t>
      </w:r>
    </w:p>
    <w:p w14:paraId="6D90781C" w14:textId="3F4BA92B" w:rsidR="00924DAF" w:rsidRDefault="00924DAF" w:rsidP="00924DAF">
      <w:pPr>
        <w:pStyle w:val="BodyText"/>
      </w:pPr>
      <w:r>
        <w:t xml:space="preserve">CAC noted that the future of Codex was a work in progress and that there would be an opportunity in 2023 for all </w:t>
      </w:r>
      <w:r w:rsidR="00F47B22">
        <w:t xml:space="preserve">members </w:t>
      </w:r>
      <w:r>
        <w:t xml:space="preserve">and </w:t>
      </w:r>
      <w:r w:rsidR="00F47B22">
        <w:t xml:space="preserve">observers </w:t>
      </w:r>
      <w:r>
        <w:t>to engage on this topic and noted the need, in due course, to review the Procedural Manual to ensure that its provisions enabled and facilitated continued virtual and hybrid meetings.</w:t>
      </w:r>
    </w:p>
    <w:p w14:paraId="5A5CC979" w14:textId="1F48CB81" w:rsidR="00924DAF" w:rsidRDefault="00924DAF" w:rsidP="00924DAF">
      <w:pPr>
        <w:pStyle w:val="BodyText"/>
      </w:pPr>
      <w:r>
        <w:t xml:space="preserve">Working documents, including the report, of </w:t>
      </w:r>
      <w:proofErr w:type="spellStart"/>
      <w:r>
        <w:t>CCEXEC</w:t>
      </w:r>
      <w:proofErr w:type="spellEnd"/>
      <w:r>
        <w:t xml:space="preserve"> and CAC sessions are available on the Codex website: </w:t>
      </w:r>
      <w:hyperlink r:id="rId9" w:history="1">
        <w:r w:rsidRPr="00F427A2">
          <w:rPr>
            <w:rStyle w:val="Hyperlink"/>
          </w:rPr>
          <w:t>CCEXEC83</w:t>
        </w:r>
      </w:hyperlink>
      <w:r>
        <w:t xml:space="preserve">, </w:t>
      </w:r>
      <w:hyperlink r:id="rId10" w:history="1">
        <w:r w:rsidRPr="00F427A2">
          <w:rPr>
            <w:rStyle w:val="Hyperlink"/>
          </w:rPr>
          <w:t>CAC45</w:t>
        </w:r>
      </w:hyperlink>
      <w:r>
        <w:t>.</w:t>
      </w:r>
    </w:p>
    <w:p w14:paraId="34AA182D" w14:textId="77777777" w:rsidR="00924DAF" w:rsidRDefault="00924DAF" w:rsidP="0015586C">
      <w:pPr>
        <w:pStyle w:val="Heading1"/>
      </w:pPr>
      <w:r>
        <w:t>INTERNATIONAL COMMITTEE MEETINGS</w:t>
      </w:r>
    </w:p>
    <w:p w14:paraId="7C6E3B6E" w14:textId="4AE57236" w:rsidR="00924DAF" w:rsidRDefault="00924DAF" w:rsidP="0015586C">
      <w:pPr>
        <w:pStyle w:val="Heading2"/>
      </w:pPr>
      <w:r>
        <w:t>53</w:t>
      </w:r>
      <w:r w:rsidRPr="0015586C">
        <w:rPr>
          <w:vertAlign w:val="superscript"/>
        </w:rPr>
        <w:t>rd</w:t>
      </w:r>
      <w:r w:rsidR="0015586C">
        <w:t xml:space="preserve"> </w:t>
      </w:r>
      <w:r>
        <w:t>Session of the Codex Committee on Food Hygiene (San Diego, United States of America, 29 November - 2 December 2022)</w:t>
      </w:r>
    </w:p>
    <w:p w14:paraId="2BEAD6EF" w14:textId="388E6136" w:rsidR="00924DAF" w:rsidRDefault="00924DAF" w:rsidP="00924DAF">
      <w:pPr>
        <w:pStyle w:val="BodyText"/>
      </w:pPr>
      <w:proofErr w:type="spellStart"/>
      <w:r>
        <w:t>CCFH</w:t>
      </w:r>
      <w:proofErr w:type="spellEnd"/>
      <w:r>
        <w:t xml:space="preserve"> finalized the Guidelines for the control of Shiga toxin-producing </w:t>
      </w:r>
      <w:r w:rsidRPr="00F427A2">
        <w:rPr>
          <w:i/>
          <w:iCs/>
        </w:rPr>
        <w:t>Escherichia coli</w:t>
      </w:r>
      <w:r>
        <w:t xml:space="preserve"> (</w:t>
      </w:r>
      <w:proofErr w:type="spellStart"/>
      <w:r>
        <w:t>STEC</w:t>
      </w:r>
      <w:proofErr w:type="spellEnd"/>
      <w:r>
        <w:t>) in raw beef, fresh leafy vegetables, raw milk and raw milk cheeses, and sprouts (general section and annexes on raw beef and raw milk and raw milk cheeses) (work continues on annexes for fresh leafy vegetables and sprouts) and the Guidelines for the safe use and reuse of water in food production and processing (general section and annex on fresh produce) for adoption by CAC46 (2023).</w:t>
      </w:r>
    </w:p>
    <w:p w14:paraId="6B445EEC" w14:textId="77777777" w:rsidR="00924DAF" w:rsidRDefault="00924DAF" w:rsidP="00924DAF">
      <w:pPr>
        <w:pStyle w:val="BodyText"/>
      </w:pPr>
      <w:proofErr w:type="spellStart"/>
      <w:r>
        <w:t>CCFH</w:t>
      </w:r>
      <w:proofErr w:type="spellEnd"/>
      <w:r>
        <w:t xml:space="preserve"> agreed to start new work on Guidelines for food hygiene control measures in traditional markets for food and the revision of the General principles of food hygiene to the control of pathogenic Vibrio species in seafood (</w:t>
      </w:r>
      <w:proofErr w:type="spellStart"/>
      <w:r>
        <w:t>CXG</w:t>
      </w:r>
      <w:proofErr w:type="spellEnd"/>
      <w:r>
        <w:t xml:space="preserve"> 73-2010) subject to approval by CAC46 (2023).</w:t>
      </w:r>
    </w:p>
    <w:p w14:paraId="38FA643E" w14:textId="7DA4DBBA" w:rsidR="00924DAF" w:rsidRDefault="00924DAF" w:rsidP="00924DAF">
      <w:pPr>
        <w:pStyle w:val="BodyText"/>
      </w:pPr>
      <w:proofErr w:type="spellStart"/>
      <w:r>
        <w:t>CCFH</w:t>
      </w:r>
      <w:proofErr w:type="spellEnd"/>
      <w:r>
        <w:t xml:space="preserve"> continues work on Guidelines for the safe use and reuse of water in food production (annexes on fishery and dairy products).</w:t>
      </w:r>
    </w:p>
    <w:p w14:paraId="78E47690" w14:textId="392B7A15" w:rsidR="00924DAF" w:rsidRDefault="00924DAF" w:rsidP="0015586C">
      <w:pPr>
        <w:pStyle w:val="Heading2"/>
      </w:pPr>
      <w:r>
        <w:t>26</w:t>
      </w:r>
      <w:r w:rsidRPr="0015586C">
        <w:rPr>
          <w:vertAlign w:val="superscript"/>
        </w:rPr>
        <w:t>th</w:t>
      </w:r>
      <w:r w:rsidR="0015586C">
        <w:t xml:space="preserve"> </w:t>
      </w:r>
      <w:r>
        <w:t>Session of the Codex Committee on Residues of Veterinary Drugs in Foods (Portland, United States of America, 13-17 February 2023)</w:t>
      </w:r>
    </w:p>
    <w:p w14:paraId="6FA55C8F" w14:textId="49342B29" w:rsidR="00924DAF" w:rsidRDefault="00924DAF" w:rsidP="00924DAF">
      <w:pPr>
        <w:pStyle w:val="BodyText"/>
      </w:pPr>
      <w:proofErr w:type="spellStart"/>
      <w:r>
        <w:t>CCRVDF</w:t>
      </w:r>
      <w:proofErr w:type="spellEnd"/>
      <w:r>
        <w:t xml:space="preserve"> finalized </w:t>
      </w:r>
      <w:proofErr w:type="spellStart"/>
      <w:r>
        <w:t>MRLs</w:t>
      </w:r>
      <w:proofErr w:type="spellEnd"/>
      <w:r>
        <w:t xml:space="preserve"> for thirteen compounds:</w:t>
      </w:r>
    </w:p>
    <w:p w14:paraId="35DCC9AB" w14:textId="33B94019" w:rsidR="00924DAF" w:rsidRDefault="00001A6E" w:rsidP="00001A6E">
      <w:pPr>
        <w:spacing w:after="240"/>
        <w:ind w:left="1134" w:hanging="567"/>
      </w:pPr>
      <w:r>
        <w:t>-</w:t>
      </w:r>
      <w:r>
        <w:tab/>
      </w:r>
      <w:r w:rsidR="00924DAF">
        <w:t>Ivermectin for sheep, pigs, and goats – fat, kidney, liver and muscle</w:t>
      </w:r>
      <w:r w:rsidR="00F427A2">
        <w:t>;</w:t>
      </w:r>
    </w:p>
    <w:p w14:paraId="7231785D" w14:textId="37FD4177" w:rsidR="00924DAF" w:rsidRDefault="00001A6E" w:rsidP="00001A6E">
      <w:pPr>
        <w:spacing w:after="240"/>
        <w:ind w:left="1134" w:hanging="567"/>
      </w:pPr>
      <w:r>
        <w:t>-</w:t>
      </w:r>
      <w:r>
        <w:tab/>
      </w:r>
      <w:r w:rsidR="00924DAF">
        <w:t>Nicarbazin for chicken</w:t>
      </w:r>
      <w:r w:rsidR="00F427A2">
        <w:t>;</w:t>
      </w:r>
    </w:p>
    <w:p w14:paraId="6EE3806B" w14:textId="09C535BF" w:rsidR="00924DAF" w:rsidRDefault="00001A6E" w:rsidP="00001A6E">
      <w:pPr>
        <w:spacing w:after="240"/>
        <w:ind w:left="1134" w:hanging="567"/>
      </w:pPr>
      <w:r>
        <w:t>-</w:t>
      </w:r>
      <w:r>
        <w:tab/>
      </w:r>
      <w:r w:rsidR="00924DAF">
        <w:t xml:space="preserve">Extrapolated </w:t>
      </w:r>
      <w:proofErr w:type="spellStart"/>
      <w:r w:rsidR="00924DAF">
        <w:t>MRLs</w:t>
      </w:r>
      <w:proofErr w:type="spellEnd"/>
      <w:r w:rsidR="00924DAF">
        <w:t xml:space="preserve"> of ten veterinary drugs (amoxicillin, benzylpenicillin, cyhalothrin, cypermethrin, deltamethrin, levamisole, moxidectin, spectinomycin, </w:t>
      </w:r>
      <w:proofErr w:type="spellStart"/>
      <w:r w:rsidR="00924DAF">
        <w:t>tilmicosin</w:t>
      </w:r>
      <w:proofErr w:type="spellEnd"/>
      <w:r w:rsidR="00924DAF">
        <w:t>, tetracyclines) for ruminants</w:t>
      </w:r>
      <w:r w:rsidR="00F427A2">
        <w:t>;</w:t>
      </w:r>
    </w:p>
    <w:p w14:paraId="28C273CC" w14:textId="6DAB86BF" w:rsidR="00924DAF" w:rsidRDefault="00001A6E" w:rsidP="00001A6E">
      <w:pPr>
        <w:spacing w:after="240"/>
        <w:ind w:left="1134" w:hanging="567"/>
      </w:pPr>
      <w:r>
        <w:t>-</w:t>
      </w:r>
      <w:r>
        <w:tab/>
      </w:r>
      <w:r w:rsidR="00924DAF">
        <w:t xml:space="preserve">Extrapolated </w:t>
      </w:r>
      <w:proofErr w:type="spellStart"/>
      <w:r w:rsidR="00924DAF">
        <w:t>MRLs</w:t>
      </w:r>
      <w:proofErr w:type="spellEnd"/>
      <w:r w:rsidR="00924DAF">
        <w:t xml:space="preserve"> of two veterinary drugs (deltamethrin, flumequine) for finfish.</w:t>
      </w:r>
    </w:p>
    <w:p w14:paraId="46E11461" w14:textId="7BB51AF1" w:rsidR="00924DAF" w:rsidRDefault="00924DAF" w:rsidP="00924DAF">
      <w:pPr>
        <w:pStyle w:val="BodyText"/>
      </w:pPr>
      <w:proofErr w:type="spellStart"/>
      <w:r>
        <w:t>CCRVDF</w:t>
      </w:r>
      <w:proofErr w:type="spellEnd"/>
      <w:r>
        <w:t xml:space="preserve"> continues work on the establishment of </w:t>
      </w:r>
      <w:proofErr w:type="spellStart"/>
      <w:r>
        <w:t>MRLs</w:t>
      </w:r>
      <w:proofErr w:type="spellEnd"/>
      <w:r>
        <w:t xml:space="preserve"> for veterinary drugs (regular and extrapolation procedures), criteria and procedures for the establishment of action levels arising from the unavoidable and intended carryover of veterinary drugs from feed to food of animal origin. </w:t>
      </w:r>
      <w:r>
        <w:lastRenderedPageBreak/>
        <w:t>The</w:t>
      </w:r>
      <w:r w:rsidR="00F427A2">
        <w:t> </w:t>
      </w:r>
      <w:r>
        <w:t>Committee also continues coordination work with the Codex Committee on Pesticide Residues on issues of common interest to both committees.</w:t>
      </w:r>
    </w:p>
    <w:p w14:paraId="43D79AB7" w14:textId="50FCAD51" w:rsidR="00924DAF" w:rsidRDefault="00924DAF" w:rsidP="00924DAF">
      <w:pPr>
        <w:pStyle w:val="BodyText"/>
      </w:pPr>
      <w:r>
        <w:t xml:space="preserve">Further information on the work of these committees can be found in the report of the Session available on the Codex website: </w:t>
      </w:r>
      <w:hyperlink r:id="rId11" w:history="1">
        <w:r w:rsidRPr="0015586C">
          <w:rPr>
            <w:rStyle w:val="Hyperlink"/>
          </w:rPr>
          <w:t>CCFH53</w:t>
        </w:r>
      </w:hyperlink>
      <w:r>
        <w:t xml:space="preserve">, </w:t>
      </w:r>
      <w:hyperlink r:id="rId12" w:history="1">
        <w:r w:rsidRPr="0015586C">
          <w:rPr>
            <w:rStyle w:val="Hyperlink"/>
          </w:rPr>
          <w:t>CCRVDF26</w:t>
        </w:r>
      </w:hyperlink>
      <w:r w:rsidR="0015586C">
        <w:t>.</w:t>
      </w:r>
    </w:p>
    <w:p w14:paraId="41573147" w14:textId="77777777" w:rsidR="00924DAF" w:rsidRDefault="00924DAF" w:rsidP="0015586C">
      <w:pPr>
        <w:pStyle w:val="Heading1"/>
      </w:pPr>
      <w:r>
        <w:t>FORTHCOMING CODEX MEETINGS OF SPS RELEVANCE (As of February 2023. See the Codex website for the full meeting calendar)</w:t>
      </w:r>
    </w:p>
    <w:p w14:paraId="490A3F9E" w14:textId="77777777" w:rsidR="00924DAF" w:rsidRDefault="00924DAF" w:rsidP="0015586C">
      <w:pPr>
        <w:pStyle w:val="Heading2"/>
      </w:pPr>
      <w:proofErr w:type="spellStart"/>
      <w:r>
        <w:t>CCEXEC</w:t>
      </w:r>
      <w:proofErr w:type="spellEnd"/>
    </w:p>
    <w:p w14:paraId="29376D89" w14:textId="685D4D96" w:rsidR="00924DAF" w:rsidRDefault="00001A6E" w:rsidP="00001A6E">
      <w:pPr>
        <w:spacing w:after="240"/>
        <w:ind w:left="1134" w:hanging="567"/>
      </w:pPr>
      <w:r>
        <w:t>-</w:t>
      </w:r>
      <w:r>
        <w:tab/>
      </w:r>
      <w:r w:rsidR="00924DAF">
        <w:t>84</w:t>
      </w:r>
      <w:r w:rsidR="00924DAF" w:rsidRPr="0015586C">
        <w:rPr>
          <w:vertAlign w:val="superscript"/>
        </w:rPr>
        <w:t>th</w:t>
      </w:r>
      <w:r w:rsidR="0015586C">
        <w:t xml:space="preserve"> </w:t>
      </w:r>
      <w:r w:rsidR="00924DAF">
        <w:t>Session of the Executive Committee of the Codex Alimentarius Commission (CCEXEC84, Geneva, Switzerland, 10-14 July 2023)</w:t>
      </w:r>
    </w:p>
    <w:p w14:paraId="4E71F224" w14:textId="77777777" w:rsidR="00924DAF" w:rsidRDefault="00924DAF" w:rsidP="0015586C">
      <w:pPr>
        <w:pStyle w:val="Heading2"/>
      </w:pPr>
      <w:r>
        <w:t>International committee meetings of relevance to SPS</w:t>
      </w:r>
    </w:p>
    <w:p w14:paraId="046332F6" w14:textId="5E766B9A" w:rsidR="00924DAF" w:rsidRDefault="00001A6E" w:rsidP="00001A6E">
      <w:pPr>
        <w:spacing w:after="240"/>
        <w:ind w:left="1134" w:hanging="567"/>
      </w:pPr>
      <w:r>
        <w:t>-</w:t>
      </w:r>
      <w:r>
        <w:tab/>
      </w:r>
      <w:r w:rsidR="00924DAF">
        <w:t>16</w:t>
      </w:r>
      <w:r w:rsidR="0015586C" w:rsidRPr="0015586C">
        <w:rPr>
          <w:vertAlign w:val="superscript"/>
        </w:rPr>
        <w:t>t</w:t>
      </w:r>
      <w:r w:rsidR="00924DAF" w:rsidRPr="0015586C">
        <w:rPr>
          <w:vertAlign w:val="superscript"/>
        </w:rPr>
        <w:t>h</w:t>
      </w:r>
      <w:r w:rsidR="0015586C">
        <w:t xml:space="preserve"> </w:t>
      </w:r>
      <w:r w:rsidR="00924DAF">
        <w:t>Session of the Codex Committee on Contaminants in Foods (CCCF16, Utrecht, Netherlands, 18-21, 26 April</w:t>
      </w:r>
      <w:r w:rsidR="0015586C">
        <w:t>)</w:t>
      </w:r>
      <w:r w:rsidR="00924DAF">
        <w:t xml:space="preserve"> (physical plenary session with virtual adoption of the report, broadcasting available)</w:t>
      </w:r>
    </w:p>
    <w:p w14:paraId="6CA6BFB6" w14:textId="000AD34F" w:rsidR="00924DAF" w:rsidRDefault="00001A6E" w:rsidP="00001A6E">
      <w:pPr>
        <w:spacing w:after="240"/>
        <w:ind w:left="1134" w:hanging="567"/>
      </w:pPr>
      <w:r>
        <w:t>-</w:t>
      </w:r>
      <w:r>
        <w:tab/>
      </w:r>
      <w:r w:rsidR="00924DAF">
        <w:t>26</w:t>
      </w:r>
      <w:r w:rsidR="00924DAF" w:rsidRPr="0015586C">
        <w:rPr>
          <w:vertAlign w:val="superscript"/>
        </w:rPr>
        <w:t>th</w:t>
      </w:r>
      <w:r w:rsidR="0015586C">
        <w:t xml:space="preserve"> </w:t>
      </w:r>
      <w:r w:rsidR="00924DAF">
        <w:t>Session of the Codex Committee on Food Import and Export Inspection and Certification Systems (CCFICS26, Hobart, Tasmania, Australia, 1–5 May 2023) (hybrid)</w:t>
      </w:r>
    </w:p>
    <w:p w14:paraId="541599BC" w14:textId="3A592171" w:rsidR="00924DAF" w:rsidRDefault="00001A6E" w:rsidP="00001A6E">
      <w:pPr>
        <w:spacing w:after="240"/>
        <w:ind w:left="1134" w:hanging="567"/>
      </w:pPr>
      <w:r>
        <w:t>-</w:t>
      </w:r>
      <w:r>
        <w:tab/>
      </w:r>
      <w:r w:rsidR="00924DAF">
        <w:t>42</w:t>
      </w:r>
      <w:r w:rsidR="00924DAF" w:rsidRPr="0015586C">
        <w:rPr>
          <w:vertAlign w:val="superscript"/>
        </w:rPr>
        <w:t>nd</w:t>
      </w:r>
      <w:r w:rsidR="0015586C">
        <w:t xml:space="preserve"> </w:t>
      </w:r>
      <w:r w:rsidR="00924DAF">
        <w:t>Session of the Codex Committee on Methods of Analysis and Sampling (CCMAS42, Budapest, Hungary, 12–16 June and 20 June 2023) (physical plenary session with virtual adoption of the report, broadcasting available)</w:t>
      </w:r>
    </w:p>
    <w:p w14:paraId="5BB79B6F" w14:textId="0864B82F" w:rsidR="00924DAF" w:rsidRDefault="00001A6E" w:rsidP="00001A6E">
      <w:pPr>
        <w:spacing w:after="240"/>
        <w:ind w:left="1134" w:hanging="567"/>
      </w:pPr>
      <w:r>
        <w:t>-</w:t>
      </w:r>
      <w:r>
        <w:tab/>
      </w:r>
      <w:r w:rsidR="00924DAF">
        <w:t>54</w:t>
      </w:r>
      <w:r w:rsidR="00924DAF" w:rsidRPr="0015586C">
        <w:rPr>
          <w:vertAlign w:val="superscript"/>
        </w:rPr>
        <w:t>th</w:t>
      </w:r>
      <w:r w:rsidR="0015586C">
        <w:t xml:space="preserve"> </w:t>
      </w:r>
      <w:r w:rsidR="00924DAF">
        <w:t>Session of the Codex Committee on Pesticide Residues (CCPR54, 26 June – 1 July 2023)</w:t>
      </w:r>
    </w:p>
    <w:p w14:paraId="2DD2DEDF" w14:textId="295FDD53" w:rsidR="00924DAF" w:rsidRDefault="00924DAF" w:rsidP="00924DAF">
      <w:pPr>
        <w:pStyle w:val="BodyText"/>
      </w:pPr>
      <w:r>
        <w:t xml:space="preserve">Regular updates on the status of work of these Committees are published on their dedicated webpages: </w:t>
      </w:r>
      <w:hyperlink r:id="rId13" w:history="1">
        <w:r w:rsidRPr="0015586C">
          <w:rPr>
            <w:rStyle w:val="Hyperlink"/>
          </w:rPr>
          <w:t>CCEXEC84</w:t>
        </w:r>
      </w:hyperlink>
      <w:r>
        <w:t xml:space="preserve">, </w:t>
      </w:r>
      <w:hyperlink r:id="rId14" w:history="1">
        <w:r w:rsidRPr="0015586C">
          <w:rPr>
            <w:rStyle w:val="Hyperlink"/>
          </w:rPr>
          <w:t>CCFICS26</w:t>
        </w:r>
      </w:hyperlink>
      <w:r>
        <w:t xml:space="preserve">, </w:t>
      </w:r>
      <w:hyperlink r:id="rId15" w:history="1">
        <w:r w:rsidRPr="0015586C">
          <w:rPr>
            <w:rStyle w:val="Hyperlink"/>
          </w:rPr>
          <w:t>CCMAS42</w:t>
        </w:r>
      </w:hyperlink>
      <w:r>
        <w:t xml:space="preserve">, </w:t>
      </w:r>
      <w:hyperlink r:id="rId16" w:history="1">
        <w:r w:rsidRPr="0015586C">
          <w:rPr>
            <w:rStyle w:val="Hyperlink"/>
          </w:rPr>
          <w:t>CCPR54</w:t>
        </w:r>
      </w:hyperlink>
      <w:r w:rsidR="0015586C">
        <w:t>.</w:t>
      </w:r>
    </w:p>
    <w:p w14:paraId="0DBCD9EC" w14:textId="484C352E" w:rsidR="00924DAF" w:rsidRDefault="00924DAF" w:rsidP="00924DAF">
      <w:pPr>
        <w:pStyle w:val="BodyText"/>
      </w:pPr>
      <w:r>
        <w:t xml:space="preserve">For specific questions on the status of work in Codex committees of interest to SPS delegates please check the dedicated webpages or send an email to </w:t>
      </w:r>
      <w:hyperlink r:id="rId17" w:history="1">
        <w:r w:rsidR="00E23ACA" w:rsidRPr="000C2104">
          <w:rPr>
            <w:rStyle w:val="Hyperlink"/>
          </w:rPr>
          <w:t>codex@fao.org</w:t>
        </w:r>
      </w:hyperlink>
      <w:r>
        <w:t>.</w:t>
      </w:r>
    </w:p>
    <w:p w14:paraId="2100DC19" w14:textId="77777777" w:rsidR="00924DAF" w:rsidRDefault="00924DAF" w:rsidP="00E23ACA">
      <w:pPr>
        <w:pStyle w:val="Heading1"/>
      </w:pPr>
      <w:r>
        <w:t>GENERAL</w:t>
      </w:r>
    </w:p>
    <w:p w14:paraId="6BDA56B4" w14:textId="0891D059" w:rsidR="00924DAF" w:rsidRPr="00924DAF" w:rsidRDefault="00924DAF" w:rsidP="00924DAF">
      <w:pPr>
        <w:pStyle w:val="BodyText"/>
      </w:pPr>
      <w:r>
        <w:t xml:space="preserve">The Codex </w:t>
      </w:r>
      <w:r w:rsidR="00F427A2">
        <w:t xml:space="preserve">secretariat </w:t>
      </w:r>
      <w:r>
        <w:t>in collaboration with Host Country Secretariats are continuing to convene working group meetings and webinars and other events in advance of Codex subsidiary bodies</w:t>
      </w:r>
      <w:r w:rsidR="00F427A2">
        <w:t>'</w:t>
      </w:r>
      <w:r>
        <w:t xml:space="preserve"> sessions to support delegations</w:t>
      </w:r>
      <w:r w:rsidR="00F427A2">
        <w:t>'</w:t>
      </w:r>
      <w:r>
        <w:t xml:space="preserve"> preparations and facilitate discussions and consensus-building. Further information is available on the Committee webpages and the </w:t>
      </w:r>
      <w:hyperlink r:id="rId18" w:history="1">
        <w:r w:rsidRPr="00F427A2">
          <w:rPr>
            <w:rStyle w:val="Hyperlink"/>
          </w:rPr>
          <w:t>Codex calendar</w:t>
        </w:r>
      </w:hyperlink>
      <w:r>
        <w:t>.</w:t>
      </w:r>
    </w:p>
    <w:p w14:paraId="622F02F1" w14:textId="77777777" w:rsidR="008D5A5E" w:rsidRDefault="008D5A5E" w:rsidP="001E3F35"/>
    <w:p w14:paraId="72DC2010" w14:textId="01C70C2A" w:rsidR="009955A4" w:rsidRPr="009955A4" w:rsidRDefault="009955A4" w:rsidP="009955A4">
      <w:pPr>
        <w:jc w:val="center"/>
      </w:pPr>
      <w:r>
        <w:rPr>
          <w:b/>
        </w:rPr>
        <w:t>__________</w:t>
      </w:r>
      <w:bookmarkEnd w:id="8"/>
    </w:p>
    <w:sectPr w:rsidR="009955A4" w:rsidRPr="009955A4" w:rsidSect="004D0612">
      <w:headerReference w:type="even" r:id="rId19"/>
      <w:headerReference w:type="default" r:id="rId20"/>
      <w:footerReference w:type="even" r:id="rId21"/>
      <w:footerReference w:type="default" r:id="rId22"/>
      <w:headerReference w:type="first" r:id="rId23"/>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E">
      <wne:acd wne:acdName="acd4"/>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AA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CCB47" w14:textId="77777777" w:rsidR="001E3F35" w:rsidRDefault="001E3F35" w:rsidP="00ED54E0">
      <w:bookmarkStart w:id="4" w:name="_Hlk104899282"/>
      <w:bookmarkStart w:id="5" w:name="_Hlk104899283"/>
      <w:r>
        <w:separator/>
      </w:r>
      <w:bookmarkEnd w:id="4"/>
      <w:bookmarkEnd w:id="5"/>
    </w:p>
  </w:endnote>
  <w:endnote w:type="continuationSeparator" w:id="0">
    <w:p w14:paraId="35585EB9" w14:textId="77777777" w:rsidR="001E3F35" w:rsidRDefault="001E3F35" w:rsidP="00ED54E0">
      <w:bookmarkStart w:id="6" w:name="_Hlk104899284"/>
      <w:bookmarkStart w:id="7" w:name="_Hlk104899285"/>
      <w:r>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CF3AE" w14:textId="7251DF0C" w:rsidR="00544326" w:rsidRPr="004D0612" w:rsidRDefault="004D0612" w:rsidP="004D061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D0EE" w14:textId="27016F8B" w:rsidR="00544326" w:rsidRPr="004D0612" w:rsidRDefault="004D0612" w:rsidP="004D061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FF325" w14:textId="77777777" w:rsidR="001E3F35" w:rsidRDefault="001E3F35" w:rsidP="00ED54E0">
      <w:bookmarkStart w:id="0" w:name="_Hlk104899278"/>
      <w:bookmarkStart w:id="1" w:name="_Hlk104899279"/>
      <w:r>
        <w:separator/>
      </w:r>
      <w:bookmarkEnd w:id="0"/>
      <w:bookmarkEnd w:id="1"/>
    </w:p>
  </w:footnote>
  <w:footnote w:type="continuationSeparator" w:id="0">
    <w:p w14:paraId="08B6E1FA" w14:textId="77777777" w:rsidR="001E3F35" w:rsidRDefault="001E3F35" w:rsidP="00ED54E0">
      <w:bookmarkStart w:id="2" w:name="_Hlk104899280"/>
      <w:bookmarkStart w:id="3" w:name="_Hlk104899281"/>
      <w:r>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B192" w14:textId="77777777" w:rsidR="004D0612" w:rsidRPr="004D0612" w:rsidRDefault="004D0612" w:rsidP="004D0612">
    <w:pPr>
      <w:pStyle w:val="Header"/>
      <w:pBdr>
        <w:bottom w:val="single" w:sz="4" w:space="1" w:color="auto"/>
      </w:pBdr>
      <w:tabs>
        <w:tab w:val="clear" w:pos="4513"/>
        <w:tab w:val="clear" w:pos="9027"/>
      </w:tabs>
      <w:jc w:val="center"/>
    </w:pPr>
    <w:r w:rsidRPr="004D0612">
      <w:t>G/SPS/GEN/2109</w:t>
    </w:r>
  </w:p>
  <w:p w14:paraId="71AC01C9" w14:textId="77777777" w:rsidR="004D0612" w:rsidRPr="004D0612" w:rsidRDefault="004D0612" w:rsidP="004D0612">
    <w:pPr>
      <w:pStyle w:val="Header"/>
      <w:pBdr>
        <w:bottom w:val="single" w:sz="4" w:space="1" w:color="auto"/>
      </w:pBdr>
      <w:tabs>
        <w:tab w:val="clear" w:pos="4513"/>
        <w:tab w:val="clear" w:pos="9027"/>
      </w:tabs>
      <w:jc w:val="center"/>
    </w:pPr>
  </w:p>
  <w:p w14:paraId="65F251C3" w14:textId="5FEF12AB" w:rsidR="004D0612" w:rsidRPr="004D0612" w:rsidRDefault="004D0612" w:rsidP="004D0612">
    <w:pPr>
      <w:pStyle w:val="Header"/>
      <w:pBdr>
        <w:bottom w:val="single" w:sz="4" w:space="1" w:color="auto"/>
      </w:pBdr>
      <w:tabs>
        <w:tab w:val="clear" w:pos="4513"/>
        <w:tab w:val="clear" w:pos="9027"/>
      </w:tabs>
      <w:jc w:val="center"/>
    </w:pPr>
    <w:r w:rsidRPr="004D0612">
      <w:t xml:space="preserve">- </w:t>
    </w:r>
    <w:r w:rsidRPr="004D0612">
      <w:fldChar w:fldCharType="begin"/>
    </w:r>
    <w:r w:rsidRPr="004D0612">
      <w:instrText xml:space="preserve"> PAGE </w:instrText>
    </w:r>
    <w:r w:rsidRPr="004D0612">
      <w:fldChar w:fldCharType="separate"/>
    </w:r>
    <w:r w:rsidRPr="004D0612">
      <w:rPr>
        <w:noProof/>
      </w:rPr>
      <w:t>1</w:t>
    </w:r>
    <w:r w:rsidRPr="004D0612">
      <w:fldChar w:fldCharType="end"/>
    </w:r>
    <w:r w:rsidRPr="004D0612">
      <w:t xml:space="preserve"> -</w:t>
    </w:r>
  </w:p>
  <w:p w14:paraId="6AD3CE8F" w14:textId="182531C0" w:rsidR="00544326" w:rsidRPr="004D0612" w:rsidRDefault="00544326" w:rsidP="004D061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5E16" w14:textId="77777777" w:rsidR="004D0612" w:rsidRPr="004D0612" w:rsidRDefault="004D0612" w:rsidP="004D0612">
    <w:pPr>
      <w:pStyle w:val="Header"/>
      <w:pBdr>
        <w:bottom w:val="single" w:sz="4" w:space="1" w:color="auto"/>
      </w:pBdr>
      <w:tabs>
        <w:tab w:val="clear" w:pos="4513"/>
        <w:tab w:val="clear" w:pos="9027"/>
      </w:tabs>
      <w:jc w:val="center"/>
    </w:pPr>
    <w:r w:rsidRPr="004D0612">
      <w:t>G/SPS/GEN/2109</w:t>
    </w:r>
  </w:p>
  <w:p w14:paraId="572DEE8B" w14:textId="77777777" w:rsidR="004D0612" w:rsidRPr="004D0612" w:rsidRDefault="004D0612" w:rsidP="004D0612">
    <w:pPr>
      <w:pStyle w:val="Header"/>
      <w:pBdr>
        <w:bottom w:val="single" w:sz="4" w:space="1" w:color="auto"/>
      </w:pBdr>
      <w:tabs>
        <w:tab w:val="clear" w:pos="4513"/>
        <w:tab w:val="clear" w:pos="9027"/>
      </w:tabs>
      <w:jc w:val="center"/>
    </w:pPr>
  </w:p>
  <w:p w14:paraId="33B8FB76" w14:textId="37EB411E" w:rsidR="004D0612" w:rsidRPr="004D0612" w:rsidRDefault="004D0612" w:rsidP="004D0612">
    <w:pPr>
      <w:pStyle w:val="Header"/>
      <w:pBdr>
        <w:bottom w:val="single" w:sz="4" w:space="1" w:color="auto"/>
      </w:pBdr>
      <w:tabs>
        <w:tab w:val="clear" w:pos="4513"/>
        <w:tab w:val="clear" w:pos="9027"/>
      </w:tabs>
      <w:jc w:val="center"/>
    </w:pPr>
    <w:r w:rsidRPr="004D0612">
      <w:t xml:space="preserve">- </w:t>
    </w:r>
    <w:r w:rsidRPr="004D0612">
      <w:fldChar w:fldCharType="begin"/>
    </w:r>
    <w:r w:rsidRPr="004D0612">
      <w:instrText xml:space="preserve"> PAGE </w:instrText>
    </w:r>
    <w:r w:rsidRPr="004D0612">
      <w:fldChar w:fldCharType="separate"/>
    </w:r>
    <w:r w:rsidRPr="004D0612">
      <w:rPr>
        <w:noProof/>
      </w:rPr>
      <w:t>1</w:t>
    </w:r>
    <w:r w:rsidRPr="004D0612">
      <w:fldChar w:fldCharType="end"/>
    </w:r>
    <w:r w:rsidRPr="004D0612">
      <w:t xml:space="preserve"> -</w:t>
    </w:r>
  </w:p>
  <w:p w14:paraId="3877B804" w14:textId="49E6BBA1" w:rsidR="00544326" w:rsidRPr="004D0612" w:rsidRDefault="00544326" w:rsidP="004D061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39FBD37A" w14:textId="77777777" w:rsidTr="00544326">
      <w:trPr>
        <w:trHeight w:val="240"/>
        <w:jc w:val="center"/>
      </w:trPr>
      <w:tc>
        <w:tcPr>
          <w:tcW w:w="3794" w:type="dxa"/>
          <w:shd w:val="clear" w:color="auto" w:fill="FFFFFF"/>
          <w:tcMar>
            <w:left w:w="108" w:type="dxa"/>
            <w:right w:w="108" w:type="dxa"/>
          </w:tcMar>
          <w:vAlign w:val="center"/>
        </w:tcPr>
        <w:p w14:paraId="6C4AB697" w14:textId="77777777" w:rsidR="00ED54E0" w:rsidRPr="00182B84" w:rsidRDefault="00ED54E0" w:rsidP="00425DC5">
          <w:pPr>
            <w:rPr>
              <w:noProof/>
              <w:lang w:eastAsia="en-GB"/>
            </w:rPr>
          </w:pPr>
          <w:bookmarkStart w:id="9" w:name="_Hlk104899276"/>
          <w:bookmarkStart w:id="10" w:name="_Hlk104899277"/>
        </w:p>
      </w:tc>
      <w:tc>
        <w:tcPr>
          <w:tcW w:w="5448" w:type="dxa"/>
          <w:gridSpan w:val="2"/>
          <w:shd w:val="clear" w:color="auto" w:fill="FFFFFF"/>
          <w:tcMar>
            <w:left w:w="108" w:type="dxa"/>
            <w:right w:w="108" w:type="dxa"/>
          </w:tcMar>
          <w:vAlign w:val="center"/>
        </w:tcPr>
        <w:p w14:paraId="094BBF70" w14:textId="60D7B4FC" w:rsidR="00ED54E0" w:rsidRPr="00182B84" w:rsidRDefault="004D0612" w:rsidP="00425DC5">
          <w:pPr>
            <w:jc w:val="right"/>
            <w:rPr>
              <w:b/>
              <w:color w:val="FF0000"/>
              <w:szCs w:val="16"/>
            </w:rPr>
          </w:pPr>
          <w:bookmarkStart w:id="11" w:name="bmkRestricted"/>
          <w:r>
            <w:rPr>
              <w:b/>
              <w:color w:val="FF0000"/>
              <w:szCs w:val="16"/>
            </w:rPr>
            <w:t xml:space="preserve"> </w:t>
          </w:r>
          <w:bookmarkEnd w:id="11"/>
        </w:p>
      </w:tc>
    </w:tr>
    <w:tr w:rsidR="00ED54E0" w:rsidRPr="00182B84" w14:paraId="238E87CA" w14:textId="77777777" w:rsidTr="00544326">
      <w:trPr>
        <w:trHeight w:val="213"/>
        <w:jc w:val="center"/>
      </w:trPr>
      <w:tc>
        <w:tcPr>
          <w:tcW w:w="3794" w:type="dxa"/>
          <w:vMerge w:val="restart"/>
          <w:shd w:val="clear" w:color="auto" w:fill="FFFFFF"/>
          <w:tcMar>
            <w:left w:w="0" w:type="dxa"/>
            <w:right w:w="0" w:type="dxa"/>
          </w:tcMar>
        </w:tcPr>
        <w:p w14:paraId="0CECB41C" w14:textId="77777777" w:rsidR="00ED54E0" w:rsidRPr="00182B84" w:rsidRDefault="00ED54E0" w:rsidP="00425DC5">
          <w:pPr>
            <w:jc w:val="left"/>
          </w:pPr>
          <w:r w:rsidRPr="00182B84">
            <w:rPr>
              <w:noProof/>
              <w:lang w:val="en-US"/>
            </w:rPr>
            <w:drawing>
              <wp:inline distT="0" distB="0" distL="0" distR="0" wp14:anchorId="5E609FD9" wp14:editId="3BE11F47">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FC63FE8" w14:textId="77777777" w:rsidR="00ED54E0" w:rsidRPr="00182B84" w:rsidRDefault="00ED54E0" w:rsidP="00425DC5">
          <w:pPr>
            <w:jc w:val="right"/>
            <w:rPr>
              <w:b/>
              <w:szCs w:val="16"/>
            </w:rPr>
          </w:pPr>
        </w:p>
      </w:tc>
    </w:tr>
    <w:tr w:rsidR="00ED54E0" w:rsidRPr="00182B84" w14:paraId="66EA11D8" w14:textId="77777777" w:rsidTr="00544326">
      <w:trPr>
        <w:trHeight w:val="868"/>
        <w:jc w:val="center"/>
      </w:trPr>
      <w:tc>
        <w:tcPr>
          <w:tcW w:w="3794" w:type="dxa"/>
          <w:vMerge/>
          <w:shd w:val="clear" w:color="auto" w:fill="FFFFFF"/>
          <w:tcMar>
            <w:left w:w="108" w:type="dxa"/>
            <w:right w:w="108" w:type="dxa"/>
          </w:tcMar>
        </w:tcPr>
        <w:p w14:paraId="2DFC286D"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17C1E6F1" w14:textId="77777777" w:rsidR="004D0612" w:rsidRDefault="004D0612" w:rsidP="00406958">
          <w:pPr>
            <w:jc w:val="right"/>
            <w:rPr>
              <w:b/>
              <w:szCs w:val="16"/>
            </w:rPr>
          </w:pPr>
          <w:bookmarkStart w:id="12" w:name="bmkSymbols"/>
          <w:r>
            <w:rPr>
              <w:b/>
              <w:szCs w:val="16"/>
            </w:rPr>
            <w:t>G/SPS/GEN/2109</w:t>
          </w:r>
        </w:p>
        <w:bookmarkEnd w:id="12"/>
        <w:p w14:paraId="62EADB40" w14:textId="34FE3848" w:rsidR="00ED54E0" w:rsidRPr="00182B84" w:rsidRDefault="00ED54E0" w:rsidP="00406958">
          <w:pPr>
            <w:jc w:val="right"/>
            <w:rPr>
              <w:b/>
              <w:szCs w:val="16"/>
            </w:rPr>
          </w:pPr>
        </w:p>
      </w:tc>
    </w:tr>
    <w:tr w:rsidR="00ED54E0" w:rsidRPr="00182B84" w14:paraId="5D6C741B" w14:textId="77777777" w:rsidTr="00544326">
      <w:trPr>
        <w:trHeight w:val="240"/>
        <w:jc w:val="center"/>
      </w:trPr>
      <w:tc>
        <w:tcPr>
          <w:tcW w:w="3794" w:type="dxa"/>
          <w:vMerge/>
          <w:shd w:val="clear" w:color="auto" w:fill="FFFFFF"/>
          <w:tcMar>
            <w:left w:w="108" w:type="dxa"/>
            <w:right w:w="108" w:type="dxa"/>
          </w:tcMar>
          <w:vAlign w:val="center"/>
        </w:tcPr>
        <w:p w14:paraId="3CBB8561" w14:textId="77777777" w:rsidR="00ED54E0" w:rsidRPr="00182B84" w:rsidRDefault="00ED54E0" w:rsidP="00425DC5"/>
      </w:tc>
      <w:tc>
        <w:tcPr>
          <w:tcW w:w="5448" w:type="dxa"/>
          <w:gridSpan w:val="2"/>
          <w:shd w:val="clear" w:color="auto" w:fill="FFFFFF"/>
          <w:tcMar>
            <w:left w:w="108" w:type="dxa"/>
            <w:right w:w="108" w:type="dxa"/>
          </w:tcMar>
          <w:vAlign w:val="center"/>
        </w:tcPr>
        <w:p w14:paraId="00F8A206" w14:textId="2204D3BC" w:rsidR="00ED54E0" w:rsidRPr="00182B84" w:rsidRDefault="004D0612" w:rsidP="00425DC5">
          <w:pPr>
            <w:jc w:val="right"/>
            <w:rPr>
              <w:szCs w:val="16"/>
            </w:rPr>
          </w:pPr>
          <w:r>
            <w:rPr>
              <w:szCs w:val="16"/>
            </w:rPr>
            <w:t>1</w:t>
          </w:r>
          <w:r w:rsidR="00C66B97">
            <w:rPr>
              <w:szCs w:val="16"/>
            </w:rPr>
            <w:t>0</w:t>
          </w:r>
          <w:r w:rsidR="00D33889">
            <w:rPr>
              <w:szCs w:val="16"/>
            </w:rPr>
            <w:t xml:space="preserve"> </w:t>
          </w:r>
          <w:r>
            <w:rPr>
              <w:szCs w:val="16"/>
            </w:rPr>
            <w:t xml:space="preserve">March </w:t>
          </w:r>
          <w:r w:rsidR="00C8080C">
            <w:rPr>
              <w:szCs w:val="16"/>
            </w:rPr>
            <w:t>20</w:t>
          </w:r>
          <w:r w:rsidR="00F46B2A">
            <w:rPr>
              <w:szCs w:val="16"/>
            </w:rPr>
            <w:t>2</w:t>
          </w:r>
          <w:r>
            <w:rPr>
              <w:szCs w:val="16"/>
            </w:rPr>
            <w:t>3</w:t>
          </w:r>
        </w:p>
      </w:tc>
    </w:tr>
    <w:tr w:rsidR="00ED54E0" w:rsidRPr="00182B84" w14:paraId="2CA06B50"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4AF04EE" w14:textId="2516457B" w:rsidR="00ED54E0" w:rsidRPr="00182B84" w:rsidRDefault="00ED54E0" w:rsidP="0068561F">
          <w:pPr>
            <w:jc w:val="left"/>
            <w:rPr>
              <w:b/>
            </w:rPr>
          </w:pPr>
          <w:bookmarkStart w:id="13" w:name="bmkSerial" w:colFirst="0" w:colLast="0"/>
          <w:r w:rsidRPr="00182B84">
            <w:rPr>
              <w:color w:val="FF0000"/>
              <w:szCs w:val="16"/>
            </w:rPr>
            <w:t>(</w:t>
          </w:r>
          <w:r w:rsidR="00F46B2A">
            <w:rPr>
              <w:color w:val="FF0000"/>
              <w:szCs w:val="16"/>
            </w:rPr>
            <w:t>2</w:t>
          </w:r>
          <w:r w:rsidR="004D0612">
            <w:rPr>
              <w:color w:val="FF0000"/>
              <w:szCs w:val="16"/>
            </w:rPr>
            <w:t>3</w:t>
          </w:r>
          <w:r w:rsidRPr="00182B84">
            <w:rPr>
              <w:color w:val="FF0000"/>
              <w:szCs w:val="16"/>
            </w:rPr>
            <w:t>-</w:t>
          </w:r>
          <w:r w:rsidR="00FA3B82">
            <w:rPr>
              <w:color w:val="FF0000"/>
              <w:szCs w:val="16"/>
            </w:rPr>
            <w:t>1802</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695CEA96" w14:textId="77777777" w:rsidR="00ED54E0" w:rsidRPr="00182B84" w:rsidRDefault="00ED54E0" w:rsidP="00425DC5">
          <w:pPr>
            <w:jc w:val="right"/>
            <w:rPr>
              <w:szCs w:val="16"/>
            </w:rPr>
          </w:pPr>
          <w:bookmarkStart w:id="1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BD480C">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BD480C">
            <w:rPr>
              <w:bCs/>
              <w:noProof/>
              <w:szCs w:val="16"/>
            </w:rPr>
            <w:t>3</w:t>
          </w:r>
          <w:r w:rsidRPr="00182B84">
            <w:rPr>
              <w:bCs/>
              <w:szCs w:val="16"/>
            </w:rPr>
            <w:fldChar w:fldCharType="end"/>
          </w:r>
          <w:bookmarkEnd w:id="14"/>
        </w:p>
      </w:tc>
    </w:tr>
    <w:tr w:rsidR="00ED54E0" w:rsidRPr="00182B84" w14:paraId="38480C09"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141A857" w14:textId="1BE8BAEF" w:rsidR="00ED54E0" w:rsidRPr="00182B84" w:rsidRDefault="004D0612" w:rsidP="00425DC5">
          <w:pPr>
            <w:jc w:val="left"/>
            <w:rPr>
              <w:sz w:val="14"/>
              <w:szCs w:val="16"/>
            </w:rPr>
          </w:pPr>
          <w:bookmarkStart w:id="15" w:name="bmkCommittee"/>
          <w:bookmarkEnd w:id="13"/>
          <w:r>
            <w:rPr>
              <w:b/>
            </w:rPr>
            <w:t>Committee on Sanitary and Phytosanitary Measures</w:t>
          </w:r>
          <w:bookmarkEnd w:id="15"/>
        </w:p>
      </w:tc>
      <w:tc>
        <w:tcPr>
          <w:tcW w:w="3325" w:type="dxa"/>
          <w:tcBorders>
            <w:top w:val="single" w:sz="4" w:space="0" w:color="auto"/>
          </w:tcBorders>
          <w:tcMar>
            <w:top w:w="113" w:type="dxa"/>
            <w:left w:w="108" w:type="dxa"/>
            <w:bottom w:w="57" w:type="dxa"/>
            <w:right w:w="108" w:type="dxa"/>
          </w:tcMar>
          <w:vAlign w:val="center"/>
        </w:tcPr>
        <w:p w14:paraId="6EE3E7FF" w14:textId="1567B551" w:rsidR="00ED54E0" w:rsidRPr="00182B84" w:rsidRDefault="004D0612" w:rsidP="00425DC5">
          <w:pPr>
            <w:jc w:val="right"/>
            <w:rPr>
              <w:bCs/>
              <w:szCs w:val="18"/>
            </w:rPr>
          </w:pPr>
          <w:bookmarkStart w:id="16" w:name="bmkLanguage"/>
          <w:r>
            <w:rPr>
              <w:szCs w:val="18"/>
            </w:rPr>
            <w:t>Original: English</w:t>
          </w:r>
          <w:bookmarkEnd w:id="16"/>
        </w:p>
      </w:tc>
    </w:tr>
    <w:bookmarkEnd w:id="9"/>
    <w:bookmarkEnd w:id="10"/>
  </w:tbl>
  <w:p w14:paraId="3F028C69"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5" w15:restartNumberingAfterBreak="0">
    <w:nsid w:val="04710798"/>
    <w:multiLevelType w:val="multilevel"/>
    <w:tmpl w:val="7FE8638A"/>
    <w:name w:val="WTO2012Legal6"/>
    <w:lvl w:ilvl="0">
      <w:start w:val="1"/>
      <w:numFmt w:val="decimal"/>
      <w:lvlRestart w:val="0"/>
      <w:isLgl/>
      <w:suff w:val="nothing"/>
      <w:lvlText w:val="%1  "/>
      <w:lvlJc w:val="left"/>
      <w:pPr>
        <w:ind w:left="0" w:firstLine="0"/>
      </w:pPr>
    </w:lvl>
    <w:lvl w:ilvl="1">
      <w:start w:val="1"/>
      <w:numFmt w:val="decimal"/>
      <w:isLgl/>
      <w:suff w:val="nothing"/>
      <w:lvlText w:val="%1.%2  "/>
      <w:lvlJc w:val="left"/>
      <w:pPr>
        <w:ind w:left="142" w:firstLine="0"/>
      </w:pPr>
    </w:lvl>
    <w:lvl w:ilvl="2">
      <w:start w:val="1"/>
      <w:numFmt w:val="decimal"/>
      <w:isLgl/>
      <w:suff w:val="nothing"/>
      <w:lvlText w:val="%1.%2.%3  "/>
      <w:lvlJc w:val="left"/>
      <w:pPr>
        <w:ind w:left="0" w:firstLine="0"/>
      </w:pPr>
    </w:lvl>
    <w:lvl w:ilvl="3">
      <w:start w:val="1"/>
      <w:numFmt w:val="decimal"/>
      <w:isLgl/>
      <w:suff w:val="nothing"/>
      <w:lvlText w:val="%1.%2.%3.%4  "/>
      <w:lvlJc w:val="left"/>
      <w:pPr>
        <w:ind w:left="0" w:firstLine="0"/>
      </w:pPr>
    </w:lvl>
    <w:lvl w:ilvl="4">
      <w:start w:val="1"/>
      <w:numFmt w:val="decimal"/>
      <w:isLgl/>
      <w:suff w:val="nothing"/>
      <w:lvlText w:val="%1.%2.%3.%4.%5  "/>
      <w:lvlJc w:val="left"/>
      <w:pPr>
        <w:ind w:left="0" w:firstLine="0"/>
      </w:pPr>
    </w:lvl>
    <w:lvl w:ilvl="5">
      <w:start w:val="1"/>
      <w:numFmt w:val="decimal"/>
      <w:isLgl/>
      <w:suff w:val="nothing"/>
      <w:lvlText w:val="%1.%2.%3.%4.%5.%6  "/>
      <w:lvlJc w:val="left"/>
      <w:pPr>
        <w:ind w:left="0" w:firstLine="0"/>
      </w:pPr>
    </w:lvl>
    <w:lvl w:ilvl="6">
      <w:start w:val="1"/>
      <w:numFmt w:val="decimal"/>
      <w:lvlRestart w:val="1"/>
      <w:isLgl/>
      <w:suff w:val="nothing"/>
      <w:lvlText w:val="%1.%7.  "/>
      <w:lvlJc w:val="left"/>
      <w:pPr>
        <w:ind w:left="0" w:firstLine="0"/>
      </w:pPr>
    </w:lvl>
    <w:lvl w:ilvl="7">
      <w:start w:val="1"/>
      <w:numFmt w:val="lowerLetter"/>
      <w:lvlText w:val="%8."/>
      <w:lvlJc w:val="left"/>
      <w:pPr>
        <w:tabs>
          <w:tab w:val="num" w:pos="907"/>
        </w:tabs>
        <w:ind w:left="907" w:hanging="340"/>
      </w:pPr>
      <w:rPr>
        <w:rFonts w:eastAsia="Calibri" w:cs="Times New Roman"/>
        <w:b/>
        <w:caps/>
        <w:szCs w:val="18"/>
        <w:lang w:eastAsia="en-GB"/>
      </w:rPr>
    </w:lvl>
    <w:lvl w:ilvl="8">
      <w:start w:val="1"/>
      <w:numFmt w:val="lowerRoman"/>
      <w:lvlText w:val="%9."/>
      <w:lvlJc w:val="left"/>
      <w:pPr>
        <w:tabs>
          <w:tab w:val="num" w:pos="1247"/>
        </w:tabs>
        <w:ind w:left="1247" w:hanging="340"/>
      </w:pPr>
    </w:lvl>
  </w:abstractNum>
  <w:abstractNum w:abstractNumId="6" w15:restartNumberingAfterBreak="0">
    <w:nsid w:val="09221D82"/>
    <w:multiLevelType w:val="multilevel"/>
    <w:tmpl w:val="A52E7018"/>
    <w:name w:val="WTO2012Legal623"/>
    <w:lvl w:ilvl="0">
      <w:start w:val="1"/>
      <w:numFmt w:val="decimal"/>
      <w:lvlRestart w:val="0"/>
      <w:isLgl/>
      <w:suff w:val="nothing"/>
      <w:lvlText w:val="%1.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7" w15:restartNumberingAfterBreak="0">
    <w:nsid w:val="2A8A2D76"/>
    <w:multiLevelType w:val="hybridMultilevel"/>
    <w:tmpl w:val="985EF908"/>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26330"/>
    <w:multiLevelType w:val="hybridMultilevel"/>
    <w:tmpl w:val="6584E4D4"/>
    <w:lvl w:ilvl="0" w:tplc="ECD444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742895"/>
    <w:multiLevelType w:val="multilevel"/>
    <w:tmpl w:val="30BE74DE"/>
    <w:name w:val="WTO2012Legal623"/>
    <w:lvl w:ilvl="0">
      <w:start w:val="1"/>
      <w:numFmt w:val="decimal"/>
      <w:lvlRestart w:val="0"/>
      <w:isLgl/>
      <w:suff w:val="nothing"/>
      <w:lvlText w:val="%1  "/>
      <w:lvlJc w:val="left"/>
      <w:pPr>
        <w:ind w:left="0" w:firstLine="0"/>
      </w:pPr>
    </w:lvl>
    <w:lvl w:ilvl="1">
      <w:start w:val="1"/>
      <w:numFmt w:val="decimal"/>
      <w:isLgl/>
      <w:suff w:val="nothing"/>
      <w:lvlText w:val="%1.%2  "/>
      <w:lvlJc w:val="left"/>
      <w:pPr>
        <w:ind w:left="0" w:firstLine="0"/>
      </w:pPr>
    </w:lvl>
    <w:lvl w:ilvl="2">
      <w:start w:val="1"/>
      <w:numFmt w:val="decimal"/>
      <w:isLgl/>
      <w:suff w:val="nothing"/>
      <w:lvlText w:val="%1.%2.%3  "/>
      <w:lvlJc w:val="left"/>
      <w:pPr>
        <w:ind w:left="0" w:firstLine="0"/>
      </w:pPr>
    </w:lvl>
    <w:lvl w:ilvl="3">
      <w:start w:val="1"/>
      <w:numFmt w:val="decimal"/>
      <w:isLgl/>
      <w:suff w:val="nothing"/>
      <w:lvlText w:val="%1.%2.%3.%4  "/>
      <w:lvlJc w:val="left"/>
      <w:pPr>
        <w:ind w:left="0" w:firstLine="0"/>
      </w:pPr>
    </w:lvl>
    <w:lvl w:ilvl="4">
      <w:start w:val="1"/>
      <w:numFmt w:val="decimal"/>
      <w:isLgl/>
      <w:suff w:val="nothing"/>
      <w:lvlText w:val="%1.%2.%3.%4.%5  "/>
      <w:lvlJc w:val="left"/>
      <w:pPr>
        <w:ind w:left="0" w:firstLine="0"/>
      </w:pPr>
    </w:lvl>
    <w:lvl w:ilvl="5">
      <w:start w:val="1"/>
      <w:numFmt w:val="decimal"/>
      <w:isLgl/>
      <w:suff w:val="nothing"/>
      <w:lvlText w:val="%1.%2.%3.%4.%5.%6  "/>
      <w:lvlJc w:val="left"/>
      <w:pPr>
        <w:ind w:left="0" w:firstLine="0"/>
      </w:pPr>
    </w:lvl>
    <w:lvl w:ilvl="6">
      <w:start w:val="1"/>
      <w:numFmt w:val="decimal"/>
      <w:lvlRestart w:val="1"/>
      <w:isLgl/>
      <w:suff w:val="nothing"/>
      <w:lvlText w:val="%1.%7.  "/>
      <w:lvlJc w:val="left"/>
      <w:pPr>
        <w:ind w:left="0" w:firstLine="0"/>
      </w:pPr>
    </w:lvl>
    <w:lvl w:ilvl="7">
      <w:start w:val="1"/>
      <w:numFmt w:val="lowerLetter"/>
      <w:lvlText w:val="%8."/>
      <w:lvlJc w:val="left"/>
      <w:pPr>
        <w:tabs>
          <w:tab w:val="num" w:pos="907"/>
        </w:tabs>
        <w:ind w:left="907" w:hanging="340"/>
      </w:pPr>
    </w:lvl>
    <w:lvl w:ilvl="8">
      <w:start w:val="1"/>
      <w:numFmt w:val="lowerRoman"/>
      <w:lvlText w:val="%9."/>
      <w:lvlJc w:val="left"/>
      <w:pPr>
        <w:tabs>
          <w:tab w:val="num" w:pos="1247"/>
        </w:tabs>
        <w:ind w:left="1247" w:hanging="340"/>
      </w:pPr>
    </w:lvl>
  </w:abstractNum>
  <w:abstractNum w:abstractNumId="10" w15:restartNumberingAfterBreak="0">
    <w:nsid w:val="396C2899"/>
    <w:multiLevelType w:val="hybridMultilevel"/>
    <w:tmpl w:val="6584E4D4"/>
    <w:lvl w:ilvl="0" w:tplc="ECD444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25257F"/>
    <w:multiLevelType w:val="hybridMultilevel"/>
    <w:tmpl w:val="48A8CC6E"/>
    <w:lvl w:ilvl="0" w:tplc="CBAC3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CB5A5E"/>
    <w:multiLevelType w:val="multilevel"/>
    <w:tmpl w:val="C0EA8298"/>
    <w:name w:val="WTO2012Legal62"/>
    <w:lvl w:ilvl="0">
      <w:start w:val="1"/>
      <w:numFmt w:val="decimal"/>
      <w:lvlRestart w:val="0"/>
      <w:isLgl/>
      <w:suff w:val="nothing"/>
      <w:lvlText w:val="%1  "/>
      <w:lvlJc w:val="left"/>
      <w:pPr>
        <w:ind w:left="0" w:firstLine="0"/>
      </w:pPr>
    </w:lvl>
    <w:lvl w:ilvl="1">
      <w:start w:val="1"/>
      <w:numFmt w:val="decimal"/>
      <w:isLgl/>
      <w:suff w:val="nothing"/>
      <w:lvlText w:val="%1.%2  "/>
      <w:lvlJc w:val="left"/>
      <w:pPr>
        <w:ind w:left="0" w:firstLine="0"/>
      </w:pPr>
    </w:lvl>
    <w:lvl w:ilvl="2">
      <w:start w:val="1"/>
      <w:numFmt w:val="decimal"/>
      <w:isLgl/>
      <w:suff w:val="nothing"/>
      <w:lvlText w:val="%1.%2.%3  "/>
      <w:lvlJc w:val="left"/>
      <w:pPr>
        <w:ind w:left="0" w:firstLine="0"/>
      </w:pPr>
    </w:lvl>
    <w:lvl w:ilvl="3">
      <w:start w:val="1"/>
      <w:numFmt w:val="decimal"/>
      <w:isLgl/>
      <w:suff w:val="nothing"/>
      <w:lvlText w:val="%1.%2.%3.%4  "/>
      <w:lvlJc w:val="left"/>
      <w:pPr>
        <w:ind w:left="0" w:firstLine="0"/>
      </w:pPr>
    </w:lvl>
    <w:lvl w:ilvl="4">
      <w:start w:val="1"/>
      <w:numFmt w:val="decimal"/>
      <w:isLgl/>
      <w:suff w:val="nothing"/>
      <w:lvlText w:val="%1.%2.%3.%4.%5  "/>
      <w:lvlJc w:val="left"/>
      <w:pPr>
        <w:ind w:left="0" w:firstLine="0"/>
      </w:pPr>
    </w:lvl>
    <w:lvl w:ilvl="5">
      <w:start w:val="1"/>
      <w:numFmt w:val="decimal"/>
      <w:isLgl/>
      <w:suff w:val="nothing"/>
      <w:lvlText w:val="%1.%2.%3.%4.%5.%6  "/>
      <w:lvlJc w:val="left"/>
      <w:pPr>
        <w:ind w:left="0" w:firstLine="0"/>
      </w:pPr>
    </w:lvl>
    <w:lvl w:ilvl="6">
      <w:start w:val="1"/>
      <w:numFmt w:val="decimal"/>
      <w:lvlRestart w:val="1"/>
      <w:isLgl/>
      <w:suff w:val="nothing"/>
      <w:lvlText w:val="%1.%7.  "/>
      <w:lvlJc w:val="left"/>
      <w:pPr>
        <w:ind w:left="0" w:firstLine="0"/>
      </w:pPr>
    </w:lvl>
    <w:lvl w:ilvl="7">
      <w:start w:val="1"/>
      <w:numFmt w:val="lowerLetter"/>
      <w:lvlText w:val="%8."/>
      <w:lvlJc w:val="left"/>
      <w:pPr>
        <w:tabs>
          <w:tab w:val="num" w:pos="907"/>
        </w:tabs>
        <w:ind w:left="907" w:hanging="340"/>
      </w:pPr>
    </w:lvl>
    <w:lvl w:ilvl="8">
      <w:start w:val="1"/>
      <w:numFmt w:val="lowerRoman"/>
      <w:lvlText w:val="%9."/>
      <w:lvlJc w:val="left"/>
      <w:pPr>
        <w:tabs>
          <w:tab w:val="num" w:pos="1247"/>
        </w:tabs>
        <w:ind w:left="1247" w:hanging="340"/>
      </w:pPr>
      <w:rPr>
        <w:rFonts w:eastAsia="Calibri" w:cs="Times New Roman"/>
        <w:b w:val="0"/>
        <w:caps w:val="0"/>
        <w:szCs w:val="18"/>
        <w:lang w:eastAsia="en-GB"/>
      </w:rPr>
    </w:lvl>
  </w:abstractNum>
  <w:abstractNum w:abstractNumId="13"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40B6024"/>
    <w:multiLevelType w:val="multilevel"/>
    <w:tmpl w:val="7598E5D4"/>
    <w:name w:val="WTO2012Legal63"/>
    <w:lvl w:ilvl="0">
      <w:start w:val="1"/>
      <w:numFmt w:val="decimal"/>
      <w:lvlRestart w:val="0"/>
      <w:pStyle w:val="Heading1"/>
      <w:isLgl/>
      <w:suff w:val="nothing"/>
      <w:lvlText w:val="%1  "/>
      <w:lvlJc w:val="left"/>
      <w:pPr>
        <w:ind w:left="0" w:firstLine="0"/>
      </w:pPr>
      <w:rPr>
        <w:lang w:val="en-US"/>
      </w:rPr>
    </w:lvl>
    <w:lvl w:ilvl="1">
      <w:start w:val="1"/>
      <w:numFmt w:val="decimal"/>
      <w:pStyle w:val="Heading2"/>
      <w:isLgl/>
      <w:suff w:val="nothing"/>
      <w:lvlText w:val="%1.%2  "/>
      <w:lvlJc w:val="left"/>
      <w:pPr>
        <w:ind w:left="0" w:firstLine="0"/>
      </w:pPr>
    </w:lvl>
    <w:lvl w:ilvl="2">
      <w:start w:val="1"/>
      <w:numFmt w:val="decimal"/>
      <w:pStyle w:val="Heading3"/>
      <w:isLgl/>
      <w:suff w:val="nothing"/>
      <w:lvlText w:val="%1.%2.%3  "/>
      <w:lvlJc w:val="left"/>
      <w:pPr>
        <w:ind w:left="567" w:firstLine="0"/>
      </w:pPr>
    </w:lvl>
    <w:lvl w:ilvl="3">
      <w:start w:val="1"/>
      <w:numFmt w:val="decimal"/>
      <w:pStyle w:val="Heading4"/>
      <w:isLgl/>
      <w:suff w:val="nothing"/>
      <w:lvlText w:val="%1.%2.%3.%4  "/>
      <w:lvlJc w:val="left"/>
      <w:pPr>
        <w:ind w:left="0" w:firstLine="0"/>
      </w:pPr>
    </w:lvl>
    <w:lvl w:ilvl="4">
      <w:start w:val="1"/>
      <w:numFmt w:val="decimal"/>
      <w:pStyle w:val="Heading5"/>
      <w:isLgl/>
      <w:suff w:val="nothing"/>
      <w:lvlText w:val="%1.%2.%3.%4.%5  "/>
      <w:lvlJc w:val="left"/>
      <w:pPr>
        <w:ind w:left="0" w:firstLine="0"/>
      </w:pPr>
    </w:lvl>
    <w:lvl w:ilvl="5">
      <w:start w:val="1"/>
      <w:numFmt w:val="decimal"/>
      <w:pStyle w:val="Heading6"/>
      <w:isLgl/>
      <w:suff w:val="nothing"/>
      <w:lvlText w:val="%1.%2.%3.%4.%5.%6  "/>
      <w:lvlJc w:val="left"/>
      <w:pPr>
        <w:ind w:left="0" w:firstLine="0"/>
      </w:pPr>
    </w:lvl>
    <w:lvl w:ilvl="6">
      <w:start w:val="1"/>
      <w:numFmt w:val="decimal"/>
      <w:lvlRestart w:val="1"/>
      <w:pStyle w:val="BodyText"/>
      <w:isLgl/>
      <w:suff w:val="nothing"/>
      <w:lvlText w:val="%1.%7.  "/>
      <w:lvlJc w:val="left"/>
      <w:pPr>
        <w:ind w:left="0" w:firstLine="0"/>
      </w:pPr>
      <w:rPr>
        <w:b w:val="0"/>
        <w:bCs/>
      </w:rPr>
    </w:lvl>
    <w:lvl w:ilvl="7">
      <w:start w:val="1"/>
      <w:numFmt w:val="lowerLetter"/>
      <w:pStyle w:val="BodyText2"/>
      <w:lvlText w:val="%8."/>
      <w:lvlJc w:val="left"/>
      <w:pPr>
        <w:tabs>
          <w:tab w:val="num" w:pos="907"/>
        </w:tabs>
        <w:ind w:left="907" w:hanging="340"/>
      </w:pPr>
    </w:lvl>
    <w:lvl w:ilvl="8">
      <w:start w:val="1"/>
      <w:numFmt w:val="lowerRoman"/>
      <w:pStyle w:val="BodyText3"/>
      <w:lvlText w:val="%9."/>
      <w:lvlJc w:val="left"/>
      <w:pPr>
        <w:tabs>
          <w:tab w:val="num" w:pos="1247"/>
        </w:tabs>
        <w:ind w:left="1247" w:hanging="340"/>
      </w:pPr>
    </w:lvl>
  </w:abstractNum>
  <w:abstractNum w:abstractNumId="15" w15:restartNumberingAfterBreak="0">
    <w:nsid w:val="57551E12"/>
    <w:multiLevelType w:val="multilevel"/>
    <w:tmpl w:val="075A666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B8647AF"/>
    <w:multiLevelType w:val="multilevel"/>
    <w:tmpl w:val="6826E46E"/>
    <w:name w:val="WTO2012Legal622"/>
    <w:lvl w:ilvl="0">
      <w:start w:val="1"/>
      <w:numFmt w:val="decimal"/>
      <w:lvlRestart w:val="0"/>
      <w:isLgl/>
      <w:suff w:val="nothing"/>
      <w:lvlText w:val="%1  "/>
      <w:lvlJc w:val="left"/>
      <w:pPr>
        <w:ind w:left="0" w:firstLine="0"/>
      </w:pPr>
    </w:lvl>
    <w:lvl w:ilvl="1">
      <w:start w:val="1"/>
      <w:numFmt w:val="decimal"/>
      <w:isLgl/>
      <w:suff w:val="nothing"/>
      <w:lvlText w:val="%1.%2  "/>
      <w:lvlJc w:val="left"/>
      <w:pPr>
        <w:ind w:left="0" w:firstLine="0"/>
      </w:pPr>
    </w:lvl>
    <w:lvl w:ilvl="2">
      <w:start w:val="1"/>
      <w:numFmt w:val="decimal"/>
      <w:isLgl/>
      <w:suff w:val="nothing"/>
      <w:lvlText w:val="%1.%2.%3  "/>
      <w:lvlJc w:val="left"/>
      <w:pPr>
        <w:ind w:left="0" w:firstLine="0"/>
      </w:pPr>
    </w:lvl>
    <w:lvl w:ilvl="3">
      <w:start w:val="1"/>
      <w:numFmt w:val="decimal"/>
      <w:isLgl/>
      <w:suff w:val="nothing"/>
      <w:lvlText w:val="%1.%2.%3.%4  "/>
      <w:lvlJc w:val="left"/>
      <w:pPr>
        <w:ind w:left="0" w:firstLine="0"/>
      </w:pPr>
    </w:lvl>
    <w:lvl w:ilvl="4">
      <w:start w:val="1"/>
      <w:numFmt w:val="decimal"/>
      <w:isLgl/>
      <w:suff w:val="nothing"/>
      <w:lvlText w:val="%1.%2.%3.%4.%5  "/>
      <w:lvlJc w:val="left"/>
      <w:pPr>
        <w:ind w:left="0" w:firstLine="0"/>
      </w:pPr>
    </w:lvl>
    <w:lvl w:ilvl="5">
      <w:start w:val="1"/>
      <w:numFmt w:val="decimal"/>
      <w:isLgl/>
      <w:suff w:val="nothing"/>
      <w:lvlText w:val="%1.%2.%3.%4.%5.%6  "/>
      <w:lvlJc w:val="left"/>
      <w:pPr>
        <w:ind w:left="0" w:firstLine="0"/>
      </w:pPr>
    </w:lvl>
    <w:lvl w:ilvl="6">
      <w:start w:val="1"/>
      <w:numFmt w:val="decimal"/>
      <w:lvlRestart w:val="1"/>
      <w:isLgl/>
      <w:suff w:val="nothing"/>
      <w:lvlText w:val="%1.%7.  "/>
      <w:lvlJc w:val="left"/>
      <w:pPr>
        <w:ind w:left="0" w:firstLine="0"/>
      </w:pPr>
    </w:lvl>
    <w:lvl w:ilvl="7">
      <w:start w:val="1"/>
      <w:numFmt w:val="lowerLetter"/>
      <w:lvlText w:val="%8."/>
      <w:lvlJc w:val="left"/>
      <w:pPr>
        <w:tabs>
          <w:tab w:val="num" w:pos="907"/>
        </w:tabs>
        <w:ind w:left="907" w:hanging="340"/>
      </w:pPr>
    </w:lvl>
    <w:lvl w:ilvl="8">
      <w:start w:val="1"/>
      <w:numFmt w:val="lowerRoman"/>
      <w:lvlText w:val="%9."/>
      <w:lvlJc w:val="left"/>
      <w:pPr>
        <w:tabs>
          <w:tab w:val="num" w:pos="1247"/>
        </w:tabs>
        <w:ind w:left="1247" w:hanging="340"/>
      </w:pPr>
    </w:lvl>
  </w:abstractNum>
  <w:abstractNum w:abstractNumId="18" w15:restartNumberingAfterBreak="0">
    <w:nsid w:val="717C7DF7"/>
    <w:multiLevelType w:val="hybridMultilevel"/>
    <w:tmpl w:val="94E45D5C"/>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5345553">
    <w:abstractNumId w:val="15"/>
  </w:num>
  <w:num w:numId="2" w16cid:durableId="579487349">
    <w:abstractNumId w:val="13"/>
  </w:num>
  <w:num w:numId="3" w16cid:durableId="746608289">
    <w:abstractNumId w:val="16"/>
  </w:num>
  <w:num w:numId="4" w16cid:durableId="186916317">
    <w:abstractNumId w:val="4"/>
  </w:num>
  <w:num w:numId="5" w16cid:durableId="1332173390">
    <w:abstractNumId w:val="3"/>
  </w:num>
  <w:num w:numId="6" w16cid:durableId="1016737915">
    <w:abstractNumId w:val="2"/>
  </w:num>
  <w:num w:numId="7" w16cid:durableId="1089961051">
    <w:abstractNumId w:val="1"/>
  </w:num>
  <w:num w:numId="8" w16cid:durableId="1752965436">
    <w:abstractNumId w:val="0"/>
  </w:num>
  <w:num w:numId="9" w16cid:durableId="121312157">
    <w:abstractNumId w:val="14"/>
  </w:num>
  <w:num w:numId="10" w16cid:durableId="1667246188">
    <w:abstractNumId w:val="7"/>
  </w:num>
  <w:num w:numId="11" w16cid:durableId="2136633520">
    <w:abstractNumId w:val="18"/>
  </w:num>
  <w:num w:numId="12" w16cid:durableId="1254627290">
    <w:abstractNumId w:val="14"/>
  </w:num>
  <w:num w:numId="13" w16cid:durableId="1302930215">
    <w:abstractNumId w:val="14"/>
  </w:num>
  <w:num w:numId="14" w16cid:durableId="1347243688">
    <w:abstractNumId w:val="14"/>
  </w:num>
  <w:num w:numId="15" w16cid:durableId="834954281">
    <w:abstractNumId w:val="14"/>
  </w:num>
  <w:num w:numId="16" w16cid:durableId="869538071">
    <w:abstractNumId w:val="14"/>
  </w:num>
  <w:num w:numId="17" w16cid:durableId="1368993896">
    <w:abstractNumId w:val="14"/>
  </w:num>
  <w:num w:numId="18" w16cid:durableId="913510855">
    <w:abstractNumId w:val="14"/>
  </w:num>
  <w:num w:numId="19" w16cid:durableId="1052726">
    <w:abstractNumId w:val="14"/>
  </w:num>
  <w:num w:numId="20" w16cid:durableId="1092042313">
    <w:abstractNumId w:val="14"/>
  </w:num>
  <w:num w:numId="21" w16cid:durableId="2116172524">
    <w:abstractNumId w:val="14"/>
  </w:num>
  <w:num w:numId="22" w16cid:durableId="1470397447">
    <w:abstractNumId w:val="14"/>
  </w:num>
  <w:num w:numId="23" w16cid:durableId="1809273872">
    <w:abstractNumId w:val="14"/>
  </w:num>
  <w:num w:numId="24" w16cid:durableId="303120707">
    <w:abstractNumId w:val="14"/>
  </w:num>
  <w:num w:numId="25" w16cid:durableId="362365094">
    <w:abstractNumId w:val="14"/>
  </w:num>
  <w:num w:numId="26" w16cid:durableId="1691754680">
    <w:abstractNumId w:val="14"/>
  </w:num>
  <w:num w:numId="27" w16cid:durableId="1842623613">
    <w:abstractNumId w:val="14"/>
  </w:num>
  <w:num w:numId="28" w16cid:durableId="726488993">
    <w:abstractNumId w:val="14"/>
  </w:num>
  <w:num w:numId="29" w16cid:durableId="545458212">
    <w:abstractNumId w:val="10"/>
  </w:num>
  <w:num w:numId="30" w16cid:durableId="276760284">
    <w:abstractNumId w:val="8"/>
  </w:num>
  <w:num w:numId="31" w16cid:durableId="1666283348">
    <w:abstractNumId w:val="14"/>
  </w:num>
  <w:num w:numId="32" w16cid:durableId="808471406">
    <w:abstractNumId w:val="14"/>
  </w:num>
  <w:num w:numId="33" w16cid:durableId="1887063423">
    <w:abstractNumId w:val="11"/>
  </w:num>
  <w:num w:numId="34" w16cid:durableId="194499733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567"/>
  <w:hyphenationZone w:val="425"/>
  <w:evenAndOddHeaders/>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F35"/>
    <w:rsid w:val="00001787"/>
    <w:rsid w:val="00001A6E"/>
    <w:rsid w:val="00020D56"/>
    <w:rsid w:val="000272F6"/>
    <w:rsid w:val="000337D0"/>
    <w:rsid w:val="00037AC4"/>
    <w:rsid w:val="00040E2A"/>
    <w:rsid w:val="000423BF"/>
    <w:rsid w:val="00075769"/>
    <w:rsid w:val="000A4945"/>
    <w:rsid w:val="000B31E1"/>
    <w:rsid w:val="000C79CC"/>
    <w:rsid w:val="000D202A"/>
    <w:rsid w:val="000D7B8D"/>
    <w:rsid w:val="0010002A"/>
    <w:rsid w:val="0010617D"/>
    <w:rsid w:val="0011356B"/>
    <w:rsid w:val="00130348"/>
    <w:rsid w:val="0013337F"/>
    <w:rsid w:val="00145CF1"/>
    <w:rsid w:val="0015586C"/>
    <w:rsid w:val="00166BBC"/>
    <w:rsid w:val="001673E5"/>
    <w:rsid w:val="001708C2"/>
    <w:rsid w:val="00182B84"/>
    <w:rsid w:val="001A33CB"/>
    <w:rsid w:val="001B2F79"/>
    <w:rsid w:val="001C412F"/>
    <w:rsid w:val="001E291F"/>
    <w:rsid w:val="001E3F35"/>
    <w:rsid w:val="001F161A"/>
    <w:rsid w:val="00233408"/>
    <w:rsid w:val="00236FA9"/>
    <w:rsid w:val="00241BBF"/>
    <w:rsid w:val="00246116"/>
    <w:rsid w:val="00252299"/>
    <w:rsid w:val="0027067B"/>
    <w:rsid w:val="00294035"/>
    <w:rsid w:val="00295D25"/>
    <w:rsid w:val="002A1D03"/>
    <w:rsid w:val="002A6C5E"/>
    <w:rsid w:val="002B45AB"/>
    <w:rsid w:val="003156C6"/>
    <w:rsid w:val="00316CDC"/>
    <w:rsid w:val="00324631"/>
    <w:rsid w:val="003253FA"/>
    <w:rsid w:val="0033610F"/>
    <w:rsid w:val="00343181"/>
    <w:rsid w:val="00343375"/>
    <w:rsid w:val="003572B4"/>
    <w:rsid w:val="003728ED"/>
    <w:rsid w:val="00396B5E"/>
    <w:rsid w:val="003D3E64"/>
    <w:rsid w:val="003D5C55"/>
    <w:rsid w:val="003F72A5"/>
    <w:rsid w:val="00406958"/>
    <w:rsid w:val="00425C62"/>
    <w:rsid w:val="004626FE"/>
    <w:rsid w:val="00465E2E"/>
    <w:rsid w:val="00467032"/>
    <w:rsid w:val="0046754A"/>
    <w:rsid w:val="004B1190"/>
    <w:rsid w:val="004B4B75"/>
    <w:rsid w:val="004C6A58"/>
    <w:rsid w:val="004D0612"/>
    <w:rsid w:val="004D543A"/>
    <w:rsid w:val="004D748C"/>
    <w:rsid w:val="004F203A"/>
    <w:rsid w:val="00503B6E"/>
    <w:rsid w:val="005232D1"/>
    <w:rsid w:val="005256DE"/>
    <w:rsid w:val="005336B8"/>
    <w:rsid w:val="00540DFF"/>
    <w:rsid w:val="00544326"/>
    <w:rsid w:val="00547B5F"/>
    <w:rsid w:val="00564DBA"/>
    <w:rsid w:val="00567DEE"/>
    <w:rsid w:val="00572C3A"/>
    <w:rsid w:val="00592621"/>
    <w:rsid w:val="005A1A22"/>
    <w:rsid w:val="005B04B9"/>
    <w:rsid w:val="005B178D"/>
    <w:rsid w:val="005B4EA9"/>
    <w:rsid w:val="005B68C7"/>
    <w:rsid w:val="005B7054"/>
    <w:rsid w:val="005D5981"/>
    <w:rsid w:val="005F0FA2"/>
    <w:rsid w:val="005F30CB"/>
    <w:rsid w:val="005F565F"/>
    <w:rsid w:val="00601FF8"/>
    <w:rsid w:val="00612644"/>
    <w:rsid w:val="00625E02"/>
    <w:rsid w:val="00640B8C"/>
    <w:rsid w:val="00647926"/>
    <w:rsid w:val="00652629"/>
    <w:rsid w:val="00672D96"/>
    <w:rsid w:val="00674CCD"/>
    <w:rsid w:val="0067609C"/>
    <w:rsid w:val="00683CED"/>
    <w:rsid w:val="0068561F"/>
    <w:rsid w:val="006C04D1"/>
    <w:rsid w:val="006C1F8C"/>
    <w:rsid w:val="006E2DA9"/>
    <w:rsid w:val="006E57C0"/>
    <w:rsid w:val="006F5826"/>
    <w:rsid w:val="00700181"/>
    <w:rsid w:val="00712361"/>
    <w:rsid w:val="007141CF"/>
    <w:rsid w:val="0072134A"/>
    <w:rsid w:val="007320C5"/>
    <w:rsid w:val="007405B7"/>
    <w:rsid w:val="00745146"/>
    <w:rsid w:val="007577E3"/>
    <w:rsid w:val="00760274"/>
    <w:rsid w:val="00760DB3"/>
    <w:rsid w:val="00775D0E"/>
    <w:rsid w:val="007D2B72"/>
    <w:rsid w:val="007E260A"/>
    <w:rsid w:val="007E6507"/>
    <w:rsid w:val="007F2B8E"/>
    <w:rsid w:val="007F32D1"/>
    <w:rsid w:val="00807247"/>
    <w:rsid w:val="00811917"/>
    <w:rsid w:val="0082697B"/>
    <w:rsid w:val="008333EE"/>
    <w:rsid w:val="00840C2B"/>
    <w:rsid w:val="008434D6"/>
    <w:rsid w:val="00850568"/>
    <w:rsid w:val="008603EC"/>
    <w:rsid w:val="00864E13"/>
    <w:rsid w:val="008739FD"/>
    <w:rsid w:val="00882C82"/>
    <w:rsid w:val="00882DD2"/>
    <w:rsid w:val="00893E85"/>
    <w:rsid w:val="008D5A5E"/>
    <w:rsid w:val="008E372C"/>
    <w:rsid w:val="008F6094"/>
    <w:rsid w:val="00924DAF"/>
    <w:rsid w:val="00932BC2"/>
    <w:rsid w:val="00937374"/>
    <w:rsid w:val="00961D0C"/>
    <w:rsid w:val="00964024"/>
    <w:rsid w:val="00976B6D"/>
    <w:rsid w:val="009777C3"/>
    <w:rsid w:val="0098199C"/>
    <w:rsid w:val="00984315"/>
    <w:rsid w:val="009955A4"/>
    <w:rsid w:val="009A6F54"/>
    <w:rsid w:val="009B2903"/>
    <w:rsid w:val="009C3CD0"/>
    <w:rsid w:val="009D7007"/>
    <w:rsid w:val="00A03EED"/>
    <w:rsid w:val="00A118E7"/>
    <w:rsid w:val="00A1757C"/>
    <w:rsid w:val="00A42566"/>
    <w:rsid w:val="00A466EC"/>
    <w:rsid w:val="00A57B62"/>
    <w:rsid w:val="00A6057A"/>
    <w:rsid w:val="00A74017"/>
    <w:rsid w:val="00A97EC5"/>
    <w:rsid w:val="00AA332C"/>
    <w:rsid w:val="00AC1F38"/>
    <w:rsid w:val="00AC27F8"/>
    <w:rsid w:val="00AD4C72"/>
    <w:rsid w:val="00AD6235"/>
    <w:rsid w:val="00AE2AEE"/>
    <w:rsid w:val="00AF2936"/>
    <w:rsid w:val="00B00276"/>
    <w:rsid w:val="00B230EC"/>
    <w:rsid w:val="00B31B9A"/>
    <w:rsid w:val="00B42A08"/>
    <w:rsid w:val="00B52738"/>
    <w:rsid w:val="00B56EDC"/>
    <w:rsid w:val="00B6640D"/>
    <w:rsid w:val="00BA7104"/>
    <w:rsid w:val="00BB1F84"/>
    <w:rsid w:val="00BC0696"/>
    <w:rsid w:val="00BC69CD"/>
    <w:rsid w:val="00BD37B8"/>
    <w:rsid w:val="00BD480C"/>
    <w:rsid w:val="00BE3441"/>
    <w:rsid w:val="00BE5468"/>
    <w:rsid w:val="00C0254C"/>
    <w:rsid w:val="00C1036B"/>
    <w:rsid w:val="00C11EAC"/>
    <w:rsid w:val="00C15F6D"/>
    <w:rsid w:val="00C305D7"/>
    <w:rsid w:val="00C30F2A"/>
    <w:rsid w:val="00C35EA6"/>
    <w:rsid w:val="00C43456"/>
    <w:rsid w:val="00C62311"/>
    <w:rsid w:val="00C65C0C"/>
    <w:rsid w:val="00C66B97"/>
    <w:rsid w:val="00C8080C"/>
    <w:rsid w:val="00C808FC"/>
    <w:rsid w:val="00C82ECC"/>
    <w:rsid w:val="00C96E37"/>
    <w:rsid w:val="00C977D0"/>
    <w:rsid w:val="00CB73E6"/>
    <w:rsid w:val="00CD144B"/>
    <w:rsid w:val="00CD3173"/>
    <w:rsid w:val="00CD3B4C"/>
    <w:rsid w:val="00CD635E"/>
    <w:rsid w:val="00CD78C3"/>
    <w:rsid w:val="00CD7D97"/>
    <w:rsid w:val="00CE2131"/>
    <w:rsid w:val="00CE3756"/>
    <w:rsid w:val="00CE3EE6"/>
    <w:rsid w:val="00CE4BA1"/>
    <w:rsid w:val="00CE5B90"/>
    <w:rsid w:val="00CF1E67"/>
    <w:rsid w:val="00D000C7"/>
    <w:rsid w:val="00D02384"/>
    <w:rsid w:val="00D221B8"/>
    <w:rsid w:val="00D33889"/>
    <w:rsid w:val="00D52A9D"/>
    <w:rsid w:val="00D55AAD"/>
    <w:rsid w:val="00D73BD7"/>
    <w:rsid w:val="00D747AE"/>
    <w:rsid w:val="00D76722"/>
    <w:rsid w:val="00D8798A"/>
    <w:rsid w:val="00D9226C"/>
    <w:rsid w:val="00DA1565"/>
    <w:rsid w:val="00DA20BD"/>
    <w:rsid w:val="00DD6D66"/>
    <w:rsid w:val="00DE50DB"/>
    <w:rsid w:val="00DF6AE1"/>
    <w:rsid w:val="00DF70E3"/>
    <w:rsid w:val="00E05FD8"/>
    <w:rsid w:val="00E14ABA"/>
    <w:rsid w:val="00E23ACA"/>
    <w:rsid w:val="00E26348"/>
    <w:rsid w:val="00E352DC"/>
    <w:rsid w:val="00E46FD5"/>
    <w:rsid w:val="00E544BB"/>
    <w:rsid w:val="00E56545"/>
    <w:rsid w:val="00E8472C"/>
    <w:rsid w:val="00EA5D4F"/>
    <w:rsid w:val="00EB6C56"/>
    <w:rsid w:val="00EC341A"/>
    <w:rsid w:val="00ED1D47"/>
    <w:rsid w:val="00ED54E0"/>
    <w:rsid w:val="00ED5DF9"/>
    <w:rsid w:val="00EE0EE6"/>
    <w:rsid w:val="00EF321A"/>
    <w:rsid w:val="00F04052"/>
    <w:rsid w:val="00F15D32"/>
    <w:rsid w:val="00F32397"/>
    <w:rsid w:val="00F40595"/>
    <w:rsid w:val="00F427A2"/>
    <w:rsid w:val="00F46B2A"/>
    <w:rsid w:val="00F47B22"/>
    <w:rsid w:val="00F7357E"/>
    <w:rsid w:val="00FA2637"/>
    <w:rsid w:val="00FA3B82"/>
    <w:rsid w:val="00FA5EBC"/>
    <w:rsid w:val="00FB036A"/>
    <w:rsid w:val="00FC0607"/>
    <w:rsid w:val="00FD224A"/>
    <w:rsid w:val="00FD4CD9"/>
    <w:rsid w:val="00FF46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456D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uiPriority w:val="2"/>
    <w:qFormat/>
    <w:rsid w:val="00B230EC"/>
    <w:pPr>
      <w:keepNext/>
      <w:keepLines/>
      <w:numPr>
        <w:numId w:val="9"/>
      </w:numPr>
      <w:spacing w:after="240"/>
      <w:outlineLvl w:val="0"/>
    </w:pPr>
    <w:rPr>
      <w:rFonts w:eastAsiaTheme="majorEastAsia" w:cstheme="majorBidi"/>
      <w:b/>
      <w:bCs/>
      <w:caps/>
      <w:color w:val="006283"/>
      <w:szCs w:val="28"/>
    </w:rPr>
  </w:style>
  <w:style w:type="paragraph" w:styleId="Heading2">
    <w:name w:val="heading 2"/>
    <w:basedOn w:val="Normal"/>
    <w:next w:val="Heading3"/>
    <w:uiPriority w:val="2"/>
    <w:qFormat/>
    <w:rsid w:val="00B230EC"/>
    <w:pPr>
      <w:keepNext/>
      <w:keepLines/>
      <w:numPr>
        <w:ilvl w:val="1"/>
        <w:numId w:val="9"/>
      </w:numPr>
      <w:spacing w:after="240"/>
      <w:outlineLvl w:val="1"/>
    </w:pPr>
    <w:rPr>
      <w:rFonts w:eastAsiaTheme="majorEastAsia" w:cstheme="majorBidi"/>
      <w:b/>
      <w:bCs/>
      <w:color w:val="006283"/>
      <w:szCs w:val="26"/>
    </w:rPr>
  </w:style>
  <w:style w:type="paragraph" w:styleId="Heading3">
    <w:name w:val="heading 3"/>
    <w:basedOn w:val="Normal"/>
    <w:next w:val="Heading4"/>
    <w:uiPriority w:val="2"/>
    <w:qFormat/>
    <w:rsid w:val="00B230EC"/>
    <w:pPr>
      <w:keepNext/>
      <w:keepLines/>
      <w:numPr>
        <w:ilvl w:val="2"/>
        <w:numId w:val="9"/>
      </w:numPr>
      <w:spacing w:after="240"/>
      <w:ind w:left="0"/>
      <w:outlineLvl w:val="2"/>
    </w:pPr>
    <w:rPr>
      <w:rFonts w:eastAsiaTheme="majorEastAsia" w:cstheme="majorBidi"/>
      <w:b/>
      <w:bCs/>
      <w:color w:val="006283"/>
    </w:rPr>
  </w:style>
  <w:style w:type="paragraph" w:styleId="Heading4">
    <w:name w:val="heading 4"/>
    <w:basedOn w:val="Normal"/>
    <w:next w:val="Heading5"/>
    <w:uiPriority w:val="2"/>
    <w:qFormat/>
    <w:rsid w:val="00B230EC"/>
    <w:pPr>
      <w:keepNext/>
      <w:keepLines/>
      <w:numPr>
        <w:ilvl w:val="3"/>
        <w:numId w:val="9"/>
      </w:numPr>
      <w:spacing w:after="240"/>
      <w:outlineLvl w:val="3"/>
    </w:pPr>
    <w:rPr>
      <w:rFonts w:eastAsiaTheme="majorEastAsia" w:cstheme="majorBidi"/>
      <w:b/>
      <w:bCs/>
      <w:iCs/>
      <w:color w:val="006283"/>
    </w:rPr>
  </w:style>
  <w:style w:type="paragraph" w:styleId="Heading5">
    <w:name w:val="heading 5"/>
    <w:basedOn w:val="Normal"/>
    <w:next w:val="Heading6"/>
    <w:uiPriority w:val="2"/>
    <w:qFormat/>
    <w:rsid w:val="00B230EC"/>
    <w:pPr>
      <w:keepNext/>
      <w:keepLines/>
      <w:numPr>
        <w:ilvl w:val="4"/>
        <w:numId w:val="9"/>
      </w:numPr>
      <w:spacing w:after="240"/>
      <w:outlineLvl w:val="4"/>
    </w:pPr>
    <w:rPr>
      <w:rFonts w:eastAsiaTheme="majorEastAsia" w:cstheme="majorBidi"/>
      <w:b/>
      <w:color w:val="006283"/>
    </w:rPr>
  </w:style>
  <w:style w:type="paragraph" w:styleId="Heading6">
    <w:name w:val="heading 6"/>
    <w:basedOn w:val="Normal"/>
    <w:next w:val="BodyText"/>
    <w:uiPriority w:val="2"/>
    <w:qFormat/>
    <w:rsid w:val="00B230EC"/>
    <w:pPr>
      <w:keepNext/>
      <w:keepLines/>
      <w:numPr>
        <w:ilvl w:val="5"/>
        <w:numId w:val="9"/>
      </w:numPr>
      <w:spacing w:after="240"/>
      <w:outlineLvl w:val="5"/>
    </w:pPr>
    <w:rPr>
      <w:rFonts w:eastAsiaTheme="majorEastAsia" w:cstheme="majorBidi"/>
      <w:b/>
      <w:iCs/>
      <w:color w:val="006283"/>
    </w:rPr>
  </w:style>
  <w:style w:type="paragraph" w:styleId="Heading7">
    <w:name w:val="heading 7"/>
    <w:basedOn w:val="Normal"/>
    <w:next w:val="Normal"/>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5"/>
    <w:qFormat/>
    <w:rsid w:val="00B230EC"/>
    <w:pPr>
      <w:spacing w:before="480" w:after="240"/>
      <w:contextualSpacing/>
      <w:jc w:val="center"/>
    </w:pPr>
    <w:rPr>
      <w:rFonts w:eastAsiaTheme="majorEastAsia" w:cstheme="majorBidi"/>
      <w:b/>
      <w:caps/>
      <w:color w:val="006283"/>
      <w:kern w:val="28"/>
      <w:szCs w:val="52"/>
    </w:rPr>
  </w:style>
  <w:style w:type="paragraph" w:styleId="BodyText">
    <w:name w:val="Body Text"/>
    <w:basedOn w:val="Normal"/>
    <w:uiPriority w:val="1"/>
    <w:qFormat/>
    <w:rsid w:val="00D747AE"/>
    <w:pPr>
      <w:numPr>
        <w:ilvl w:val="6"/>
        <w:numId w:val="9"/>
      </w:numPr>
      <w:spacing w:after="240"/>
    </w:pPr>
  </w:style>
  <w:style w:type="paragraph" w:styleId="BodyText2">
    <w:name w:val="Body Text 2"/>
    <w:basedOn w:val="Normal"/>
    <w:uiPriority w:val="1"/>
    <w:qFormat/>
    <w:rsid w:val="00D747AE"/>
    <w:pPr>
      <w:numPr>
        <w:ilvl w:val="7"/>
        <w:numId w:val="9"/>
      </w:numPr>
      <w:spacing w:after="240"/>
    </w:pPr>
  </w:style>
  <w:style w:type="paragraph" w:styleId="BodyText3">
    <w:name w:val="Body Text 3"/>
    <w:basedOn w:val="Normal"/>
    <w:uiPriority w:val="1"/>
    <w:qFormat/>
    <w:rsid w:val="00D747AE"/>
    <w:pPr>
      <w:numPr>
        <w:ilvl w:val="8"/>
        <w:numId w:val="9"/>
      </w:numPr>
      <w:spacing w:after="240"/>
    </w:pPr>
    <w:rPr>
      <w:szCs w:val="16"/>
    </w:rPr>
  </w:style>
  <w:style w:type="numbering" w:customStyle="1" w:styleId="LegalHeadings">
    <w:name w:val="LegalHeadings"/>
    <w:uiPriority w:val="99"/>
    <w:rsid w:val="00D747AE"/>
    <w:pPr>
      <w:numPr>
        <w:numId w:val="1"/>
      </w:numPr>
    </w:pPr>
  </w:style>
  <w:style w:type="paragraph" w:styleId="ListBullet">
    <w:name w:val="List Bullet"/>
    <w:basedOn w:val="Normal"/>
    <w:uiPriority w:val="1"/>
    <w:rsid w:val="00AE2AEE"/>
    <w:pPr>
      <w:numPr>
        <w:numId w:val="2"/>
      </w:numPr>
      <w:spacing w:after="240"/>
    </w:pPr>
  </w:style>
  <w:style w:type="paragraph" w:styleId="ListBullet2">
    <w:name w:val="List Bullet 2"/>
    <w:basedOn w:val="Normal"/>
    <w:uiPriority w:val="1"/>
    <w:rsid w:val="00AE2AEE"/>
    <w:pPr>
      <w:numPr>
        <w:ilvl w:val="1"/>
        <w:numId w:val="2"/>
      </w:numPr>
      <w:spacing w:after="240"/>
    </w:pPr>
  </w:style>
  <w:style w:type="paragraph" w:styleId="ListBullet3">
    <w:name w:val="List Bullet 3"/>
    <w:basedOn w:val="Normal"/>
    <w:uiPriority w:val="1"/>
    <w:rsid w:val="00AE2AEE"/>
    <w:pPr>
      <w:numPr>
        <w:ilvl w:val="2"/>
        <w:numId w:val="2"/>
      </w:numPr>
      <w:spacing w:after="240"/>
    </w:pPr>
  </w:style>
  <w:style w:type="paragraph" w:styleId="ListBullet4">
    <w:name w:val="List Bullet 4"/>
    <w:basedOn w:val="Normal"/>
    <w:uiPriority w:val="1"/>
    <w:rsid w:val="00AE2AEE"/>
    <w:pPr>
      <w:numPr>
        <w:ilvl w:val="3"/>
        <w:numId w:val="2"/>
      </w:numPr>
      <w:spacing w:after="240"/>
      <w:ind w:left="1587" w:hanging="340"/>
    </w:pPr>
  </w:style>
  <w:style w:type="paragraph" w:styleId="ListBullet5">
    <w:name w:val="List Bullet 5"/>
    <w:basedOn w:val="Normal"/>
    <w:uiPriority w:val="1"/>
    <w:rsid w:val="00AE2AEE"/>
    <w:pPr>
      <w:numPr>
        <w:ilvl w:val="4"/>
        <w:numId w:val="2"/>
      </w:numPr>
      <w:spacing w:after="240"/>
    </w:pPr>
  </w:style>
  <w:style w:type="numbering" w:customStyle="1" w:styleId="ListBullets">
    <w:name w:val="ListBullets"/>
    <w:uiPriority w:val="99"/>
    <w:rsid w:val="00760DB3"/>
    <w:pPr>
      <w:numPr>
        <w:numId w:val="2"/>
      </w:numPr>
    </w:pPr>
  </w:style>
  <w:style w:type="paragraph" w:customStyle="1" w:styleId="Answer">
    <w:name w:val="Answer"/>
    <w:basedOn w:val="Normal"/>
    <w:uiPriority w:val="6"/>
    <w:qFormat/>
    <w:rsid w:val="0046754A"/>
    <w:pPr>
      <w:spacing w:after="240"/>
      <w:ind w:left="1077"/>
    </w:pPr>
    <w:rPr>
      <w:rFonts w:eastAsia="Calibri" w:cs="Times New Roman"/>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uiPriority w:val="99"/>
    <w:rsid w:val="00E56545"/>
    <w:pPr>
      <w:ind w:firstLine="567"/>
      <w:jc w:val="left"/>
    </w:pPr>
    <w:rPr>
      <w:rFonts w:eastAsia="Calibri" w:cs="Times New Roman"/>
      <w:sz w:val="16"/>
      <w:szCs w:val="18"/>
      <w:lang w:eastAsia="en-GB"/>
    </w:rPr>
  </w:style>
  <w:style w:type="paragraph" w:styleId="EndnoteText">
    <w:name w:val="endnote text"/>
    <w:basedOn w:val="FootnoteText"/>
    <w:uiPriority w:val="99"/>
    <w:rsid w:val="0046754A"/>
    <w:rPr>
      <w:szCs w:val="20"/>
    </w:rPr>
  </w:style>
  <w:style w:type="paragraph" w:customStyle="1" w:styleId="FollowUp">
    <w:name w:val="FollowUp"/>
    <w:basedOn w:val="Normal"/>
    <w:uiPriority w:val="6"/>
    <w:qFormat/>
    <w:rsid w:val="0046754A"/>
    <w:pPr>
      <w:spacing w:after="240"/>
      <w:ind w:left="720"/>
    </w:pPr>
    <w:rPr>
      <w:rFonts w:eastAsia="Calibri" w:cs="Times New Roman"/>
      <w:i/>
    </w:rPr>
  </w:style>
  <w:style w:type="paragraph" w:styleId="Footer">
    <w:name w:val="footer"/>
    <w:basedOn w:val="Normal"/>
    <w:uiPriority w:val="5"/>
    <w:rsid w:val="0046754A"/>
    <w:pPr>
      <w:tabs>
        <w:tab w:val="center" w:pos="4513"/>
        <w:tab w:val="right" w:pos="9027"/>
      </w:tabs>
    </w:pPr>
    <w:rPr>
      <w:rFonts w:eastAsia="Calibri" w:cs="Times New Roman"/>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99"/>
    <w:rsid w:val="0046754A"/>
    <w:rPr>
      <w:vertAlign w:val="superscript"/>
    </w:rPr>
  </w:style>
  <w:style w:type="paragraph" w:styleId="Header">
    <w:name w:val="header"/>
    <w:basedOn w:val="Normal"/>
    <w:uiPriority w:val="5"/>
    <w:rsid w:val="0046754A"/>
    <w:pPr>
      <w:tabs>
        <w:tab w:val="center" w:pos="4513"/>
        <w:tab w:val="right" w:pos="9027"/>
      </w:tabs>
      <w:jc w:val="left"/>
    </w:pPr>
    <w:rPr>
      <w:rFonts w:eastAsia="Calibri" w:cs="Times New Roman"/>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uiPriority w:val="99"/>
    <w:semiHidden/>
    <w:unhideWhenUsed/>
    <w:rsid w:val="00ED54E0"/>
    <w:rPr>
      <w:rFonts w:ascii="Tahoma" w:hAnsi="Tahoma" w:cs="Tahoma"/>
      <w:sz w:val="16"/>
      <w:szCs w:val="16"/>
    </w:rPr>
  </w:style>
  <w:style w:type="paragraph" w:styleId="Subtitle">
    <w:name w:val="Subtitle"/>
    <w:basedOn w:val="Normal"/>
    <w:next w:val="Normal"/>
    <w:uiPriority w:val="11"/>
    <w:qFormat/>
    <w:rsid w:val="00E46FD5"/>
    <w:pPr>
      <w:numPr>
        <w:ilvl w:val="1"/>
      </w:numPr>
    </w:pPr>
    <w:rPr>
      <w:rFonts w:eastAsiaTheme="majorEastAsia" w:cstheme="majorBidi"/>
      <w:b/>
      <w:iCs/>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3"/>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uiPriority w:val="99"/>
    <w:semiHidden/>
    <w:unhideWhenUsed/>
    <w:rsid w:val="00547B5F"/>
    <w:pPr>
      <w:numPr>
        <w:ilvl w:val="0"/>
        <w:numId w:val="0"/>
      </w:numPr>
      <w:spacing w:after="0"/>
      <w:ind w:firstLine="360"/>
    </w:pPr>
  </w:style>
  <w:style w:type="paragraph" w:styleId="BodyTextIndent">
    <w:name w:val="Body Text Indent"/>
    <w:basedOn w:val="Normal"/>
    <w:uiPriority w:val="99"/>
    <w:semiHidden/>
    <w:unhideWhenUsed/>
    <w:rsid w:val="00547B5F"/>
    <w:pPr>
      <w:spacing w:after="120"/>
      <w:ind w:left="283"/>
    </w:pPr>
  </w:style>
  <w:style w:type="paragraph" w:styleId="BodyTextFirstIndent2">
    <w:name w:val="Body Text First Indent 2"/>
    <w:basedOn w:val="BodyTextIndent"/>
    <w:uiPriority w:val="99"/>
    <w:semiHidden/>
    <w:unhideWhenUsed/>
    <w:rsid w:val="00547B5F"/>
    <w:pPr>
      <w:spacing w:after="0"/>
      <w:ind w:left="360" w:firstLine="360"/>
    </w:pPr>
  </w:style>
  <w:style w:type="paragraph" w:styleId="BodyTextIndent2">
    <w:name w:val="Body Text Indent 2"/>
    <w:basedOn w:val="Normal"/>
    <w:uiPriority w:val="99"/>
    <w:semiHidden/>
    <w:unhideWhenUsed/>
    <w:rsid w:val="00547B5F"/>
    <w:pPr>
      <w:spacing w:after="120" w:line="480" w:lineRule="auto"/>
      <w:ind w:left="283"/>
    </w:pPr>
  </w:style>
  <w:style w:type="paragraph" w:styleId="BodyTextIndent3">
    <w:name w:val="Body Text Indent 3"/>
    <w:basedOn w:val="Normal"/>
    <w:uiPriority w:val="99"/>
    <w:semiHidden/>
    <w:unhideWhenUsed/>
    <w:rsid w:val="00547B5F"/>
    <w:pPr>
      <w:spacing w:after="120"/>
      <w:ind w:left="283"/>
    </w:pPr>
    <w:rPr>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uiPriority w:val="99"/>
    <w:semiHidden/>
    <w:unhideWhenUsed/>
    <w:rsid w:val="00547B5F"/>
    <w:pPr>
      <w:ind w:left="4252"/>
    </w:p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uiPriority w:val="99"/>
    <w:unhideWhenUsed/>
    <w:rsid w:val="00547B5F"/>
    <w:rPr>
      <w:sz w:val="20"/>
      <w:szCs w:val="20"/>
    </w:rPr>
  </w:style>
  <w:style w:type="paragraph" w:styleId="CommentSubject">
    <w:name w:val="annotation subject"/>
    <w:basedOn w:val="CommentText"/>
    <w:next w:val="CommentText"/>
    <w:uiPriority w:val="99"/>
    <w:unhideWhenUsed/>
    <w:rsid w:val="00547B5F"/>
    <w:rPr>
      <w:b/>
      <w:bCs/>
    </w:rPr>
  </w:style>
  <w:style w:type="paragraph" w:styleId="Date">
    <w:name w:val="Date"/>
    <w:basedOn w:val="Normal"/>
    <w:next w:val="Normal"/>
    <w:uiPriority w:val="99"/>
    <w:semiHidden/>
    <w:unhideWhenUsed/>
    <w:rsid w:val="00547B5F"/>
  </w:style>
  <w:style w:type="paragraph" w:styleId="DocumentMap">
    <w:name w:val="Document Map"/>
    <w:basedOn w:val="Normal"/>
    <w:uiPriority w:val="99"/>
    <w:semiHidden/>
    <w:unhideWhenUsed/>
    <w:rsid w:val="00547B5F"/>
    <w:rPr>
      <w:rFonts w:ascii="Tahoma" w:hAnsi="Tahoma" w:cs="Tahoma"/>
      <w:sz w:val="16"/>
      <w:szCs w:val="16"/>
    </w:rPr>
  </w:style>
  <w:style w:type="paragraph" w:styleId="E-mailSignature">
    <w:name w:val="E-mail Signature"/>
    <w:basedOn w:val="Normal"/>
    <w:uiPriority w:val="99"/>
    <w:semiHidden/>
    <w:unhideWhenUsed/>
    <w:rsid w:val="00547B5F"/>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uiPriority w:val="99"/>
    <w:semiHidden/>
    <w:unhideWhenUsed/>
    <w:rsid w:val="00547B5F"/>
    <w:rPr>
      <w:i/>
      <w:iCs/>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uiPriority w:val="99"/>
    <w:semiHidden/>
    <w:unhideWhenUsed/>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uiPriority w:val="99"/>
    <w:semiHidden/>
    <w:qFormat/>
    <w:rsid w:val="00547B5F"/>
    <w:pPr>
      <w:pBdr>
        <w:bottom w:val="single" w:sz="4" w:space="4" w:color="4F81BD" w:themeColor="accent1"/>
      </w:pBdr>
      <w:spacing w:before="200" w:after="280"/>
      <w:ind w:left="936" w:right="936"/>
    </w:pPr>
    <w:rPr>
      <w:b/>
      <w:bCs/>
      <w:i/>
      <w:iCs/>
      <w:color w:val="4F81BD" w:themeColor="accent1"/>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4"/>
      </w:numPr>
      <w:contextualSpacing/>
    </w:pPr>
  </w:style>
  <w:style w:type="paragraph" w:styleId="ListNumber2">
    <w:name w:val="List Number 2"/>
    <w:basedOn w:val="Normal"/>
    <w:uiPriority w:val="49"/>
    <w:semiHidden/>
    <w:unhideWhenUsed/>
    <w:rsid w:val="00547B5F"/>
    <w:pPr>
      <w:numPr>
        <w:numId w:val="5"/>
      </w:numPr>
      <w:contextualSpacing/>
    </w:pPr>
  </w:style>
  <w:style w:type="paragraph" w:styleId="ListNumber3">
    <w:name w:val="List Number 3"/>
    <w:basedOn w:val="Normal"/>
    <w:uiPriority w:val="49"/>
    <w:semiHidden/>
    <w:unhideWhenUsed/>
    <w:rsid w:val="00547B5F"/>
    <w:pPr>
      <w:numPr>
        <w:numId w:val="6"/>
      </w:numPr>
      <w:contextualSpacing/>
    </w:pPr>
  </w:style>
  <w:style w:type="paragraph" w:styleId="ListNumber4">
    <w:name w:val="List Number 4"/>
    <w:basedOn w:val="Normal"/>
    <w:uiPriority w:val="49"/>
    <w:semiHidden/>
    <w:unhideWhenUsed/>
    <w:rsid w:val="00547B5F"/>
    <w:pPr>
      <w:numPr>
        <w:numId w:val="7"/>
      </w:numPr>
      <w:contextualSpacing/>
    </w:pPr>
  </w:style>
  <w:style w:type="paragraph" w:styleId="ListNumber5">
    <w:name w:val="List Number 5"/>
    <w:basedOn w:val="Normal"/>
    <w:uiPriority w:val="49"/>
    <w:semiHidden/>
    <w:unhideWhenUsed/>
    <w:rsid w:val="00547B5F"/>
    <w:pPr>
      <w:numPr>
        <w:numId w:val="8"/>
      </w:numPr>
      <w:contextualSpacing/>
    </w:pPr>
  </w:style>
  <w:style w:type="paragraph" w:styleId="MacroText">
    <w:name w:val="macro"/>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paragraph" w:styleId="MessageHeader">
    <w:name w:val="Message Header"/>
    <w:basedOn w:val="Normal"/>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uiPriority w:val="99"/>
    <w:semiHidden/>
    <w:unhideWhenUsed/>
    <w:rsid w:val="00547B5F"/>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uiPriority w:val="99"/>
    <w:unhideWhenUsed/>
    <w:rsid w:val="00547B5F"/>
    <w:rPr>
      <w:rFonts w:ascii="Consolas" w:hAnsi="Consolas" w:cs="Consolas"/>
      <w:sz w:val="21"/>
      <w:szCs w:val="21"/>
    </w:rPr>
  </w:style>
  <w:style w:type="paragraph" w:styleId="Quote">
    <w:name w:val="Quote"/>
    <w:basedOn w:val="Normal"/>
    <w:next w:val="Normal"/>
    <w:uiPriority w:val="99"/>
    <w:semiHidden/>
    <w:qFormat/>
    <w:rsid w:val="00547B5F"/>
    <w:rPr>
      <w:i/>
      <w:iCs/>
      <w:color w:val="000000" w:themeColor="text1"/>
    </w:rPr>
  </w:style>
  <w:style w:type="paragraph" w:styleId="Salutation">
    <w:name w:val="Salutation"/>
    <w:basedOn w:val="Normal"/>
    <w:next w:val="Normal"/>
    <w:uiPriority w:val="99"/>
    <w:semiHidden/>
    <w:unhideWhenUsed/>
    <w:rsid w:val="00547B5F"/>
  </w:style>
  <w:style w:type="paragraph" w:styleId="Signature">
    <w:name w:val="Signature"/>
    <w:basedOn w:val="Normal"/>
    <w:uiPriority w:val="99"/>
    <w:semiHidden/>
    <w:unhideWhenUsed/>
    <w:rsid w:val="00547B5F"/>
    <w:pPr>
      <w:ind w:left="4252"/>
    </w:p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styleId="UnresolvedMention">
    <w:name w:val="Unresolved Mention"/>
    <w:basedOn w:val="DefaultParagraphFont"/>
    <w:uiPriority w:val="99"/>
    <w:semiHidden/>
    <w:unhideWhenUsed/>
    <w:rsid w:val="00E352DC"/>
    <w:rPr>
      <w:color w:val="808080"/>
      <w:shd w:val="clear" w:color="auto" w:fill="E6E6E6"/>
    </w:rPr>
  </w:style>
  <w:style w:type="paragraph" w:customStyle="1" w:styleId="Default">
    <w:name w:val="Default"/>
    <w:rsid w:val="00CE2131"/>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ashtag">
    <w:name w:val="Hashtag"/>
    <w:basedOn w:val="DefaultParagraphFont"/>
    <w:uiPriority w:val="99"/>
    <w:semiHidden/>
    <w:unhideWhenUsed/>
    <w:rsid w:val="002A1D03"/>
    <w:rPr>
      <w:color w:val="2B579A"/>
      <w:shd w:val="clear" w:color="auto" w:fill="E1DFDD"/>
    </w:rPr>
  </w:style>
  <w:style w:type="character" w:styleId="Mention">
    <w:name w:val="Mention"/>
    <w:basedOn w:val="DefaultParagraphFont"/>
    <w:uiPriority w:val="99"/>
    <w:semiHidden/>
    <w:unhideWhenUsed/>
    <w:rsid w:val="002A1D03"/>
    <w:rPr>
      <w:color w:val="2B579A"/>
      <w:shd w:val="clear" w:color="auto" w:fill="E1DFDD"/>
    </w:rPr>
  </w:style>
  <w:style w:type="character" w:styleId="SmartHyperlink">
    <w:name w:val="Smart Hyperlink"/>
    <w:basedOn w:val="DefaultParagraphFont"/>
    <w:uiPriority w:val="99"/>
    <w:semiHidden/>
    <w:unhideWhenUsed/>
    <w:rsid w:val="002A1D03"/>
    <w:rPr>
      <w:u w:val="dotted"/>
    </w:rPr>
  </w:style>
  <w:style w:type="character" w:styleId="SmartLink">
    <w:name w:val="Smart Link"/>
    <w:basedOn w:val="DefaultParagraphFont"/>
    <w:uiPriority w:val="99"/>
    <w:semiHidden/>
    <w:unhideWhenUsed/>
    <w:rsid w:val="002A1D03"/>
    <w:rPr>
      <w:color w:val="0000FF" w:themeColor="hyperlink"/>
      <w:u w:val="single"/>
      <w:shd w:val="clear" w:color="auto" w:fill="E1DFDD"/>
    </w:rPr>
  </w:style>
  <w:style w:type="character" w:customStyle="1" w:styleId="SmartLinkError">
    <w:name w:val="Smart Link Error"/>
    <w:basedOn w:val="DefaultParagraphFont"/>
    <w:uiPriority w:val="99"/>
    <w:semiHidden/>
    <w:unhideWhenUsed/>
    <w:rsid w:val="002A1D03"/>
    <w:rPr>
      <w:color w:val="FF0000"/>
    </w:rPr>
  </w:style>
  <w:style w:type="paragraph" w:styleId="Revision">
    <w:name w:val="Revision"/>
    <w:hidden/>
    <w:uiPriority w:val="99"/>
    <w:semiHidden/>
    <w:rsid w:val="002B45AB"/>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o.org/fao-who-codexalimentarius/committees/executive-committee/meetings/en/" TargetMode="External"/><Relationship Id="rId18" Type="http://schemas.openxmlformats.org/officeDocument/2006/relationships/hyperlink" Target="http://www.fao.org/fao-who-codexalimentarius/meetings/calendar/en/"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fao.org/fao-who-codexalimentarius/meetings/detail/en/?meeting=CCRVDF&amp;session=26" TargetMode="External"/><Relationship Id="rId17" Type="http://schemas.openxmlformats.org/officeDocument/2006/relationships/hyperlink" Target="mailto:codex@fao.org"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fao.org/fao-who-codexalimentarius/committees/committee/related-meetings/en/?committee=CCPR"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fao.org/fao-who-codexalimentarius/meetings/detail/en/?meeting=CCFH&amp;session=53"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fao.org/fao-who-codexalimentarius/meetings/detail/en/?meeting=CCMAS&amp;session=42" TargetMode="External"/><Relationship Id="rId23" Type="http://schemas.openxmlformats.org/officeDocument/2006/relationships/header" Target="header3.xml"/><Relationship Id="rId10" Type="http://schemas.openxmlformats.org/officeDocument/2006/relationships/hyperlink" Target="https://www.fao.org/fao-who-codexalimentarius/meetings/detail/en/?meeting=CAC&amp;session=45"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fao.org/fao-who-codexalimentarius/meetings/detail/en/?meeting=CCEXEC&amp;session=83" TargetMode="External"/><Relationship Id="rId14" Type="http://schemas.openxmlformats.org/officeDocument/2006/relationships/hyperlink" Target="https://www.fao.org/fao-who-codexalimentarius/meetings/detail/en/?meeting=CCFICS&amp;session=26"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arra\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C58E1-BBBA-49A3-A903-9C1ED8B3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4</Pages>
  <Words>1574</Words>
  <Characters>8602</Characters>
  <Application>Microsoft Office Word</Application>
  <DocSecurity>0</DocSecurity>
  <Lines>151</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2018-07-05T13:16:00Z</cp:lastPrinted>
  <dcterms:created xsi:type="dcterms:W3CDTF">2022-06-07T09:52:00Z</dcterms:created>
  <dcterms:modified xsi:type="dcterms:W3CDTF">2023-03-10T10:56:00Z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c5c3b894-2839-4212-a2ae-1e466819503a</vt:lpwstr>
  </property>
  <property fmtid="{D5CDD505-2E9C-101B-9397-08002B2CF9AE}" pid="3" name="WTOCLASSIFICATION">
    <vt:lpwstr>WTO OFFICIAL</vt:lpwstr>
  </property>
  <property fmtid="{D5CDD505-2E9C-101B-9397-08002B2CF9AE}" pid="4" name="Symbol1">
    <vt:lpwstr>G/SPS/GEN/2109</vt:lpwstr>
  </property>
</Properties>
</file>