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C426" w14:textId="77777777" w:rsidR="002819B4" w:rsidRDefault="002819B4" w:rsidP="002819B4">
      <w:pPr>
        <w:pStyle w:val="Title"/>
      </w:pPr>
      <w:bookmarkStart w:id="0" w:name="_GoBack"/>
      <w:bookmarkEnd w:id="0"/>
      <w:r>
        <w:t>OVERVIEW REGARDING THE LEVEL OF IMPLEMENTATION OF THE TRANSPARENCY PROVISIONS OF THE SPS AGREEMENT</w:t>
      </w:r>
    </w:p>
    <w:p w14:paraId="5D8FCA22" w14:textId="77777777" w:rsidR="002819B4" w:rsidRDefault="002819B4" w:rsidP="002819B4">
      <w:pPr>
        <w:pStyle w:val="Title2"/>
      </w:pPr>
      <w:r>
        <w:t>Note by the Secretariat</w:t>
      </w:r>
      <w:r w:rsidR="00AC7CEC">
        <w:rPr>
          <w:rStyle w:val="FootnoteReference"/>
        </w:rPr>
        <w:footnoteReference w:id="1"/>
      </w:r>
    </w:p>
    <w:p w14:paraId="704A5C94" w14:textId="77777777" w:rsidR="002819B4" w:rsidRDefault="002819B4" w:rsidP="00172ECC">
      <w:pPr>
        <w:pStyle w:val="Title3"/>
        <w:spacing w:after="480"/>
      </w:pPr>
      <w:r>
        <w:t>Revision</w:t>
      </w:r>
    </w:p>
    <w:p w14:paraId="6FCE9EFC" w14:textId="77777777" w:rsidR="00F00953" w:rsidRPr="00F00953" w:rsidRDefault="00F00953" w:rsidP="00927227">
      <w:pPr>
        <w:spacing w:before="240"/>
        <w:jc w:val="center"/>
        <w:rPr>
          <w:b/>
          <w:lang w:eastAsia="en-GB"/>
        </w:rPr>
      </w:pPr>
      <w:r w:rsidRPr="00F00953">
        <w:rPr>
          <w:b/>
          <w:lang w:eastAsia="en-GB"/>
        </w:rPr>
        <w:t>Contents</w:t>
      </w:r>
    </w:p>
    <w:p w14:paraId="64B62840" w14:textId="77777777" w:rsidR="00F00953" w:rsidRDefault="00F00953" w:rsidP="00172ECC">
      <w:pPr>
        <w:pStyle w:val="TOCHeading"/>
        <w:spacing w:before="0"/>
      </w:pPr>
    </w:p>
    <w:p w14:paraId="7BB51330" w14:textId="6362046F" w:rsidR="00D446B9" w:rsidRDefault="00F00953" w:rsidP="00954965">
      <w:pPr>
        <w:pStyle w:val="TOC1"/>
        <w:ind w:right="-3"/>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527021045" w:history="1">
        <w:r w:rsidR="00D446B9" w:rsidRPr="00325E35">
          <w:rPr>
            <w:rStyle w:val="Hyperlink"/>
            <w:noProof/>
          </w:rPr>
          <w:t>1   INTRODUCTION</w:t>
        </w:r>
        <w:r w:rsidR="00D446B9">
          <w:rPr>
            <w:noProof/>
            <w:webHidden/>
          </w:rPr>
          <w:tab/>
        </w:r>
        <w:r w:rsidR="00D446B9">
          <w:rPr>
            <w:noProof/>
            <w:webHidden/>
          </w:rPr>
          <w:fldChar w:fldCharType="begin"/>
        </w:r>
        <w:r w:rsidR="00D446B9">
          <w:rPr>
            <w:noProof/>
            <w:webHidden/>
          </w:rPr>
          <w:instrText xml:space="preserve"> PAGEREF _Toc527021045 \h </w:instrText>
        </w:r>
        <w:r w:rsidR="00D446B9">
          <w:rPr>
            <w:noProof/>
            <w:webHidden/>
          </w:rPr>
        </w:r>
        <w:r w:rsidR="00D446B9">
          <w:rPr>
            <w:noProof/>
            <w:webHidden/>
          </w:rPr>
          <w:fldChar w:fldCharType="separate"/>
        </w:r>
        <w:r w:rsidR="00D446B9">
          <w:rPr>
            <w:noProof/>
            <w:webHidden/>
          </w:rPr>
          <w:t>2</w:t>
        </w:r>
        <w:r w:rsidR="00D446B9">
          <w:rPr>
            <w:noProof/>
            <w:webHidden/>
          </w:rPr>
          <w:fldChar w:fldCharType="end"/>
        </w:r>
      </w:hyperlink>
    </w:p>
    <w:p w14:paraId="6CAE0A8D" w14:textId="1C673089" w:rsidR="00D446B9" w:rsidRDefault="008C4DD6" w:rsidP="00954965">
      <w:pPr>
        <w:pStyle w:val="TOC1"/>
        <w:ind w:right="-3"/>
        <w:rPr>
          <w:rFonts w:asciiTheme="minorHAnsi" w:eastAsiaTheme="minorEastAsia" w:hAnsiTheme="minorHAnsi" w:cstheme="minorBidi"/>
          <w:noProof/>
          <w:sz w:val="22"/>
          <w:szCs w:val="22"/>
          <w:lang w:val="en-US" w:eastAsia="en-US"/>
        </w:rPr>
      </w:pPr>
      <w:hyperlink w:anchor="_Toc527021046" w:history="1">
        <w:r w:rsidR="00D446B9" w:rsidRPr="00325E35">
          <w:rPr>
            <w:rStyle w:val="Hyperlink"/>
            <w:noProof/>
          </w:rPr>
          <w:t>2   DESIGNATION OF NOTIFICATION AUTHORITIES AND ENQUIRY POINTS</w:t>
        </w:r>
        <w:r w:rsidR="00D446B9">
          <w:rPr>
            <w:noProof/>
            <w:webHidden/>
          </w:rPr>
          <w:tab/>
        </w:r>
        <w:r w:rsidR="00D446B9">
          <w:rPr>
            <w:noProof/>
            <w:webHidden/>
          </w:rPr>
          <w:fldChar w:fldCharType="begin"/>
        </w:r>
        <w:r w:rsidR="00D446B9">
          <w:rPr>
            <w:noProof/>
            <w:webHidden/>
          </w:rPr>
          <w:instrText xml:space="preserve"> PAGEREF _Toc527021046 \h </w:instrText>
        </w:r>
        <w:r w:rsidR="00D446B9">
          <w:rPr>
            <w:noProof/>
            <w:webHidden/>
          </w:rPr>
        </w:r>
        <w:r w:rsidR="00D446B9">
          <w:rPr>
            <w:noProof/>
            <w:webHidden/>
          </w:rPr>
          <w:fldChar w:fldCharType="separate"/>
        </w:r>
        <w:r w:rsidR="00D446B9">
          <w:rPr>
            <w:noProof/>
            <w:webHidden/>
          </w:rPr>
          <w:t>3</w:t>
        </w:r>
        <w:r w:rsidR="00D446B9">
          <w:rPr>
            <w:noProof/>
            <w:webHidden/>
          </w:rPr>
          <w:fldChar w:fldCharType="end"/>
        </w:r>
      </w:hyperlink>
    </w:p>
    <w:p w14:paraId="6BD7B5A3" w14:textId="53F78316" w:rsidR="00D446B9" w:rsidRDefault="008C4DD6" w:rsidP="00954965">
      <w:pPr>
        <w:pStyle w:val="TOC1"/>
        <w:ind w:right="-3"/>
        <w:rPr>
          <w:rFonts w:asciiTheme="minorHAnsi" w:eastAsiaTheme="minorEastAsia" w:hAnsiTheme="minorHAnsi" w:cstheme="minorBidi"/>
          <w:noProof/>
          <w:sz w:val="22"/>
          <w:szCs w:val="22"/>
          <w:lang w:val="en-US" w:eastAsia="en-US"/>
        </w:rPr>
      </w:pPr>
      <w:hyperlink w:anchor="_Toc527021047" w:history="1">
        <w:r w:rsidR="00D446B9" w:rsidRPr="00325E35">
          <w:rPr>
            <w:rStyle w:val="Hyperlink"/>
            <w:noProof/>
          </w:rPr>
          <w:t>3   SUBMISSION OF NOTIFICATIONS</w:t>
        </w:r>
        <w:r w:rsidR="00D446B9">
          <w:rPr>
            <w:noProof/>
            <w:webHidden/>
          </w:rPr>
          <w:tab/>
        </w:r>
        <w:r w:rsidR="00D446B9">
          <w:rPr>
            <w:noProof/>
            <w:webHidden/>
          </w:rPr>
          <w:fldChar w:fldCharType="begin"/>
        </w:r>
        <w:r w:rsidR="00D446B9">
          <w:rPr>
            <w:noProof/>
            <w:webHidden/>
          </w:rPr>
          <w:instrText xml:space="preserve"> PAGEREF _Toc527021047 \h </w:instrText>
        </w:r>
        <w:r w:rsidR="00D446B9">
          <w:rPr>
            <w:noProof/>
            <w:webHidden/>
          </w:rPr>
        </w:r>
        <w:r w:rsidR="00D446B9">
          <w:rPr>
            <w:noProof/>
            <w:webHidden/>
          </w:rPr>
          <w:fldChar w:fldCharType="separate"/>
        </w:r>
        <w:r w:rsidR="00D446B9">
          <w:rPr>
            <w:noProof/>
            <w:webHidden/>
          </w:rPr>
          <w:t>3</w:t>
        </w:r>
        <w:r w:rsidR="00D446B9">
          <w:rPr>
            <w:noProof/>
            <w:webHidden/>
          </w:rPr>
          <w:fldChar w:fldCharType="end"/>
        </w:r>
      </w:hyperlink>
    </w:p>
    <w:p w14:paraId="4D601624" w14:textId="13CA1B25"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48" w:history="1">
        <w:r w:rsidR="00D446B9" w:rsidRPr="00325E35">
          <w:rPr>
            <w:rStyle w:val="Hyperlink"/>
            <w:noProof/>
          </w:rPr>
          <w:t>3.1   Types of notifications</w:t>
        </w:r>
        <w:r w:rsidR="00D446B9">
          <w:rPr>
            <w:noProof/>
            <w:webHidden/>
          </w:rPr>
          <w:tab/>
        </w:r>
        <w:r w:rsidR="00D446B9">
          <w:rPr>
            <w:noProof/>
            <w:webHidden/>
          </w:rPr>
          <w:fldChar w:fldCharType="begin"/>
        </w:r>
        <w:r w:rsidR="00D446B9">
          <w:rPr>
            <w:noProof/>
            <w:webHidden/>
          </w:rPr>
          <w:instrText xml:space="preserve"> PAGEREF _Toc527021048 \h </w:instrText>
        </w:r>
        <w:r w:rsidR="00D446B9">
          <w:rPr>
            <w:noProof/>
            <w:webHidden/>
          </w:rPr>
        </w:r>
        <w:r w:rsidR="00D446B9">
          <w:rPr>
            <w:noProof/>
            <w:webHidden/>
          </w:rPr>
          <w:fldChar w:fldCharType="separate"/>
        </w:r>
        <w:r w:rsidR="00D446B9">
          <w:rPr>
            <w:noProof/>
            <w:webHidden/>
          </w:rPr>
          <w:t>3</w:t>
        </w:r>
        <w:r w:rsidR="00D446B9">
          <w:rPr>
            <w:noProof/>
            <w:webHidden/>
          </w:rPr>
          <w:fldChar w:fldCharType="end"/>
        </w:r>
      </w:hyperlink>
    </w:p>
    <w:p w14:paraId="7A3E3A84" w14:textId="114E10EA"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49" w:history="1">
        <w:r w:rsidR="00D446B9" w:rsidRPr="00325E35">
          <w:rPr>
            <w:rStyle w:val="Hyperlink"/>
            <w:noProof/>
          </w:rPr>
          <w:t>3.2   Notifying Members</w:t>
        </w:r>
        <w:r w:rsidR="00D446B9">
          <w:rPr>
            <w:noProof/>
            <w:webHidden/>
          </w:rPr>
          <w:tab/>
        </w:r>
        <w:r w:rsidR="00D446B9">
          <w:rPr>
            <w:noProof/>
            <w:webHidden/>
          </w:rPr>
          <w:fldChar w:fldCharType="begin"/>
        </w:r>
        <w:r w:rsidR="00D446B9">
          <w:rPr>
            <w:noProof/>
            <w:webHidden/>
          </w:rPr>
          <w:instrText xml:space="preserve"> PAGEREF _Toc527021049 \h </w:instrText>
        </w:r>
        <w:r w:rsidR="00D446B9">
          <w:rPr>
            <w:noProof/>
            <w:webHidden/>
          </w:rPr>
        </w:r>
        <w:r w:rsidR="00D446B9">
          <w:rPr>
            <w:noProof/>
            <w:webHidden/>
          </w:rPr>
          <w:fldChar w:fldCharType="separate"/>
        </w:r>
        <w:r w:rsidR="00D446B9">
          <w:rPr>
            <w:noProof/>
            <w:webHidden/>
          </w:rPr>
          <w:t>5</w:t>
        </w:r>
        <w:r w:rsidR="00D446B9">
          <w:rPr>
            <w:noProof/>
            <w:webHidden/>
          </w:rPr>
          <w:fldChar w:fldCharType="end"/>
        </w:r>
      </w:hyperlink>
    </w:p>
    <w:p w14:paraId="4057D92F" w14:textId="3D07907C"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0" w:history="1">
        <w:r w:rsidR="00D446B9" w:rsidRPr="00325E35">
          <w:rPr>
            <w:rStyle w:val="Hyperlink"/>
            <w:noProof/>
          </w:rPr>
          <w:t>3.3   Products covered</w:t>
        </w:r>
        <w:r w:rsidR="00D446B9">
          <w:rPr>
            <w:noProof/>
            <w:webHidden/>
          </w:rPr>
          <w:tab/>
        </w:r>
        <w:r w:rsidR="00D446B9">
          <w:rPr>
            <w:noProof/>
            <w:webHidden/>
          </w:rPr>
          <w:fldChar w:fldCharType="begin"/>
        </w:r>
        <w:r w:rsidR="00D446B9">
          <w:rPr>
            <w:noProof/>
            <w:webHidden/>
          </w:rPr>
          <w:instrText xml:space="preserve"> PAGEREF _Toc527021050 \h </w:instrText>
        </w:r>
        <w:r w:rsidR="00D446B9">
          <w:rPr>
            <w:noProof/>
            <w:webHidden/>
          </w:rPr>
        </w:r>
        <w:r w:rsidR="00D446B9">
          <w:rPr>
            <w:noProof/>
            <w:webHidden/>
          </w:rPr>
          <w:fldChar w:fldCharType="separate"/>
        </w:r>
        <w:r w:rsidR="00D446B9">
          <w:rPr>
            <w:noProof/>
            <w:webHidden/>
          </w:rPr>
          <w:t>7</w:t>
        </w:r>
        <w:r w:rsidR="00D446B9">
          <w:rPr>
            <w:noProof/>
            <w:webHidden/>
          </w:rPr>
          <w:fldChar w:fldCharType="end"/>
        </w:r>
      </w:hyperlink>
    </w:p>
    <w:p w14:paraId="0533A40A" w14:textId="15DC9238"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1" w:history="1">
        <w:r w:rsidR="00D446B9" w:rsidRPr="00325E35">
          <w:rPr>
            <w:rStyle w:val="Hyperlink"/>
            <w:noProof/>
          </w:rPr>
          <w:t>3.4   Regions/countries affected</w:t>
        </w:r>
        <w:r w:rsidR="00D446B9">
          <w:rPr>
            <w:noProof/>
            <w:webHidden/>
          </w:rPr>
          <w:tab/>
        </w:r>
        <w:r w:rsidR="00D446B9">
          <w:rPr>
            <w:noProof/>
            <w:webHidden/>
          </w:rPr>
          <w:fldChar w:fldCharType="begin"/>
        </w:r>
        <w:r w:rsidR="00D446B9">
          <w:rPr>
            <w:noProof/>
            <w:webHidden/>
          </w:rPr>
          <w:instrText xml:space="preserve"> PAGEREF _Toc527021051 \h </w:instrText>
        </w:r>
        <w:r w:rsidR="00D446B9">
          <w:rPr>
            <w:noProof/>
            <w:webHidden/>
          </w:rPr>
        </w:r>
        <w:r w:rsidR="00D446B9">
          <w:rPr>
            <w:noProof/>
            <w:webHidden/>
          </w:rPr>
          <w:fldChar w:fldCharType="separate"/>
        </w:r>
        <w:r w:rsidR="00D446B9">
          <w:rPr>
            <w:noProof/>
            <w:webHidden/>
          </w:rPr>
          <w:t>8</w:t>
        </w:r>
        <w:r w:rsidR="00D446B9">
          <w:rPr>
            <w:noProof/>
            <w:webHidden/>
          </w:rPr>
          <w:fldChar w:fldCharType="end"/>
        </w:r>
      </w:hyperlink>
    </w:p>
    <w:p w14:paraId="2928BD72" w14:textId="53F24D77"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2" w:history="1">
        <w:r w:rsidR="00D446B9" w:rsidRPr="00325E35">
          <w:rPr>
            <w:rStyle w:val="Hyperlink"/>
            <w:noProof/>
          </w:rPr>
          <w:t>3.5   Objective and rationale</w:t>
        </w:r>
        <w:r w:rsidR="00D446B9">
          <w:rPr>
            <w:noProof/>
            <w:webHidden/>
          </w:rPr>
          <w:tab/>
        </w:r>
        <w:r w:rsidR="00D446B9">
          <w:rPr>
            <w:noProof/>
            <w:webHidden/>
          </w:rPr>
          <w:fldChar w:fldCharType="begin"/>
        </w:r>
        <w:r w:rsidR="00D446B9">
          <w:rPr>
            <w:noProof/>
            <w:webHidden/>
          </w:rPr>
          <w:instrText xml:space="preserve"> PAGEREF _Toc527021052 \h </w:instrText>
        </w:r>
        <w:r w:rsidR="00D446B9">
          <w:rPr>
            <w:noProof/>
            <w:webHidden/>
          </w:rPr>
        </w:r>
        <w:r w:rsidR="00D446B9">
          <w:rPr>
            <w:noProof/>
            <w:webHidden/>
          </w:rPr>
          <w:fldChar w:fldCharType="separate"/>
        </w:r>
        <w:r w:rsidR="00D446B9">
          <w:rPr>
            <w:noProof/>
            <w:webHidden/>
          </w:rPr>
          <w:t>9</w:t>
        </w:r>
        <w:r w:rsidR="00D446B9">
          <w:rPr>
            <w:noProof/>
            <w:webHidden/>
          </w:rPr>
          <w:fldChar w:fldCharType="end"/>
        </w:r>
      </w:hyperlink>
    </w:p>
    <w:p w14:paraId="1AF87F88" w14:textId="0D6C1566"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3" w:history="1">
        <w:r w:rsidR="00D446B9" w:rsidRPr="00325E35">
          <w:rPr>
            <w:rStyle w:val="Hyperlink"/>
            <w:noProof/>
          </w:rPr>
          <w:t>3.6   International standards, guidelines or recommendations</w:t>
        </w:r>
        <w:r w:rsidR="00D446B9">
          <w:rPr>
            <w:noProof/>
            <w:webHidden/>
          </w:rPr>
          <w:tab/>
        </w:r>
        <w:r w:rsidR="00D446B9">
          <w:rPr>
            <w:noProof/>
            <w:webHidden/>
          </w:rPr>
          <w:fldChar w:fldCharType="begin"/>
        </w:r>
        <w:r w:rsidR="00D446B9">
          <w:rPr>
            <w:noProof/>
            <w:webHidden/>
          </w:rPr>
          <w:instrText xml:space="preserve"> PAGEREF _Toc527021053 \h </w:instrText>
        </w:r>
        <w:r w:rsidR="00D446B9">
          <w:rPr>
            <w:noProof/>
            <w:webHidden/>
          </w:rPr>
        </w:r>
        <w:r w:rsidR="00D446B9">
          <w:rPr>
            <w:noProof/>
            <w:webHidden/>
          </w:rPr>
          <w:fldChar w:fldCharType="separate"/>
        </w:r>
        <w:r w:rsidR="00D446B9">
          <w:rPr>
            <w:noProof/>
            <w:webHidden/>
          </w:rPr>
          <w:t>9</w:t>
        </w:r>
        <w:r w:rsidR="00D446B9">
          <w:rPr>
            <w:noProof/>
            <w:webHidden/>
          </w:rPr>
          <w:fldChar w:fldCharType="end"/>
        </w:r>
      </w:hyperlink>
    </w:p>
    <w:p w14:paraId="4A4131F6" w14:textId="5059725E"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4" w:history="1">
        <w:r w:rsidR="00D446B9" w:rsidRPr="00325E35">
          <w:rPr>
            <w:rStyle w:val="Hyperlink"/>
            <w:noProof/>
          </w:rPr>
          <w:t>3.7   Proposed date of adoption/publication/entry into force</w:t>
        </w:r>
        <w:r w:rsidR="00D446B9">
          <w:rPr>
            <w:noProof/>
            <w:webHidden/>
          </w:rPr>
          <w:tab/>
        </w:r>
        <w:r w:rsidR="00D446B9">
          <w:rPr>
            <w:noProof/>
            <w:webHidden/>
          </w:rPr>
          <w:fldChar w:fldCharType="begin"/>
        </w:r>
        <w:r w:rsidR="00D446B9">
          <w:rPr>
            <w:noProof/>
            <w:webHidden/>
          </w:rPr>
          <w:instrText xml:space="preserve"> PAGEREF _Toc527021054 \h </w:instrText>
        </w:r>
        <w:r w:rsidR="00D446B9">
          <w:rPr>
            <w:noProof/>
            <w:webHidden/>
          </w:rPr>
        </w:r>
        <w:r w:rsidR="00D446B9">
          <w:rPr>
            <w:noProof/>
            <w:webHidden/>
          </w:rPr>
          <w:fldChar w:fldCharType="separate"/>
        </w:r>
        <w:r w:rsidR="00D446B9">
          <w:rPr>
            <w:noProof/>
            <w:webHidden/>
          </w:rPr>
          <w:t>11</w:t>
        </w:r>
        <w:r w:rsidR="00D446B9">
          <w:rPr>
            <w:noProof/>
            <w:webHidden/>
          </w:rPr>
          <w:fldChar w:fldCharType="end"/>
        </w:r>
      </w:hyperlink>
    </w:p>
    <w:p w14:paraId="422694FE" w14:textId="6B687892"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5" w:history="1">
        <w:r w:rsidR="00D446B9" w:rsidRPr="00325E35">
          <w:rPr>
            <w:rStyle w:val="Hyperlink"/>
            <w:noProof/>
          </w:rPr>
          <w:t>3.8   Final date for comments</w:t>
        </w:r>
        <w:r w:rsidR="00D446B9">
          <w:rPr>
            <w:noProof/>
            <w:webHidden/>
          </w:rPr>
          <w:tab/>
        </w:r>
        <w:r w:rsidR="00D446B9">
          <w:rPr>
            <w:noProof/>
            <w:webHidden/>
          </w:rPr>
          <w:fldChar w:fldCharType="begin"/>
        </w:r>
        <w:r w:rsidR="00D446B9">
          <w:rPr>
            <w:noProof/>
            <w:webHidden/>
          </w:rPr>
          <w:instrText xml:space="preserve"> PAGEREF _Toc527021055 \h </w:instrText>
        </w:r>
        <w:r w:rsidR="00D446B9">
          <w:rPr>
            <w:noProof/>
            <w:webHidden/>
          </w:rPr>
        </w:r>
        <w:r w:rsidR="00D446B9">
          <w:rPr>
            <w:noProof/>
            <w:webHidden/>
          </w:rPr>
          <w:fldChar w:fldCharType="separate"/>
        </w:r>
        <w:r w:rsidR="00D446B9">
          <w:rPr>
            <w:noProof/>
            <w:webHidden/>
          </w:rPr>
          <w:t>11</w:t>
        </w:r>
        <w:r w:rsidR="00D446B9">
          <w:rPr>
            <w:noProof/>
            <w:webHidden/>
          </w:rPr>
          <w:fldChar w:fldCharType="end"/>
        </w:r>
      </w:hyperlink>
    </w:p>
    <w:p w14:paraId="5D2E99F5" w14:textId="192FE5C3" w:rsidR="00D446B9" w:rsidRDefault="008C4DD6" w:rsidP="00954965">
      <w:pPr>
        <w:pStyle w:val="TOC2"/>
        <w:ind w:right="-3"/>
        <w:rPr>
          <w:rFonts w:asciiTheme="minorHAnsi" w:eastAsiaTheme="minorEastAsia" w:hAnsiTheme="minorHAnsi" w:cstheme="minorBidi"/>
          <w:noProof/>
          <w:sz w:val="22"/>
          <w:szCs w:val="22"/>
          <w:lang w:val="en-US" w:eastAsia="en-US"/>
        </w:rPr>
      </w:pPr>
      <w:hyperlink w:anchor="_Toc527021056" w:history="1">
        <w:r w:rsidR="00D446B9" w:rsidRPr="00325E35">
          <w:rPr>
            <w:rStyle w:val="Hyperlink"/>
            <w:noProof/>
          </w:rPr>
          <w:t>3.9   Reasons for addenda to regular and emergency notifications</w:t>
        </w:r>
        <w:r w:rsidR="00D446B9">
          <w:rPr>
            <w:noProof/>
            <w:webHidden/>
          </w:rPr>
          <w:tab/>
        </w:r>
        <w:r w:rsidR="00D446B9">
          <w:rPr>
            <w:noProof/>
            <w:webHidden/>
          </w:rPr>
          <w:fldChar w:fldCharType="begin"/>
        </w:r>
        <w:r w:rsidR="00D446B9">
          <w:rPr>
            <w:noProof/>
            <w:webHidden/>
          </w:rPr>
          <w:instrText xml:space="preserve"> PAGEREF _Toc527021056 \h </w:instrText>
        </w:r>
        <w:r w:rsidR="00D446B9">
          <w:rPr>
            <w:noProof/>
            <w:webHidden/>
          </w:rPr>
        </w:r>
        <w:r w:rsidR="00D446B9">
          <w:rPr>
            <w:noProof/>
            <w:webHidden/>
          </w:rPr>
          <w:fldChar w:fldCharType="separate"/>
        </w:r>
        <w:r w:rsidR="00D446B9">
          <w:rPr>
            <w:noProof/>
            <w:webHidden/>
          </w:rPr>
          <w:t>12</w:t>
        </w:r>
        <w:r w:rsidR="00D446B9">
          <w:rPr>
            <w:noProof/>
            <w:webHidden/>
          </w:rPr>
          <w:fldChar w:fldCharType="end"/>
        </w:r>
      </w:hyperlink>
    </w:p>
    <w:p w14:paraId="5FD522FE" w14:textId="03D34ABC" w:rsidR="00D446B9" w:rsidRDefault="008C4DD6" w:rsidP="00954965">
      <w:pPr>
        <w:pStyle w:val="TOC1"/>
        <w:ind w:right="-3"/>
        <w:rPr>
          <w:rFonts w:asciiTheme="minorHAnsi" w:eastAsiaTheme="minorEastAsia" w:hAnsiTheme="minorHAnsi" w:cstheme="minorBidi"/>
          <w:noProof/>
          <w:sz w:val="22"/>
          <w:szCs w:val="22"/>
          <w:lang w:val="en-US" w:eastAsia="en-US"/>
        </w:rPr>
      </w:pPr>
      <w:hyperlink w:anchor="_Toc527021057" w:history="1">
        <w:r w:rsidR="00D446B9" w:rsidRPr="00325E35">
          <w:rPr>
            <w:rStyle w:val="Hyperlink"/>
            <w:noProof/>
          </w:rPr>
          <w:t>4   Notification keywords</w:t>
        </w:r>
        <w:r w:rsidR="00D446B9">
          <w:rPr>
            <w:noProof/>
            <w:webHidden/>
          </w:rPr>
          <w:tab/>
        </w:r>
        <w:r w:rsidR="00D446B9">
          <w:rPr>
            <w:noProof/>
            <w:webHidden/>
          </w:rPr>
          <w:fldChar w:fldCharType="begin"/>
        </w:r>
        <w:r w:rsidR="00D446B9">
          <w:rPr>
            <w:noProof/>
            <w:webHidden/>
          </w:rPr>
          <w:instrText xml:space="preserve"> PAGEREF _Toc527021057 \h </w:instrText>
        </w:r>
        <w:r w:rsidR="00D446B9">
          <w:rPr>
            <w:noProof/>
            <w:webHidden/>
          </w:rPr>
        </w:r>
        <w:r w:rsidR="00D446B9">
          <w:rPr>
            <w:noProof/>
            <w:webHidden/>
          </w:rPr>
          <w:fldChar w:fldCharType="separate"/>
        </w:r>
        <w:r w:rsidR="00D446B9">
          <w:rPr>
            <w:noProof/>
            <w:webHidden/>
          </w:rPr>
          <w:t>13</w:t>
        </w:r>
        <w:r w:rsidR="00D446B9">
          <w:rPr>
            <w:noProof/>
            <w:webHidden/>
          </w:rPr>
          <w:fldChar w:fldCharType="end"/>
        </w:r>
      </w:hyperlink>
    </w:p>
    <w:p w14:paraId="0EAC660F" w14:textId="43E284D5" w:rsidR="00D446B9" w:rsidRDefault="008C4DD6" w:rsidP="00954965">
      <w:pPr>
        <w:pStyle w:val="TOC1"/>
        <w:ind w:right="-3"/>
        <w:rPr>
          <w:rFonts w:asciiTheme="minorHAnsi" w:eastAsiaTheme="minorEastAsia" w:hAnsiTheme="minorHAnsi" w:cstheme="minorBidi"/>
          <w:noProof/>
          <w:sz w:val="22"/>
          <w:szCs w:val="22"/>
          <w:lang w:val="en-US" w:eastAsia="en-US"/>
        </w:rPr>
      </w:pPr>
      <w:hyperlink w:anchor="_Toc527021058" w:history="1">
        <w:r w:rsidR="00D446B9" w:rsidRPr="00325E35">
          <w:rPr>
            <w:rStyle w:val="Hyperlink"/>
            <w:noProof/>
          </w:rPr>
          <w:t>5   EFFORTS TO ENHANCE THE BENEFITS FROM A TRANSPARENT SYSTEM</w:t>
        </w:r>
        <w:r w:rsidR="00D446B9">
          <w:rPr>
            <w:noProof/>
            <w:webHidden/>
          </w:rPr>
          <w:tab/>
        </w:r>
        <w:r w:rsidR="00D446B9">
          <w:rPr>
            <w:noProof/>
            <w:webHidden/>
          </w:rPr>
          <w:fldChar w:fldCharType="begin"/>
        </w:r>
        <w:r w:rsidR="00D446B9">
          <w:rPr>
            <w:noProof/>
            <w:webHidden/>
          </w:rPr>
          <w:instrText xml:space="preserve"> PAGEREF _Toc527021058 \h </w:instrText>
        </w:r>
        <w:r w:rsidR="00D446B9">
          <w:rPr>
            <w:noProof/>
            <w:webHidden/>
          </w:rPr>
        </w:r>
        <w:r w:rsidR="00D446B9">
          <w:rPr>
            <w:noProof/>
            <w:webHidden/>
          </w:rPr>
          <w:fldChar w:fldCharType="separate"/>
        </w:r>
        <w:r w:rsidR="00D446B9">
          <w:rPr>
            <w:noProof/>
            <w:webHidden/>
          </w:rPr>
          <w:t>14</w:t>
        </w:r>
        <w:r w:rsidR="00D446B9">
          <w:rPr>
            <w:noProof/>
            <w:webHidden/>
          </w:rPr>
          <w:fldChar w:fldCharType="end"/>
        </w:r>
      </w:hyperlink>
    </w:p>
    <w:p w14:paraId="06D403A0" w14:textId="0799E172" w:rsidR="00D446B9" w:rsidRDefault="008C4DD6" w:rsidP="00954965">
      <w:pPr>
        <w:pStyle w:val="TOC1"/>
        <w:ind w:right="-3"/>
        <w:rPr>
          <w:rFonts w:asciiTheme="minorHAnsi" w:eastAsiaTheme="minorEastAsia" w:hAnsiTheme="minorHAnsi" w:cstheme="minorBidi"/>
          <w:noProof/>
          <w:sz w:val="22"/>
          <w:szCs w:val="22"/>
          <w:lang w:val="en-US" w:eastAsia="en-US"/>
        </w:rPr>
      </w:pPr>
      <w:hyperlink w:anchor="_Toc527021059" w:history="1">
        <w:r w:rsidR="00D446B9" w:rsidRPr="00325E35">
          <w:rPr>
            <w:rStyle w:val="Hyperlink"/>
            <w:noProof/>
          </w:rPr>
          <w:t>6   OTHER ASPECTS RELATING TO TRANSPARENCY</w:t>
        </w:r>
        <w:r w:rsidR="00D446B9">
          <w:rPr>
            <w:noProof/>
            <w:webHidden/>
          </w:rPr>
          <w:tab/>
        </w:r>
        <w:r w:rsidR="00D446B9">
          <w:rPr>
            <w:noProof/>
            <w:webHidden/>
          </w:rPr>
          <w:fldChar w:fldCharType="begin"/>
        </w:r>
        <w:r w:rsidR="00D446B9">
          <w:rPr>
            <w:noProof/>
            <w:webHidden/>
          </w:rPr>
          <w:instrText xml:space="preserve"> PAGEREF _Toc527021059 \h </w:instrText>
        </w:r>
        <w:r w:rsidR="00D446B9">
          <w:rPr>
            <w:noProof/>
            <w:webHidden/>
          </w:rPr>
        </w:r>
        <w:r w:rsidR="00D446B9">
          <w:rPr>
            <w:noProof/>
            <w:webHidden/>
          </w:rPr>
          <w:fldChar w:fldCharType="separate"/>
        </w:r>
        <w:r w:rsidR="00D446B9">
          <w:rPr>
            <w:noProof/>
            <w:webHidden/>
          </w:rPr>
          <w:t>15</w:t>
        </w:r>
        <w:r w:rsidR="00D446B9">
          <w:rPr>
            <w:noProof/>
            <w:webHidden/>
          </w:rPr>
          <w:fldChar w:fldCharType="end"/>
        </w:r>
      </w:hyperlink>
    </w:p>
    <w:p w14:paraId="4B19F094" w14:textId="76AA3B62" w:rsidR="00F00953" w:rsidRDefault="00F00953">
      <w:r>
        <w:rPr>
          <w:b/>
          <w:bCs/>
          <w:noProof/>
        </w:rPr>
        <w:fldChar w:fldCharType="end"/>
      </w:r>
    </w:p>
    <w:p w14:paraId="3D2F4026" w14:textId="77777777" w:rsidR="002F6FC8" w:rsidRDefault="004A3C73" w:rsidP="00F00953">
      <w:pPr>
        <w:rPr>
          <w:bCs/>
          <w:noProof/>
        </w:rPr>
      </w:pPr>
      <w:r>
        <w:fldChar w:fldCharType="begin"/>
      </w:r>
      <w:r>
        <w:instrText xml:space="preserve"> TOC \o "1-5" \h \z \u </w:instrText>
      </w:r>
      <w:r>
        <w:fldChar w:fldCharType="end"/>
      </w:r>
    </w:p>
    <w:p w14:paraId="58BCB83C" w14:textId="77777777" w:rsidR="002819B4" w:rsidRDefault="00BD5E16" w:rsidP="002819B4">
      <w:pPr>
        <w:pStyle w:val="Heading1"/>
      </w:pPr>
      <w:r>
        <w:br w:type="page"/>
      </w:r>
      <w:bookmarkStart w:id="1" w:name="_Toc400006335"/>
      <w:bookmarkStart w:id="2" w:name="_Toc400015162"/>
      <w:bookmarkStart w:id="3" w:name="_Toc527021045"/>
      <w:r w:rsidR="002819B4">
        <w:lastRenderedPageBreak/>
        <w:t>INTRODUCTION</w:t>
      </w:r>
      <w:bookmarkEnd w:id="1"/>
      <w:bookmarkEnd w:id="2"/>
      <w:bookmarkEnd w:id="3"/>
    </w:p>
    <w:p w14:paraId="5AF4CC1B" w14:textId="34656179" w:rsidR="002819B4" w:rsidRDefault="007B0CB2" w:rsidP="002819B4">
      <w:pPr>
        <w:pStyle w:val="BodyText"/>
      </w:pPr>
      <w:r>
        <w:t xml:space="preserve">Since </w:t>
      </w:r>
      <w:r w:rsidR="00324CF1">
        <w:t>the</w:t>
      </w:r>
      <w:r>
        <w:t xml:space="preserve"> </w:t>
      </w:r>
      <w:r w:rsidR="002819B4">
        <w:t>October 2007</w:t>
      </w:r>
      <w:r w:rsidRPr="007B0CB2">
        <w:t xml:space="preserve"> </w:t>
      </w:r>
      <w:r>
        <w:t>workshop on transparency</w:t>
      </w:r>
      <w:r w:rsidR="002819B4">
        <w:t xml:space="preserve">, the Secretariat </w:t>
      </w:r>
      <w:r>
        <w:t xml:space="preserve">has been requested to prepare an annual </w:t>
      </w:r>
      <w:r w:rsidR="002819B4">
        <w:t xml:space="preserve">overview </w:t>
      </w:r>
      <w:r>
        <w:t>of</w:t>
      </w:r>
      <w:r w:rsidR="002819B4">
        <w:t xml:space="preserve"> the implementation of the tra</w:t>
      </w:r>
      <w:r w:rsidR="00296792">
        <w:t>nsparency provisions of the SPS </w:t>
      </w:r>
      <w:r w:rsidR="002819B4">
        <w:t>Agreement.</w:t>
      </w:r>
      <w:r w:rsidR="00AC7CEC">
        <w:rPr>
          <w:rStyle w:val="FootnoteReference"/>
        </w:rPr>
        <w:footnoteReference w:id="2"/>
      </w:r>
      <w:r w:rsidR="002819B4">
        <w:t xml:space="preserve"> The document provides an overview regarding the level of implementation of the transparency obligations found in the SPS Agreement (Article 7 and Annex B) and of the Committee's Recommended Procedures for Implementing the Tran</w:t>
      </w:r>
      <w:r w:rsidR="00ED384B">
        <w:t>sparency Obligations of the SPS</w:t>
      </w:r>
      <w:r w:rsidR="001E2C2E">
        <w:t xml:space="preserve"> </w:t>
      </w:r>
      <w:r w:rsidR="002819B4">
        <w:t>Agreement (G/SPS/7/Rev.</w:t>
      </w:r>
      <w:r w:rsidR="002A10DF">
        <w:t>4</w:t>
      </w:r>
      <w:r w:rsidR="002819B4">
        <w:t>). It provides information in areas which the Secretariat is in a position to track (such as designation of Enquiry Points/Notification Authorities, circulation of notifications) but does not include those where the Secretariat is not directly involved (such as provision of comments on specific notifications).</w:t>
      </w:r>
    </w:p>
    <w:p w14:paraId="7C4720BD" w14:textId="41D812AC" w:rsidR="002819B4" w:rsidRPr="00C31DD2" w:rsidRDefault="002819B4" w:rsidP="002819B4">
      <w:pPr>
        <w:pStyle w:val="BodyText"/>
      </w:pPr>
      <w:r>
        <w:t>In preparing this overview, the Secretariat has largely relied on the SPS Information Management System (SPS IMS).</w:t>
      </w:r>
      <w:r w:rsidR="00AC7CEC">
        <w:rPr>
          <w:rStyle w:val="FootnoteReference"/>
        </w:rPr>
        <w:footnoteReference w:id="3"/>
      </w:r>
      <w:r w:rsidR="00DC14A1">
        <w:t xml:space="preserve"> </w:t>
      </w:r>
      <w:r>
        <w:t xml:space="preserve">While some historical data on notifications dating back to 1995 has been retrieved from various internal sources and incorporated into the SPS IMS, some of the more detailed analysis has only been possible as of July 2007, when the SPS IMS became operational. Most of the analysis contained in this document can be undertaken and updated directly by Members or other interested parties as the underlying data is publicly available and searchable through the SPS IMS. </w:t>
      </w:r>
      <w:r w:rsidRPr="008A562B">
        <w:t xml:space="preserve">Hands-on training </w:t>
      </w:r>
      <w:r w:rsidR="009C2F9D" w:rsidRPr="008A562B">
        <w:t>on using the SPS IMS is regularly provided in technical assistance activities</w:t>
      </w:r>
      <w:r w:rsidRPr="008A562B">
        <w:t>.</w:t>
      </w:r>
      <w:r w:rsidR="00AA32CC">
        <w:t xml:space="preserve"> </w:t>
      </w:r>
      <w:r w:rsidR="003B6E9C">
        <w:t>A new and improved version of the SPS IMS was laun</w:t>
      </w:r>
      <w:r w:rsidR="00371CEB">
        <w:t xml:space="preserve">ched at the end of March 2017. </w:t>
      </w:r>
      <w:r w:rsidR="003B6E9C">
        <w:t xml:space="preserve">This update, combined with streamlining internal processes in the Secretariat, has enabled data analysis to become more automatic than it has been for past reports. </w:t>
      </w:r>
      <w:r w:rsidR="000C69BA">
        <w:t>S</w:t>
      </w:r>
      <w:r w:rsidR="001E2C2E">
        <w:t xml:space="preserve">mall </w:t>
      </w:r>
      <w:r w:rsidR="003B6E9C">
        <w:t xml:space="preserve">discrepancies </w:t>
      </w:r>
      <w:r w:rsidR="00FE25EA">
        <w:t xml:space="preserve">in the data </w:t>
      </w:r>
      <w:r w:rsidR="003B6E9C">
        <w:t>between the current reporting period and past reporting periods</w:t>
      </w:r>
      <w:r w:rsidR="000C69BA">
        <w:t xml:space="preserve"> are due to the transition to the new system</w:t>
      </w:r>
      <w:r w:rsidR="0008709B">
        <w:t>.</w:t>
      </w:r>
    </w:p>
    <w:p w14:paraId="4FBFF94E" w14:textId="0FF5D56E" w:rsidR="002819B4" w:rsidRDefault="000C69BA" w:rsidP="00A147D5">
      <w:pPr>
        <w:pStyle w:val="BodyText"/>
      </w:pPr>
      <w:r>
        <w:t xml:space="preserve">The </w:t>
      </w:r>
      <w:r w:rsidR="00C25752">
        <w:t>r</w:t>
      </w:r>
      <w:r w:rsidR="002819B4">
        <w:t>evised Recommended Procedures for Implementing the Tran</w:t>
      </w:r>
      <w:r w:rsidR="00296792">
        <w:t>sparency Obligations of the SPS </w:t>
      </w:r>
      <w:r w:rsidR="002819B4">
        <w:t>Agreement (G/SPS/7/Rev.3, hereafter the "</w:t>
      </w:r>
      <w:r w:rsidR="00324CF1">
        <w:t>Recommended</w:t>
      </w:r>
      <w:r w:rsidR="002819B4">
        <w:t xml:space="preserve"> Transparency Procedures") took effect on 1</w:t>
      </w:r>
      <w:r w:rsidR="00D746A4">
        <w:t xml:space="preserve"> </w:t>
      </w:r>
      <w:r w:rsidR="002819B4">
        <w:t xml:space="preserve">December 2008. Compared to the earlier version of the transparency procedures, which had been adopted by the Committee in 2002, the 2008 </w:t>
      </w:r>
      <w:r w:rsidR="00E45E2B">
        <w:t>t</w:t>
      </w:r>
      <w:r w:rsidR="002819B4">
        <w:t xml:space="preserve">ransparency </w:t>
      </w:r>
      <w:r w:rsidR="00E45E2B">
        <w:t>p</w:t>
      </w:r>
      <w:r w:rsidR="002819B4">
        <w:t>rocedures include</w:t>
      </w:r>
      <w:r w:rsidR="00584C28">
        <w:t>d</w:t>
      </w:r>
      <w:r w:rsidR="002819B4">
        <w:t xml:space="preserve"> revised notification formats which aim to facilitate the provision of clearer and more specific information regarding new or modified SPS measures by Members, e.g. regarding conformity with international standards, comment periods, and the period between the publication and entry</w:t>
      </w:r>
      <w:r w:rsidR="00DC14A1">
        <w:t xml:space="preserve"> into force of new regulations.</w:t>
      </w:r>
      <w:r w:rsidR="00A4511C">
        <w:t xml:space="preserve"> </w:t>
      </w:r>
      <w:r w:rsidR="00A147D5">
        <w:t>In June 2018, the Secretariat circulated an updated version of the Recommended Transparency Procedures</w:t>
      </w:r>
      <w:r w:rsidR="00A147D5" w:rsidRPr="00A147D5">
        <w:t xml:space="preserve"> </w:t>
      </w:r>
      <w:r w:rsidR="00A147D5">
        <w:t xml:space="preserve">as document G/SPS/7/Rev.4. </w:t>
      </w:r>
      <w:r w:rsidR="00A147D5" w:rsidRPr="00A147D5">
        <w:t xml:space="preserve">This </w:t>
      </w:r>
      <w:r w:rsidR="00A147D5">
        <w:t>revision</w:t>
      </w:r>
      <w:r w:rsidR="00A147D5" w:rsidRPr="00A147D5">
        <w:t xml:space="preserve"> does not include any substantive changes to the text. It incorporates updates based on changes in the online tools (SPS</w:t>
      </w:r>
      <w:r w:rsidR="001E2C2E">
        <w:t> </w:t>
      </w:r>
      <w:r w:rsidR="00A147D5" w:rsidRPr="00A147D5">
        <w:t xml:space="preserve">IMS, SPS </w:t>
      </w:r>
      <w:proofErr w:type="spellStart"/>
      <w:r w:rsidR="00A147D5" w:rsidRPr="00A147D5">
        <w:t>NSS</w:t>
      </w:r>
      <w:proofErr w:type="spellEnd"/>
      <w:r w:rsidR="00A147D5" w:rsidRPr="00A147D5">
        <w:t xml:space="preserve"> and </w:t>
      </w:r>
      <w:proofErr w:type="spellStart"/>
      <w:r w:rsidR="00A147D5" w:rsidRPr="00A147D5">
        <w:t>ePing</w:t>
      </w:r>
      <w:proofErr w:type="spellEnd"/>
      <w:r w:rsidR="00A147D5" w:rsidRPr="00A147D5">
        <w:t>) and the notification templates. It also includes text and the notification format contained in the Decision on Special and Differential Treatment (G/SPS/33/Rev.1) to consolidate all notification recommendations into one document.</w:t>
      </w:r>
    </w:p>
    <w:p w14:paraId="12CC0EEA" w14:textId="77777777" w:rsidR="00C31DD2" w:rsidRDefault="00C31DD2" w:rsidP="002819B4">
      <w:pPr>
        <w:pStyle w:val="BodyText"/>
      </w:pPr>
      <w:r>
        <w:t xml:space="preserve">The </w:t>
      </w:r>
      <w:r w:rsidR="00C25752">
        <w:t>r</w:t>
      </w:r>
      <w:r w:rsidR="000C69BA">
        <w:t xml:space="preserve">evised </w:t>
      </w:r>
      <w:r w:rsidR="00324CF1">
        <w:t xml:space="preserve">Recommended </w:t>
      </w:r>
      <w:r>
        <w:t>Transparency Procedures also paved the way for the introduction d</w:t>
      </w:r>
      <w:r w:rsidR="002819B4">
        <w:t>uring 2011</w:t>
      </w:r>
      <w:r>
        <w:t xml:space="preserve"> of</w:t>
      </w:r>
      <w:r w:rsidR="002819B4">
        <w:t xml:space="preserve"> a procedure for the on-line submission of notifications by Members</w:t>
      </w:r>
      <w:r>
        <w:t>.</w:t>
      </w:r>
      <w:r w:rsidR="002819B4">
        <w:t xml:space="preserve"> The SPS Notification Submission System (</w:t>
      </w:r>
      <w:r w:rsidR="00324CF1">
        <w:t xml:space="preserve">SPS </w:t>
      </w:r>
      <w:r w:rsidR="002819B4">
        <w:t>NSS)</w:t>
      </w:r>
      <w:r w:rsidR="007E57E6">
        <w:rPr>
          <w:rStyle w:val="FootnoteReference"/>
        </w:rPr>
        <w:footnoteReference w:id="4"/>
      </w:r>
      <w:r w:rsidR="002819B4">
        <w:t xml:space="preserve"> assists Members to be more precise in their notifications, and speeds up the processing and circulation of notifications to all Members.</w:t>
      </w:r>
      <w:r w:rsidR="003B6E9C">
        <w:t xml:space="preserve"> A new and improved version of the SPS NSS was launched at the end of March 2017 in conjunction with previously-mentioned launch of the SPS IMS.</w:t>
      </w:r>
      <w:r w:rsidR="00AA3369">
        <w:rPr>
          <w:rStyle w:val="FootnoteReference"/>
        </w:rPr>
        <w:footnoteReference w:id="5"/>
      </w:r>
    </w:p>
    <w:p w14:paraId="3964D7DD" w14:textId="77777777" w:rsidR="002819B4" w:rsidRDefault="007B0CB2" w:rsidP="002819B4">
      <w:pPr>
        <w:pStyle w:val="BodyText"/>
      </w:pPr>
      <w:r>
        <w:t xml:space="preserve">While more information is available with the </w:t>
      </w:r>
      <w:r w:rsidR="00C31DD2">
        <w:t>2008</w:t>
      </w:r>
      <w:r>
        <w:t xml:space="preserve"> formats, there is still room for improvement regarding the actual amount and quality of information provided by Members in the various notification formats.</w:t>
      </w:r>
      <w:r w:rsidR="00E45E2B">
        <w:rPr>
          <w:rStyle w:val="FootnoteReference"/>
        </w:rPr>
        <w:footnoteReference w:id="6"/>
      </w:r>
    </w:p>
    <w:p w14:paraId="6CB9FD3E" w14:textId="77777777" w:rsidR="002819B4" w:rsidRDefault="002819B4" w:rsidP="00AA3369">
      <w:pPr>
        <w:pStyle w:val="Heading1"/>
      </w:pPr>
      <w:bookmarkStart w:id="4" w:name="_Toc400006336"/>
      <w:bookmarkStart w:id="5" w:name="_Toc400015163"/>
      <w:bookmarkStart w:id="6" w:name="_Toc527021046"/>
      <w:r>
        <w:lastRenderedPageBreak/>
        <w:t>DESIGNATION OF NOTIFICATION AUTHORITIES AND ENQUIRY POINTS</w:t>
      </w:r>
      <w:bookmarkEnd w:id="4"/>
      <w:bookmarkEnd w:id="5"/>
      <w:bookmarkEnd w:id="6"/>
    </w:p>
    <w:p w14:paraId="36352A10" w14:textId="5174CF48" w:rsidR="002819B4" w:rsidRDefault="00F85C5A" w:rsidP="002819B4">
      <w:pPr>
        <w:pStyle w:val="BodyText"/>
      </w:pPr>
      <w:r>
        <w:t>Annex B, paragraph 10</w:t>
      </w:r>
      <w:r w:rsidR="002819B4">
        <w:t xml:space="preserve"> of the SPS Agreement obliges Members to designate a single central government authority as responsible for the implementation o</w:t>
      </w:r>
      <w:r w:rsidR="00F1019F">
        <w:t xml:space="preserve">f notification procedures. This </w:t>
      </w:r>
      <w:r w:rsidR="002819B4">
        <w:t xml:space="preserve">agency is referred to as the "SPS </w:t>
      </w:r>
      <w:r w:rsidR="00B52A2E">
        <w:t xml:space="preserve">National </w:t>
      </w:r>
      <w:r w:rsidR="002819B4">
        <w:t>Notification Authority". As of 15 September</w:t>
      </w:r>
      <w:r w:rsidR="00245B92">
        <w:t xml:space="preserve"> </w:t>
      </w:r>
      <w:r w:rsidR="00D82E5C">
        <w:t>2018</w:t>
      </w:r>
      <w:r w:rsidR="002819B4">
        <w:t>,</w:t>
      </w:r>
      <w:r w:rsidR="007858B3">
        <w:t xml:space="preserve"> </w:t>
      </w:r>
      <w:r w:rsidR="00BF1308" w:rsidRPr="00B04491">
        <w:t>15</w:t>
      </w:r>
      <w:r w:rsidR="00245B92">
        <w:t>7</w:t>
      </w:r>
      <w:r w:rsidR="00BF1308">
        <w:t> </w:t>
      </w:r>
      <w:r w:rsidR="00296792">
        <w:t>WTO </w:t>
      </w:r>
      <w:r w:rsidR="002819B4">
        <w:t xml:space="preserve">Members out of </w:t>
      </w:r>
      <w:r w:rsidR="004B2D33" w:rsidRPr="00556715">
        <w:t>16</w:t>
      </w:r>
      <w:r w:rsidR="00556715" w:rsidRPr="00556715">
        <w:t>4</w:t>
      </w:r>
      <w:r w:rsidR="004B2D33">
        <w:t xml:space="preserve"> </w:t>
      </w:r>
      <w:r w:rsidR="002819B4">
        <w:t>had designat</w:t>
      </w:r>
      <w:r w:rsidR="00257FCC">
        <w:t>ed such an agency</w:t>
      </w:r>
      <w:r w:rsidR="004B2F05">
        <w:t xml:space="preserve">, </w:t>
      </w:r>
      <w:r w:rsidR="00245B92">
        <w:t xml:space="preserve">one </w:t>
      </w:r>
      <w:r w:rsidR="004B2F05">
        <w:t>more than the previous reporting period</w:t>
      </w:r>
      <w:r w:rsidR="002819B4">
        <w:t xml:space="preserve">. </w:t>
      </w:r>
      <w:r w:rsidR="00D162E9">
        <w:t xml:space="preserve">Those Members which have not designated Notification Authorities include </w:t>
      </w:r>
      <w:r w:rsidR="00AA32CC">
        <w:t>six</w:t>
      </w:r>
      <w:r w:rsidR="0008709B">
        <w:t> </w:t>
      </w:r>
      <w:r w:rsidR="00D162E9">
        <w:t>least developed countries (LDCs)</w:t>
      </w:r>
      <w:r w:rsidR="002819B4" w:rsidRPr="00EB3D52">
        <w:t xml:space="preserve"> and</w:t>
      </w:r>
      <w:r w:rsidR="009F0CBD" w:rsidRPr="00E45E2B">
        <w:t xml:space="preserve"> </w:t>
      </w:r>
      <w:r w:rsidR="00245B92">
        <w:t>one</w:t>
      </w:r>
      <w:r w:rsidR="00245B92" w:rsidRPr="00EB3D52">
        <w:t xml:space="preserve"> </w:t>
      </w:r>
      <w:r w:rsidR="002819B4" w:rsidRPr="00EB3D52">
        <w:t>developing countr</w:t>
      </w:r>
      <w:r w:rsidR="00245B92">
        <w:t>y</w:t>
      </w:r>
      <w:r w:rsidR="006B057F">
        <w:t>.</w:t>
      </w:r>
      <w:r w:rsidR="006B057F" w:rsidRPr="00EB3D52">
        <w:rPr>
          <w:rStyle w:val="FootnoteReference"/>
        </w:rPr>
        <w:footnoteReference w:id="7"/>
      </w:r>
    </w:p>
    <w:p w14:paraId="309B6914" w14:textId="2C278F8F" w:rsidR="002819B4" w:rsidRPr="00E45E2B" w:rsidRDefault="00F85C5A" w:rsidP="002819B4">
      <w:pPr>
        <w:pStyle w:val="BodyText"/>
      </w:pPr>
      <w:r>
        <w:t>Annex B, paragraph 3</w:t>
      </w:r>
      <w:r w:rsidR="002819B4">
        <w:t xml:space="preserve"> of the SPS Agreement requires that each Member establish an Enquiry Point responsible for the provision of answers to all reasonable questions and of relevant do</w:t>
      </w:r>
      <w:r w:rsidR="00173C08">
        <w:t>cuments. As of 15 September</w:t>
      </w:r>
      <w:r w:rsidR="002A7649">
        <w:t xml:space="preserve"> </w:t>
      </w:r>
      <w:r w:rsidR="00D82E5C">
        <w:t>2018</w:t>
      </w:r>
      <w:r w:rsidR="00B32DFD" w:rsidRPr="00B04491">
        <w:t xml:space="preserve">, </w:t>
      </w:r>
      <w:r w:rsidR="00BF1308">
        <w:t>161</w:t>
      </w:r>
      <w:r w:rsidR="00BF1308" w:rsidRPr="00EB3D52">
        <w:t xml:space="preserve"> </w:t>
      </w:r>
      <w:r w:rsidR="002819B4" w:rsidRPr="00EB3D52">
        <w:t>WTO Members</w:t>
      </w:r>
      <w:r w:rsidR="002819B4">
        <w:t xml:space="preserve"> out of </w:t>
      </w:r>
      <w:r w:rsidR="00B9788C">
        <w:t>164</w:t>
      </w:r>
      <w:r w:rsidR="002819B4" w:rsidRPr="00B04491">
        <w:t>,</w:t>
      </w:r>
      <w:r w:rsidR="002A7649">
        <w:t xml:space="preserve"> </w:t>
      </w:r>
      <w:r w:rsidR="002819B4">
        <w:t xml:space="preserve">had provided the WTO with the contact information of their Enquiry Point. </w:t>
      </w:r>
      <w:r w:rsidR="00D162E9">
        <w:t>T</w:t>
      </w:r>
      <w:r w:rsidR="00F07F9A" w:rsidRPr="00B04491">
        <w:t xml:space="preserve">he same </w:t>
      </w:r>
      <w:r w:rsidR="004B2F05">
        <w:t>three</w:t>
      </w:r>
      <w:r w:rsidR="004B2F05" w:rsidRPr="00B04491">
        <w:t xml:space="preserve"> </w:t>
      </w:r>
      <w:r w:rsidR="00F07F9A" w:rsidRPr="00B04491">
        <w:t>countries</w:t>
      </w:r>
      <w:r w:rsidR="000C69BA" w:rsidRPr="000C69BA">
        <w:t xml:space="preserve"> </w:t>
      </w:r>
      <w:r w:rsidR="000C69BA" w:rsidRPr="00B04491">
        <w:t>as last year</w:t>
      </w:r>
      <w:r w:rsidR="004B2F05">
        <w:t>, all LDCs,</w:t>
      </w:r>
      <w:r w:rsidR="00F07F9A" w:rsidRPr="00B04491">
        <w:t xml:space="preserve"> </w:t>
      </w:r>
      <w:r w:rsidR="00D162E9">
        <w:t>have not yet established an Enquiry Point</w:t>
      </w:r>
      <w:r w:rsidR="002819B4" w:rsidRPr="00EB3D52">
        <w:t xml:space="preserve">. </w:t>
      </w:r>
      <w:r w:rsidR="0051027C">
        <w:t>Thirty</w:t>
      </w:r>
      <w:r w:rsidR="0008709B">
        <w:t xml:space="preserve"> </w:t>
      </w:r>
      <w:r w:rsidR="00C31DD2" w:rsidRPr="00EB3D52">
        <w:t>Members have identified more than one SPS Enquiry Point.</w:t>
      </w:r>
    </w:p>
    <w:p w14:paraId="551ADFC2" w14:textId="77777777" w:rsidR="00C31DD2" w:rsidRDefault="00C31DD2" w:rsidP="002819B4">
      <w:pPr>
        <w:pStyle w:val="BodyText"/>
      </w:pPr>
      <w:r>
        <w:t xml:space="preserve">The most up-to-date information on Members' </w:t>
      </w:r>
      <w:r w:rsidR="00CA6A41">
        <w:t>N</w:t>
      </w:r>
      <w:r>
        <w:t xml:space="preserve">otification </w:t>
      </w:r>
      <w:r w:rsidR="00CA6A41">
        <w:t>A</w:t>
      </w:r>
      <w:r>
        <w:t xml:space="preserve">uthorities and </w:t>
      </w:r>
      <w:r w:rsidR="00CA6A41">
        <w:t>E</w:t>
      </w:r>
      <w:r>
        <w:t xml:space="preserve">nquiry </w:t>
      </w:r>
      <w:r w:rsidR="00CA6A41">
        <w:t>P</w:t>
      </w:r>
      <w:r>
        <w:t xml:space="preserve">oints can be accessed through the SPS IMS by clicking on </w:t>
      </w:r>
      <w:r w:rsidR="00BF1308" w:rsidRPr="00A5270E">
        <w:rPr>
          <w:b/>
        </w:rPr>
        <w:t xml:space="preserve">Search </w:t>
      </w:r>
      <w:r w:rsidR="00BF1308" w:rsidRPr="00A5270E">
        <w:rPr>
          <w:rFonts w:ascii="Franklin Gothic Medium" w:hAnsi="Franklin Gothic Medium"/>
          <w:b/>
        </w:rPr>
        <w:t>→</w:t>
      </w:r>
      <w:r w:rsidR="0051027C">
        <w:rPr>
          <w:rFonts w:ascii="Franklin Gothic Medium" w:hAnsi="Franklin Gothic Medium"/>
          <w:b/>
        </w:rPr>
        <w:t xml:space="preserve"> </w:t>
      </w:r>
      <w:r w:rsidRPr="00A5270E">
        <w:rPr>
          <w:b/>
        </w:rPr>
        <w:t>Enquiry Points/Notification Authorities</w:t>
      </w:r>
      <w:r>
        <w:t xml:space="preserve"> on the </w:t>
      </w:r>
      <w:r w:rsidR="00BF1308">
        <w:t>top</w:t>
      </w:r>
      <w:r>
        <w:t xml:space="preserve"> menu bar.</w:t>
      </w:r>
      <w:r w:rsidR="00BF1308">
        <w:rPr>
          <w:rStyle w:val="FootnoteReference"/>
        </w:rPr>
        <w:footnoteReference w:id="8"/>
      </w:r>
    </w:p>
    <w:p w14:paraId="0306F7DD" w14:textId="77777777" w:rsidR="002819B4" w:rsidRDefault="002819B4" w:rsidP="00B32DFD">
      <w:pPr>
        <w:pStyle w:val="Heading1"/>
      </w:pPr>
      <w:bookmarkStart w:id="7" w:name="_Toc400006337"/>
      <w:bookmarkStart w:id="8" w:name="_Toc400015164"/>
      <w:bookmarkStart w:id="9" w:name="_Toc527021047"/>
      <w:r>
        <w:t>SUBMISSION OF NOTIFICATIONS</w:t>
      </w:r>
      <w:bookmarkEnd w:id="7"/>
      <w:bookmarkEnd w:id="8"/>
      <w:bookmarkEnd w:id="9"/>
    </w:p>
    <w:p w14:paraId="3D5F795B" w14:textId="77777777" w:rsidR="002819B4" w:rsidRDefault="002819B4" w:rsidP="002819B4">
      <w:pPr>
        <w:pStyle w:val="BodyText"/>
      </w:pPr>
      <w:r>
        <w:t xml:space="preserve">Under the SPS Agreement, notifications are used to inform other Members about new or changed regulations that may significantly affect trade. Annex B, paragraphs 5 to 8, as well as the </w:t>
      </w:r>
      <w:r w:rsidR="00371234">
        <w:t xml:space="preserve">Recommended </w:t>
      </w:r>
      <w:r>
        <w:t>Transparency Procedures, elaborate on the notification procedures Members are to follow. For ease of reference, the specific sub-topics highlighted below follow the order of items that are contained in the regular and emergency notification formats.</w:t>
      </w:r>
    </w:p>
    <w:p w14:paraId="12BF6803" w14:textId="77777777" w:rsidR="002819B4" w:rsidRDefault="002819B4" w:rsidP="00702EB6">
      <w:pPr>
        <w:pStyle w:val="Heading2"/>
        <w:numPr>
          <w:ilvl w:val="1"/>
          <w:numId w:val="11"/>
        </w:numPr>
      </w:pPr>
      <w:bookmarkStart w:id="10" w:name="_Toc400006338"/>
      <w:bookmarkStart w:id="11" w:name="_Toc400015165"/>
      <w:bookmarkStart w:id="12" w:name="_Toc527021048"/>
      <w:r>
        <w:t>Types of notifications</w:t>
      </w:r>
      <w:bookmarkEnd w:id="10"/>
      <w:bookmarkEnd w:id="11"/>
      <w:bookmarkEnd w:id="12"/>
    </w:p>
    <w:p w14:paraId="5405FE4D" w14:textId="77777777" w:rsidR="002819B4" w:rsidRDefault="002819B4" w:rsidP="002819B4">
      <w:pPr>
        <w:pStyle w:val="BodyText"/>
      </w:pPr>
      <w:r>
        <w:t xml:space="preserve">The two main types of notifications are regular notifications </w:t>
      </w:r>
      <w:r w:rsidR="00123F68">
        <w:t>and emergency notifications. In </w:t>
      </w:r>
      <w:r>
        <w:t xml:space="preserve">addition, addenda, corrigenda, revisions or supplements can be issued </w:t>
      </w:r>
      <w:proofErr w:type="gramStart"/>
      <w:r>
        <w:t>subsequent to</w:t>
      </w:r>
      <w:proofErr w:type="gramEnd"/>
      <w:r>
        <w:t xml:space="preserve"> an original regular or emergency notification.</w:t>
      </w:r>
      <w:r w:rsidR="002B765D">
        <w:rPr>
          <w:rStyle w:val="FootnoteReference"/>
        </w:rPr>
        <w:footnoteReference w:id="9"/>
      </w:r>
      <w:r w:rsidR="003C2128">
        <w:t xml:space="preserve"> </w:t>
      </w:r>
      <w:r>
        <w:t>An addendum is used to provide additional information or changes to an original notification, for example if the products covered by the proposed regulation have been modified</w:t>
      </w:r>
      <w:r w:rsidR="00474433">
        <w:t>,</w:t>
      </w:r>
      <w:r>
        <w:t xml:space="preserve"> if the comment period has been extended</w:t>
      </w:r>
      <w:r w:rsidR="00474433">
        <w:t xml:space="preserve">, </w:t>
      </w:r>
      <w:r w:rsidR="00214BD9">
        <w:t xml:space="preserve">or </w:t>
      </w:r>
      <w:r w:rsidR="00474433">
        <w:t>if a notified measure has entered into force</w:t>
      </w:r>
      <w:r>
        <w:t xml:space="preserve">. A corrigendum is used to correct an error in an original notification such as an incorrect address detail. A revision is used to replace an existing notification, for example if a notified draft regulation was substantially redrafted or if a notification contained </w:t>
      </w:r>
      <w:proofErr w:type="gramStart"/>
      <w:r>
        <w:t>a large number of</w:t>
      </w:r>
      <w:proofErr w:type="gramEnd"/>
      <w:r>
        <w:t xml:space="preserve"> errors.</w:t>
      </w:r>
    </w:p>
    <w:p w14:paraId="04F9A731" w14:textId="449ED1C0" w:rsidR="00C73EEC" w:rsidRPr="00E45E2B" w:rsidRDefault="00C73EEC" w:rsidP="00C73EEC">
      <w:pPr>
        <w:pStyle w:val="BodyText"/>
      </w:pPr>
      <w:r w:rsidRPr="00EB3D52">
        <w:t>As of 15 September</w:t>
      </w:r>
      <w:r w:rsidR="00912B23">
        <w:t xml:space="preserve"> </w:t>
      </w:r>
      <w:r w:rsidR="00D82E5C">
        <w:t>2018</w:t>
      </w:r>
      <w:r w:rsidRPr="00EB3D52">
        <w:t>, Members had submitted</w:t>
      </w:r>
      <w:r w:rsidR="00E860E9" w:rsidRPr="00E45E2B">
        <w:rPr>
          <w:rStyle w:val="FootnoteReference"/>
        </w:rPr>
        <w:footnoteReference w:id="10"/>
      </w:r>
      <w:r w:rsidRPr="00E45E2B">
        <w:t xml:space="preserve"> </w:t>
      </w:r>
      <w:r w:rsidR="00F93262">
        <w:t>1</w:t>
      </w:r>
      <w:r w:rsidR="00652DB2">
        <w:t>5,823</w:t>
      </w:r>
      <w:r w:rsidR="00E860E9">
        <w:t xml:space="preserve"> </w:t>
      </w:r>
      <w:r w:rsidRPr="00EB3D52">
        <w:t xml:space="preserve">regular notifications, </w:t>
      </w:r>
      <w:r w:rsidR="00652DB2">
        <w:t>2,103</w:t>
      </w:r>
      <w:r w:rsidR="000D7A28">
        <w:t> </w:t>
      </w:r>
      <w:r w:rsidRPr="00EB3D52">
        <w:t>emergency notifications,</w:t>
      </w:r>
      <w:r w:rsidR="00ED5FFF">
        <w:t xml:space="preserve"> 5,183</w:t>
      </w:r>
      <w:r w:rsidR="00E860E9">
        <w:t xml:space="preserve"> </w:t>
      </w:r>
      <w:r w:rsidRPr="00EB3D52">
        <w:t>addenda and</w:t>
      </w:r>
      <w:r w:rsidR="00D12975">
        <w:t xml:space="preserve"> </w:t>
      </w:r>
      <w:r w:rsidR="00ED5FFF">
        <w:t>416</w:t>
      </w:r>
      <w:r w:rsidR="00E860E9">
        <w:t xml:space="preserve"> </w:t>
      </w:r>
      <w:r w:rsidRPr="00EB3D52">
        <w:t>corrigenda to regular and emergency notifications</w:t>
      </w:r>
      <w:r w:rsidR="007968EF">
        <w:t xml:space="preserve">, </w:t>
      </w:r>
      <w:r w:rsidR="004E0F63">
        <w:t>reaching a</w:t>
      </w:r>
      <w:r w:rsidR="007968EF">
        <w:t xml:space="preserve"> grand total </w:t>
      </w:r>
      <w:r w:rsidR="004E0F63">
        <w:t xml:space="preserve">of </w:t>
      </w:r>
      <w:r w:rsidR="00ED5FFF">
        <w:t>23,525</w:t>
      </w:r>
      <w:r w:rsidR="004E0F63">
        <w:t xml:space="preserve"> notifications and related documents</w:t>
      </w:r>
      <w:r w:rsidRPr="00EB3D52">
        <w:t xml:space="preserve">. </w:t>
      </w:r>
      <w:r w:rsidR="000C69BA">
        <w:t>During</w:t>
      </w:r>
      <w:r w:rsidR="000C69BA" w:rsidRPr="00EB3D52">
        <w:t xml:space="preserve"> </w:t>
      </w:r>
      <w:r w:rsidRPr="00EB3D52">
        <w:t xml:space="preserve">the </w:t>
      </w:r>
      <w:r w:rsidR="00D12975">
        <w:t xml:space="preserve">current reporting period </w:t>
      </w:r>
      <w:r w:rsidRPr="00EB3D52">
        <w:t>(</w:t>
      </w:r>
      <w:r w:rsidR="00C50C1D" w:rsidRPr="00EB3D52">
        <w:t>1</w:t>
      </w:r>
      <w:r w:rsidR="00C50C1D">
        <w:t>6</w:t>
      </w:r>
      <w:r w:rsidR="003C0ED8">
        <w:t> </w:t>
      </w:r>
      <w:r w:rsidRPr="00EB3D52">
        <w:t xml:space="preserve">September </w:t>
      </w:r>
      <w:r w:rsidR="00D82E5C">
        <w:t>2017</w:t>
      </w:r>
      <w:r w:rsidR="00C50C1D" w:rsidRPr="00E45E2B">
        <w:t xml:space="preserve"> </w:t>
      </w:r>
      <w:r w:rsidRPr="00E45E2B">
        <w:t>through 15 September</w:t>
      </w:r>
      <w:r w:rsidR="00E63FC0">
        <w:t xml:space="preserve"> </w:t>
      </w:r>
      <w:r w:rsidR="00D82E5C">
        <w:t>2018</w:t>
      </w:r>
      <w:r w:rsidRPr="00E45E2B">
        <w:t xml:space="preserve">), Members submitted a total of </w:t>
      </w:r>
      <w:r w:rsidR="003A7ABF">
        <w:t>1,63</w:t>
      </w:r>
      <w:r w:rsidR="000D7A28">
        <w:t>6 </w:t>
      </w:r>
      <w:r w:rsidRPr="00EB3D52">
        <w:t xml:space="preserve">notifications, of which </w:t>
      </w:r>
      <w:r w:rsidR="00F93262">
        <w:t>1,18</w:t>
      </w:r>
      <w:r w:rsidR="00572E65">
        <w:t>5</w:t>
      </w:r>
      <w:r w:rsidR="003C5CFB" w:rsidRPr="00EB3D52">
        <w:t xml:space="preserve"> </w:t>
      </w:r>
      <w:r w:rsidR="004E0F63">
        <w:t xml:space="preserve">were </w:t>
      </w:r>
      <w:r w:rsidRPr="00EB3D52">
        <w:t xml:space="preserve">regular notifications, </w:t>
      </w:r>
      <w:r w:rsidR="00D12975">
        <w:t>1</w:t>
      </w:r>
      <w:r w:rsidR="00F93262">
        <w:t>23</w:t>
      </w:r>
      <w:r w:rsidR="00D12975" w:rsidRPr="00EB3D52">
        <w:t xml:space="preserve"> </w:t>
      </w:r>
      <w:r w:rsidRPr="00EB3D52">
        <w:t xml:space="preserve">emergency notifications, </w:t>
      </w:r>
      <w:r w:rsidR="00D12975">
        <w:t>3</w:t>
      </w:r>
      <w:r w:rsidR="003A7ABF">
        <w:t>1</w:t>
      </w:r>
      <w:r w:rsidR="00572E65">
        <w:t>3</w:t>
      </w:r>
      <w:r w:rsidR="00D12975" w:rsidRPr="00EB3D52">
        <w:t xml:space="preserve"> </w:t>
      </w:r>
      <w:r w:rsidRPr="00EB3D52">
        <w:t xml:space="preserve">addenda and </w:t>
      </w:r>
      <w:r w:rsidR="003A7ABF">
        <w:t>15</w:t>
      </w:r>
      <w:r w:rsidR="00D12975">
        <w:t xml:space="preserve"> </w:t>
      </w:r>
      <w:r w:rsidRPr="00EB3D52">
        <w:t>corrigenda to regular and emergency notifications.</w:t>
      </w:r>
    </w:p>
    <w:p w14:paraId="788FC6C2" w14:textId="628C5028" w:rsidR="002819B4" w:rsidRPr="00E45E2B" w:rsidRDefault="002819B4" w:rsidP="002819B4">
      <w:pPr>
        <w:pStyle w:val="BodyText"/>
      </w:pPr>
      <w:r w:rsidRPr="00E45E2B">
        <w:t xml:space="preserve">In April 2004, the Secretariat established a mechanism for Members to inform each other of the availability of unofficial translations of notified SPS measures into one of the official languages of the WTO. These are submitted in the form of supplements to the </w:t>
      </w:r>
      <w:r w:rsidR="00572B49" w:rsidRPr="000650A8">
        <w:t>original notification. As of 15 </w:t>
      </w:r>
      <w:r w:rsidRPr="007B5D2F">
        <w:t>September</w:t>
      </w:r>
      <w:r w:rsidR="00912B23">
        <w:t xml:space="preserve"> </w:t>
      </w:r>
      <w:r w:rsidR="00D82E5C">
        <w:t>2018</w:t>
      </w:r>
      <w:r w:rsidRPr="0087453B">
        <w:t xml:space="preserve">, </w:t>
      </w:r>
      <w:r w:rsidR="00C545F4" w:rsidRPr="0076313F">
        <w:t>1</w:t>
      </w:r>
      <w:r w:rsidR="00256899" w:rsidRPr="0076313F">
        <w:t>9</w:t>
      </w:r>
      <w:r w:rsidR="00C545F4" w:rsidRPr="0076313F">
        <w:t xml:space="preserve"> </w:t>
      </w:r>
      <w:r w:rsidRPr="0076313F">
        <w:t xml:space="preserve">supplement notifications had been circulated. </w:t>
      </w:r>
      <w:r w:rsidR="005855D0" w:rsidRPr="0076313F">
        <w:t>None</w:t>
      </w:r>
      <w:r w:rsidRPr="0076313F">
        <w:t xml:space="preserve"> </w:t>
      </w:r>
      <w:r w:rsidR="00933B96" w:rsidRPr="0076313F">
        <w:t xml:space="preserve">were </w:t>
      </w:r>
      <w:r w:rsidRPr="0076313F">
        <w:t>submitted in</w:t>
      </w:r>
      <w:r w:rsidR="00E63FC0">
        <w:t xml:space="preserve"> </w:t>
      </w:r>
      <w:r w:rsidR="003A7ABF" w:rsidRPr="0076313F">
        <w:t>201</w:t>
      </w:r>
      <w:r w:rsidR="002333EF">
        <w:t>8</w:t>
      </w:r>
      <w:r w:rsidRPr="0076313F">
        <w:t>. It is interesting to note that the identical mechanism for sharing translations of notified TBT</w:t>
      </w:r>
      <w:r w:rsidR="00296792" w:rsidRPr="0076313F">
        <w:t> </w:t>
      </w:r>
      <w:r w:rsidRPr="0076313F">
        <w:t xml:space="preserve">regulations, which was launched in January 2008, has already resulted in </w:t>
      </w:r>
      <w:r w:rsidR="002E263B">
        <w:t>25</w:t>
      </w:r>
      <w:r w:rsidR="00961709">
        <w:t>1</w:t>
      </w:r>
      <w:r w:rsidR="002E263B">
        <w:t xml:space="preserve"> </w:t>
      </w:r>
      <w:r w:rsidRPr="0076313F">
        <w:t>supplement notifications. It is not clear why Members are submitting so few supplement notif</w:t>
      </w:r>
      <w:r w:rsidR="003C2128" w:rsidRPr="0076313F">
        <w:t>ications in the SPS area.</w:t>
      </w:r>
    </w:p>
    <w:p w14:paraId="3EC8F703" w14:textId="0E256212" w:rsidR="002819B4" w:rsidRDefault="00CD48D2" w:rsidP="002819B4">
      <w:pPr>
        <w:pStyle w:val="BodyText"/>
      </w:pPr>
      <w:r>
        <w:lastRenderedPageBreak/>
        <w:t>I</w:t>
      </w:r>
      <w:r w:rsidR="002819B4">
        <w:t>n June 2002</w:t>
      </w:r>
      <w:r w:rsidR="00214BD9">
        <w:t>,</w:t>
      </w:r>
      <w:r w:rsidR="002819B4">
        <w:t xml:space="preserve"> the SPS Committee adopted a special format and recommended procedures for the notification of determination of the recognition of equivalence of sanitary or phytosanitary measures. As of 15 September</w:t>
      </w:r>
      <w:r w:rsidR="00E860E9">
        <w:t xml:space="preserve"> </w:t>
      </w:r>
      <w:r w:rsidR="00D82E5C">
        <w:t>2018</w:t>
      </w:r>
      <w:r w:rsidR="002819B4">
        <w:t>, there have only been two equivalence notifications circulated, one from Panama in 2007 and another</w:t>
      </w:r>
      <w:r w:rsidR="003C0ED8">
        <w:t xml:space="preserve"> from the Dominican Republic in </w:t>
      </w:r>
      <w:r w:rsidR="002819B4">
        <w:t>2008.</w:t>
      </w:r>
      <w:r w:rsidR="000D7A28">
        <w:t xml:space="preserve"> There </w:t>
      </w:r>
      <w:r w:rsidR="002D4417">
        <w:t>have been no new equivalence notifications circulated by W</w:t>
      </w:r>
      <w:r w:rsidR="00DD7EEA">
        <w:t>TO Members since</w:t>
      </w:r>
      <w:r w:rsidR="003C0ED8">
        <w:t xml:space="preserve"> </w:t>
      </w:r>
      <w:r w:rsidR="002D4417">
        <w:t>2008.</w:t>
      </w:r>
    </w:p>
    <w:p w14:paraId="3EB915B7" w14:textId="5BEA8B7F" w:rsidR="00CD48D2" w:rsidRDefault="00CD48D2" w:rsidP="00CD48D2">
      <w:pPr>
        <w:pStyle w:val="BodyText"/>
      </w:pPr>
      <w:r w:rsidRPr="00CD48D2">
        <w:t xml:space="preserve">In October 2004, the </w:t>
      </w:r>
      <w:r w:rsidR="00C25752">
        <w:t>SPS Committee</w:t>
      </w:r>
      <w:r w:rsidR="00C25752" w:rsidRPr="00CD48D2">
        <w:t xml:space="preserve"> </w:t>
      </w:r>
      <w:r w:rsidRPr="00CD48D2">
        <w:t xml:space="preserve">adopted a procedure to enhance transparency of special and differential treatment (S&amp;D) in favour of developing country Members, which included an addendum </w:t>
      </w:r>
      <w:r w:rsidR="00214BD9">
        <w:t xml:space="preserve">notification </w:t>
      </w:r>
      <w:r w:rsidRPr="00CD48D2">
        <w:t xml:space="preserve">format to inform the Committee on a Member's decision on whether and how S&amp;D may be provided </w:t>
      </w:r>
      <w:proofErr w:type="gramStart"/>
      <w:r w:rsidRPr="00CD48D2">
        <w:t>in reference to</w:t>
      </w:r>
      <w:proofErr w:type="gramEnd"/>
      <w:r w:rsidRPr="00CD48D2">
        <w:t xml:space="preserve"> a specific request. The procedure and</w:t>
      </w:r>
      <w:r w:rsidR="00214BD9">
        <w:t xml:space="preserve"> addendum</w:t>
      </w:r>
      <w:r w:rsidRPr="00CD48D2">
        <w:t xml:space="preserve"> notification format were subsequently revised in December 2009</w:t>
      </w:r>
      <w:r>
        <w:rPr>
          <w:rStyle w:val="FootnoteReference"/>
        </w:rPr>
        <w:footnoteReference w:id="11"/>
      </w:r>
      <w:r w:rsidR="00E2083A">
        <w:t>, and, as mentioned earlier, the notification format was incorporated in G/SPS/7/Rev.4 for ease of reference.</w:t>
      </w:r>
      <w:r w:rsidRPr="00CD48D2">
        <w:t xml:space="preserve"> No S&amp;D notifications have been circulated by WTO Members since 2004.</w:t>
      </w:r>
    </w:p>
    <w:p w14:paraId="3FE1ACD8" w14:textId="3DDE7EF9" w:rsidR="00F80B4C" w:rsidRDefault="00DE00A5" w:rsidP="00E817AB">
      <w:pPr>
        <w:pStyle w:val="BodyText"/>
      </w:pPr>
      <w:r w:rsidRPr="00E45E2B">
        <w:t xml:space="preserve">As can be seen in Chart 1, there has been a general upward trend in the number of notifications over the </w:t>
      </w:r>
      <w:r w:rsidR="000A1021">
        <w:t>years</w:t>
      </w:r>
      <w:r w:rsidRPr="007B5D2F">
        <w:t xml:space="preserve">, although </w:t>
      </w:r>
      <w:r w:rsidR="00E817AB">
        <w:t>after</w:t>
      </w:r>
      <w:r w:rsidR="00E817AB" w:rsidRPr="007B5D2F">
        <w:t xml:space="preserve"> </w:t>
      </w:r>
      <w:r w:rsidRPr="007B5D2F">
        <w:t>the peak of 1,</w:t>
      </w:r>
      <w:r w:rsidR="00EA06FE" w:rsidRPr="007B5D2F">
        <w:t>410</w:t>
      </w:r>
      <w:r w:rsidRPr="00C9540C">
        <w:t xml:space="preserve"> notifications in 2010, there ha</w:t>
      </w:r>
      <w:r w:rsidR="00E817AB">
        <w:t>d</w:t>
      </w:r>
      <w:r w:rsidRPr="00C9540C">
        <w:t xml:space="preserve"> been a slight decline </w:t>
      </w:r>
      <w:r w:rsidR="00486C42" w:rsidRPr="0087453B">
        <w:t>for the years 2011-2013. In 2015</w:t>
      </w:r>
      <w:r w:rsidRPr="0087453B">
        <w:t>, however, the number of notificat</w:t>
      </w:r>
      <w:r w:rsidR="00486C42" w:rsidRPr="0087453B">
        <w:t>ions reached a new peak of</w:t>
      </w:r>
      <w:r w:rsidR="009E7038">
        <w:t xml:space="preserve"> </w:t>
      </w:r>
      <w:r w:rsidR="00E572A4">
        <w:t>1,680</w:t>
      </w:r>
      <w:r w:rsidR="00E817AB">
        <w:t>, after which it has again been slightly lower</w:t>
      </w:r>
      <w:r w:rsidRPr="00EB3D52">
        <w:t>.</w:t>
      </w:r>
      <w:r w:rsidR="009008FE" w:rsidRPr="00EB3D52">
        <w:t xml:space="preserve"> </w:t>
      </w:r>
      <w:r w:rsidR="009E7D05">
        <w:t xml:space="preserve">The yearly analysis also </w:t>
      </w:r>
      <w:r w:rsidR="00457F85">
        <w:t>captured</w:t>
      </w:r>
      <w:r w:rsidR="009E7D05">
        <w:t xml:space="preserve"> that the number of </w:t>
      </w:r>
      <w:r w:rsidR="00F80B4C">
        <w:t xml:space="preserve">notifications </w:t>
      </w:r>
      <w:r w:rsidR="00E572A4">
        <w:t>increased</w:t>
      </w:r>
      <w:r w:rsidR="00E8347E">
        <w:t xml:space="preserve"> </w:t>
      </w:r>
      <w:r w:rsidR="00E817AB" w:rsidRPr="00E817AB">
        <w:t xml:space="preserve">moderately </w:t>
      </w:r>
      <w:r w:rsidR="00E8347E">
        <w:t>between</w:t>
      </w:r>
      <w:r w:rsidR="00912B23">
        <w:t xml:space="preserve"> </w:t>
      </w:r>
      <w:r w:rsidR="00E572A4">
        <w:t>2016</w:t>
      </w:r>
      <w:r w:rsidR="00912B23">
        <w:t xml:space="preserve"> and </w:t>
      </w:r>
      <w:r w:rsidR="00E572A4">
        <w:t>2017</w:t>
      </w:r>
      <w:r w:rsidR="009E7D05">
        <w:t xml:space="preserve">, </w:t>
      </w:r>
      <w:r w:rsidR="00875EF7">
        <w:t xml:space="preserve">from </w:t>
      </w:r>
      <w:r w:rsidR="009E7D05">
        <w:t xml:space="preserve">1,392 </w:t>
      </w:r>
      <w:r w:rsidR="00875EF7">
        <w:t xml:space="preserve">to </w:t>
      </w:r>
      <w:r w:rsidR="009E7D05">
        <w:t>1,480</w:t>
      </w:r>
      <w:r w:rsidR="00E63FC0">
        <w:t>.</w:t>
      </w:r>
      <w:r w:rsidR="0022508A">
        <w:t xml:space="preserve"> </w:t>
      </w:r>
      <w:r w:rsidR="009F7381">
        <w:t xml:space="preserve">The number of notifications </w:t>
      </w:r>
      <w:r w:rsidR="00E817AB">
        <w:t xml:space="preserve">submitted by Members </w:t>
      </w:r>
      <w:r w:rsidR="009F7381">
        <w:t xml:space="preserve">continued to increase </w:t>
      </w:r>
      <w:r w:rsidR="00E63FC0">
        <w:t>by</w:t>
      </w:r>
      <w:r w:rsidR="009F7381">
        <w:t xml:space="preserve"> </w:t>
      </w:r>
      <w:r w:rsidR="00B229CC">
        <w:t xml:space="preserve">265 </w:t>
      </w:r>
      <w:r w:rsidR="00E63FC0">
        <w:t xml:space="preserve">additional </w:t>
      </w:r>
      <w:r w:rsidR="009F7381">
        <w:t xml:space="preserve">notifications during </w:t>
      </w:r>
      <w:r w:rsidR="00E63FC0">
        <w:t xml:space="preserve">the </w:t>
      </w:r>
      <w:r w:rsidR="00DA69C5">
        <w:t xml:space="preserve">period </w:t>
      </w:r>
      <w:r w:rsidR="00E63FC0">
        <w:t>from</w:t>
      </w:r>
      <w:r w:rsidR="00DA69C5">
        <w:t xml:space="preserve"> 16 September 2017 </w:t>
      </w:r>
      <w:r w:rsidR="00E63FC0">
        <w:t>through</w:t>
      </w:r>
      <w:r w:rsidR="00DA69C5">
        <w:t xml:space="preserve"> 15 September 2018</w:t>
      </w:r>
      <w:r w:rsidR="00E817AB">
        <w:t>,</w:t>
      </w:r>
      <w:r w:rsidR="00DA69C5">
        <w:t xml:space="preserve"> </w:t>
      </w:r>
      <w:r w:rsidR="00E817AB">
        <w:t>compared to</w:t>
      </w:r>
      <w:r w:rsidR="00DA69C5">
        <w:t xml:space="preserve"> the sa</w:t>
      </w:r>
      <w:r w:rsidR="000D7A28">
        <w:t>me period in the previous year</w:t>
      </w:r>
      <w:r w:rsidR="00B229CC">
        <w:t xml:space="preserve"> (338 more regular notifications and 73 fewer emergency notifications)</w:t>
      </w:r>
      <w:r w:rsidR="000D7A28">
        <w:t>.</w:t>
      </w:r>
    </w:p>
    <w:p w14:paraId="032498A1" w14:textId="6391928A" w:rsidR="002819B4" w:rsidRDefault="00470529" w:rsidP="00470529">
      <w:pPr>
        <w:pStyle w:val="Caption"/>
      </w:pPr>
      <w:r w:rsidRPr="002771A1">
        <w:t>Chart</w:t>
      </w:r>
      <w:r w:rsidR="002819B4" w:rsidRPr="002771A1">
        <w:t xml:space="preserve"> 1</w:t>
      </w:r>
      <w:r w:rsidR="004E598B" w:rsidRPr="002771A1">
        <w:t xml:space="preserve"> – Notifications submitted per year</w:t>
      </w:r>
    </w:p>
    <w:p w14:paraId="51A175DF" w14:textId="006611F4" w:rsidR="008A45DA" w:rsidRDefault="008A45DA" w:rsidP="008A45DA">
      <w:r w:rsidRPr="008A45DA">
        <w:rPr>
          <w:noProof/>
        </w:rPr>
        <w:drawing>
          <wp:inline distT="0" distB="0" distL="0" distR="0" wp14:anchorId="694BA116" wp14:editId="3721E57B">
            <wp:extent cx="5731510" cy="376318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63180"/>
                    </a:xfrm>
                    <a:prstGeom prst="rect">
                      <a:avLst/>
                    </a:prstGeom>
                    <a:noFill/>
                    <a:ln>
                      <a:noFill/>
                    </a:ln>
                  </pic:spPr>
                </pic:pic>
              </a:graphicData>
            </a:graphic>
          </wp:inline>
        </w:drawing>
      </w:r>
    </w:p>
    <w:p w14:paraId="0869D247" w14:textId="77777777" w:rsidR="008A45DA" w:rsidRDefault="008A45DA" w:rsidP="007C72F3"/>
    <w:p w14:paraId="6358C334" w14:textId="77777777" w:rsidR="002819B4" w:rsidRDefault="002819B4" w:rsidP="00920618">
      <w:pPr>
        <w:pStyle w:val="Heading2"/>
      </w:pPr>
      <w:bookmarkStart w:id="13" w:name="_Toc400006339"/>
      <w:bookmarkStart w:id="14" w:name="_Toc400015166"/>
      <w:bookmarkStart w:id="15" w:name="_Toc527021049"/>
      <w:r>
        <w:lastRenderedPageBreak/>
        <w:t>Notifying Members</w:t>
      </w:r>
      <w:bookmarkEnd w:id="13"/>
      <w:bookmarkEnd w:id="14"/>
      <w:bookmarkEnd w:id="15"/>
    </w:p>
    <w:p w14:paraId="5F458C36" w14:textId="79F19F59" w:rsidR="002819B4" w:rsidRDefault="002819B4" w:rsidP="00920618">
      <w:pPr>
        <w:pStyle w:val="BodyText"/>
        <w:keepNext/>
        <w:keepLines/>
      </w:pPr>
      <w:r>
        <w:t>As of 15 September</w:t>
      </w:r>
      <w:r w:rsidR="00912B23">
        <w:t xml:space="preserve"> </w:t>
      </w:r>
      <w:r w:rsidR="00D82E5C">
        <w:t>2018</w:t>
      </w:r>
      <w:r>
        <w:t xml:space="preserve">, </w:t>
      </w:r>
      <w:r w:rsidR="00383D0E">
        <w:t>1</w:t>
      </w:r>
      <w:r w:rsidR="00810B5A">
        <w:t>27</w:t>
      </w:r>
      <w:r w:rsidR="00912B23">
        <w:t xml:space="preserve"> </w:t>
      </w:r>
      <w:r w:rsidRPr="00383D0E">
        <w:t xml:space="preserve">Members out of </w:t>
      </w:r>
      <w:r w:rsidR="003E21C5" w:rsidRPr="00383D0E">
        <w:t>164</w:t>
      </w:r>
      <w:r w:rsidR="002E3C41" w:rsidRPr="00383D0E">
        <w:t xml:space="preserve"> </w:t>
      </w:r>
      <w:r w:rsidRPr="00383D0E">
        <w:t>(</w:t>
      </w:r>
      <w:r w:rsidR="003812A8" w:rsidRPr="00383D0E">
        <w:t>7</w:t>
      </w:r>
      <w:r w:rsidR="00383D0E">
        <w:t>7</w:t>
      </w:r>
      <w:r w:rsidRPr="00383D0E">
        <w:t>%) had submitted at least one notification to the WTO. Members which have not submitted any</w:t>
      </w:r>
      <w:r w:rsidR="00ED6A51" w:rsidRPr="00383D0E">
        <w:t xml:space="preserve"> notification so far include </w:t>
      </w:r>
      <w:r w:rsidR="003812A8" w:rsidRPr="00383D0E">
        <w:t>1</w:t>
      </w:r>
      <w:r w:rsidR="007C7E52">
        <w:t>3</w:t>
      </w:r>
      <w:r w:rsidR="000D7A28">
        <w:t> </w:t>
      </w:r>
      <w:r w:rsidRPr="00383D0E">
        <w:t>developing countries</w:t>
      </w:r>
      <w:r w:rsidR="00B952D9">
        <w:t xml:space="preserve"> and</w:t>
      </w:r>
      <w:r w:rsidRPr="00383D0E">
        <w:t xml:space="preserve"> </w:t>
      </w:r>
      <w:r w:rsidR="003812A8" w:rsidRPr="00383D0E">
        <w:t>1</w:t>
      </w:r>
      <w:r w:rsidR="00810B5A">
        <w:t>5</w:t>
      </w:r>
      <w:r w:rsidR="003812A8" w:rsidRPr="00383D0E">
        <w:t xml:space="preserve"> </w:t>
      </w:r>
      <w:r w:rsidR="00B952D9">
        <w:t>LDCs.</w:t>
      </w:r>
      <w:r w:rsidRPr="00383D0E">
        <w:t xml:space="preserve"> </w:t>
      </w:r>
      <w:r w:rsidRPr="00E45E2B">
        <w:t xml:space="preserve">In addition, </w:t>
      </w:r>
      <w:proofErr w:type="gramStart"/>
      <w:r w:rsidRPr="00E45E2B">
        <w:t>a number of</w:t>
      </w:r>
      <w:proofErr w:type="gramEnd"/>
      <w:r w:rsidRPr="00E45E2B">
        <w:t xml:space="preserve"> EU</w:t>
      </w:r>
      <w:r w:rsidR="00F5424C">
        <w:t xml:space="preserve"> </w:t>
      </w:r>
      <w:r w:rsidRPr="00E45E2B">
        <w:t>member States have not submitted notifications</w:t>
      </w:r>
      <w:r w:rsidR="00B952D9">
        <w:t>;</w:t>
      </w:r>
      <w:r w:rsidRPr="00E45E2B">
        <w:t xml:space="preserve"> </w:t>
      </w:r>
      <w:r w:rsidR="00B952D9">
        <w:t xml:space="preserve">however, </w:t>
      </w:r>
      <w:r w:rsidR="000E29F3">
        <w:t>m</w:t>
      </w:r>
      <w:r w:rsidRPr="00E45E2B">
        <w:t>ost</w:t>
      </w:r>
      <w:r>
        <w:t xml:space="preserve"> SPS measures are notified by the European Union on behalf of all its member States</w:t>
      </w:r>
      <w:r w:rsidR="00B952D9">
        <w:t>.</w:t>
      </w:r>
      <w:r w:rsidR="00455E4D">
        <w:rPr>
          <w:rStyle w:val="FootnoteReference"/>
        </w:rPr>
        <w:footnoteReference w:id="12"/>
      </w:r>
    </w:p>
    <w:p w14:paraId="0A20EA28" w14:textId="77777777" w:rsidR="002819B4" w:rsidRDefault="009744FF" w:rsidP="001918AD">
      <w:pPr>
        <w:pStyle w:val="Caption"/>
        <w:keepLines/>
      </w:pPr>
      <w:r w:rsidRPr="00860751">
        <w:t xml:space="preserve">Chart </w:t>
      </w:r>
      <w:r w:rsidR="002819B4" w:rsidRPr="00860751">
        <w:t>2</w:t>
      </w:r>
      <w:r w:rsidR="003053FF" w:rsidRPr="00860751">
        <w:t xml:space="preserve"> – Notifications by Developing Country Members (including LDCs)</w:t>
      </w:r>
    </w:p>
    <w:p w14:paraId="12AC257C" w14:textId="71F4871E" w:rsidR="00F64EB2" w:rsidRDefault="00F64EB2" w:rsidP="00F64EB2">
      <w:pPr>
        <w:spacing w:after="240"/>
      </w:pPr>
      <w:r w:rsidRPr="00F64EB2">
        <w:rPr>
          <w:noProof/>
        </w:rPr>
        <w:drawing>
          <wp:inline distT="0" distB="0" distL="0" distR="0" wp14:anchorId="3EB51BFA" wp14:editId="4CF08262">
            <wp:extent cx="5731510" cy="3234104"/>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34104"/>
                    </a:xfrm>
                    <a:prstGeom prst="rect">
                      <a:avLst/>
                    </a:prstGeom>
                    <a:noFill/>
                    <a:ln>
                      <a:noFill/>
                    </a:ln>
                  </pic:spPr>
                </pic:pic>
              </a:graphicData>
            </a:graphic>
          </wp:inline>
        </w:drawing>
      </w:r>
    </w:p>
    <w:p w14:paraId="2D832975" w14:textId="77777777" w:rsidR="00F64EB2" w:rsidRDefault="00F64EB2" w:rsidP="000D7A28">
      <w:pPr>
        <w:spacing w:after="240"/>
      </w:pPr>
    </w:p>
    <w:p w14:paraId="6E58DAD7" w14:textId="7BA02AE6" w:rsidR="00E00A2E" w:rsidRDefault="00A03084" w:rsidP="00384144">
      <w:pPr>
        <w:pStyle w:val="BodyText"/>
      </w:pPr>
      <w:r>
        <w:t xml:space="preserve">Chart 2 shows the increase of notifications from developing countries (including LDCs) since </w:t>
      </w:r>
      <w:r w:rsidR="00185A94">
        <w:t>2000</w:t>
      </w:r>
      <w:r>
        <w:t>. In correlation with the variation in the number of total notifications submitted since 2010, after the peak in that year the numbers dropped for the years 2011-201</w:t>
      </w:r>
      <w:r w:rsidR="00EB3D52">
        <w:t>2</w:t>
      </w:r>
      <w:r>
        <w:t xml:space="preserve">. </w:t>
      </w:r>
      <w:r w:rsidR="00EB3D52">
        <w:t xml:space="preserve">Since then, notifications have increased again each year reaching </w:t>
      </w:r>
      <w:r w:rsidR="00185A94" w:rsidRPr="00B04491">
        <w:t>a new peak in 2015</w:t>
      </w:r>
      <w:r w:rsidRPr="00B04491">
        <w:t xml:space="preserve">, </w:t>
      </w:r>
      <w:r w:rsidR="00185A94" w:rsidRPr="00B04491">
        <w:t>close to the 1</w:t>
      </w:r>
      <w:r w:rsidR="000B32FA">
        <w:t>,</w:t>
      </w:r>
      <w:r w:rsidR="00185A94" w:rsidRPr="00B04491">
        <w:t>200</w:t>
      </w:r>
      <w:r w:rsidRPr="00B04491">
        <w:t xml:space="preserve"> </w:t>
      </w:r>
      <w:proofErr w:type="gramStart"/>
      <w:r w:rsidRPr="00B04491">
        <w:t>mark</w:t>
      </w:r>
      <w:proofErr w:type="gramEnd"/>
      <w:r w:rsidRPr="00796A0E">
        <w:t xml:space="preserve">. The share of notifications by developing countries </w:t>
      </w:r>
      <w:r w:rsidR="00B72210">
        <w:t xml:space="preserve">and LDCs </w:t>
      </w:r>
      <w:r w:rsidRPr="00796A0E">
        <w:t xml:space="preserve">has varied somewhat since </w:t>
      </w:r>
      <w:r w:rsidR="00185A94" w:rsidRPr="00796A0E">
        <w:t>2000</w:t>
      </w:r>
      <w:r w:rsidRPr="00796A0E">
        <w:t xml:space="preserve"> (see Chart 3). It</w:t>
      </w:r>
      <w:r w:rsidR="000B32FA" w:rsidRPr="00A1209E">
        <w:t> has </w:t>
      </w:r>
      <w:r w:rsidRPr="00A1209E">
        <w:t>consistently been higher than 50% since 2007</w:t>
      </w:r>
      <w:r w:rsidR="003B3FAB">
        <w:t>.</w:t>
      </w:r>
      <w:r w:rsidR="00383D0E">
        <w:t xml:space="preserve"> </w:t>
      </w:r>
      <w:r w:rsidR="00D1047D">
        <w:t>From 16 September 2017 to 15 September 2018, developing countries' share of total notifications increased by 13% compared to the same period in the previous year</w:t>
      </w:r>
      <w:r w:rsidR="00B72210">
        <w:t xml:space="preserve"> (including LDCs)</w:t>
      </w:r>
      <w:r w:rsidR="00D1047D">
        <w:t>.</w:t>
      </w:r>
      <w:r w:rsidR="00343285">
        <w:t xml:space="preserve"> </w:t>
      </w:r>
      <w:r w:rsidR="00103E1D">
        <w:t xml:space="preserve">Indeed, </w:t>
      </w:r>
      <w:r w:rsidR="0072734F">
        <w:t xml:space="preserve">from </w:t>
      </w:r>
      <w:r w:rsidR="007F42F9">
        <w:t>1 January to 15 September 2018, the share reached its highest peak of 73%</w:t>
      </w:r>
      <w:r w:rsidR="00B72210">
        <w:t xml:space="preserve"> (including LDCs)</w:t>
      </w:r>
      <w:r w:rsidR="007F42F9">
        <w:t xml:space="preserve">. </w:t>
      </w:r>
      <w:r w:rsidR="00103E1D">
        <w:t>For</w:t>
      </w:r>
      <w:r w:rsidR="007F42F9">
        <w:t xml:space="preserve"> LDCs</w:t>
      </w:r>
      <w:r w:rsidR="00103E1D">
        <w:t xml:space="preserve">, </w:t>
      </w:r>
      <w:r w:rsidR="00E0114A">
        <w:t xml:space="preserve">a similar </w:t>
      </w:r>
      <w:r w:rsidR="00CF70CE">
        <w:t xml:space="preserve">upward </w:t>
      </w:r>
      <w:r w:rsidR="00E0114A">
        <w:t>trend can be observed</w:t>
      </w:r>
      <w:r w:rsidR="00E817AB">
        <w:t>,</w:t>
      </w:r>
      <w:r w:rsidR="00E0114A">
        <w:t xml:space="preserve"> as </w:t>
      </w:r>
      <w:r w:rsidR="00E817AB">
        <w:t xml:space="preserve">their </w:t>
      </w:r>
      <w:r w:rsidR="00E0114A">
        <w:t>share of total notifications increased to 4.6% during the period from 16 September 2017 to 15 September 2018, from 3.1% during the same period in the previous year.</w:t>
      </w:r>
    </w:p>
    <w:p w14:paraId="1DADB8A2" w14:textId="19850E98" w:rsidR="004D6383" w:rsidRDefault="009744FF" w:rsidP="00F538D4">
      <w:pPr>
        <w:pStyle w:val="Caption"/>
        <w:keepLines/>
      </w:pPr>
      <w:r w:rsidRPr="00EA08F0">
        <w:lastRenderedPageBreak/>
        <w:t>Chart</w:t>
      </w:r>
      <w:r w:rsidR="002819B4" w:rsidRPr="00EA08F0">
        <w:t xml:space="preserve"> 3</w:t>
      </w:r>
      <w:r w:rsidR="003053FF" w:rsidRPr="00EA08F0">
        <w:t xml:space="preserve"> – Share of Total Notifications Submitted by Developing </w:t>
      </w:r>
      <w:r w:rsidR="00787F7D">
        <w:t xml:space="preserve">Countries </w:t>
      </w:r>
      <w:r w:rsidR="001F1BA1">
        <w:t>&amp; L</w:t>
      </w:r>
      <w:r w:rsidR="00787F7D">
        <w:t>DCs</w:t>
      </w:r>
    </w:p>
    <w:p w14:paraId="46A3892C" w14:textId="0669CCE7" w:rsidR="0062351E" w:rsidRDefault="0062351E" w:rsidP="0062351E">
      <w:r w:rsidRPr="0062351E">
        <w:rPr>
          <w:noProof/>
        </w:rPr>
        <w:drawing>
          <wp:inline distT="0" distB="0" distL="0" distR="0" wp14:anchorId="5850E63B" wp14:editId="4441DB91">
            <wp:extent cx="5676900" cy="32873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097" cy="3289783"/>
                    </a:xfrm>
                    <a:prstGeom prst="rect">
                      <a:avLst/>
                    </a:prstGeom>
                    <a:noFill/>
                    <a:ln>
                      <a:noFill/>
                    </a:ln>
                  </pic:spPr>
                </pic:pic>
              </a:graphicData>
            </a:graphic>
          </wp:inline>
        </w:drawing>
      </w:r>
    </w:p>
    <w:p w14:paraId="57182EF7" w14:textId="77777777" w:rsidR="0062351E" w:rsidRDefault="0062351E" w:rsidP="000D7A28">
      <w:pPr>
        <w:pStyle w:val="BodyText"/>
        <w:numPr>
          <w:ilvl w:val="0"/>
          <w:numId w:val="0"/>
        </w:numPr>
      </w:pPr>
    </w:p>
    <w:p w14:paraId="6E88AC55" w14:textId="5F26EA47" w:rsidR="002819B4" w:rsidRDefault="002819B4" w:rsidP="00296792">
      <w:pPr>
        <w:pStyle w:val="BodyText"/>
      </w:pPr>
      <w:r>
        <w:t>Looking at the geographic regions from which the notifications</w:t>
      </w:r>
      <w:r w:rsidR="00FD3F59">
        <w:t xml:space="preserve"> submitted since the year 2000</w:t>
      </w:r>
      <w:r>
        <w:t xml:space="preserve"> originate, </w:t>
      </w:r>
      <w:r w:rsidR="0078202C">
        <w:t>Chart</w:t>
      </w:r>
      <w:r>
        <w:t xml:space="preserve"> 4 shows that </w:t>
      </w:r>
      <w:proofErr w:type="gramStart"/>
      <w:r>
        <w:t>the majority of</w:t>
      </w:r>
      <w:proofErr w:type="gramEnd"/>
      <w:r>
        <w:t xml:space="preserve"> notifications come from the </w:t>
      </w:r>
      <w:r w:rsidRPr="009E5DED">
        <w:t>North America region, followed by Asia, and then South and Central America and the Caribbean.</w:t>
      </w:r>
      <w:r w:rsidR="006477FA" w:rsidRPr="009E5DED">
        <w:rPr>
          <w:rStyle w:val="FootnoteReference"/>
        </w:rPr>
        <w:footnoteReference w:id="13"/>
      </w:r>
    </w:p>
    <w:p w14:paraId="2705C3F3" w14:textId="77544728" w:rsidR="00787F7D" w:rsidRDefault="0078202C" w:rsidP="00F1379D">
      <w:pPr>
        <w:pStyle w:val="Caption"/>
      </w:pPr>
      <w:r w:rsidRPr="00673F64">
        <w:t>Chart</w:t>
      </w:r>
      <w:r w:rsidR="002819B4" w:rsidRPr="00673F64">
        <w:t xml:space="preserve"> 4</w:t>
      </w:r>
      <w:r w:rsidR="003053FF" w:rsidRPr="00673F64">
        <w:t xml:space="preserve"> – Notifications by Geographical Region</w:t>
      </w:r>
      <w:r w:rsidR="00D73D58" w:rsidRPr="00673F64">
        <w:t xml:space="preserve"> from </w:t>
      </w:r>
      <w:r w:rsidR="00673F64" w:rsidRPr="00673F64">
        <w:t>2000</w:t>
      </w:r>
      <w:r w:rsidR="00D73D58" w:rsidRPr="00673F64">
        <w:t xml:space="preserve"> to </w:t>
      </w:r>
      <w:r w:rsidR="00F470C3">
        <w:t xml:space="preserve">15 </w:t>
      </w:r>
      <w:r w:rsidR="00D73D58" w:rsidRPr="00673F64">
        <w:t xml:space="preserve">September </w:t>
      </w:r>
      <w:r w:rsidR="000D6CD6">
        <w:t>2018</w:t>
      </w:r>
    </w:p>
    <w:p w14:paraId="2440778A" w14:textId="4AF81BF1" w:rsidR="00D45C32" w:rsidRDefault="00D45C32" w:rsidP="00D45C32">
      <w:r w:rsidRPr="00D45C32">
        <w:rPr>
          <w:noProof/>
        </w:rPr>
        <w:drawing>
          <wp:inline distT="0" distB="0" distL="0" distR="0" wp14:anchorId="4878A631" wp14:editId="674486E6">
            <wp:extent cx="5648325" cy="3552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3552825"/>
                    </a:xfrm>
                    <a:prstGeom prst="rect">
                      <a:avLst/>
                    </a:prstGeom>
                    <a:noFill/>
                    <a:ln>
                      <a:noFill/>
                    </a:ln>
                  </pic:spPr>
                </pic:pic>
              </a:graphicData>
            </a:graphic>
          </wp:inline>
        </w:drawing>
      </w:r>
    </w:p>
    <w:p w14:paraId="1BC205EA" w14:textId="77777777" w:rsidR="00D45C32" w:rsidRDefault="00D45C32" w:rsidP="00D45C32"/>
    <w:p w14:paraId="226FAE1C" w14:textId="6D1DB06A" w:rsidR="002819B4" w:rsidRDefault="002819B4" w:rsidP="002819B4">
      <w:pPr>
        <w:pStyle w:val="BodyText"/>
      </w:pPr>
      <w:r>
        <w:t>The Members which have submitted the greatest number of notifications (regular and em</w:t>
      </w:r>
      <w:r w:rsidR="002A6370">
        <w:t xml:space="preserve">ergency) as of 15 September </w:t>
      </w:r>
      <w:r w:rsidR="001C7417">
        <w:t xml:space="preserve">2018 </w:t>
      </w:r>
      <w:r>
        <w:t xml:space="preserve">are listed in Table 1, while the Members that have submitted the greatest number of notifications in the </w:t>
      </w:r>
      <w:r w:rsidR="00175DC0">
        <w:t>current reporting period</w:t>
      </w:r>
      <w:r>
        <w:t xml:space="preserve"> </w:t>
      </w:r>
      <w:r w:rsidRPr="006961B4">
        <w:t>(</w:t>
      </w:r>
      <w:r w:rsidR="00175DC0">
        <w:t>16</w:t>
      </w:r>
      <w:r w:rsidR="00175DC0" w:rsidRPr="006961B4">
        <w:t xml:space="preserve"> </w:t>
      </w:r>
      <w:r w:rsidRPr="006961B4">
        <w:t xml:space="preserve">September </w:t>
      </w:r>
      <w:r w:rsidR="001C7417">
        <w:t>2017</w:t>
      </w:r>
      <w:r w:rsidR="00175DC0" w:rsidRPr="006961B4">
        <w:t xml:space="preserve"> </w:t>
      </w:r>
      <w:r w:rsidR="002A6370" w:rsidRPr="006961B4">
        <w:t>to 15 </w:t>
      </w:r>
      <w:r w:rsidR="001C7417" w:rsidRPr="006961B4">
        <w:t>September</w:t>
      </w:r>
      <w:r w:rsidR="001C7417">
        <w:t xml:space="preserve"> 2018</w:t>
      </w:r>
      <w:r w:rsidRPr="006961B4">
        <w:t>)</w:t>
      </w:r>
      <w:r>
        <w:t xml:space="preserve"> are listed in Table 2.</w:t>
      </w:r>
    </w:p>
    <w:p w14:paraId="317735A6" w14:textId="77777777" w:rsidR="002819B4" w:rsidRDefault="002819B4" w:rsidP="008E31CB">
      <w:pPr>
        <w:pStyle w:val="Caption"/>
      </w:pPr>
      <w:r>
        <w:t xml:space="preserve">Table 1. Members which have submitted the most notifications since </w:t>
      </w:r>
      <w:r w:rsidRPr="00060A36">
        <w:t>1995</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28"/>
        <w:gridCol w:w="1484"/>
        <w:gridCol w:w="1036"/>
        <w:gridCol w:w="238"/>
        <w:gridCol w:w="2155"/>
        <w:gridCol w:w="1484"/>
        <w:gridCol w:w="997"/>
      </w:tblGrid>
      <w:tr w:rsidR="00BD1F56" w:rsidRPr="004065F7" w14:paraId="42759856" w14:textId="77777777" w:rsidTr="007C59F8">
        <w:trPr>
          <w:trHeight w:val="113"/>
        </w:trPr>
        <w:tc>
          <w:tcPr>
            <w:tcW w:w="4448" w:type="dxa"/>
            <w:gridSpan w:val="3"/>
            <w:tcBorders>
              <w:bottom w:val="single" w:sz="4" w:space="0" w:color="auto"/>
            </w:tcBorders>
            <w:shd w:val="clear" w:color="auto" w:fill="006283"/>
          </w:tcPr>
          <w:p w14:paraId="4551F41A" w14:textId="493B2A52" w:rsidR="007C59F8" w:rsidRPr="004065F7" w:rsidRDefault="00BD1F56" w:rsidP="00A04AC7">
            <w:pPr>
              <w:jc w:val="center"/>
              <w:rPr>
                <w:b/>
                <w:color w:val="FFFFFF"/>
                <w:szCs w:val="18"/>
              </w:rPr>
            </w:pPr>
            <w:r w:rsidRPr="004065F7">
              <w:rPr>
                <w:b/>
                <w:color w:val="FFFFFF"/>
                <w:szCs w:val="18"/>
              </w:rPr>
              <w:t xml:space="preserve">Regular </w:t>
            </w:r>
            <w:r w:rsidR="001508F7" w:rsidRPr="004065F7">
              <w:rPr>
                <w:b/>
                <w:color w:val="FFFFFF"/>
                <w:szCs w:val="18"/>
              </w:rPr>
              <w:t>notifications</w:t>
            </w:r>
          </w:p>
        </w:tc>
        <w:tc>
          <w:tcPr>
            <w:tcW w:w="238" w:type="dxa"/>
            <w:vMerge w:val="restart"/>
            <w:tcBorders>
              <w:bottom w:val="single" w:sz="4" w:space="0" w:color="auto"/>
            </w:tcBorders>
            <w:shd w:val="clear" w:color="auto" w:fill="006283"/>
          </w:tcPr>
          <w:p w14:paraId="740E5844" w14:textId="77777777" w:rsidR="00BD1F56" w:rsidRPr="004065F7" w:rsidRDefault="00BD1F56" w:rsidP="00A04AC7">
            <w:pPr>
              <w:jc w:val="center"/>
              <w:rPr>
                <w:b/>
                <w:color w:val="FFFFFF"/>
                <w:szCs w:val="18"/>
              </w:rPr>
            </w:pPr>
          </w:p>
        </w:tc>
        <w:tc>
          <w:tcPr>
            <w:tcW w:w="4636" w:type="dxa"/>
            <w:gridSpan w:val="3"/>
            <w:tcBorders>
              <w:bottom w:val="single" w:sz="4" w:space="0" w:color="auto"/>
            </w:tcBorders>
            <w:shd w:val="clear" w:color="auto" w:fill="006283"/>
          </w:tcPr>
          <w:p w14:paraId="655D2C33" w14:textId="2A5CFB2C" w:rsidR="00BD1F56" w:rsidRPr="004065F7" w:rsidRDefault="00BD1F56" w:rsidP="00A04AC7">
            <w:pPr>
              <w:jc w:val="center"/>
              <w:rPr>
                <w:b/>
                <w:color w:val="FFFFFF"/>
                <w:szCs w:val="18"/>
              </w:rPr>
            </w:pPr>
            <w:r w:rsidRPr="004065F7">
              <w:rPr>
                <w:b/>
                <w:color w:val="FFFFFF"/>
                <w:szCs w:val="18"/>
              </w:rPr>
              <w:t xml:space="preserve">Emergency </w:t>
            </w:r>
            <w:r w:rsidR="001508F7" w:rsidRPr="004065F7">
              <w:rPr>
                <w:b/>
                <w:color w:val="FFFFFF"/>
                <w:szCs w:val="18"/>
              </w:rPr>
              <w:t>notifications</w:t>
            </w:r>
          </w:p>
        </w:tc>
      </w:tr>
      <w:tr w:rsidR="008C55CD" w:rsidRPr="004065F7" w14:paraId="570118AC" w14:textId="77777777" w:rsidTr="007C59F8">
        <w:trPr>
          <w:trHeight w:val="112"/>
        </w:trPr>
        <w:tc>
          <w:tcPr>
            <w:tcW w:w="1928" w:type="dxa"/>
            <w:tcBorders>
              <w:top w:val="single" w:sz="4" w:space="0" w:color="auto"/>
              <w:bottom w:val="nil"/>
            </w:tcBorders>
            <w:shd w:val="clear" w:color="auto" w:fill="006283"/>
          </w:tcPr>
          <w:p w14:paraId="34620617" w14:textId="77777777" w:rsidR="00BD1F56" w:rsidRPr="004065F7" w:rsidRDefault="00BD1F56" w:rsidP="00F65A7A">
            <w:pPr>
              <w:jc w:val="center"/>
              <w:rPr>
                <w:b/>
                <w:color w:val="FFFFFF"/>
                <w:szCs w:val="18"/>
              </w:rPr>
            </w:pPr>
            <w:r w:rsidRPr="004065F7">
              <w:rPr>
                <w:b/>
                <w:color w:val="FFFFFF"/>
                <w:szCs w:val="18"/>
              </w:rPr>
              <w:t>Member</w:t>
            </w:r>
          </w:p>
        </w:tc>
        <w:tc>
          <w:tcPr>
            <w:tcW w:w="1484" w:type="dxa"/>
            <w:tcBorders>
              <w:top w:val="single" w:sz="4" w:space="0" w:color="auto"/>
              <w:bottom w:val="nil"/>
            </w:tcBorders>
            <w:shd w:val="clear" w:color="auto" w:fill="006283"/>
          </w:tcPr>
          <w:p w14:paraId="2F907AF2" w14:textId="77777777" w:rsidR="00BD1F56" w:rsidRPr="004065F7" w:rsidRDefault="00BD1F56" w:rsidP="00F65A7A">
            <w:pPr>
              <w:jc w:val="center"/>
              <w:rPr>
                <w:b/>
                <w:color w:val="FFFFFF"/>
                <w:szCs w:val="18"/>
              </w:rPr>
            </w:pPr>
            <w:r w:rsidRPr="004065F7">
              <w:rPr>
                <w:b/>
                <w:color w:val="FFFFFF"/>
                <w:szCs w:val="18"/>
              </w:rPr>
              <w:t>Number of notifications</w:t>
            </w:r>
          </w:p>
        </w:tc>
        <w:tc>
          <w:tcPr>
            <w:tcW w:w="1036" w:type="dxa"/>
            <w:tcBorders>
              <w:top w:val="single" w:sz="4" w:space="0" w:color="auto"/>
              <w:bottom w:val="nil"/>
            </w:tcBorders>
            <w:shd w:val="clear" w:color="auto" w:fill="006283"/>
          </w:tcPr>
          <w:p w14:paraId="54C9608B" w14:textId="77777777" w:rsidR="00BD1F56" w:rsidRPr="004065F7" w:rsidRDefault="00BD1F56" w:rsidP="00F65A7A">
            <w:pPr>
              <w:jc w:val="center"/>
              <w:rPr>
                <w:b/>
                <w:color w:val="FFFFFF"/>
                <w:szCs w:val="18"/>
              </w:rPr>
            </w:pPr>
            <w:r w:rsidRPr="004065F7">
              <w:rPr>
                <w:b/>
                <w:color w:val="FFFFFF"/>
                <w:szCs w:val="18"/>
              </w:rPr>
              <w:t>Share of Total</w:t>
            </w:r>
          </w:p>
        </w:tc>
        <w:tc>
          <w:tcPr>
            <w:tcW w:w="238" w:type="dxa"/>
            <w:vMerge/>
            <w:tcBorders>
              <w:top w:val="single" w:sz="4" w:space="0" w:color="auto"/>
              <w:bottom w:val="nil"/>
            </w:tcBorders>
            <w:shd w:val="clear" w:color="auto" w:fill="006283"/>
          </w:tcPr>
          <w:p w14:paraId="4C898B0A" w14:textId="77777777" w:rsidR="00BD1F56" w:rsidRPr="004065F7" w:rsidRDefault="00BD1F56" w:rsidP="00F65A7A">
            <w:pPr>
              <w:jc w:val="center"/>
              <w:rPr>
                <w:szCs w:val="18"/>
              </w:rPr>
            </w:pPr>
          </w:p>
        </w:tc>
        <w:tc>
          <w:tcPr>
            <w:tcW w:w="2155" w:type="dxa"/>
            <w:tcBorders>
              <w:top w:val="single" w:sz="4" w:space="0" w:color="auto"/>
              <w:bottom w:val="nil"/>
            </w:tcBorders>
            <w:shd w:val="clear" w:color="auto" w:fill="006283"/>
          </w:tcPr>
          <w:p w14:paraId="53A7D09A" w14:textId="77777777" w:rsidR="00BD1F56" w:rsidRPr="004065F7" w:rsidRDefault="00BD1F56" w:rsidP="00F65A7A">
            <w:pPr>
              <w:jc w:val="center"/>
              <w:rPr>
                <w:b/>
                <w:color w:val="FFFFFF"/>
                <w:szCs w:val="18"/>
              </w:rPr>
            </w:pPr>
            <w:r w:rsidRPr="004065F7">
              <w:rPr>
                <w:b/>
                <w:color w:val="FFFFFF"/>
                <w:szCs w:val="18"/>
              </w:rPr>
              <w:t>Member</w:t>
            </w:r>
          </w:p>
        </w:tc>
        <w:tc>
          <w:tcPr>
            <w:tcW w:w="1484" w:type="dxa"/>
            <w:tcBorders>
              <w:top w:val="single" w:sz="4" w:space="0" w:color="auto"/>
              <w:bottom w:val="nil"/>
            </w:tcBorders>
            <w:shd w:val="clear" w:color="auto" w:fill="006283"/>
          </w:tcPr>
          <w:p w14:paraId="67FA9935" w14:textId="77777777" w:rsidR="00BD1F56" w:rsidRPr="004065F7" w:rsidRDefault="00BD1F56" w:rsidP="00F65A7A">
            <w:pPr>
              <w:jc w:val="center"/>
              <w:rPr>
                <w:b/>
                <w:color w:val="FFFFFF"/>
                <w:szCs w:val="18"/>
              </w:rPr>
            </w:pPr>
            <w:r w:rsidRPr="004065F7">
              <w:rPr>
                <w:b/>
                <w:color w:val="FFFFFF"/>
                <w:szCs w:val="18"/>
              </w:rPr>
              <w:t>Number of notifications</w:t>
            </w:r>
          </w:p>
        </w:tc>
        <w:tc>
          <w:tcPr>
            <w:tcW w:w="997" w:type="dxa"/>
            <w:tcBorders>
              <w:top w:val="single" w:sz="4" w:space="0" w:color="auto"/>
              <w:bottom w:val="nil"/>
            </w:tcBorders>
            <w:shd w:val="clear" w:color="auto" w:fill="006283"/>
          </w:tcPr>
          <w:p w14:paraId="13D46A5C" w14:textId="77777777" w:rsidR="00BD1F56" w:rsidRPr="004065F7" w:rsidRDefault="00BD1F56" w:rsidP="00F65A7A">
            <w:pPr>
              <w:jc w:val="center"/>
              <w:rPr>
                <w:b/>
                <w:color w:val="FFFFFF"/>
                <w:szCs w:val="18"/>
              </w:rPr>
            </w:pPr>
            <w:r w:rsidRPr="004065F7">
              <w:rPr>
                <w:b/>
                <w:color w:val="FFFFFF"/>
                <w:szCs w:val="18"/>
              </w:rPr>
              <w:t>Share of Total</w:t>
            </w:r>
          </w:p>
        </w:tc>
      </w:tr>
      <w:tr w:rsidR="00175DC0" w:rsidRPr="00576C92" w14:paraId="3187ED87" w14:textId="77777777" w:rsidTr="000B32FA">
        <w:tc>
          <w:tcPr>
            <w:tcW w:w="1928" w:type="dxa"/>
            <w:tcBorders>
              <w:top w:val="nil"/>
              <w:bottom w:val="nil"/>
            </w:tcBorders>
            <w:shd w:val="clear" w:color="auto" w:fill="FFFFFF"/>
          </w:tcPr>
          <w:p w14:paraId="601C62BD" w14:textId="77777777" w:rsidR="00175DC0" w:rsidRDefault="00175DC0" w:rsidP="000B32FA">
            <w:pPr>
              <w:jc w:val="left"/>
              <w:rPr>
                <w:color w:val="000000"/>
                <w:szCs w:val="18"/>
              </w:rPr>
            </w:pPr>
            <w:r w:rsidRPr="00866F20">
              <w:t>United States of America</w:t>
            </w:r>
          </w:p>
        </w:tc>
        <w:tc>
          <w:tcPr>
            <w:tcW w:w="1484" w:type="dxa"/>
            <w:tcBorders>
              <w:top w:val="nil"/>
              <w:bottom w:val="nil"/>
            </w:tcBorders>
            <w:shd w:val="clear" w:color="auto" w:fill="FFFFFF"/>
          </w:tcPr>
          <w:p w14:paraId="3C04C7D9" w14:textId="77AF013C" w:rsidR="00175DC0" w:rsidRPr="002B4037" w:rsidRDefault="001C7417" w:rsidP="007E792B">
            <w:pPr>
              <w:ind w:right="361"/>
              <w:jc w:val="right"/>
              <w:rPr>
                <w:color w:val="000000"/>
                <w:szCs w:val="18"/>
              </w:rPr>
            </w:pPr>
            <w:r>
              <w:t>2</w:t>
            </w:r>
            <w:r w:rsidR="007A580E">
              <w:t>,</w:t>
            </w:r>
            <w:r>
              <w:t>942</w:t>
            </w:r>
          </w:p>
        </w:tc>
        <w:tc>
          <w:tcPr>
            <w:tcW w:w="1036" w:type="dxa"/>
            <w:tcBorders>
              <w:top w:val="nil"/>
              <w:bottom w:val="nil"/>
            </w:tcBorders>
            <w:shd w:val="clear" w:color="auto" w:fill="FFFFFF"/>
          </w:tcPr>
          <w:p w14:paraId="1E73ABD9" w14:textId="77777777" w:rsidR="00175DC0" w:rsidRDefault="001C7417" w:rsidP="000B32FA">
            <w:pPr>
              <w:jc w:val="center"/>
              <w:rPr>
                <w:color w:val="000000"/>
                <w:szCs w:val="18"/>
              </w:rPr>
            </w:pPr>
            <w:r>
              <w:t>19</w:t>
            </w:r>
            <w:r w:rsidR="00175DC0" w:rsidRPr="00866F20">
              <w:t>%</w:t>
            </w:r>
          </w:p>
        </w:tc>
        <w:tc>
          <w:tcPr>
            <w:tcW w:w="238" w:type="dxa"/>
            <w:tcBorders>
              <w:top w:val="nil"/>
              <w:bottom w:val="nil"/>
            </w:tcBorders>
            <w:shd w:val="clear" w:color="auto" w:fill="FFFFFF"/>
          </w:tcPr>
          <w:p w14:paraId="56945968"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1436BFC1" w14:textId="77777777" w:rsidR="00175DC0" w:rsidRDefault="00175DC0" w:rsidP="000B32FA">
            <w:pPr>
              <w:jc w:val="left"/>
              <w:rPr>
                <w:color w:val="000000"/>
                <w:szCs w:val="18"/>
              </w:rPr>
            </w:pPr>
            <w:r w:rsidRPr="00F9494B">
              <w:t>Philippines</w:t>
            </w:r>
          </w:p>
        </w:tc>
        <w:tc>
          <w:tcPr>
            <w:tcW w:w="1484" w:type="dxa"/>
            <w:tcBorders>
              <w:top w:val="nil"/>
              <w:bottom w:val="nil"/>
            </w:tcBorders>
            <w:shd w:val="clear" w:color="auto" w:fill="FFFFFF"/>
          </w:tcPr>
          <w:p w14:paraId="136701D8" w14:textId="77777777" w:rsidR="00175DC0" w:rsidRDefault="00112650" w:rsidP="007E792B">
            <w:pPr>
              <w:ind w:right="448"/>
              <w:jc w:val="right"/>
              <w:rPr>
                <w:color w:val="000000"/>
                <w:szCs w:val="18"/>
              </w:rPr>
            </w:pPr>
            <w:r>
              <w:t>225</w:t>
            </w:r>
          </w:p>
        </w:tc>
        <w:tc>
          <w:tcPr>
            <w:tcW w:w="997" w:type="dxa"/>
            <w:tcBorders>
              <w:top w:val="nil"/>
              <w:bottom w:val="nil"/>
            </w:tcBorders>
            <w:shd w:val="clear" w:color="auto" w:fill="FFFFFF"/>
          </w:tcPr>
          <w:p w14:paraId="71BE6DD1" w14:textId="77777777" w:rsidR="00175DC0" w:rsidRDefault="00175DC0" w:rsidP="000B32FA">
            <w:pPr>
              <w:jc w:val="center"/>
              <w:rPr>
                <w:color w:val="000000"/>
                <w:szCs w:val="18"/>
              </w:rPr>
            </w:pPr>
            <w:r w:rsidRPr="00F9494B">
              <w:t>11%</w:t>
            </w:r>
          </w:p>
        </w:tc>
      </w:tr>
      <w:tr w:rsidR="00175DC0" w:rsidRPr="00576C92" w14:paraId="5DAFBA26" w14:textId="77777777" w:rsidTr="000B32FA">
        <w:tc>
          <w:tcPr>
            <w:tcW w:w="1928" w:type="dxa"/>
            <w:tcBorders>
              <w:top w:val="nil"/>
              <w:bottom w:val="nil"/>
            </w:tcBorders>
            <w:shd w:val="clear" w:color="auto" w:fill="C9DED4"/>
          </w:tcPr>
          <w:p w14:paraId="46B01E99" w14:textId="77777777" w:rsidR="00175DC0" w:rsidRDefault="00175DC0" w:rsidP="000B32FA">
            <w:pPr>
              <w:jc w:val="left"/>
              <w:rPr>
                <w:color w:val="000000"/>
                <w:szCs w:val="18"/>
              </w:rPr>
            </w:pPr>
            <w:r w:rsidRPr="00866F20">
              <w:t>Brazil</w:t>
            </w:r>
          </w:p>
        </w:tc>
        <w:tc>
          <w:tcPr>
            <w:tcW w:w="1484" w:type="dxa"/>
            <w:tcBorders>
              <w:top w:val="nil"/>
              <w:bottom w:val="nil"/>
            </w:tcBorders>
            <w:shd w:val="clear" w:color="auto" w:fill="C9DED4"/>
          </w:tcPr>
          <w:p w14:paraId="6D92A327" w14:textId="13A161F1" w:rsidR="00175DC0" w:rsidRPr="002B4037" w:rsidRDefault="001C7417" w:rsidP="007E792B">
            <w:pPr>
              <w:ind w:right="361"/>
              <w:jc w:val="right"/>
              <w:rPr>
                <w:color w:val="000000"/>
                <w:szCs w:val="18"/>
              </w:rPr>
            </w:pPr>
            <w:r>
              <w:t>1</w:t>
            </w:r>
            <w:r w:rsidR="007A580E">
              <w:t>,</w:t>
            </w:r>
            <w:r>
              <w:t>457</w:t>
            </w:r>
          </w:p>
        </w:tc>
        <w:tc>
          <w:tcPr>
            <w:tcW w:w="1036" w:type="dxa"/>
            <w:tcBorders>
              <w:top w:val="nil"/>
              <w:bottom w:val="nil"/>
            </w:tcBorders>
            <w:shd w:val="clear" w:color="auto" w:fill="C9DED4"/>
          </w:tcPr>
          <w:p w14:paraId="2D8A0BA0" w14:textId="77777777" w:rsidR="00175DC0" w:rsidRDefault="00175DC0" w:rsidP="000B32FA">
            <w:pPr>
              <w:jc w:val="center"/>
              <w:rPr>
                <w:color w:val="000000"/>
                <w:szCs w:val="18"/>
              </w:rPr>
            </w:pPr>
            <w:r w:rsidRPr="00866F20">
              <w:t>9%</w:t>
            </w:r>
          </w:p>
        </w:tc>
        <w:tc>
          <w:tcPr>
            <w:tcW w:w="238" w:type="dxa"/>
            <w:tcBorders>
              <w:top w:val="nil"/>
              <w:bottom w:val="nil"/>
            </w:tcBorders>
            <w:shd w:val="clear" w:color="auto" w:fill="C9DED4"/>
          </w:tcPr>
          <w:p w14:paraId="23ECC7BA"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4DB6F2CD" w14:textId="77777777" w:rsidR="00175DC0" w:rsidRDefault="00175DC0" w:rsidP="000B32FA">
            <w:pPr>
              <w:jc w:val="left"/>
              <w:rPr>
                <w:color w:val="000000"/>
                <w:szCs w:val="18"/>
              </w:rPr>
            </w:pPr>
            <w:r w:rsidRPr="00F9494B">
              <w:t>Albania</w:t>
            </w:r>
          </w:p>
        </w:tc>
        <w:tc>
          <w:tcPr>
            <w:tcW w:w="1484" w:type="dxa"/>
            <w:tcBorders>
              <w:top w:val="nil"/>
              <w:bottom w:val="nil"/>
            </w:tcBorders>
            <w:shd w:val="clear" w:color="auto" w:fill="C9DED4"/>
          </w:tcPr>
          <w:p w14:paraId="7E8D8034" w14:textId="77777777" w:rsidR="00175DC0" w:rsidRDefault="00175DC0" w:rsidP="007E792B">
            <w:pPr>
              <w:ind w:right="448"/>
              <w:jc w:val="right"/>
              <w:rPr>
                <w:color w:val="000000"/>
                <w:szCs w:val="18"/>
              </w:rPr>
            </w:pPr>
            <w:r w:rsidRPr="00F9494B">
              <w:t>174</w:t>
            </w:r>
          </w:p>
        </w:tc>
        <w:tc>
          <w:tcPr>
            <w:tcW w:w="997" w:type="dxa"/>
            <w:tcBorders>
              <w:top w:val="nil"/>
              <w:bottom w:val="nil"/>
            </w:tcBorders>
            <w:shd w:val="clear" w:color="auto" w:fill="C9DED4"/>
          </w:tcPr>
          <w:p w14:paraId="157C5403" w14:textId="77777777" w:rsidR="00175DC0" w:rsidRDefault="00112650" w:rsidP="000B32FA">
            <w:pPr>
              <w:jc w:val="center"/>
              <w:rPr>
                <w:color w:val="000000"/>
                <w:szCs w:val="18"/>
              </w:rPr>
            </w:pPr>
            <w:r>
              <w:t>8</w:t>
            </w:r>
            <w:r w:rsidR="00175DC0" w:rsidRPr="00F9494B">
              <w:t>%</w:t>
            </w:r>
          </w:p>
        </w:tc>
      </w:tr>
      <w:tr w:rsidR="00175DC0" w:rsidRPr="00576C92" w14:paraId="3B9F67C4" w14:textId="77777777" w:rsidTr="000B32FA">
        <w:tc>
          <w:tcPr>
            <w:tcW w:w="1928" w:type="dxa"/>
            <w:tcBorders>
              <w:top w:val="nil"/>
              <w:bottom w:val="nil"/>
            </w:tcBorders>
            <w:shd w:val="clear" w:color="auto" w:fill="FFFFFF"/>
          </w:tcPr>
          <w:p w14:paraId="39853373" w14:textId="77777777" w:rsidR="00175DC0" w:rsidRDefault="001C7417" w:rsidP="000B32FA">
            <w:pPr>
              <w:jc w:val="left"/>
              <w:rPr>
                <w:color w:val="000000"/>
                <w:szCs w:val="18"/>
              </w:rPr>
            </w:pPr>
            <w:r>
              <w:t>Canada</w:t>
            </w:r>
          </w:p>
        </w:tc>
        <w:tc>
          <w:tcPr>
            <w:tcW w:w="1484" w:type="dxa"/>
            <w:tcBorders>
              <w:top w:val="nil"/>
              <w:bottom w:val="nil"/>
            </w:tcBorders>
            <w:shd w:val="clear" w:color="auto" w:fill="FFFFFF"/>
          </w:tcPr>
          <w:p w14:paraId="46138EFB" w14:textId="4990A7F9" w:rsidR="00175DC0" w:rsidRPr="002B4037" w:rsidRDefault="001C7417" w:rsidP="007E792B">
            <w:pPr>
              <w:ind w:right="361"/>
              <w:jc w:val="right"/>
              <w:rPr>
                <w:color w:val="000000"/>
                <w:szCs w:val="18"/>
              </w:rPr>
            </w:pPr>
            <w:r>
              <w:t>1</w:t>
            </w:r>
            <w:r w:rsidR="007A580E">
              <w:t>,</w:t>
            </w:r>
            <w:r>
              <w:t>223</w:t>
            </w:r>
          </w:p>
        </w:tc>
        <w:tc>
          <w:tcPr>
            <w:tcW w:w="1036" w:type="dxa"/>
            <w:tcBorders>
              <w:top w:val="nil"/>
              <w:bottom w:val="nil"/>
            </w:tcBorders>
            <w:shd w:val="clear" w:color="auto" w:fill="FFFFFF"/>
          </w:tcPr>
          <w:p w14:paraId="7761029B" w14:textId="77777777" w:rsidR="00175DC0" w:rsidRDefault="00175DC0" w:rsidP="000B32FA">
            <w:pPr>
              <w:jc w:val="center"/>
              <w:rPr>
                <w:color w:val="000000"/>
                <w:szCs w:val="18"/>
              </w:rPr>
            </w:pPr>
            <w:r w:rsidRPr="00866F20">
              <w:t>8%</w:t>
            </w:r>
          </w:p>
        </w:tc>
        <w:tc>
          <w:tcPr>
            <w:tcW w:w="238" w:type="dxa"/>
            <w:tcBorders>
              <w:top w:val="nil"/>
              <w:bottom w:val="nil"/>
            </w:tcBorders>
            <w:shd w:val="clear" w:color="auto" w:fill="FFFFFF"/>
          </w:tcPr>
          <w:p w14:paraId="5FADE2D4"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2CE3B5DC" w14:textId="77777777" w:rsidR="00175DC0" w:rsidRDefault="00175DC0" w:rsidP="000B32FA">
            <w:pPr>
              <w:jc w:val="left"/>
              <w:rPr>
                <w:color w:val="000000"/>
                <w:szCs w:val="18"/>
              </w:rPr>
            </w:pPr>
            <w:r w:rsidRPr="00F9494B">
              <w:t>Saudi Arabia, Kingdom of</w:t>
            </w:r>
          </w:p>
        </w:tc>
        <w:tc>
          <w:tcPr>
            <w:tcW w:w="1484" w:type="dxa"/>
            <w:tcBorders>
              <w:top w:val="nil"/>
              <w:bottom w:val="nil"/>
            </w:tcBorders>
            <w:shd w:val="clear" w:color="auto" w:fill="FFFFFF"/>
          </w:tcPr>
          <w:p w14:paraId="36C48068" w14:textId="77777777" w:rsidR="00175DC0" w:rsidRDefault="00112650" w:rsidP="007E792B">
            <w:pPr>
              <w:ind w:right="448"/>
              <w:jc w:val="right"/>
              <w:rPr>
                <w:color w:val="000000"/>
                <w:szCs w:val="18"/>
              </w:rPr>
            </w:pPr>
            <w:r>
              <w:t>172</w:t>
            </w:r>
          </w:p>
        </w:tc>
        <w:tc>
          <w:tcPr>
            <w:tcW w:w="997" w:type="dxa"/>
            <w:tcBorders>
              <w:top w:val="nil"/>
              <w:bottom w:val="nil"/>
            </w:tcBorders>
            <w:shd w:val="clear" w:color="auto" w:fill="FFFFFF"/>
          </w:tcPr>
          <w:p w14:paraId="2B7ED433" w14:textId="77777777" w:rsidR="00175DC0" w:rsidRDefault="00112650" w:rsidP="000B32FA">
            <w:pPr>
              <w:jc w:val="center"/>
              <w:rPr>
                <w:color w:val="000000"/>
                <w:szCs w:val="18"/>
              </w:rPr>
            </w:pPr>
            <w:r>
              <w:t>8</w:t>
            </w:r>
            <w:r w:rsidR="00175DC0" w:rsidRPr="00F9494B">
              <w:t>%</w:t>
            </w:r>
          </w:p>
        </w:tc>
      </w:tr>
      <w:tr w:rsidR="00175DC0" w:rsidRPr="00576C92" w14:paraId="0002ED21" w14:textId="77777777" w:rsidTr="000B32FA">
        <w:tc>
          <w:tcPr>
            <w:tcW w:w="1928" w:type="dxa"/>
            <w:tcBorders>
              <w:top w:val="nil"/>
              <w:bottom w:val="nil"/>
            </w:tcBorders>
            <w:shd w:val="clear" w:color="auto" w:fill="C9DED4"/>
          </w:tcPr>
          <w:p w14:paraId="6D5CAFBB" w14:textId="77777777" w:rsidR="00175DC0" w:rsidRDefault="001C7417" w:rsidP="000B32FA">
            <w:pPr>
              <w:jc w:val="left"/>
              <w:rPr>
                <w:color w:val="000000"/>
                <w:szCs w:val="18"/>
              </w:rPr>
            </w:pPr>
            <w:r>
              <w:t>China</w:t>
            </w:r>
          </w:p>
        </w:tc>
        <w:tc>
          <w:tcPr>
            <w:tcW w:w="1484" w:type="dxa"/>
            <w:tcBorders>
              <w:top w:val="nil"/>
              <w:bottom w:val="nil"/>
            </w:tcBorders>
            <w:shd w:val="clear" w:color="auto" w:fill="C9DED4"/>
          </w:tcPr>
          <w:p w14:paraId="17CE777F" w14:textId="666E9FB9" w:rsidR="00175DC0" w:rsidRPr="002B4037" w:rsidRDefault="001C7417" w:rsidP="007E792B">
            <w:pPr>
              <w:ind w:right="361"/>
              <w:jc w:val="right"/>
              <w:rPr>
                <w:color w:val="000000"/>
                <w:szCs w:val="18"/>
              </w:rPr>
            </w:pPr>
            <w:r>
              <w:t>1</w:t>
            </w:r>
            <w:r w:rsidR="007A580E">
              <w:t>,</w:t>
            </w:r>
            <w:r>
              <w:t>194</w:t>
            </w:r>
          </w:p>
        </w:tc>
        <w:tc>
          <w:tcPr>
            <w:tcW w:w="1036" w:type="dxa"/>
            <w:tcBorders>
              <w:top w:val="nil"/>
              <w:bottom w:val="nil"/>
            </w:tcBorders>
            <w:shd w:val="clear" w:color="auto" w:fill="C9DED4"/>
          </w:tcPr>
          <w:p w14:paraId="66CAFF9A" w14:textId="77777777" w:rsidR="00175DC0" w:rsidRDefault="00175DC0" w:rsidP="000B32FA">
            <w:pPr>
              <w:jc w:val="center"/>
              <w:rPr>
                <w:color w:val="000000"/>
                <w:szCs w:val="18"/>
              </w:rPr>
            </w:pPr>
            <w:r w:rsidRPr="00866F20">
              <w:t>8%</w:t>
            </w:r>
          </w:p>
        </w:tc>
        <w:tc>
          <w:tcPr>
            <w:tcW w:w="238" w:type="dxa"/>
            <w:tcBorders>
              <w:top w:val="nil"/>
              <w:bottom w:val="nil"/>
            </w:tcBorders>
            <w:shd w:val="clear" w:color="auto" w:fill="C9DED4"/>
          </w:tcPr>
          <w:p w14:paraId="14BCA731"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2466BA06" w14:textId="77777777" w:rsidR="00175DC0" w:rsidRDefault="00175DC0" w:rsidP="000B32FA">
            <w:pPr>
              <w:jc w:val="left"/>
              <w:rPr>
                <w:color w:val="000000"/>
                <w:szCs w:val="18"/>
              </w:rPr>
            </w:pPr>
            <w:r w:rsidRPr="00F9494B">
              <w:t>New Zealand</w:t>
            </w:r>
          </w:p>
        </w:tc>
        <w:tc>
          <w:tcPr>
            <w:tcW w:w="1484" w:type="dxa"/>
            <w:tcBorders>
              <w:top w:val="nil"/>
              <w:bottom w:val="nil"/>
            </w:tcBorders>
            <w:shd w:val="clear" w:color="auto" w:fill="C9DED4"/>
          </w:tcPr>
          <w:p w14:paraId="13FB4D00" w14:textId="77777777" w:rsidR="00175DC0" w:rsidRDefault="00112650" w:rsidP="007E792B">
            <w:pPr>
              <w:ind w:right="448"/>
              <w:jc w:val="right"/>
              <w:rPr>
                <w:color w:val="000000"/>
                <w:szCs w:val="18"/>
              </w:rPr>
            </w:pPr>
            <w:r>
              <w:t>129</w:t>
            </w:r>
          </w:p>
        </w:tc>
        <w:tc>
          <w:tcPr>
            <w:tcW w:w="997" w:type="dxa"/>
            <w:tcBorders>
              <w:top w:val="nil"/>
              <w:bottom w:val="nil"/>
            </w:tcBorders>
            <w:shd w:val="clear" w:color="auto" w:fill="C9DED4"/>
          </w:tcPr>
          <w:p w14:paraId="2AC5C428" w14:textId="77777777" w:rsidR="00175DC0" w:rsidRDefault="00175DC0" w:rsidP="000B32FA">
            <w:pPr>
              <w:jc w:val="center"/>
              <w:rPr>
                <w:color w:val="000000"/>
                <w:szCs w:val="18"/>
              </w:rPr>
            </w:pPr>
            <w:r w:rsidRPr="00F9494B">
              <w:t>6%</w:t>
            </w:r>
          </w:p>
        </w:tc>
      </w:tr>
      <w:tr w:rsidR="00175DC0" w:rsidRPr="00576C92" w14:paraId="17064829" w14:textId="77777777" w:rsidTr="000B32FA">
        <w:tc>
          <w:tcPr>
            <w:tcW w:w="1928" w:type="dxa"/>
            <w:tcBorders>
              <w:top w:val="nil"/>
              <w:bottom w:val="nil"/>
            </w:tcBorders>
            <w:shd w:val="clear" w:color="auto" w:fill="FFFFFF"/>
          </w:tcPr>
          <w:p w14:paraId="0B4FC01E" w14:textId="77777777" w:rsidR="00175DC0" w:rsidRDefault="00175DC0" w:rsidP="000B32FA">
            <w:pPr>
              <w:jc w:val="left"/>
              <w:rPr>
                <w:color w:val="000000"/>
                <w:szCs w:val="18"/>
              </w:rPr>
            </w:pPr>
            <w:r w:rsidRPr="00866F20">
              <w:t>Peru</w:t>
            </w:r>
          </w:p>
        </w:tc>
        <w:tc>
          <w:tcPr>
            <w:tcW w:w="1484" w:type="dxa"/>
            <w:tcBorders>
              <w:top w:val="nil"/>
              <w:bottom w:val="nil"/>
            </w:tcBorders>
            <w:shd w:val="clear" w:color="auto" w:fill="FFFFFF"/>
          </w:tcPr>
          <w:p w14:paraId="0D89EA10" w14:textId="77777777" w:rsidR="00175DC0" w:rsidRDefault="001C7417" w:rsidP="007E792B">
            <w:pPr>
              <w:ind w:right="361"/>
              <w:jc w:val="right"/>
              <w:rPr>
                <w:color w:val="000000"/>
                <w:szCs w:val="18"/>
              </w:rPr>
            </w:pPr>
            <w:r>
              <w:t>715</w:t>
            </w:r>
          </w:p>
        </w:tc>
        <w:tc>
          <w:tcPr>
            <w:tcW w:w="1036" w:type="dxa"/>
            <w:tcBorders>
              <w:top w:val="nil"/>
              <w:bottom w:val="nil"/>
            </w:tcBorders>
            <w:shd w:val="clear" w:color="auto" w:fill="FFFFFF"/>
          </w:tcPr>
          <w:p w14:paraId="7EE51ABB" w14:textId="77777777" w:rsidR="00175DC0" w:rsidRDefault="001C7417" w:rsidP="000B32FA">
            <w:pPr>
              <w:jc w:val="center"/>
              <w:rPr>
                <w:color w:val="000000"/>
                <w:szCs w:val="18"/>
              </w:rPr>
            </w:pPr>
            <w:r>
              <w:t>5</w:t>
            </w:r>
            <w:r w:rsidR="00175DC0" w:rsidRPr="00866F20">
              <w:t>%</w:t>
            </w:r>
          </w:p>
        </w:tc>
        <w:tc>
          <w:tcPr>
            <w:tcW w:w="238" w:type="dxa"/>
            <w:tcBorders>
              <w:top w:val="nil"/>
              <w:bottom w:val="nil"/>
            </w:tcBorders>
            <w:shd w:val="clear" w:color="auto" w:fill="FFFFFF"/>
          </w:tcPr>
          <w:p w14:paraId="363F8480"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3DCAF30C" w14:textId="77777777" w:rsidR="00175DC0" w:rsidRDefault="00175DC0" w:rsidP="000B32FA">
            <w:pPr>
              <w:jc w:val="left"/>
              <w:rPr>
                <w:color w:val="000000"/>
                <w:szCs w:val="18"/>
              </w:rPr>
            </w:pPr>
            <w:r w:rsidRPr="00F9494B">
              <w:t>United Arab Emirates</w:t>
            </w:r>
          </w:p>
        </w:tc>
        <w:tc>
          <w:tcPr>
            <w:tcW w:w="1484" w:type="dxa"/>
            <w:tcBorders>
              <w:top w:val="nil"/>
              <w:bottom w:val="nil"/>
            </w:tcBorders>
            <w:shd w:val="clear" w:color="auto" w:fill="FFFFFF"/>
          </w:tcPr>
          <w:p w14:paraId="2DDAF751" w14:textId="77777777" w:rsidR="00175DC0" w:rsidRDefault="00112650" w:rsidP="007E792B">
            <w:pPr>
              <w:ind w:right="448"/>
              <w:jc w:val="right"/>
              <w:rPr>
                <w:color w:val="000000"/>
                <w:szCs w:val="18"/>
              </w:rPr>
            </w:pPr>
            <w:r>
              <w:t>98</w:t>
            </w:r>
          </w:p>
        </w:tc>
        <w:tc>
          <w:tcPr>
            <w:tcW w:w="997" w:type="dxa"/>
            <w:tcBorders>
              <w:top w:val="nil"/>
              <w:bottom w:val="nil"/>
            </w:tcBorders>
            <w:shd w:val="clear" w:color="auto" w:fill="FFFFFF"/>
          </w:tcPr>
          <w:p w14:paraId="444E9DBE" w14:textId="77777777" w:rsidR="00175DC0" w:rsidRDefault="00112650" w:rsidP="000B32FA">
            <w:pPr>
              <w:jc w:val="center"/>
              <w:rPr>
                <w:color w:val="000000"/>
                <w:szCs w:val="18"/>
              </w:rPr>
            </w:pPr>
            <w:r>
              <w:t>5</w:t>
            </w:r>
            <w:r w:rsidR="00175DC0" w:rsidRPr="00F9494B">
              <w:t>%</w:t>
            </w:r>
          </w:p>
        </w:tc>
      </w:tr>
      <w:tr w:rsidR="00175DC0" w:rsidRPr="00576C92" w14:paraId="71F1EDA8" w14:textId="77777777" w:rsidTr="000B32FA">
        <w:tc>
          <w:tcPr>
            <w:tcW w:w="1928" w:type="dxa"/>
            <w:tcBorders>
              <w:top w:val="nil"/>
              <w:bottom w:val="nil"/>
            </w:tcBorders>
            <w:shd w:val="clear" w:color="auto" w:fill="C9DED4"/>
          </w:tcPr>
          <w:p w14:paraId="670B00F8" w14:textId="77777777" w:rsidR="00175DC0" w:rsidRDefault="00175DC0" w:rsidP="000B32FA">
            <w:pPr>
              <w:jc w:val="left"/>
              <w:rPr>
                <w:color w:val="000000"/>
                <w:szCs w:val="18"/>
              </w:rPr>
            </w:pPr>
            <w:r w:rsidRPr="00866F20">
              <w:t>European Union</w:t>
            </w:r>
          </w:p>
        </w:tc>
        <w:tc>
          <w:tcPr>
            <w:tcW w:w="1484" w:type="dxa"/>
            <w:tcBorders>
              <w:top w:val="nil"/>
              <w:bottom w:val="nil"/>
            </w:tcBorders>
            <w:shd w:val="clear" w:color="auto" w:fill="C9DED4"/>
          </w:tcPr>
          <w:p w14:paraId="2C310D27" w14:textId="77777777" w:rsidR="00175DC0" w:rsidRDefault="001C7417" w:rsidP="007E792B">
            <w:pPr>
              <w:ind w:right="361"/>
              <w:jc w:val="right"/>
              <w:rPr>
                <w:color w:val="000000"/>
                <w:szCs w:val="18"/>
              </w:rPr>
            </w:pPr>
            <w:r>
              <w:t>620</w:t>
            </w:r>
          </w:p>
        </w:tc>
        <w:tc>
          <w:tcPr>
            <w:tcW w:w="1036" w:type="dxa"/>
            <w:tcBorders>
              <w:top w:val="nil"/>
              <w:bottom w:val="nil"/>
            </w:tcBorders>
            <w:shd w:val="clear" w:color="auto" w:fill="C9DED4"/>
          </w:tcPr>
          <w:p w14:paraId="70D24996" w14:textId="77777777" w:rsidR="00175DC0" w:rsidRDefault="00175DC0" w:rsidP="000B32FA">
            <w:pPr>
              <w:jc w:val="center"/>
              <w:rPr>
                <w:color w:val="000000"/>
                <w:szCs w:val="18"/>
              </w:rPr>
            </w:pPr>
            <w:r w:rsidRPr="00866F20">
              <w:t>4%</w:t>
            </w:r>
          </w:p>
        </w:tc>
        <w:tc>
          <w:tcPr>
            <w:tcW w:w="238" w:type="dxa"/>
            <w:tcBorders>
              <w:top w:val="nil"/>
              <w:bottom w:val="nil"/>
            </w:tcBorders>
            <w:shd w:val="clear" w:color="auto" w:fill="C9DED4"/>
          </w:tcPr>
          <w:p w14:paraId="4E5DF714"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05DC9036" w14:textId="77777777" w:rsidR="00175DC0" w:rsidRDefault="00175DC0" w:rsidP="000B32FA">
            <w:pPr>
              <w:jc w:val="left"/>
              <w:rPr>
                <w:color w:val="000000"/>
                <w:szCs w:val="18"/>
              </w:rPr>
            </w:pPr>
            <w:r w:rsidRPr="00F9494B">
              <w:t>United States of America</w:t>
            </w:r>
          </w:p>
        </w:tc>
        <w:tc>
          <w:tcPr>
            <w:tcW w:w="1484" w:type="dxa"/>
            <w:tcBorders>
              <w:top w:val="nil"/>
              <w:bottom w:val="nil"/>
            </w:tcBorders>
            <w:shd w:val="clear" w:color="auto" w:fill="C9DED4"/>
          </w:tcPr>
          <w:p w14:paraId="79952834" w14:textId="77777777" w:rsidR="00175DC0" w:rsidRDefault="00175DC0" w:rsidP="007E792B">
            <w:pPr>
              <w:ind w:right="448"/>
              <w:jc w:val="right"/>
              <w:rPr>
                <w:color w:val="000000"/>
                <w:szCs w:val="18"/>
              </w:rPr>
            </w:pPr>
            <w:r w:rsidRPr="00F9494B">
              <w:t>82</w:t>
            </w:r>
          </w:p>
        </w:tc>
        <w:tc>
          <w:tcPr>
            <w:tcW w:w="997" w:type="dxa"/>
            <w:tcBorders>
              <w:top w:val="nil"/>
              <w:bottom w:val="nil"/>
            </w:tcBorders>
            <w:shd w:val="clear" w:color="auto" w:fill="C9DED4"/>
          </w:tcPr>
          <w:p w14:paraId="6A3442C2" w14:textId="77777777" w:rsidR="00175DC0" w:rsidRDefault="00175DC0" w:rsidP="000B32FA">
            <w:pPr>
              <w:jc w:val="center"/>
              <w:rPr>
                <w:color w:val="000000"/>
                <w:szCs w:val="18"/>
              </w:rPr>
            </w:pPr>
            <w:r w:rsidRPr="00F9494B">
              <w:t>4%</w:t>
            </w:r>
          </w:p>
        </w:tc>
      </w:tr>
      <w:tr w:rsidR="00175DC0" w:rsidRPr="00576C92" w14:paraId="69863DC1" w14:textId="77777777" w:rsidTr="000B32FA">
        <w:tc>
          <w:tcPr>
            <w:tcW w:w="1928" w:type="dxa"/>
            <w:tcBorders>
              <w:top w:val="nil"/>
              <w:bottom w:val="nil"/>
            </w:tcBorders>
            <w:shd w:val="clear" w:color="auto" w:fill="FFFFFF"/>
          </w:tcPr>
          <w:p w14:paraId="6937366C" w14:textId="77777777" w:rsidR="00175DC0" w:rsidRDefault="00175DC0" w:rsidP="000B32FA">
            <w:pPr>
              <w:jc w:val="left"/>
              <w:rPr>
                <w:color w:val="000000"/>
                <w:szCs w:val="18"/>
              </w:rPr>
            </w:pPr>
            <w:r w:rsidRPr="00866F20">
              <w:t>Korea, Republic of</w:t>
            </w:r>
          </w:p>
        </w:tc>
        <w:tc>
          <w:tcPr>
            <w:tcW w:w="1484" w:type="dxa"/>
            <w:tcBorders>
              <w:top w:val="nil"/>
              <w:bottom w:val="nil"/>
            </w:tcBorders>
            <w:shd w:val="clear" w:color="auto" w:fill="FFFFFF"/>
          </w:tcPr>
          <w:p w14:paraId="062FB8C3" w14:textId="77777777" w:rsidR="00175DC0" w:rsidRDefault="001C7417" w:rsidP="007E792B">
            <w:pPr>
              <w:ind w:right="361"/>
              <w:jc w:val="right"/>
              <w:rPr>
                <w:color w:val="000000"/>
                <w:szCs w:val="18"/>
              </w:rPr>
            </w:pPr>
            <w:r>
              <w:t>595</w:t>
            </w:r>
          </w:p>
        </w:tc>
        <w:tc>
          <w:tcPr>
            <w:tcW w:w="1036" w:type="dxa"/>
            <w:tcBorders>
              <w:top w:val="nil"/>
              <w:bottom w:val="nil"/>
            </w:tcBorders>
            <w:shd w:val="clear" w:color="auto" w:fill="FFFFFF"/>
          </w:tcPr>
          <w:p w14:paraId="6FCFB70D" w14:textId="77777777" w:rsidR="00175DC0" w:rsidRDefault="00175DC0" w:rsidP="000B32FA">
            <w:pPr>
              <w:jc w:val="center"/>
              <w:rPr>
                <w:color w:val="000000"/>
                <w:szCs w:val="18"/>
              </w:rPr>
            </w:pPr>
            <w:r w:rsidRPr="00866F20">
              <w:t>4%</w:t>
            </w:r>
          </w:p>
        </w:tc>
        <w:tc>
          <w:tcPr>
            <w:tcW w:w="238" w:type="dxa"/>
            <w:tcBorders>
              <w:top w:val="nil"/>
              <w:bottom w:val="nil"/>
            </w:tcBorders>
            <w:shd w:val="clear" w:color="auto" w:fill="FFFFFF"/>
          </w:tcPr>
          <w:p w14:paraId="0EAE5FFE"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52A546E6" w14:textId="77777777" w:rsidR="00175DC0" w:rsidRDefault="00175DC0" w:rsidP="000B32FA">
            <w:pPr>
              <w:jc w:val="left"/>
              <w:rPr>
                <w:color w:val="000000"/>
                <w:szCs w:val="18"/>
              </w:rPr>
            </w:pPr>
            <w:r w:rsidRPr="00F9494B">
              <w:t>Ukraine</w:t>
            </w:r>
          </w:p>
        </w:tc>
        <w:tc>
          <w:tcPr>
            <w:tcW w:w="1484" w:type="dxa"/>
            <w:tcBorders>
              <w:top w:val="nil"/>
              <w:bottom w:val="nil"/>
            </w:tcBorders>
            <w:shd w:val="clear" w:color="auto" w:fill="FFFFFF"/>
          </w:tcPr>
          <w:p w14:paraId="299DC52A" w14:textId="77777777" w:rsidR="00175DC0" w:rsidRDefault="00112650" w:rsidP="007E792B">
            <w:pPr>
              <w:ind w:right="448"/>
              <w:jc w:val="right"/>
              <w:rPr>
                <w:color w:val="000000"/>
                <w:szCs w:val="18"/>
              </w:rPr>
            </w:pPr>
            <w:r>
              <w:t>81</w:t>
            </w:r>
          </w:p>
        </w:tc>
        <w:tc>
          <w:tcPr>
            <w:tcW w:w="997" w:type="dxa"/>
            <w:tcBorders>
              <w:top w:val="nil"/>
              <w:bottom w:val="nil"/>
            </w:tcBorders>
            <w:shd w:val="clear" w:color="auto" w:fill="FFFFFF"/>
          </w:tcPr>
          <w:p w14:paraId="24A1AD68" w14:textId="77777777" w:rsidR="00175DC0" w:rsidRDefault="00175DC0" w:rsidP="000B32FA">
            <w:pPr>
              <w:jc w:val="center"/>
              <w:rPr>
                <w:color w:val="000000"/>
                <w:szCs w:val="18"/>
              </w:rPr>
            </w:pPr>
            <w:r w:rsidRPr="00F9494B">
              <w:t>4%</w:t>
            </w:r>
          </w:p>
        </w:tc>
      </w:tr>
      <w:tr w:rsidR="00175DC0" w:rsidRPr="00576C92" w14:paraId="4C6D6FBC" w14:textId="77777777" w:rsidTr="000B32FA">
        <w:tc>
          <w:tcPr>
            <w:tcW w:w="1928" w:type="dxa"/>
            <w:tcBorders>
              <w:top w:val="nil"/>
              <w:bottom w:val="nil"/>
            </w:tcBorders>
            <w:shd w:val="clear" w:color="auto" w:fill="C9DED4"/>
          </w:tcPr>
          <w:p w14:paraId="5DFC002F" w14:textId="77777777" w:rsidR="00175DC0" w:rsidRDefault="00175DC0" w:rsidP="000B32FA">
            <w:pPr>
              <w:jc w:val="left"/>
              <w:rPr>
                <w:color w:val="000000"/>
                <w:szCs w:val="18"/>
              </w:rPr>
            </w:pPr>
            <w:r w:rsidRPr="00866F20">
              <w:t>Japan</w:t>
            </w:r>
          </w:p>
        </w:tc>
        <w:tc>
          <w:tcPr>
            <w:tcW w:w="1484" w:type="dxa"/>
            <w:tcBorders>
              <w:top w:val="nil"/>
              <w:bottom w:val="nil"/>
            </w:tcBorders>
            <w:shd w:val="clear" w:color="auto" w:fill="C9DED4"/>
          </w:tcPr>
          <w:p w14:paraId="279FFA92" w14:textId="77777777" w:rsidR="00175DC0" w:rsidRDefault="001C7417" w:rsidP="007E792B">
            <w:pPr>
              <w:ind w:right="361"/>
              <w:jc w:val="right"/>
              <w:rPr>
                <w:color w:val="000000"/>
                <w:szCs w:val="18"/>
              </w:rPr>
            </w:pPr>
            <w:r>
              <w:t>589</w:t>
            </w:r>
          </w:p>
        </w:tc>
        <w:tc>
          <w:tcPr>
            <w:tcW w:w="1036" w:type="dxa"/>
            <w:tcBorders>
              <w:top w:val="nil"/>
              <w:bottom w:val="nil"/>
            </w:tcBorders>
            <w:shd w:val="clear" w:color="auto" w:fill="C9DED4"/>
          </w:tcPr>
          <w:p w14:paraId="3F5C714E" w14:textId="77777777" w:rsidR="00175DC0" w:rsidRDefault="00175DC0" w:rsidP="000B32FA">
            <w:pPr>
              <w:jc w:val="center"/>
              <w:rPr>
                <w:color w:val="000000"/>
                <w:szCs w:val="18"/>
              </w:rPr>
            </w:pPr>
            <w:r w:rsidRPr="00866F20">
              <w:t>4%</w:t>
            </w:r>
          </w:p>
        </w:tc>
        <w:tc>
          <w:tcPr>
            <w:tcW w:w="238" w:type="dxa"/>
            <w:tcBorders>
              <w:top w:val="nil"/>
              <w:bottom w:val="nil"/>
            </w:tcBorders>
            <w:shd w:val="clear" w:color="auto" w:fill="C9DED4"/>
          </w:tcPr>
          <w:p w14:paraId="58739500"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65280EC5" w14:textId="77777777" w:rsidR="00175DC0" w:rsidRDefault="00175DC0" w:rsidP="000B32FA">
            <w:pPr>
              <w:jc w:val="left"/>
              <w:rPr>
                <w:color w:val="000000"/>
                <w:szCs w:val="18"/>
              </w:rPr>
            </w:pPr>
            <w:r w:rsidRPr="00F9494B">
              <w:t>Colombia</w:t>
            </w:r>
          </w:p>
        </w:tc>
        <w:tc>
          <w:tcPr>
            <w:tcW w:w="1484" w:type="dxa"/>
            <w:tcBorders>
              <w:top w:val="nil"/>
              <w:bottom w:val="nil"/>
            </w:tcBorders>
            <w:shd w:val="clear" w:color="auto" w:fill="C9DED4"/>
          </w:tcPr>
          <w:p w14:paraId="4CCB7960" w14:textId="77777777" w:rsidR="00175DC0" w:rsidRDefault="00175DC0" w:rsidP="007E792B">
            <w:pPr>
              <w:ind w:right="448"/>
              <w:jc w:val="right"/>
              <w:rPr>
                <w:color w:val="000000"/>
                <w:szCs w:val="18"/>
              </w:rPr>
            </w:pPr>
            <w:r w:rsidRPr="00F9494B">
              <w:t>78</w:t>
            </w:r>
          </w:p>
        </w:tc>
        <w:tc>
          <w:tcPr>
            <w:tcW w:w="997" w:type="dxa"/>
            <w:tcBorders>
              <w:top w:val="nil"/>
              <w:bottom w:val="nil"/>
            </w:tcBorders>
            <w:shd w:val="clear" w:color="auto" w:fill="C9DED4"/>
          </w:tcPr>
          <w:p w14:paraId="34FC419A" w14:textId="77777777" w:rsidR="00175DC0" w:rsidRDefault="00175DC0" w:rsidP="000B32FA">
            <w:pPr>
              <w:jc w:val="center"/>
              <w:rPr>
                <w:color w:val="000000"/>
                <w:szCs w:val="18"/>
              </w:rPr>
            </w:pPr>
            <w:r w:rsidRPr="00F9494B">
              <w:t>4%</w:t>
            </w:r>
          </w:p>
        </w:tc>
      </w:tr>
      <w:tr w:rsidR="00175DC0" w:rsidRPr="00576C92" w14:paraId="27E997D2" w14:textId="77777777" w:rsidTr="000B32FA">
        <w:tc>
          <w:tcPr>
            <w:tcW w:w="1928" w:type="dxa"/>
            <w:tcBorders>
              <w:top w:val="nil"/>
              <w:bottom w:val="nil"/>
            </w:tcBorders>
            <w:shd w:val="clear" w:color="auto" w:fill="FFFFFF"/>
          </w:tcPr>
          <w:p w14:paraId="1D646161" w14:textId="77777777" w:rsidR="00175DC0" w:rsidRDefault="00175DC0" w:rsidP="000B32FA">
            <w:pPr>
              <w:jc w:val="left"/>
              <w:rPr>
                <w:color w:val="000000"/>
                <w:szCs w:val="18"/>
              </w:rPr>
            </w:pPr>
            <w:r w:rsidRPr="00866F20">
              <w:t>Chile</w:t>
            </w:r>
          </w:p>
        </w:tc>
        <w:tc>
          <w:tcPr>
            <w:tcW w:w="1484" w:type="dxa"/>
            <w:tcBorders>
              <w:top w:val="nil"/>
              <w:bottom w:val="nil"/>
            </w:tcBorders>
            <w:shd w:val="clear" w:color="auto" w:fill="FFFFFF"/>
          </w:tcPr>
          <w:p w14:paraId="2EF8972A" w14:textId="77777777" w:rsidR="00175DC0" w:rsidRDefault="001C7417" w:rsidP="007E792B">
            <w:pPr>
              <w:ind w:right="361"/>
              <w:jc w:val="right"/>
              <w:rPr>
                <w:color w:val="000000"/>
                <w:szCs w:val="18"/>
              </w:rPr>
            </w:pPr>
            <w:r>
              <w:t>533</w:t>
            </w:r>
          </w:p>
        </w:tc>
        <w:tc>
          <w:tcPr>
            <w:tcW w:w="1036" w:type="dxa"/>
            <w:tcBorders>
              <w:top w:val="nil"/>
              <w:bottom w:val="nil"/>
            </w:tcBorders>
            <w:shd w:val="clear" w:color="auto" w:fill="FFFFFF"/>
          </w:tcPr>
          <w:p w14:paraId="11CBE055" w14:textId="77777777" w:rsidR="00175DC0" w:rsidRDefault="001C7417" w:rsidP="000B32FA">
            <w:pPr>
              <w:jc w:val="center"/>
              <w:rPr>
                <w:color w:val="000000"/>
                <w:szCs w:val="18"/>
              </w:rPr>
            </w:pPr>
            <w:r>
              <w:t>3</w:t>
            </w:r>
            <w:r w:rsidR="00175DC0" w:rsidRPr="00866F20">
              <w:t>%</w:t>
            </w:r>
          </w:p>
        </w:tc>
        <w:tc>
          <w:tcPr>
            <w:tcW w:w="238" w:type="dxa"/>
            <w:tcBorders>
              <w:top w:val="nil"/>
              <w:bottom w:val="nil"/>
            </w:tcBorders>
            <w:shd w:val="clear" w:color="auto" w:fill="FFFFFF"/>
          </w:tcPr>
          <w:p w14:paraId="5569C796"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561AB3DC" w14:textId="77777777" w:rsidR="00175DC0" w:rsidRDefault="00175DC0" w:rsidP="000B32FA">
            <w:pPr>
              <w:jc w:val="left"/>
              <w:rPr>
                <w:color w:val="000000"/>
                <w:szCs w:val="18"/>
              </w:rPr>
            </w:pPr>
            <w:r w:rsidRPr="00F9494B">
              <w:t>Peru</w:t>
            </w:r>
          </w:p>
        </w:tc>
        <w:tc>
          <w:tcPr>
            <w:tcW w:w="1484" w:type="dxa"/>
            <w:tcBorders>
              <w:top w:val="nil"/>
              <w:bottom w:val="nil"/>
            </w:tcBorders>
            <w:shd w:val="clear" w:color="auto" w:fill="FFFFFF"/>
          </w:tcPr>
          <w:p w14:paraId="5972EE1D" w14:textId="77777777" w:rsidR="00175DC0" w:rsidRDefault="00112650" w:rsidP="007E792B">
            <w:pPr>
              <w:ind w:right="448"/>
              <w:jc w:val="right"/>
              <w:rPr>
                <w:color w:val="000000"/>
                <w:szCs w:val="18"/>
              </w:rPr>
            </w:pPr>
            <w:r>
              <w:t>72</w:t>
            </w:r>
          </w:p>
        </w:tc>
        <w:tc>
          <w:tcPr>
            <w:tcW w:w="997" w:type="dxa"/>
            <w:tcBorders>
              <w:top w:val="nil"/>
              <w:bottom w:val="nil"/>
            </w:tcBorders>
            <w:shd w:val="clear" w:color="auto" w:fill="FFFFFF"/>
          </w:tcPr>
          <w:p w14:paraId="2925BDA8" w14:textId="77777777" w:rsidR="00175DC0" w:rsidRDefault="00112650" w:rsidP="000B32FA">
            <w:pPr>
              <w:jc w:val="center"/>
              <w:rPr>
                <w:color w:val="000000"/>
                <w:szCs w:val="18"/>
              </w:rPr>
            </w:pPr>
            <w:r>
              <w:t>3</w:t>
            </w:r>
            <w:r w:rsidR="00175DC0" w:rsidRPr="00F9494B">
              <w:t>%</w:t>
            </w:r>
          </w:p>
        </w:tc>
      </w:tr>
      <w:tr w:rsidR="00175DC0" w:rsidRPr="00576C92" w14:paraId="575E8A23" w14:textId="77777777" w:rsidTr="000B32FA">
        <w:tc>
          <w:tcPr>
            <w:tcW w:w="1928" w:type="dxa"/>
            <w:tcBorders>
              <w:top w:val="nil"/>
              <w:bottom w:val="nil"/>
            </w:tcBorders>
            <w:shd w:val="clear" w:color="auto" w:fill="C9DED4"/>
          </w:tcPr>
          <w:p w14:paraId="47721932" w14:textId="77777777" w:rsidR="00175DC0" w:rsidRDefault="00175DC0" w:rsidP="000B32FA">
            <w:pPr>
              <w:jc w:val="left"/>
              <w:rPr>
                <w:color w:val="000000"/>
                <w:szCs w:val="18"/>
              </w:rPr>
            </w:pPr>
            <w:r w:rsidRPr="00866F20">
              <w:t>Chinese Taipei</w:t>
            </w:r>
          </w:p>
        </w:tc>
        <w:tc>
          <w:tcPr>
            <w:tcW w:w="1484" w:type="dxa"/>
            <w:tcBorders>
              <w:top w:val="nil"/>
              <w:bottom w:val="nil"/>
            </w:tcBorders>
            <w:shd w:val="clear" w:color="auto" w:fill="C9DED4"/>
          </w:tcPr>
          <w:p w14:paraId="7F3D7F0F" w14:textId="77777777" w:rsidR="00175DC0" w:rsidRDefault="001C7417" w:rsidP="007E792B">
            <w:pPr>
              <w:ind w:right="361"/>
              <w:jc w:val="right"/>
              <w:rPr>
                <w:color w:val="000000"/>
                <w:szCs w:val="18"/>
              </w:rPr>
            </w:pPr>
            <w:r>
              <w:t>472</w:t>
            </w:r>
          </w:p>
        </w:tc>
        <w:tc>
          <w:tcPr>
            <w:tcW w:w="1036" w:type="dxa"/>
            <w:tcBorders>
              <w:top w:val="nil"/>
              <w:bottom w:val="nil"/>
            </w:tcBorders>
            <w:shd w:val="clear" w:color="auto" w:fill="C9DED4"/>
          </w:tcPr>
          <w:p w14:paraId="754051DD" w14:textId="77777777" w:rsidR="00175DC0" w:rsidRDefault="00175DC0" w:rsidP="000B32FA">
            <w:pPr>
              <w:jc w:val="center"/>
              <w:rPr>
                <w:color w:val="000000"/>
                <w:szCs w:val="18"/>
              </w:rPr>
            </w:pPr>
            <w:r w:rsidRPr="00866F20">
              <w:t>3%</w:t>
            </w:r>
          </w:p>
        </w:tc>
        <w:tc>
          <w:tcPr>
            <w:tcW w:w="238" w:type="dxa"/>
            <w:tcBorders>
              <w:top w:val="nil"/>
              <w:bottom w:val="nil"/>
            </w:tcBorders>
            <w:shd w:val="clear" w:color="auto" w:fill="C9DED4"/>
          </w:tcPr>
          <w:p w14:paraId="3F918F62"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4E36856E" w14:textId="77777777" w:rsidR="00175DC0" w:rsidRDefault="00175DC0" w:rsidP="000B32FA">
            <w:pPr>
              <w:jc w:val="left"/>
              <w:rPr>
                <w:color w:val="000000"/>
                <w:szCs w:val="18"/>
              </w:rPr>
            </w:pPr>
            <w:r w:rsidRPr="00F9494B">
              <w:t>Russian Federation</w:t>
            </w:r>
          </w:p>
        </w:tc>
        <w:tc>
          <w:tcPr>
            <w:tcW w:w="1484" w:type="dxa"/>
            <w:tcBorders>
              <w:top w:val="nil"/>
              <w:bottom w:val="nil"/>
            </w:tcBorders>
            <w:shd w:val="clear" w:color="auto" w:fill="C9DED4"/>
          </w:tcPr>
          <w:p w14:paraId="1CA9BD35" w14:textId="77777777" w:rsidR="00175DC0" w:rsidRDefault="00112650" w:rsidP="007E792B">
            <w:pPr>
              <w:ind w:right="448"/>
              <w:jc w:val="right"/>
              <w:rPr>
                <w:color w:val="000000"/>
                <w:szCs w:val="18"/>
              </w:rPr>
            </w:pPr>
            <w:r>
              <w:t>72</w:t>
            </w:r>
          </w:p>
        </w:tc>
        <w:tc>
          <w:tcPr>
            <w:tcW w:w="997" w:type="dxa"/>
            <w:tcBorders>
              <w:top w:val="nil"/>
              <w:bottom w:val="nil"/>
            </w:tcBorders>
            <w:shd w:val="clear" w:color="auto" w:fill="C9DED4"/>
          </w:tcPr>
          <w:p w14:paraId="36CC517A" w14:textId="77777777" w:rsidR="00175DC0" w:rsidRDefault="00175DC0" w:rsidP="000B32FA">
            <w:pPr>
              <w:jc w:val="center"/>
              <w:rPr>
                <w:color w:val="000000"/>
                <w:szCs w:val="18"/>
              </w:rPr>
            </w:pPr>
            <w:r w:rsidRPr="00F9494B">
              <w:t>3%</w:t>
            </w:r>
          </w:p>
        </w:tc>
      </w:tr>
      <w:tr w:rsidR="00175DC0" w:rsidRPr="00576C92" w14:paraId="0F2B6854" w14:textId="77777777" w:rsidTr="000B32FA">
        <w:tc>
          <w:tcPr>
            <w:tcW w:w="1928" w:type="dxa"/>
            <w:tcBorders>
              <w:top w:val="nil"/>
              <w:bottom w:val="nil"/>
            </w:tcBorders>
            <w:shd w:val="clear" w:color="auto" w:fill="FFFFFF"/>
          </w:tcPr>
          <w:p w14:paraId="60E6523B" w14:textId="77777777" w:rsidR="00175DC0" w:rsidRDefault="00175DC0" w:rsidP="000B32FA">
            <w:pPr>
              <w:jc w:val="left"/>
              <w:rPr>
                <w:color w:val="000000"/>
                <w:szCs w:val="18"/>
              </w:rPr>
            </w:pPr>
            <w:r w:rsidRPr="00866F20">
              <w:t>New Zealand</w:t>
            </w:r>
          </w:p>
        </w:tc>
        <w:tc>
          <w:tcPr>
            <w:tcW w:w="1484" w:type="dxa"/>
            <w:tcBorders>
              <w:top w:val="nil"/>
              <w:bottom w:val="nil"/>
            </w:tcBorders>
            <w:shd w:val="clear" w:color="auto" w:fill="FFFFFF"/>
          </w:tcPr>
          <w:p w14:paraId="7EED8263" w14:textId="77777777" w:rsidR="00175DC0" w:rsidRDefault="00112650" w:rsidP="007E792B">
            <w:pPr>
              <w:ind w:right="361"/>
              <w:jc w:val="right"/>
              <w:rPr>
                <w:color w:val="000000"/>
                <w:szCs w:val="18"/>
              </w:rPr>
            </w:pPr>
            <w:r>
              <w:t>453</w:t>
            </w:r>
          </w:p>
        </w:tc>
        <w:tc>
          <w:tcPr>
            <w:tcW w:w="1036" w:type="dxa"/>
            <w:tcBorders>
              <w:top w:val="nil"/>
              <w:bottom w:val="nil"/>
            </w:tcBorders>
            <w:shd w:val="clear" w:color="auto" w:fill="FFFFFF"/>
          </w:tcPr>
          <w:p w14:paraId="78B011D0" w14:textId="77777777" w:rsidR="00175DC0" w:rsidRDefault="00175DC0" w:rsidP="000B32FA">
            <w:pPr>
              <w:jc w:val="center"/>
              <w:rPr>
                <w:color w:val="000000"/>
                <w:szCs w:val="18"/>
              </w:rPr>
            </w:pPr>
            <w:r w:rsidRPr="00866F20">
              <w:t>3%</w:t>
            </w:r>
          </w:p>
        </w:tc>
        <w:tc>
          <w:tcPr>
            <w:tcW w:w="238" w:type="dxa"/>
            <w:tcBorders>
              <w:top w:val="nil"/>
              <w:bottom w:val="nil"/>
            </w:tcBorders>
            <w:shd w:val="clear" w:color="auto" w:fill="FFFFFF"/>
          </w:tcPr>
          <w:p w14:paraId="15A85087"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7525F72C" w14:textId="77777777" w:rsidR="00175DC0" w:rsidRDefault="00175DC0" w:rsidP="000B32FA">
            <w:pPr>
              <w:jc w:val="left"/>
              <w:rPr>
                <w:color w:val="000000"/>
                <w:szCs w:val="18"/>
              </w:rPr>
            </w:pPr>
            <w:r w:rsidRPr="00F9494B">
              <w:t>European Union</w:t>
            </w:r>
          </w:p>
        </w:tc>
        <w:tc>
          <w:tcPr>
            <w:tcW w:w="1484" w:type="dxa"/>
            <w:tcBorders>
              <w:top w:val="nil"/>
              <w:bottom w:val="nil"/>
            </w:tcBorders>
            <w:shd w:val="clear" w:color="auto" w:fill="FFFFFF"/>
          </w:tcPr>
          <w:p w14:paraId="4C8852A9" w14:textId="77777777" w:rsidR="00175DC0" w:rsidRDefault="00112650" w:rsidP="007E792B">
            <w:pPr>
              <w:ind w:right="448"/>
              <w:jc w:val="right"/>
              <w:rPr>
                <w:color w:val="000000"/>
                <w:szCs w:val="18"/>
              </w:rPr>
            </w:pPr>
            <w:r>
              <w:t>68</w:t>
            </w:r>
          </w:p>
        </w:tc>
        <w:tc>
          <w:tcPr>
            <w:tcW w:w="997" w:type="dxa"/>
            <w:tcBorders>
              <w:top w:val="nil"/>
              <w:bottom w:val="nil"/>
            </w:tcBorders>
            <w:shd w:val="clear" w:color="auto" w:fill="FFFFFF"/>
          </w:tcPr>
          <w:p w14:paraId="24D80B04" w14:textId="77777777" w:rsidR="00175DC0" w:rsidRDefault="00175DC0" w:rsidP="000B32FA">
            <w:pPr>
              <w:jc w:val="center"/>
              <w:rPr>
                <w:color w:val="000000"/>
                <w:szCs w:val="18"/>
              </w:rPr>
            </w:pPr>
            <w:r w:rsidRPr="00F9494B">
              <w:t>3%</w:t>
            </w:r>
          </w:p>
        </w:tc>
      </w:tr>
      <w:tr w:rsidR="00175DC0" w:rsidRPr="00576C92" w14:paraId="4D11E2A6" w14:textId="77777777" w:rsidTr="000B32FA">
        <w:tc>
          <w:tcPr>
            <w:tcW w:w="1928" w:type="dxa"/>
            <w:tcBorders>
              <w:top w:val="nil"/>
              <w:bottom w:val="nil"/>
            </w:tcBorders>
            <w:shd w:val="clear" w:color="auto" w:fill="C9DED4"/>
          </w:tcPr>
          <w:p w14:paraId="0F4E2A1F" w14:textId="77777777" w:rsidR="00175DC0" w:rsidRDefault="00175DC0" w:rsidP="000B32FA">
            <w:pPr>
              <w:jc w:val="left"/>
              <w:rPr>
                <w:color w:val="000000"/>
                <w:szCs w:val="18"/>
              </w:rPr>
            </w:pPr>
            <w:r w:rsidRPr="00866F20">
              <w:t>Australia</w:t>
            </w:r>
          </w:p>
        </w:tc>
        <w:tc>
          <w:tcPr>
            <w:tcW w:w="1484" w:type="dxa"/>
            <w:tcBorders>
              <w:top w:val="nil"/>
              <w:bottom w:val="nil"/>
            </w:tcBorders>
            <w:shd w:val="clear" w:color="auto" w:fill="C9DED4"/>
          </w:tcPr>
          <w:p w14:paraId="44B2A54D" w14:textId="77777777" w:rsidR="00175DC0" w:rsidRDefault="00112650" w:rsidP="007E792B">
            <w:pPr>
              <w:ind w:right="361"/>
              <w:jc w:val="right"/>
              <w:rPr>
                <w:color w:val="000000"/>
                <w:szCs w:val="18"/>
              </w:rPr>
            </w:pPr>
            <w:r>
              <w:t>42</w:t>
            </w:r>
            <w:r w:rsidR="00175DC0" w:rsidRPr="00866F20">
              <w:t>1</w:t>
            </w:r>
          </w:p>
        </w:tc>
        <w:tc>
          <w:tcPr>
            <w:tcW w:w="1036" w:type="dxa"/>
            <w:tcBorders>
              <w:top w:val="nil"/>
              <w:bottom w:val="nil"/>
            </w:tcBorders>
            <w:shd w:val="clear" w:color="auto" w:fill="C9DED4"/>
          </w:tcPr>
          <w:p w14:paraId="147C641A" w14:textId="77777777" w:rsidR="00175DC0" w:rsidRDefault="00175DC0" w:rsidP="000B32FA">
            <w:pPr>
              <w:jc w:val="center"/>
              <w:rPr>
                <w:color w:val="000000"/>
                <w:szCs w:val="18"/>
              </w:rPr>
            </w:pPr>
            <w:r w:rsidRPr="00866F20">
              <w:t>3%</w:t>
            </w:r>
          </w:p>
        </w:tc>
        <w:tc>
          <w:tcPr>
            <w:tcW w:w="238" w:type="dxa"/>
            <w:tcBorders>
              <w:top w:val="nil"/>
              <w:bottom w:val="nil"/>
            </w:tcBorders>
            <w:shd w:val="clear" w:color="auto" w:fill="C9DED4"/>
          </w:tcPr>
          <w:p w14:paraId="0318E6DB"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6D5D15E1" w14:textId="77777777" w:rsidR="00175DC0" w:rsidRDefault="00175DC0" w:rsidP="000B32FA">
            <w:pPr>
              <w:jc w:val="left"/>
              <w:rPr>
                <w:color w:val="000000"/>
                <w:szCs w:val="18"/>
              </w:rPr>
            </w:pPr>
            <w:r w:rsidRPr="00F9494B">
              <w:t>Thailand</w:t>
            </w:r>
          </w:p>
        </w:tc>
        <w:tc>
          <w:tcPr>
            <w:tcW w:w="1484" w:type="dxa"/>
            <w:tcBorders>
              <w:top w:val="nil"/>
              <w:bottom w:val="nil"/>
            </w:tcBorders>
            <w:shd w:val="clear" w:color="auto" w:fill="C9DED4"/>
          </w:tcPr>
          <w:p w14:paraId="271D4D08" w14:textId="77777777" w:rsidR="00175DC0" w:rsidRDefault="00175DC0" w:rsidP="007E792B">
            <w:pPr>
              <w:ind w:right="448"/>
              <w:jc w:val="right"/>
              <w:rPr>
                <w:color w:val="000000"/>
                <w:szCs w:val="18"/>
              </w:rPr>
            </w:pPr>
            <w:r w:rsidRPr="00F9494B">
              <w:t>46</w:t>
            </w:r>
          </w:p>
        </w:tc>
        <w:tc>
          <w:tcPr>
            <w:tcW w:w="997" w:type="dxa"/>
            <w:tcBorders>
              <w:top w:val="nil"/>
              <w:bottom w:val="nil"/>
            </w:tcBorders>
            <w:shd w:val="clear" w:color="auto" w:fill="C9DED4"/>
          </w:tcPr>
          <w:p w14:paraId="2A20F2DD" w14:textId="77777777" w:rsidR="00175DC0" w:rsidRDefault="00175DC0" w:rsidP="000B32FA">
            <w:pPr>
              <w:jc w:val="center"/>
              <w:rPr>
                <w:color w:val="000000"/>
                <w:szCs w:val="18"/>
              </w:rPr>
            </w:pPr>
            <w:r w:rsidRPr="00F9494B">
              <w:t>2%</w:t>
            </w:r>
          </w:p>
        </w:tc>
      </w:tr>
      <w:tr w:rsidR="00175DC0" w:rsidRPr="00576C92" w14:paraId="24BF4323" w14:textId="77777777" w:rsidTr="000B32FA">
        <w:tc>
          <w:tcPr>
            <w:tcW w:w="1928" w:type="dxa"/>
            <w:tcBorders>
              <w:top w:val="nil"/>
              <w:bottom w:val="nil"/>
            </w:tcBorders>
            <w:shd w:val="clear" w:color="auto" w:fill="FFFFFF"/>
          </w:tcPr>
          <w:p w14:paraId="4230D664" w14:textId="77777777" w:rsidR="00175DC0" w:rsidRDefault="00175DC0" w:rsidP="000B32FA">
            <w:pPr>
              <w:jc w:val="left"/>
              <w:rPr>
                <w:color w:val="000000"/>
                <w:szCs w:val="18"/>
              </w:rPr>
            </w:pPr>
            <w:r w:rsidRPr="00866F20">
              <w:t>Mexico</w:t>
            </w:r>
          </w:p>
        </w:tc>
        <w:tc>
          <w:tcPr>
            <w:tcW w:w="1484" w:type="dxa"/>
            <w:tcBorders>
              <w:top w:val="nil"/>
              <w:bottom w:val="nil"/>
            </w:tcBorders>
            <w:shd w:val="clear" w:color="auto" w:fill="FFFFFF"/>
          </w:tcPr>
          <w:p w14:paraId="669D9D3B" w14:textId="77777777" w:rsidR="00175DC0" w:rsidRDefault="00112650" w:rsidP="007E792B">
            <w:pPr>
              <w:ind w:right="361"/>
              <w:jc w:val="right"/>
              <w:rPr>
                <w:color w:val="000000"/>
                <w:szCs w:val="18"/>
              </w:rPr>
            </w:pPr>
            <w:r>
              <w:t>319</w:t>
            </w:r>
          </w:p>
        </w:tc>
        <w:tc>
          <w:tcPr>
            <w:tcW w:w="1036" w:type="dxa"/>
            <w:tcBorders>
              <w:top w:val="nil"/>
              <w:bottom w:val="nil"/>
            </w:tcBorders>
            <w:shd w:val="clear" w:color="auto" w:fill="FFFFFF"/>
          </w:tcPr>
          <w:p w14:paraId="47A5D7A5" w14:textId="77777777" w:rsidR="00175DC0" w:rsidRDefault="00175DC0" w:rsidP="000B32FA">
            <w:pPr>
              <w:jc w:val="center"/>
              <w:rPr>
                <w:color w:val="000000"/>
                <w:szCs w:val="18"/>
              </w:rPr>
            </w:pPr>
            <w:r w:rsidRPr="00866F20">
              <w:t>2%</w:t>
            </w:r>
          </w:p>
        </w:tc>
        <w:tc>
          <w:tcPr>
            <w:tcW w:w="238" w:type="dxa"/>
            <w:tcBorders>
              <w:top w:val="nil"/>
              <w:bottom w:val="nil"/>
            </w:tcBorders>
            <w:shd w:val="clear" w:color="auto" w:fill="FFFFFF"/>
          </w:tcPr>
          <w:p w14:paraId="404EAE68" w14:textId="77777777" w:rsidR="00175DC0" w:rsidRPr="00576C92" w:rsidRDefault="00175DC0" w:rsidP="00BD5A04">
            <w:pPr>
              <w:jc w:val="left"/>
              <w:rPr>
                <w:szCs w:val="18"/>
                <w:highlight w:val="yellow"/>
              </w:rPr>
            </w:pPr>
          </w:p>
        </w:tc>
        <w:tc>
          <w:tcPr>
            <w:tcW w:w="2155" w:type="dxa"/>
            <w:tcBorders>
              <w:top w:val="nil"/>
              <w:bottom w:val="nil"/>
            </w:tcBorders>
            <w:shd w:val="clear" w:color="auto" w:fill="FFFFFF"/>
          </w:tcPr>
          <w:p w14:paraId="2585A0FA" w14:textId="77777777" w:rsidR="00175DC0" w:rsidRDefault="00175DC0" w:rsidP="000B32FA">
            <w:pPr>
              <w:jc w:val="left"/>
              <w:rPr>
                <w:color w:val="000000"/>
                <w:szCs w:val="18"/>
              </w:rPr>
            </w:pPr>
            <w:r w:rsidRPr="00F9494B">
              <w:t>Chile</w:t>
            </w:r>
          </w:p>
        </w:tc>
        <w:tc>
          <w:tcPr>
            <w:tcW w:w="1484" w:type="dxa"/>
            <w:tcBorders>
              <w:top w:val="nil"/>
              <w:bottom w:val="nil"/>
            </w:tcBorders>
            <w:shd w:val="clear" w:color="auto" w:fill="FFFFFF"/>
          </w:tcPr>
          <w:p w14:paraId="127D5E74" w14:textId="77777777" w:rsidR="00175DC0" w:rsidRDefault="00112650" w:rsidP="007E792B">
            <w:pPr>
              <w:ind w:right="448"/>
              <w:jc w:val="right"/>
              <w:rPr>
                <w:color w:val="000000"/>
                <w:szCs w:val="18"/>
              </w:rPr>
            </w:pPr>
            <w:r>
              <w:t>46</w:t>
            </w:r>
          </w:p>
        </w:tc>
        <w:tc>
          <w:tcPr>
            <w:tcW w:w="997" w:type="dxa"/>
            <w:tcBorders>
              <w:top w:val="nil"/>
              <w:bottom w:val="nil"/>
            </w:tcBorders>
            <w:shd w:val="clear" w:color="auto" w:fill="FFFFFF"/>
          </w:tcPr>
          <w:p w14:paraId="6E9D547D" w14:textId="77777777" w:rsidR="00175DC0" w:rsidRDefault="00175DC0" w:rsidP="000B32FA">
            <w:pPr>
              <w:jc w:val="center"/>
              <w:rPr>
                <w:color w:val="000000"/>
                <w:szCs w:val="18"/>
              </w:rPr>
            </w:pPr>
            <w:r w:rsidRPr="00F9494B">
              <w:t>2%</w:t>
            </w:r>
          </w:p>
        </w:tc>
      </w:tr>
      <w:tr w:rsidR="00175DC0" w:rsidRPr="00576C92" w14:paraId="17C0C896" w14:textId="77777777" w:rsidTr="000B32FA">
        <w:tc>
          <w:tcPr>
            <w:tcW w:w="1928" w:type="dxa"/>
            <w:tcBorders>
              <w:top w:val="nil"/>
              <w:bottom w:val="nil"/>
            </w:tcBorders>
            <w:shd w:val="clear" w:color="auto" w:fill="C9DED4"/>
          </w:tcPr>
          <w:p w14:paraId="587F55C7" w14:textId="77777777" w:rsidR="00175DC0" w:rsidRDefault="00175DC0" w:rsidP="000B32FA">
            <w:pPr>
              <w:jc w:val="left"/>
              <w:rPr>
                <w:color w:val="000000"/>
                <w:szCs w:val="18"/>
              </w:rPr>
            </w:pPr>
            <w:r w:rsidRPr="00866F20">
              <w:t>Thailand</w:t>
            </w:r>
          </w:p>
        </w:tc>
        <w:tc>
          <w:tcPr>
            <w:tcW w:w="1484" w:type="dxa"/>
            <w:tcBorders>
              <w:top w:val="nil"/>
              <w:bottom w:val="nil"/>
            </w:tcBorders>
            <w:shd w:val="clear" w:color="auto" w:fill="C9DED4"/>
          </w:tcPr>
          <w:p w14:paraId="280A98BF" w14:textId="77777777" w:rsidR="00175DC0" w:rsidRDefault="00112650" w:rsidP="007E792B">
            <w:pPr>
              <w:ind w:right="361"/>
              <w:jc w:val="right"/>
              <w:rPr>
                <w:color w:val="000000"/>
                <w:szCs w:val="18"/>
              </w:rPr>
            </w:pPr>
            <w:r>
              <w:t>22</w:t>
            </w:r>
            <w:r w:rsidR="00175DC0" w:rsidRPr="00866F20">
              <w:t>1</w:t>
            </w:r>
          </w:p>
        </w:tc>
        <w:tc>
          <w:tcPr>
            <w:tcW w:w="1036" w:type="dxa"/>
            <w:tcBorders>
              <w:top w:val="nil"/>
              <w:bottom w:val="nil"/>
            </w:tcBorders>
            <w:shd w:val="clear" w:color="auto" w:fill="C9DED4"/>
          </w:tcPr>
          <w:p w14:paraId="3992AEFB" w14:textId="77777777" w:rsidR="00175DC0" w:rsidRDefault="00175DC0" w:rsidP="000B32FA">
            <w:pPr>
              <w:jc w:val="center"/>
              <w:rPr>
                <w:color w:val="000000"/>
                <w:szCs w:val="18"/>
              </w:rPr>
            </w:pPr>
            <w:r w:rsidRPr="00866F20">
              <w:t>1%</w:t>
            </w:r>
          </w:p>
        </w:tc>
        <w:tc>
          <w:tcPr>
            <w:tcW w:w="238" w:type="dxa"/>
            <w:tcBorders>
              <w:top w:val="nil"/>
              <w:bottom w:val="nil"/>
            </w:tcBorders>
            <w:shd w:val="clear" w:color="auto" w:fill="C9DED4"/>
          </w:tcPr>
          <w:p w14:paraId="4B4F939F" w14:textId="77777777" w:rsidR="00175DC0" w:rsidRPr="00576C92" w:rsidRDefault="00175DC0" w:rsidP="00BD5A04">
            <w:pPr>
              <w:jc w:val="left"/>
              <w:rPr>
                <w:szCs w:val="18"/>
                <w:highlight w:val="yellow"/>
              </w:rPr>
            </w:pPr>
          </w:p>
        </w:tc>
        <w:tc>
          <w:tcPr>
            <w:tcW w:w="2155" w:type="dxa"/>
            <w:tcBorders>
              <w:top w:val="nil"/>
              <w:bottom w:val="nil"/>
            </w:tcBorders>
            <w:shd w:val="clear" w:color="auto" w:fill="C9DED4"/>
          </w:tcPr>
          <w:p w14:paraId="46DF1CB1" w14:textId="77777777" w:rsidR="00175DC0" w:rsidRDefault="00112650" w:rsidP="000B32FA">
            <w:pPr>
              <w:jc w:val="left"/>
              <w:rPr>
                <w:color w:val="000000"/>
                <w:szCs w:val="18"/>
              </w:rPr>
            </w:pPr>
            <w:r>
              <w:t>Australia</w:t>
            </w:r>
          </w:p>
        </w:tc>
        <w:tc>
          <w:tcPr>
            <w:tcW w:w="1484" w:type="dxa"/>
            <w:tcBorders>
              <w:top w:val="nil"/>
              <w:bottom w:val="nil"/>
            </w:tcBorders>
            <w:shd w:val="clear" w:color="auto" w:fill="C9DED4"/>
          </w:tcPr>
          <w:p w14:paraId="785C9BA6" w14:textId="77777777" w:rsidR="00175DC0" w:rsidRDefault="00175DC0" w:rsidP="007E792B">
            <w:pPr>
              <w:ind w:right="448"/>
              <w:jc w:val="right"/>
              <w:rPr>
                <w:color w:val="000000"/>
                <w:szCs w:val="18"/>
              </w:rPr>
            </w:pPr>
            <w:r w:rsidRPr="00F9494B">
              <w:t>37</w:t>
            </w:r>
          </w:p>
        </w:tc>
        <w:tc>
          <w:tcPr>
            <w:tcW w:w="997" w:type="dxa"/>
            <w:tcBorders>
              <w:top w:val="nil"/>
              <w:bottom w:val="nil"/>
            </w:tcBorders>
            <w:shd w:val="clear" w:color="auto" w:fill="C9DED4"/>
          </w:tcPr>
          <w:p w14:paraId="13CC17FC" w14:textId="77777777" w:rsidR="00175DC0" w:rsidRDefault="00175DC0" w:rsidP="000B32FA">
            <w:pPr>
              <w:jc w:val="center"/>
              <w:rPr>
                <w:color w:val="000000"/>
                <w:szCs w:val="18"/>
              </w:rPr>
            </w:pPr>
            <w:r w:rsidRPr="00F9494B">
              <w:t>2%</w:t>
            </w:r>
          </w:p>
        </w:tc>
      </w:tr>
      <w:tr w:rsidR="00175DC0" w:rsidRPr="004065F7" w14:paraId="4FE0CFD2" w14:textId="77777777" w:rsidTr="000B32FA">
        <w:tc>
          <w:tcPr>
            <w:tcW w:w="1928" w:type="dxa"/>
            <w:tcBorders>
              <w:top w:val="nil"/>
              <w:bottom w:val="single" w:sz="4" w:space="0" w:color="auto"/>
            </w:tcBorders>
            <w:shd w:val="clear" w:color="auto" w:fill="FFFFFF"/>
          </w:tcPr>
          <w:p w14:paraId="59DBD225" w14:textId="77777777" w:rsidR="00175DC0" w:rsidRDefault="00175DC0" w:rsidP="000B32FA">
            <w:pPr>
              <w:jc w:val="left"/>
              <w:rPr>
                <w:color w:val="000000"/>
                <w:szCs w:val="18"/>
              </w:rPr>
            </w:pPr>
            <w:r w:rsidRPr="00866F20">
              <w:t>Colombia</w:t>
            </w:r>
          </w:p>
        </w:tc>
        <w:tc>
          <w:tcPr>
            <w:tcW w:w="1484" w:type="dxa"/>
            <w:tcBorders>
              <w:top w:val="nil"/>
              <w:bottom w:val="single" w:sz="4" w:space="0" w:color="auto"/>
            </w:tcBorders>
            <w:shd w:val="clear" w:color="auto" w:fill="FFFFFF"/>
          </w:tcPr>
          <w:p w14:paraId="6119C35C" w14:textId="77777777" w:rsidR="00175DC0" w:rsidRDefault="00112650" w:rsidP="007E792B">
            <w:pPr>
              <w:ind w:right="361"/>
              <w:jc w:val="right"/>
              <w:rPr>
                <w:color w:val="000000"/>
                <w:szCs w:val="18"/>
              </w:rPr>
            </w:pPr>
            <w:r>
              <w:t>217</w:t>
            </w:r>
          </w:p>
        </w:tc>
        <w:tc>
          <w:tcPr>
            <w:tcW w:w="1036" w:type="dxa"/>
            <w:tcBorders>
              <w:top w:val="nil"/>
              <w:bottom w:val="single" w:sz="4" w:space="0" w:color="auto"/>
            </w:tcBorders>
            <w:shd w:val="clear" w:color="auto" w:fill="FFFFFF"/>
          </w:tcPr>
          <w:p w14:paraId="34688C2B" w14:textId="77777777" w:rsidR="00175DC0" w:rsidRDefault="00175DC0" w:rsidP="000B32FA">
            <w:pPr>
              <w:jc w:val="center"/>
              <w:rPr>
                <w:color w:val="000000"/>
                <w:szCs w:val="18"/>
              </w:rPr>
            </w:pPr>
            <w:r w:rsidRPr="00866F20">
              <w:t>1%</w:t>
            </w:r>
          </w:p>
        </w:tc>
        <w:tc>
          <w:tcPr>
            <w:tcW w:w="238" w:type="dxa"/>
            <w:tcBorders>
              <w:top w:val="nil"/>
              <w:bottom w:val="single" w:sz="4" w:space="0" w:color="auto"/>
            </w:tcBorders>
            <w:shd w:val="clear" w:color="auto" w:fill="FFFFFF"/>
          </w:tcPr>
          <w:p w14:paraId="29D62F1B" w14:textId="77777777" w:rsidR="00175DC0" w:rsidRPr="00576C92" w:rsidRDefault="00175DC0" w:rsidP="00BD5A04">
            <w:pPr>
              <w:jc w:val="left"/>
              <w:rPr>
                <w:szCs w:val="18"/>
                <w:highlight w:val="yellow"/>
              </w:rPr>
            </w:pPr>
          </w:p>
        </w:tc>
        <w:tc>
          <w:tcPr>
            <w:tcW w:w="2155" w:type="dxa"/>
            <w:tcBorders>
              <w:top w:val="nil"/>
              <w:bottom w:val="single" w:sz="4" w:space="0" w:color="auto"/>
            </w:tcBorders>
            <w:shd w:val="clear" w:color="auto" w:fill="FFFFFF"/>
          </w:tcPr>
          <w:p w14:paraId="18D9DE5A" w14:textId="77777777" w:rsidR="00175DC0" w:rsidRDefault="00112650" w:rsidP="000B32FA">
            <w:pPr>
              <w:jc w:val="left"/>
              <w:rPr>
                <w:color w:val="000000"/>
                <w:szCs w:val="18"/>
              </w:rPr>
            </w:pPr>
            <w:r>
              <w:t>Mexico</w:t>
            </w:r>
          </w:p>
        </w:tc>
        <w:tc>
          <w:tcPr>
            <w:tcW w:w="1484" w:type="dxa"/>
            <w:tcBorders>
              <w:top w:val="nil"/>
              <w:bottom w:val="single" w:sz="4" w:space="0" w:color="auto"/>
            </w:tcBorders>
            <w:shd w:val="clear" w:color="auto" w:fill="FFFFFF"/>
          </w:tcPr>
          <w:p w14:paraId="7933D75E" w14:textId="77777777" w:rsidR="00175DC0" w:rsidRDefault="00112650" w:rsidP="007E792B">
            <w:pPr>
              <w:ind w:right="448"/>
              <w:jc w:val="right"/>
              <w:rPr>
                <w:color w:val="000000"/>
                <w:szCs w:val="18"/>
              </w:rPr>
            </w:pPr>
            <w:r>
              <w:t>37</w:t>
            </w:r>
          </w:p>
        </w:tc>
        <w:tc>
          <w:tcPr>
            <w:tcW w:w="997" w:type="dxa"/>
            <w:tcBorders>
              <w:top w:val="nil"/>
              <w:bottom w:val="single" w:sz="4" w:space="0" w:color="auto"/>
            </w:tcBorders>
            <w:shd w:val="clear" w:color="auto" w:fill="FFFFFF"/>
          </w:tcPr>
          <w:p w14:paraId="54DA2596" w14:textId="77777777" w:rsidR="00175DC0" w:rsidRDefault="00175DC0" w:rsidP="000B32FA">
            <w:pPr>
              <w:jc w:val="center"/>
              <w:rPr>
                <w:color w:val="000000"/>
                <w:szCs w:val="18"/>
              </w:rPr>
            </w:pPr>
            <w:r w:rsidRPr="00F9494B">
              <w:t>2%</w:t>
            </w:r>
          </w:p>
        </w:tc>
      </w:tr>
    </w:tbl>
    <w:p w14:paraId="7E918D71" w14:textId="77777777" w:rsidR="00A704F9" w:rsidRDefault="00A704F9" w:rsidP="000B32FA">
      <w:pPr>
        <w:jc w:val="right"/>
      </w:pPr>
    </w:p>
    <w:p w14:paraId="30EC264E" w14:textId="111D3468" w:rsidR="002819B4" w:rsidRDefault="002819B4" w:rsidP="00610450">
      <w:pPr>
        <w:pStyle w:val="Caption"/>
        <w:spacing w:before="0"/>
      </w:pPr>
      <w:r>
        <w:t>Table 2. Members which have submitted the most notifications in the past year</w:t>
      </w:r>
      <w:r w:rsidR="008E31CB">
        <w:t xml:space="preserve"> (</w:t>
      </w:r>
      <w:r w:rsidR="00175DC0">
        <w:t>16 </w:t>
      </w:r>
      <w:r>
        <w:t xml:space="preserve">September </w:t>
      </w:r>
      <w:r w:rsidR="008D4EFD">
        <w:t>2017</w:t>
      </w:r>
      <w:r w:rsidR="00175DC0">
        <w:t xml:space="preserve"> </w:t>
      </w:r>
      <w:r>
        <w:t>–</w:t>
      </w:r>
      <w:r w:rsidR="00813A16">
        <w:t xml:space="preserve"> </w:t>
      </w:r>
      <w:r>
        <w:t>15 September</w:t>
      </w:r>
      <w:r w:rsidR="0059068A">
        <w:t xml:space="preserve"> </w:t>
      </w:r>
      <w:r w:rsidR="008D4EFD">
        <w:t>2018</w:t>
      </w:r>
      <w:r>
        <w:t>)</w:t>
      </w:r>
    </w:p>
    <w:tbl>
      <w:tblPr>
        <w:tblW w:w="939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43"/>
        <w:gridCol w:w="1495"/>
        <w:gridCol w:w="1045"/>
        <w:gridCol w:w="239"/>
        <w:gridCol w:w="2172"/>
        <w:gridCol w:w="1500"/>
        <w:gridCol w:w="1001"/>
      </w:tblGrid>
      <w:tr w:rsidR="0088437A" w:rsidRPr="00C248C3" w14:paraId="2CE9C360" w14:textId="77777777" w:rsidTr="007C59F8">
        <w:trPr>
          <w:trHeight w:val="111"/>
        </w:trPr>
        <w:tc>
          <w:tcPr>
            <w:tcW w:w="4483" w:type="dxa"/>
            <w:gridSpan w:val="3"/>
            <w:tcBorders>
              <w:bottom w:val="single" w:sz="4" w:space="0" w:color="auto"/>
            </w:tcBorders>
            <w:shd w:val="clear" w:color="auto" w:fill="006283"/>
          </w:tcPr>
          <w:p w14:paraId="6E865AB8" w14:textId="57E09C85" w:rsidR="007C59F8" w:rsidRPr="00C248C3" w:rsidRDefault="0088437A" w:rsidP="00A04AC7">
            <w:pPr>
              <w:jc w:val="center"/>
              <w:rPr>
                <w:b/>
                <w:color w:val="FFFFFF"/>
                <w:szCs w:val="18"/>
              </w:rPr>
            </w:pPr>
            <w:r w:rsidRPr="00C248C3">
              <w:rPr>
                <w:b/>
                <w:color w:val="FFFFFF"/>
                <w:szCs w:val="18"/>
              </w:rPr>
              <w:t xml:space="preserve">Regular </w:t>
            </w:r>
            <w:r w:rsidR="001508F7" w:rsidRPr="00C248C3">
              <w:rPr>
                <w:b/>
                <w:color w:val="FFFFFF"/>
                <w:szCs w:val="18"/>
              </w:rPr>
              <w:t>notifications</w:t>
            </w:r>
          </w:p>
        </w:tc>
        <w:tc>
          <w:tcPr>
            <w:tcW w:w="239" w:type="dxa"/>
            <w:vMerge w:val="restart"/>
            <w:tcBorders>
              <w:bottom w:val="single" w:sz="4" w:space="0" w:color="auto"/>
            </w:tcBorders>
            <w:shd w:val="clear" w:color="auto" w:fill="006283"/>
          </w:tcPr>
          <w:p w14:paraId="335343A0" w14:textId="77777777" w:rsidR="0088437A" w:rsidRPr="00C248C3" w:rsidRDefault="0088437A" w:rsidP="00A04AC7">
            <w:pPr>
              <w:jc w:val="center"/>
              <w:rPr>
                <w:b/>
                <w:color w:val="FFFFFF"/>
                <w:szCs w:val="18"/>
              </w:rPr>
            </w:pPr>
          </w:p>
        </w:tc>
        <w:tc>
          <w:tcPr>
            <w:tcW w:w="4673" w:type="dxa"/>
            <w:gridSpan w:val="3"/>
            <w:tcBorders>
              <w:bottom w:val="single" w:sz="4" w:space="0" w:color="auto"/>
            </w:tcBorders>
            <w:shd w:val="clear" w:color="auto" w:fill="006283"/>
          </w:tcPr>
          <w:p w14:paraId="1C56117E" w14:textId="5986CB18" w:rsidR="0088437A" w:rsidRPr="00C248C3" w:rsidRDefault="0088437A" w:rsidP="00A04AC7">
            <w:pPr>
              <w:jc w:val="center"/>
              <w:rPr>
                <w:b/>
                <w:color w:val="FFFFFF"/>
                <w:szCs w:val="18"/>
              </w:rPr>
            </w:pPr>
            <w:r w:rsidRPr="00C248C3">
              <w:rPr>
                <w:b/>
                <w:color w:val="FFFFFF"/>
                <w:szCs w:val="18"/>
              </w:rPr>
              <w:t xml:space="preserve">Emergency </w:t>
            </w:r>
            <w:r w:rsidR="001508F7" w:rsidRPr="00C248C3">
              <w:rPr>
                <w:b/>
                <w:color w:val="FFFFFF"/>
                <w:szCs w:val="18"/>
              </w:rPr>
              <w:t>notifications</w:t>
            </w:r>
          </w:p>
        </w:tc>
      </w:tr>
      <w:tr w:rsidR="0088437A" w:rsidRPr="00C248C3" w14:paraId="1EA565A5" w14:textId="77777777" w:rsidTr="007C59F8">
        <w:trPr>
          <w:trHeight w:val="110"/>
        </w:trPr>
        <w:tc>
          <w:tcPr>
            <w:tcW w:w="1943" w:type="dxa"/>
            <w:tcBorders>
              <w:top w:val="single" w:sz="4" w:space="0" w:color="auto"/>
              <w:bottom w:val="nil"/>
            </w:tcBorders>
            <w:shd w:val="clear" w:color="auto" w:fill="006283"/>
          </w:tcPr>
          <w:p w14:paraId="1EF900FC" w14:textId="77777777" w:rsidR="0088437A" w:rsidRPr="00C248C3" w:rsidRDefault="0088437A" w:rsidP="00F65A7A">
            <w:pPr>
              <w:jc w:val="center"/>
              <w:rPr>
                <w:b/>
                <w:color w:val="FFFFFF"/>
                <w:szCs w:val="18"/>
              </w:rPr>
            </w:pPr>
            <w:r w:rsidRPr="00C248C3">
              <w:rPr>
                <w:b/>
                <w:color w:val="FFFFFF"/>
                <w:szCs w:val="18"/>
              </w:rPr>
              <w:t>Member</w:t>
            </w:r>
          </w:p>
        </w:tc>
        <w:tc>
          <w:tcPr>
            <w:tcW w:w="1495" w:type="dxa"/>
            <w:tcBorders>
              <w:top w:val="single" w:sz="4" w:space="0" w:color="auto"/>
              <w:bottom w:val="nil"/>
            </w:tcBorders>
            <w:shd w:val="clear" w:color="auto" w:fill="006283"/>
          </w:tcPr>
          <w:p w14:paraId="51A7857C" w14:textId="77777777" w:rsidR="0088437A" w:rsidRPr="00C248C3" w:rsidRDefault="0088437A" w:rsidP="00F65A7A">
            <w:pPr>
              <w:jc w:val="center"/>
              <w:rPr>
                <w:b/>
                <w:color w:val="FFFFFF"/>
                <w:szCs w:val="18"/>
              </w:rPr>
            </w:pPr>
            <w:r w:rsidRPr="00C248C3">
              <w:rPr>
                <w:b/>
                <w:color w:val="FFFFFF"/>
                <w:szCs w:val="18"/>
              </w:rPr>
              <w:t>Number of notifications</w:t>
            </w:r>
          </w:p>
        </w:tc>
        <w:tc>
          <w:tcPr>
            <w:tcW w:w="1044" w:type="dxa"/>
            <w:tcBorders>
              <w:top w:val="single" w:sz="4" w:space="0" w:color="auto"/>
              <w:bottom w:val="nil"/>
            </w:tcBorders>
            <w:shd w:val="clear" w:color="auto" w:fill="006283"/>
          </w:tcPr>
          <w:p w14:paraId="22B8B9E5" w14:textId="77777777" w:rsidR="0088437A" w:rsidRPr="00C248C3" w:rsidRDefault="0088437A" w:rsidP="00F65A7A">
            <w:pPr>
              <w:jc w:val="center"/>
              <w:rPr>
                <w:b/>
                <w:color w:val="FFFFFF"/>
                <w:szCs w:val="18"/>
              </w:rPr>
            </w:pPr>
            <w:r w:rsidRPr="00C248C3">
              <w:rPr>
                <w:b/>
                <w:color w:val="FFFFFF"/>
                <w:szCs w:val="18"/>
              </w:rPr>
              <w:t>Share of Total</w:t>
            </w:r>
          </w:p>
        </w:tc>
        <w:tc>
          <w:tcPr>
            <w:tcW w:w="239" w:type="dxa"/>
            <w:vMerge/>
            <w:tcBorders>
              <w:top w:val="single" w:sz="4" w:space="0" w:color="auto"/>
              <w:bottom w:val="nil"/>
            </w:tcBorders>
            <w:shd w:val="clear" w:color="auto" w:fill="006283"/>
          </w:tcPr>
          <w:p w14:paraId="23C0437C" w14:textId="77777777" w:rsidR="0088437A" w:rsidRPr="00C248C3" w:rsidRDefault="0088437A" w:rsidP="00F65A7A">
            <w:pPr>
              <w:jc w:val="center"/>
              <w:rPr>
                <w:szCs w:val="18"/>
              </w:rPr>
            </w:pPr>
          </w:p>
        </w:tc>
        <w:tc>
          <w:tcPr>
            <w:tcW w:w="2172" w:type="dxa"/>
            <w:tcBorders>
              <w:top w:val="single" w:sz="4" w:space="0" w:color="auto"/>
              <w:bottom w:val="nil"/>
            </w:tcBorders>
            <w:shd w:val="clear" w:color="auto" w:fill="006283"/>
          </w:tcPr>
          <w:p w14:paraId="21E9B5DA" w14:textId="77777777" w:rsidR="0088437A" w:rsidRPr="00C248C3" w:rsidRDefault="0088437A" w:rsidP="00F65A7A">
            <w:pPr>
              <w:jc w:val="center"/>
              <w:rPr>
                <w:b/>
                <w:color w:val="FFFFFF"/>
                <w:szCs w:val="18"/>
              </w:rPr>
            </w:pPr>
            <w:r w:rsidRPr="00C248C3">
              <w:rPr>
                <w:b/>
                <w:color w:val="FFFFFF"/>
                <w:szCs w:val="18"/>
              </w:rPr>
              <w:t>Member</w:t>
            </w:r>
          </w:p>
        </w:tc>
        <w:tc>
          <w:tcPr>
            <w:tcW w:w="1500" w:type="dxa"/>
            <w:tcBorders>
              <w:top w:val="single" w:sz="4" w:space="0" w:color="auto"/>
              <w:bottom w:val="nil"/>
            </w:tcBorders>
            <w:shd w:val="clear" w:color="auto" w:fill="006283"/>
          </w:tcPr>
          <w:p w14:paraId="1DF242D1" w14:textId="77777777" w:rsidR="0088437A" w:rsidRPr="00C248C3" w:rsidRDefault="0088437A" w:rsidP="00F65A7A">
            <w:pPr>
              <w:jc w:val="center"/>
              <w:rPr>
                <w:b/>
                <w:color w:val="FFFFFF"/>
                <w:szCs w:val="18"/>
              </w:rPr>
            </w:pPr>
            <w:r w:rsidRPr="00C248C3">
              <w:rPr>
                <w:b/>
                <w:color w:val="FFFFFF"/>
                <w:szCs w:val="18"/>
              </w:rPr>
              <w:t>Number of notifications</w:t>
            </w:r>
          </w:p>
        </w:tc>
        <w:tc>
          <w:tcPr>
            <w:tcW w:w="999" w:type="dxa"/>
            <w:tcBorders>
              <w:top w:val="single" w:sz="4" w:space="0" w:color="auto"/>
              <w:bottom w:val="nil"/>
            </w:tcBorders>
            <w:shd w:val="clear" w:color="auto" w:fill="006283"/>
          </w:tcPr>
          <w:p w14:paraId="71F9FE80" w14:textId="77777777" w:rsidR="0088437A" w:rsidRPr="00C248C3" w:rsidRDefault="0088437A" w:rsidP="00F65A7A">
            <w:pPr>
              <w:jc w:val="center"/>
              <w:rPr>
                <w:b/>
                <w:color w:val="FFFFFF"/>
                <w:szCs w:val="18"/>
              </w:rPr>
            </w:pPr>
            <w:r w:rsidRPr="00C248C3">
              <w:rPr>
                <w:b/>
                <w:color w:val="FFFFFF"/>
                <w:szCs w:val="18"/>
              </w:rPr>
              <w:t>Share of Total</w:t>
            </w:r>
          </w:p>
        </w:tc>
      </w:tr>
      <w:tr w:rsidR="00175DC0" w:rsidRPr="00576C92" w14:paraId="2259B5DB" w14:textId="77777777" w:rsidTr="007C59F8">
        <w:trPr>
          <w:trHeight w:val="445"/>
        </w:trPr>
        <w:tc>
          <w:tcPr>
            <w:tcW w:w="1943" w:type="dxa"/>
            <w:tcBorders>
              <w:top w:val="nil"/>
              <w:bottom w:val="nil"/>
            </w:tcBorders>
            <w:shd w:val="clear" w:color="auto" w:fill="auto"/>
          </w:tcPr>
          <w:p w14:paraId="4A392935" w14:textId="77777777" w:rsidR="00175DC0" w:rsidRDefault="00175DC0" w:rsidP="00B42C6B">
            <w:pPr>
              <w:jc w:val="left"/>
              <w:rPr>
                <w:color w:val="000000"/>
                <w:szCs w:val="18"/>
              </w:rPr>
            </w:pPr>
            <w:r w:rsidRPr="00983A49">
              <w:t>Brazil</w:t>
            </w:r>
          </w:p>
        </w:tc>
        <w:tc>
          <w:tcPr>
            <w:tcW w:w="1495" w:type="dxa"/>
            <w:tcBorders>
              <w:top w:val="nil"/>
              <w:bottom w:val="nil"/>
            </w:tcBorders>
            <w:shd w:val="clear" w:color="auto" w:fill="auto"/>
          </w:tcPr>
          <w:p w14:paraId="0DEEADEC" w14:textId="2B7608B1" w:rsidR="00175DC0" w:rsidRDefault="00700E52" w:rsidP="007E792B">
            <w:pPr>
              <w:ind w:right="361"/>
              <w:jc w:val="right"/>
              <w:rPr>
                <w:color w:val="000000"/>
                <w:szCs w:val="18"/>
              </w:rPr>
            </w:pPr>
            <w:r>
              <w:rPr>
                <w:color w:val="000000"/>
                <w:szCs w:val="18"/>
              </w:rPr>
              <w:t>126</w:t>
            </w:r>
          </w:p>
        </w:tc>
        <w:tc>
          <w:tcPr>
            <w:tcW w:w="1044" w:type="dxa"/>
            <w:tcBorders>
              <w:top w:val="nil"/>
              <w:bottom w:val="nil"/>
            </w:tcBorders>
            <w:shd w:val="clear" w:color="auto" w:fill="auto"/>
          </w:tcPr>
          <w:p w14:paraId="1892FE25" w14:textId="273F49BC" w:rsidR="00175DC0" w:rsidRDefault="0001181B" w:rsidP="00B42C6B">
            <w:pPr>
              <w:jc w:val="center"/>
              <w:rPr>
                <w:color w:val="000000"/>
                <w:szCs w:val="18"/>
              </w:rPr>
            </w:pPr>
            <w:r>
              <w:t>11</w:t>
            </w:r>
            <w:r w:rsidR="00175DC0" w:rsidRPr="00983A49">
              <w:t>%</w:t>
            </w:r>
          </w:p>
        </w:tc>
        <w:tc>
          <w:tcPr>
            <w:tcW w:w="239" w:type="dxa"/>
            <w:tcBorders>
              <w:top w:val="nil"/>
              <w:bottom w:val="nil"/>
            </w:tcBorders>
            <w:shd w:val="clear" w:color="auto" w:fill="auto"/>
          </w:tcPr>
          <w:p w14:paraId="5A2C88E3" w14:textId="77777777" w:rsidR="00175DC0" w:rsidRPr="00576C92" w:rsidRDefault="00175DC0" w:rsidP="00F65A7A">
            <w:pPr>
              <w:rPr>
                <w:szCs w:val="18"/>
                <w:highlight w:val="yellow"/>
              </w:rPr>
            </w:pPr>
          </w:p>
        </w:tc>
        <w:tc>
          <w:tcPr>
            <w:tcW w:w="2172" w:type="dxa"/>
            <w:tcBorders>
              <w:top w:val="nil"/>
              <w:bottom w:val="nil"/>
            </w:tcBorders>
            <w:shd w:val="clear" w:color="auto" w:fill="auto"/>
          </w:tcPr>
          <w:p w14:paraId="798C562F" w14:textId="77777777" w:rsidR="00175DC0" w:rsidRDefault="00175DC0" w:rsidP="00B42C6B">
            <w:pPr>
              <w:jc w:val="left"/>
              <w:rPr>
                <w:color w:val="000000"/>
                <w:szCs w:val="18"/>
              </w:rPr>
            </w:pPr>
            <w:r w:rsidRPr="00FA75C4">
              <w:t>Saudi Arabia, Kingdom of</w:t>
            </w:r>
          </w:p>
        </w:tc>
        <w:tc>
          <w:tcPr>
            <w:tcW w:w="1500" w:type="dxa"/>
            <w:tcBorders>
              <w:top w:val="nil"/>
              <w:bottom w:val="nil"/>
            </w:tcBorders>
            <w:shd w:val="clear" w:color="auto" w:fill="auto"/>
          </w:tcPr>
          <w:p w14:paraId="17D35498" w14:textId="064BBBA4" w:rsidR="00175DC0" w:rsidRDefault="0001181B" w:rsidP="00507EF2">
            <w:pPr>
              <w:ind w:right="453"/>
              <w:jc w:val="right"/>
              <w:rPr>
                <w:color w:val="000000"/>
                <w:szCs w:val="18"/>
              </w:rPr>
            </w:pPr>
            <w:r>
              <w:t>49</w:t>
            </w:r>
          </w:p>
        </w:tc>
        <w:tc>
          <w:tcPr>
            <w:tcW w:w="999" w:type="dxa"/>
            <w:tcBorders>
              <w:top w:val="nil"/>
              <w:bottom w:val="nil"/>
            </w:tcBorders>
            <w:shd w:val="clear" w:color="auto" w:fill="auto"/>
          </w:tcPr>
          <w:p w14:paraId="21610717" w14:textId="10B584E1" w:rsidR="00175DC0" w:rsidRDefault="00175DC0" w:rsidP="00507EF2">
            <w:pPr>
              <w:jc w:val="center"/>
              <w:rPr>
                <w:color w:val="000000"/>
                <w:szCs w:val="18"/>
              </w:rPr>
            </w:pPr>
            <w:r w:rsidRPr="00FA75C4">
              <w:t>4</w:t>
            </w:r>
            <w:r w:rsidR="0001181B">
              <w:t>0</w:t>
            </w:r>
            <w:r w:rsidRPr="00FA75C4">
              <w:t>%</w:t>
            </w:r>
          </w:p>
        </w:tc>
      </w:tr>
      <w:tr w:rsidR="00175DC0" w:rsidRPr="00576C92" w14:paraId="3E3181FD" w14:textId="77777777" w:rsidTr="001D4FE7">
        <w:trPr>
          <w:trHeight w:val="208"/>
        </w:trPr>
        <w:tc>
          <w:tcPr>
            <w:tcW w:w="1943" w:type="dxa"/>
            <w:tcBorders>
              <w:top w:val="nil"/>
              <w:bottom w:val="nil"/>
            </w:tcBorders>
            <w:shd w:val="clear" w:color="auto" w:fill="C9DED4"/>
          </w:tcPr>
          <w:p w14:paraId="66A24462" w14:textId="77777777" w:rsidR="00175DC0" w:rsidRDefault="00175DC0" w:rsidP="00B42C6B">
            <w:pPr>
              <w:jc w:val="left"/>
              <w:rPr>
                <w:color w:val="000000"/>
                <w:szCs w:val="18"/>
              </w:rPr>
            </w:pPr>
            <w:r w:rsidRPr="00983A49">
              <w:t>Canada</w:t>
            </w:r>
          </w:p>
        </w:tc>
        <w:tc>
          <w:tcPr>
            <w:tcW w:w="1495" w:type="dxa"/>
            <w:tcBorders>
              <w:top w:val="nil"/>
              <w:bottom w:val="nil"/>
            </w:tcBorders>
            <w:shd w:val="clear" w:color="auto" w:fill="C9DED4"/>
          </w:tcPr>
          <w:p w14:paraId="7A265BC9" w14:textId="13945294" w:rsidR="00175DC0" w:rsidRDefault="00700E52" w:rsidP="007E792B">
            <w:pPr>
              <w:ind w:right="361"/>
              <w:jc w:val="right"/>
              <w:rPr>
                <w:color w:val="000000"/>
                <w:szCs w:val="18"/>
              </w:rPr>
            </w:pPr>
            <w:r>
              <w:t>73</w:t>
            </w:r>
          </w:p>
        </w:tc>
        <w:tc>
          <w:tcPr>
            <w:tcW w:w="1044" w:type="dxa"/>
            <w:tcBorders>
              <w:top w:val="nil"/>
              <w:bottom w:val="nil"/>
            </w:tcBorders>
            <w:shd w:val="clear" w:color="auto" w:fill="C9DED4"/>
          </w:tcPr>
          <w:p w14:paraId="2C9C1559" w14:textId="1A93C7E3" w:rsidR="00175DC0" w:rsidRDefault="0001181B" w:rsidP="00B42C6B">
            <w:pPr>
              <w:jc w:val="center"/>
              <w:rPr>
                <w:color w:val="000000"/>
                <w:szCs w:val="18"/>
              </w:rPr>
            </w:pPr>
            <w:r>
              <w:t>6</w:t>
            </w:r>
            <w:r w:rsidR="00175DC0" w:rsidRPr="00983A49">
              <w:t>%</w:t>
            </w:r>
          </w:p>
        </w:tc>
        <w:tc>
          <w:tcPr>
            <w:tcW w:w="239" w:type="dxa"/>
            <w:tcBorders>
              <w:top w:val="nil"/>
              <w:bottom w:val="nil"/>
            </w:tcBorders>
            <w:shd w:val="clear" w:color="auto" w:fill="C9DED4"/>
          </w:tcPr>
          <w:p w14:paraId="7AEBBD63" w14:textId="77777777" w:rsidR="00175DC0" w:rsidRPr="00576C92" w:rsidRDefault="00175DC0" w:rsidP="00F65A7A">
            <w:pPr>
              <w:rPr>
                <w:szCs w:val="18"/>
                <w:highlight w:val="yellow"/>
              </w:rPr>
            </w:pPr>
          </w:p>
        </w:tc>
        <w:tc>
          <w:tcPr>
            <w:tcW w:w="2172" w:type="dxa"/>
            <w:tcBorders>
              <w:top w:val="nil"/>
              <w:bottom w:val="nil"/>
            </w:tcBorders>
            <w:shd w:val="clear" w:color="auto" w:fill="C9DED4"/>
          </w:tcPr>
          <w:p w14:paraId="40CD78CC" w14:textId="19FAE3C0" w:rsidR="00175DC0" w:rsidRDefault="0001181B" w:rsidP="00B42C6B">
            <w:pPr>
              <w:jc w:val="left"/>
              <w:rPr>
                <w:color w:val="000000"/>
                <w:szCs w:val="18"/>
              </w:rPr>
            </w:pPr>
            <w:r>
              <w:rPr>
                <w:color w:val="000000"/>
                <w:szCs w:val="18"/>
              </w:rPr>
              <w:t>United Arab Emirates</w:t>
            </w:r>
          </w:p>
        </w:tc>
        <w:tc>
          <w:tcPr>
            <w:tcW w:w="1500" w:type="dxa"/>
            <w:tcBorders>
              <w:top w:val="nil"/>
              <w:bottom w:val="nil"/>
            </w:tcBorders>
            <w:shd w:val="clear" w:color="auto" w:fill="C9DED4"/>
          </w:tcPr>
          <w:p w14:paraId="25A01170" w14:textId="5C68413E" w:rsidR="00175DC0" w:rsidRDefault="0001181B" w:rsidP="007E792B">
            <w:pPr>
              <w:ind w:right="453"/>
              <w:jc w:val="right"/>
              <w:rPr>
                <w:color w:val="000000"/>
                <w:szCs w:val="18"/>
              </w:rPr>
            </w:pPr>
            <w:r>
              <w:t>14</w:t>
            </w:r>
          </w:p>
        </w:tc>
        <w:tc>
          <w:tcPr>
            <w:tcW w:w="999" w:type="dxa"/>
            <w:tcBorders>
              <w:top w:val="nil"/>
              <w:bottom w:val="nil"/>
            </w:tcBorders>
            <w:shd w:val="clear" w:color="auto" w:fill="C9DED4"/>
          </w:tcPr>
          <w:p w14:paraId="08C9BBAD" w14:textId="2A2285F4" w:rsidR="00175DC0" w:rsidRDefault="0001181B" w:rsidP="00B42C6B">
            <w:pPr>
              <w:jc w:val="center"/>
              <w:rPr>
                <w:color w:val="000000"/>
                <w:szCs w:val="18"/>
              </w:rPr>
            </w:pPr>
            <w:r>
              <w:t>11</w:t>
            </w:r>
            <w:r w:rsidR="00175DC0" w:rsidRPr="00FA75C4">
              <w:t>%</w:t>
            </w:r>
          </w:p>
        </w:tc>
      </w:tr>
      <w:tr w:rsidR="00175DC0" w:rsidRPr="00576C92" w14:paraId="4FB377D0" w14:textId="77777777" w:rsidTr="001D4FE7">
        <w:trPr>
          <w:trHeight w:val="222"/>
        </w:trPr>
        <w:tc>
          <w:tcPr>
            <w:tcW w:w="1943" w:type="dxa"/>
            <w:tcBorders>
              <w:top w:val="nil"/>
              <w:bottom w:val="nil"/>
            </w:tcBorders>
            <w:shd w:val="clear" w:color="auto" w:fill="auto"/>
          </w:tcPr>
          <w:p w14:paraId="0C548BD9" w14:textId="0F9CD40B" w:rsidR="00175DC0" w:rsidRDefault="008509F5" w:rsidP="00B42C6B">
            <w:pPr>
              <w:jc w:val="left"/>
              <w:rPr>
                <w:color w:val="000000"/>
                <w:szCs w:val="18"/>
              </w:rPr>
            </w:pPr>
            <w:r w:rsidRPr="00983A49">
              <w:t xml:space="preserve">Japan </w:t>
            </w:r>
          </w:p>
        </w:tc>
        <w:tc>
          <w:tcPr>
            <w:tcW w:w="1495" w:type="dxa"/>
            <w:tcBorders>
              <w:top w:val="nil"/>
              <w:bottom w:val="nil"/>
            </w:tcBorders>
            <w:shd w:val="clear" w:color="auto" w:fill="auto"/>
          </w:tcPr>
          <w:p w14:paraId="2285BB82" w14:textId="26BA320C" w:rsidR="00175DC0" w:rsidRDefault="00700E52" w:rsidP="007E792B">
            <w:pPr>
              <w:ind w:right="361"/>
              <w:jc w:val="right"/>
              <w:rPr>
                <w:color w:val="000000"/>
                <w:szCs w:val="18"/>
              </w:rPr>
            </w:pPr>
            <w:r>
              <w:t>69</w:t>
            </w:r>
          </w:p>
        </w:tc>
        <w:tc>
          <w:tcPr>
            <w:tcW w:w="1044" w:type="dxa"/>
            <w:tcBorders>
              <w:top w:val="nil"/>
              <w:bottom w:val="nil"/>
            </w:tcBorders>
            <w:shd w:val="clear" w:color="auto" w:fill="auto"/>
          </w:tcPr>
          <w:p w14:paraId="7F771C20" w14:textId="77777777" w:rsidR="00175DC0" w:rsidRDefault="008D4EFD" w:rsidP="00B42C6B">
            <w:pPr>
              <w:jc w:val="center"/>
              <w:rPr>
                <w:color w:val="000000"/>
                <w:szCs w:val="18"/>
              </w:rPr>
            </w:pPr>
            <w:r>
              <w:t>6</w:t>
            </w:r>
            <w:r w:rsidR="00175DC0" w:rsidRPr="00983A49">
              <w:t>%</w:t>
            </w:r>
          </w:p>
        </w:tc>
        <w:tc>
          <w:tcPr>
            <w:tcW w:w="239" w:type="dxa"/>
            <w:tcBorders>
              <w:top w:val="nil"/>
              <w:bottom w:val="nil"/>
            </w:tcBorders>
            <w:shd w:val="clear" w:color="auto" w:fill="auto"/>
          </w:tcPr>
          <w:p w14:paraId="177EF6C8" w14:textId="77777777" w:rsidR="00175DC0" w:rsidRPr="00576C92" w:rsidRDefault="00175DC0" w:rsidP="00F65A7A">
            <w:pPr>
              <w:rPr>
                <w:szCs w:val="18"/>
                <w:highlight w:val="yellow"/>
              </w:rPr>
            </w:pPr>
          </w:p>
        </w:tc>
        <w:tc>
          <w:tcPr>
            <w:tcW w:w="2172" w:type="dxa"/>
            <w:tcBorders>
              <w:top w:val="nil"/>
              <w:bottom w:val="nil"/>
            </w:tcBorders>
            <w:shd w:val="clear" w:color="auto" w:fill="auto"/>
          </w:tcPr>
          <w:p w14:paraId="7CCE1392" w14:textId="55D6CC80" w:rsidR="00175DC0" w:rsidRDefault="0001181B" w:rsidP="00B42C6B">
            <w:pPr>
              <w:jc w:val="left"/>
              <w:rPr>
                <w:color w:val="000000"/>
                <w:szCs w:val="18"/>
              </w:rPr>
            </w:pPr>
            <w:r>
              <w:rPr>
                <w:color w:val="000000"/>
                <w:szCs w:val="18"/>
              </w:rPr>
              <w:t>Philippines</w:t>
            </w:r>
          </w:p>
        </w:tc>
        <w:tc>
          <w:tcPr>
            <w:tcW w:w="1500" w:type="dxa"/>
            <w:tcBorders>
              <w:top w:val="nil"/>
              <w:bottom w:val="nil"/>
            </w:tcBorders>
            <w:shd w:val="clear" w:color="auto" w:fill="auto"/>
          </w:tcPr>
          <w:p w14:paraId="08D1BBBB" w14:textId="5324E50A" w:rsidR="00175DC0" w:rsidRDefault="0001181B" w:rsidP="007E792B">
            <w:pPr>
              <w:ind w:right="453"/>
              <w:jc w:val="right"/>
              <w:rPr>
                <w:color w:val="000000"/>
                <w:szCs w:val="18"/>
              </w:rPr>
            </w:pPr>
            <w:r>
              <w:t>12</w:t>
            </w:r>
          </w:p>
        </w:tc>
        <w:tc>
          <w:tcPr>
            <w:tcW w:w="999" w:type="dxa"/>
            <w:tcBorders>
              <w:top w:val="nil"/>
              <w:bottom w:val="nil"/>
            </w:tcBorders>
            <w:shd w:val="clear" w:color="auto" w:fill="auto"/>
          </w:tcPr>
          <w:p w14:paraId="711BB9CA" w14:textId="0BB2EA2C" w:rsidR="00175DC0" w:rsidRDefault="0001181B" w:rsidP="00B42C6B">
            <w:pPr>
              <w:jc w:val="center"/>
              <w:rPr>
                <w:color w:val="000000"/>
                <w:szCs w:val="18"/>
              </w:rPr>
            </w:pPr>
            <w:r>
              <w:t>10</w:t>
            </w:r>
            <w:r w:rsidR="00175DC0" w:rsidRPr="00FA75C4">
              <w:t>%</w:t>
            </w:r>
          </w:p>
        </w:tc>
      </w:tr>
      <w:tr w:rsidR="00175DC0" w:rsidRPr="00576C92" w14:paraId="56374FD4" w14:textId="77777777" w:rsidTr="001D4FE7">
        <w:trPr>
          <w:trHeight w:val="431"/>
        </w:trPr>
        <w:tc>
          <w:tcPr>
            <w:tcW w:w="1943" w:type="dxa"/>
            <w:tcBorders>
              <w:top w:val="nil"/>
              <w:bottom w:val="nil"/>
            </w:tcBorders>
            <w:shd w:val="clear" w:color="auto" w:fill="C9DED4"/>
          </w:tcPr>
          <w:p w14:paraId="3308431A" w14:textId="0E7F5994" w:rsidR="00175DC0" w:rsidRDefault="008509F5" w:rsidP="00B42C6B">
            <w:pPr>
              <w:jc w:val="left"/>
              <w:rPr>
                <w:color w:val="000000"/>
                <w:szCs w:val="18"/>
              </w:rPr>
            </w:pPr>
            <w:r w:rsidRPr="00983A49">
              <w:t>United States of America</w:t>
            </w:r>
          </w:p>
        </w:tc>
        <w:tc>
          <w:tcPr>
            <w:tcW w:w="1495" w:type="dxa"/>
            <w:tcBorders>
              <w:top w:val="nil"/>
              <w:bottom w:val="nil"/>
            </w:tcBorders>
            <w:shd w:val="clear" w:color="auto" w:fill="C9DED4"/>
          </w:tcPr>
          <w:p w14:paraId="5F02FC6F" w14:textId="3613C5E3" w:rsidR="00175DC0" w:rsidRDefault="008509F5" w:rsidP="007E792B">
            <w:pPr>
              <w:ind w:right="361"/>
              <w:jc w:val="right"/>
              <w:rPr>
                <w:color w:val="000000"/>
                <w:szCs w:val="18"/>
              </w:rPr>
            </w:pPr>
            <w:r>
              <w:t>68</w:t>
            </w:r>
          </w:p>
        </w:tc>
        <w:tc>
          <w:tcPr>
            <w:tcW w:w="1044" w:type="dxa"/>
            <w:tcBorders>
              <w:top w:val="nil"/>
              <w:bottom w:val="nil"/>
            </w:tcBorders>
            <w:shd w:val="clear" w:color="auto" w:fill="C9DED4"/>
          </w:tcPr>
          <w:p w14:paraId="109B0CD0" w14:textId="77777777" w:rsidR="00175DC0" w:rsidRDefault="008D4EFD" w:rsidP="00B42C6B">
            <w:pPr>
              <w:jc w:val="center"/>
              <w:rPr>
                <w:color w:val="000000"/>
                <w:szCs w:val="18"/>
              </w:rPr>
            </w:pPr>
            <w:r>
              <w:t>6</w:t>
            </w:r>
            <w:r w:rsidR="00175DC0" w:rsidRPr="00983A49">
              <w:t>%</w:t>
            </w:r>
          </w:p>
        </w:tc>
        <w:tc>
          <w:tcPr>
            <w:tcW w:w="239" w:type="dxa"/>
            <w:tcBorders>
              <w:top w:val="nil"/>
              <w:bottom w:val="nil"/>
            </w:tcBorders>
            <w:shd w:val="clear" w:color="auto" w:fill="C9DED4"/>
          </w:tcPr>
          <w:p w14:paraId="27473CEA" w14:textId="77777777" w:rsidR="00175DC0" w:rsidRPr="00576C92" w:rsidRDefault="00175DC0" w:rsidP="00F65A7A">
            <w:pPr>
              <w:rPr>
                <w:szCs w:val="18"/>
                <w:highlight w:val="yellow"/>
              </w:rPr>
            </w:pPr>
          </w:p>
        </w:tc>
        <w:tc>
          <w:tcPr>
            <w:tcW w:w="2172" w:type="dxa"/>
            <w:tcBorders>
              <w:top w:val="nil"/>
              <w:bottom w:val="nil"/>
            </w:tcBorders>
            <w:shd w:val="clear" w:color="auto" w:fill="C9DED4"/>
          </w:tcPr>
          <w:p w14:paraId="72F89D12" w14:textId="3D04B033" w:rsidR="00175DC0" w:rsidRDefault="0001181B" w:rsidP="00B42C6B">
            <w:pPr>
              <w:jc w:val="left"/>
              <w:rPr>
                <w:color w:val="000000"/>
                <w:szCs w:val="18"/>
              </w:rPr>
            </w:pPr>
            <w:r>
              <w:rPr>
                <w:color w:val="000000"/>
                <w:szCs w:val="18"/>
              </w:rPr>
              <w:t>Chile</w:t>
            </w:r>
          </w:p>
        </w:tc>
        <w:tc>
          <w:tcPr>
            <w:tcW w:w="1500" w:type="dxa"/>
            <w:tcBorders>
              <w:top w:val="nil"/>
              <w:bottom w:val="nil"/>
            </w:tcBorders>
            <w:shd w:val="clear" w:color="auto" w:fill="C9DED4"/>
          </w:tcPr>
          <w:p w14:paraId="46AEA0FE" w14:textId="682A494B" w:rsidR="00175DC0" w:rsidRDefault="0001181B" w:rsidP="007E792B">
            <w:pPr>
              <w:ind w:right="453"/>
              <w:jc w:val="right"/>
              <w:rPr>
                <w:color w:val="000000"/>
                <w:szCs w:val="18"/>
              </w:rPr>
            </w:pPr>
            <w:r>
              <w:t>8</w:t>
            </w:r>
          </w:p>
        </w:tc>
        <w:tc>
          <w:tcPr>
            <w:tcW w:w="999" w:type="dxa"/>
            <w:tcBorders>
              <w:top w:val="nil"/>
              <w:bottom w:val="nil"/>
            </w:tcBorders>
            <w:shd w:val="clear" w:color="auto" w:fill="C9DED4"/>
          </w:tcPr>
          <w:p w14:paraId="34630804" w14:textId="4465B980" w:rsidR="00175DC0" w:rsidRDefault="0001181B" w:rsidP="00B42C6B">
            <w:pPr>
              <w:jc w:val="center"/>
              <w:rPr>
                <w:color w:val="000000"/>
                <w:szCs w:val="18"/>
              </w:rPr>
            </w:pPr>
            <w:r>
              <w:t>7</w:t>
            </w:r>
            <w:r w:rsidR="00175DC0" w:rsidRPr="00FA75C4">
              <w:t>%</w:t>
            </w:r>
          </w:p>
        </w:tc>
      </w:tr>
      <w:tr w:rsidR="00175DC0" w:rsidRPr="00576C92" w14:paraId="1E701F87" w14:textId="77777777" w:rsidTr="001D4FE7">
        <w:trPr>
          <w:trHeight w:val="222"/>
        </w:trPr>
        <w:tc>
          <w:tcPr>
            <w:tcW w:w="1943" w:type="dxa"/>
            <w:tcBorders>
              <w:top w:val="nil"/>
              <w:bottom w:val="nil"/>
            </w:tcBorders>
            <w:shd w:val="clear" w:color="auto" w:fill="auto"/>
          </w:tcPr>
          <w:p w14:paraId="22FE51B5" w14:textId="77777777" w:rsidR="00175DC0" w:rsidRDefault="00507EF2" w:rsidP="00B42C6B">
            <w:pPr>
              <w:jc w:val="left"/>
              <w:rPr>
                <w:color w:val="000000"/>
                <w:szCs w:val="18"/>
              </w:rPr>
            </w:pPr>
            <w:r>
              <w:rPr>
                <w:color w:val="000000"/>
                <w:szCs w:val="18"/>
              </w:rPr>
              <w:t>Peru</w:t>
            </w:r>
          </w:p>
        </w:tc>
        <w:tc>
          <w:tcPr>
            <w:tcW w:w="1495" w:type="dxa"/>
            <w:tcBorders>
              <w:top w:val="nil"/>
              <w:bottom w:val="nil"/>
            </w:tcBorders>
            <w:shd w:val="clear" w:color="auto" w:fill="auto"/>
            <w:vAlign w:val="center"/>
          </w:tcPr>
          <w:p w14:paraId="1191507E" w14:textId="437F03A4" w:rsidR="00175DC0" w:rsidRDefault="00700E52" w:rsidP="00700E52">
            <w:pPr>
              <w:ind w:right="361"/>
              <w:jc w:val="right"/>
              <w:rPr>
                <w:color w:val="000000"/>
                <w:szCs w:val="18"/>
              </w:rPr>
            </w:pPr>
            <w:r>
              <w:t>63</w:t>
            </w:r>
          </w:p>
        </w:tc>
        <w:tc>
          <w:tcPr>
            <w:tcW w:w="1044" w:type="dxa"/>
            <w:tcBorders>
              <w:top w:val="nil"/>
              <w:bottom w:val="nil"/>
            </w:tcBorders>
            <w:shd w:val="clear" w:color="auto" w:fill="auto"/>
          </w:tcPr>
          <w:p w14:paraId="0EC9AD0C" w14:textId="190FB061" w:rsidR="00175DC0" w:rsidRDefault="0001181B" w:rsidP="00B42C6B">
            <w:pPr>
              <w:jc w:val="center"/>
              <w:rPr>
                <w:color w:val="000000"/>
                <w:szCs w:val="18"/>
              </w:rPr>
            </w:pPr>
            <w:r>
              <w:t>5</w:t>
            </w:r>
            <w:r w:rsidR="00175DC0" w:rsidRPr="00983A49">
              <w:t>%</w:t>
            </w:r>
          </w:p>
        </w:tc>
        <w:tc>
          <w:tcPr>
            <w:tcW w:w="239" w:type="dxa"/>
            <w:tcBorders>
              <w:top w:val="nil"/>
              <w:bottom w:val="nil"/>
            </w:tcBorders>
            <w:shd w:val="clear" w:color="auto" w:fill="auto"/>
          </w:tcPr>
          <w:p w14:paraId="6A004C78" w14:textId="77777777" w:rsidR="00175DC0" w:rsidRPr="00576C92" w:rsidRDefault="00175DC0" w:rsidP="00F65A7A">
            <w:pPr>
              <w:rPr>
                <w:szCs w:val="18"/>
                <w:highlight w:val="yellow"/>
              </w:rPr>
            </w:pPr>
          </w:p>
        </w:tc>
        <w:tc>
          <w:tcPr>
            <w:tcW w:w="2172" w:type="dxa"/>
            <w:tcBorders>
              <w:top w:val="nil"/>
              <w:bottom w:val="nil"/>
            </w:tcBorders>
            <w:shd w:val="clear" w:color="auto" w:fill="auto"/>
          </w:tcPr>
          <w:p w14:paraId="288290C1" w14:textId="57817C19" w:rsidR="00175DC0" w:rsidRDefault="0001181B" w:rsidP="00B42C6B">
            <w:pPr>
              <w:jc w:val="left"/>
              <w:rPr>
                <w:color w:val="000000"/>
                <w:szCs w:val="18"/>
              </w:rPr>
            </w:pPr>
            <w:r>
              <w:rPr>
                <w:color w:val="000000"/>
                <w:szCs w:val="18"/>
              </w:rPr>
              <w:t>New Zealand</w:t>
            </w:r>
          </w:p>
        </w:tc>
        <w:tc>
          <w:tcPr>
            <w:tcW w:w="1500" w:type="dxa"/>
            <w:tcBorders>
              <w:top w:val="nil"/>
              <w:bottom w:val="nil"/>
            </w:tcBorders>
            <w:shd w:val="clear" w:color="auto" w:fill="auto"/>
          </w:tcPr>
          <w:p w14:paraId="33F80AF0" w14:textId="6AA769B3" w:rsidR="00175DC0" w:rsidRDefault="0001181B" w:rsidP="007E792B">
            <w:pPr>
              <w:ind w:right="453"/>
              <w:jc w:val="right"/>
              <w:rPr>
                <w:color w:val="000000"/>
                <w:szCs w:val="18"/>
              </w:rPr>
            </w:pPr>
            <w:r>
              <w:t>7</w:t>
            </w:r>
          </w:p>
        </w:tc>
        <w:tc>
          <w:tcPr>
            <w:tcW w:w="999" w:type="dxa"/>
            <w:tcBorders>
              <w:top w:val="nil"/>
              <w:bottom w:val="nil"/>
            </w:tcBorders>
            <w:shd w:val="clear" w:color="auto" w:fill="auto"/>
          </w:tcPr>
          <w:p w14:paraId="4DC87653" w14:textId="250FD8AD" w:rsidR="00175DC0" w:rsidRDefault="0001181B" w:rsidP="00B42C6B">
            <w:pPr>
              <w:jc w:val="center"/>
              <w:rPr>
                <w:color w:val="000000"/>
                <w:szCs w:val="18"/>
              </w:rPr>
            </w:pPr>
            <w:r>
              <w:t>6</w:t>
            </w:r>
            <w:r w:rsidR="00175DC0" w:rsidRPr="00FA75C4">
              <w:t>%</w:t>
            </w:r>
          </w:p>
        </w:tc>
      </w:tr>
      <w:tr w:rsidR="00175DC0" w:rsidRPr="00576C92" w14:paraId="117DD650" w14:textId="77777777" w:rsidTr="001D4FE7">
        <w:trPr>
          <w:trHeight w:val="208"/>
        </w:trPr>
        <w:tc>
          <w:tcPr>
            <w:tcW w:w="1943" w:type="dxa"/>
            <w:tcBorders>
              <w:top w:val="nil"/>
              <w:bottom w:val="nil"/>
            </w:tcBorders>
            <w:shd w:val="clear" w:color="auto" w:fill="C9DED4"/>
          </w:tcPr>
          <w:p w14:paraId="4E763B8F" w14:textId="1A1132CF" w:rsidR="00175DC0" w:rsidRDefault="00700E52" w:rsidP="00B42C6B">
            <w:pPr>
              <w:jc w:val="left"/>
              <w:rPr>
                <w:color w:val="000000"/>
                <w:szCs w:val="18"/>
              </w:rPr>
            </w:pPr>
            <w:r>
              <w:rPr>
                <w:color w:val="000000"/>
                <w:szCs w:val="18"/>
              </w:rPr>
              <w:t>Montenegro</w:t>
            </w:r>
          </w:p>
        </w:tc>
        <w:tc>
          <w:tcPr>
            <w:tcW w:w="1495" w:type="dxa"/>
            <w:tcBorders>
              <w:top w:val="nil"/>
              <w:bottom w:val="nil"/>
            </w:tcBorders>
            <w:shd w:val="clear" w:color="auto" w:fill="C9DED4"/>
          </w:tcPr>
          <w:p w14:paraId="28D7BBA9" w14:textId="729DB8AD" w:rsidR="00175DC0" w:rsidRDefault="00700E52" w:rsidP="007E792B">
            <w:pPr>
              <w:ind w:right="361"/>
              <w:jc w:val="right"/>
              <w:rPr>
                <w:color w:val="000000"/>
                <w:szCs w:val="18"/>
              </w:rPr>
            </w:pPr>
            <w:r>
              <w:t>49</w:t>
            </w:r>
          </w:p>
        </w:tc>
        <w:tc>
          <w:tcPr>
            <w:tcW w:w="1044" w:type="dxa"/>
            <w:tcBorders>
              <w:top w:val="nil"/>
              <w:bottom w:val="nil"/>
            </w:tcBorders>
            <w:shd w:val="clear" w:color="auto" w:fill="C9DED4"/>
          </w:tcPr>
          <w:p w14:paraId="77470CA5" w14:textId="4E87F7A2" w:rsidR="00175DC0" w:rsidRDefault="0001181B" w:rsidP="00B42C6B">
            <w:pPr>
              <w:jc w:val="center"/>
              <w:rPr>
                <w:color w:val="000000"/>
                <w:szCs w:val="18"/>
              </w:rPr>
            </w:pPr>
            <w:r>
              <w:t>4</w:t>
            </w:r>
            <w:r w:rsidR="00175DC0" w:rsidRPr="00983A49">
              <w:t>%</w:t>
            </w:r>
          </w:p>
        </w:tc>
        <w:tc>
          <w:tcPr>
            <w:tcW w:w="239" w:type="dxa"/>
            <w:tcBorders>
              <w:top w:val="nil"/>
              <w:bottom w:val="nil"/>
            </w:tcBorders>
            <w:shd w:val="clear" w:color="auto" w:fill="C9DED4"/>
          </w:tcPr>
          <w:p w14:paraId="7BBD165D" w14:textId="77777777" w:rsidR="00175DC0" w:rsidRPr="00576C92" w:rsidRDefault="00175DC0" w:rsidP="00F65A7A">
            <w:pPr>
              <w:rPr>
                <w:szCs w:val="18"/>
                <w:highlight w:val="yellow"/>
              </w:rPr>
            </w:pPr>
          </w:p>
        </w:tc>
        <w:tc>
          <w:tcPr>
            <w:tcW w:w="2172" w:type="dxa"/>
            <w:tcBorders>
              <w:top w:val="nil"/>
              <w:bottom w:val="nil"/>
            </w:tcBorders>
            <w:shd w:val="clear" w:color="auto" w:fill="C9DED4"/>
          </w:tcPr>
          <w:p w14:paraId="200FFAE1" w14:textId="56709DC4" w:rsidR="00175DC0" w:rsidRDefault="0001181B" w:rsidP="00B42C6B">
            <w:pPr>
              <w:jc w:val="left"/>
              <w:rPr>
                <w:color w:val="000000"/>
                <w:szCs w:val="18"/>
              </w:rPr>
            </w:pPr>
            <w:r>
              <w:rPr>
                <w:color w:val="000000"/>
                <w:szCs w:val="18"/>
              </w:rPr>
              <w:t>Kuwait, the State of</w:t>
            </w:r>
          </w:p>
        </w:tc>
        <w:tc>
          <w:tcPr>
            <w:tcW w:w="1500" w:type="dxa"/>
            <w:tcBorders>
              <w:top w:val="nil"/>
              <w:bottom w:val="nil"/>
            </w:tcBorders>
            <w:shd w:val="clear" w:color="auto" w:fill="C9DED4"/>
          </w:tcPr>
          <w:p w14:paraId="20183E6A" w14:textId="5A8E5C29" w:rsidR="00175DC0" w:rsidRDefault="0001181B" w:rsidP="007E792B">
            <w:pPr>
              <w:ind w:right="453"/>
              <w:jc w:val="right"/>
              <w:rPr>
                <w:color w:val="000000"/>
                <w:szCs w:val="18"/>
              </w:rPr>
            </w:pPr>
            <w:r>
              <w:t>5</w:t>
            </w:r>
          </w:p>
        </w:tc>
        <w:tc>
          <w:tcPr>
            <w:tcW w:w="999" w:type="dxa"/>
            <w:tcBorders>
              <w:top w:val="nil"/>
              <w:bottom w:val="nil"/>
            </w:tcBorders>
            <w:shd w:val="clear" w:color="auto" w:fill="C9DED4"/>
          </w:tcPr>
          <w:p w14:paraId="5D1F3695" w14:textId="4B8670DE" w:rsidR="00175DC0" w:rsidRDefault="0001181B" w:rsidP="00B42C6B">
            <w:pPr>
              <w:jc w:val="center"/>
              <w:rPr>
                <w:color w:val="000000"/>
                <w:szCs w:val="18"/>
              </w:rPr>
            </w:pPr>
            <w:r>
              <w:t>4</w:t>
            </w:r>
            <w:r w:rsidR="00175DC0" w:rsidRPr="00FA75C4">
              <w:t>%</w:t>
            </w:r>
          </w:p>
        </w:tc>
      </w:tr>
      <w:tr w:rsidR="00175DC0" w:rsidRPr="00576C92" w14:paraId="28D97BB3" w14:textId="77777777" w:rsidTr="001D4FE7">
        <w:trPr>
          <w:trHeight w:val="222"/>
        </w:trPr>
        <w:tc>
          <w:tcPr>
            <w:tcW w:w="1943" w:type="dxa"/>
            <w:tcBorders>
              <w:top w:val="nil"/>
              <w:bottom w:val="nil"/>
            </w:tcBorders>
            <w:shd w:val="clear" w:color="auto" w:fill="auto"/>
          </w:tcPr>
          <w:p w14:paraId="239368EC" w14:textId="37C02B1B" w:rsidR="00175DC0" w:rsidRDefault="00700E52" w:rsidP="00B42C6B">
            <w:pPr>
              <w:jc w:val="left"/>
              <w:rPr>
                <w:color w:val="000000"/>
                <w:szCs w:val="18"/>
              </w:rPr>
            </w:pPr>
            <w:r>
              <w:rPr>
                <w:color w:val="000000"/>
                <w:szCs w:val="18"/>
              </w:rPr>
              <w:t>Kenya</w:t>
            </w:r>
          </w:p>
        </w:tc>
        <w:tc>
          <w:tcPr>
            <w:tcW w:w="1495" w:type="dxa"/>
            <w:tcBorders>
              <w:top w:val="nil"/>
              <w:bottom w:val="nil"/>
            </w:tcBorders>
            <w:shd w:val="clear" w:color="auto" w:fill="auto"/>
            <w:vAlign w:val="center"/>
          </w:tcPr>
          <w:p w14:paraId="692CDF80" w14:textId="739F0CB8" w:rsidR="00175DC0" w:rsidRDefault="00700E52" w:rsidP="008D4EFD">
            <w:pPr>
              <w:ind w:right="361"/>
              <w:jc w:val="right"/>
              <w:rPr>
                <w:color w:val="000000"/>
                <w:szCs w:val="18"/>
              </w:rPr>
            </w:pPr>
            <w:r>
              <w:t>48</w:t>
            </w:r>
          </w:p>
        </w:tc>
        <w:tc>
          <w:tcPr>
            <w:tcW w:w="1044" w:type="dxa"/>
            <w:tcBorders>
              <w:top w:val="nil"/>
              <w:bottom w:val="nil"/>
            </w:tcBorders>
            <w:shd w:val="clear" w:color="auto" w:fill="auto"/>
          </w:tcPr>
          <w:p w14:paraId="7987336C" w14:textId="750F873B" w:rsidR="00175DC0" w:rsidRDefault="0001181B" w:rsidP="00B42C6B">
            <w:pPr>
              <w:jc w:val="center"/>
              <w:rPr>
                <w:color w:val="000000"/>
                <w:szCs w:val="18"/>
              </w:rPr>
            </w:pPr>
            <w:r>
              <w:t>4</w:t>
            </w:r>
            <w:r w:rsidR="00175DC0" w:rsidRPr="00983A49">
              <w:t>%</w:t>
            </w:r>
          </w:p>
        </w:tc>
        <w:tc>
          <w:tcPr>
            <w:tcW w:w="239" w:type="dxa"/>
            <w:tcBorders>
              <w:top w:val="nil"/>
              <w:bottom w:val="nil"/>
            </w:tcBorders>
            <w:shd w:val="clear" w:color="auto" w:fill="auto"/>
          </w:tcPr>
          <w:p w14:paraId="52CCB516" w14:textId="77777777" w:rsidR="00175DC0" w:rsidRPr="00576C92" w:rsidRDefault="00175DC0" w:rsidP="00F65A7A">
            <w:pPr>
              <w:rPr>
                <w:szCs w:val="18"/>
                <w:highlight w:val="yellow"/>
              </w:rPr>
            </w:pPr>
          </w:p>
        </w:tc>
        <w:tc>
          <w:tcPr>
            <w:tcW w:w="2172" w:type="dxa"/>
            <w:tcBorders>
              <w:top w:val="nil"/>
              <w:bottom w:val="nil"/>
            </w:tcBorders>
            <w:shd w:val="clear" w:color="auto" w:fill="auto"/>
          </w:tcPr>
          <w:p w14:paraId="124BFAC4" w14:textId="50C6206E" w:rsidR="00175DC0" w:rsidRDefault="0001181B" w:rsidP="00B42C6B">
            <w:pPr>
              <w:jc w:val="left"/>
              <w:rPr>
                <w:color w:val="000000"/>
                <w:szCs w:val="18"/>
              </w:rPr>
            </w:pPr>
            <w:r>
              <w:rPr>
                <w:color w:val="000000"/>
                <w:szCs w:val="18"/>
              </w:rPr>
              <w:t>Kazakhstan</w:t>
            </w:r>
          </w:p>
        </w:tc>
        <w:tc>
          <w:tcPr>
            <w:tcW w:w="1500" w:type="dxa"/>
            <w:tcBorders>
              <w:top w:val="nil"/>
              <w:bottom w:val="nil"/>
            </w:tcBorders>
            <w:shd w:val="clear" w:color="auto" w:fill="auto"/>
          </w:tcPr>
          <w:p w14:paraId="07DFE8A7" w14:textId="1F15E046" w:rsidR="00175DC0" w:rsidRDefault="0001181B" w:rsidP="007E792B">
            <w:pPr>
              <w:ind w:right="453"/>
              <w:jc w:val="right"/>
              <w:rPr>
                <w:color w:val="000000"/>
                <w:szCs w:val="18"/>
              </w:rPr>
            </w:pPr>
            <w:r>
              <w:t>4</w:t>
            </w:r>
          </w:p>
        </w:tc>
        <w:tc>
          <w:tcPr>
            <w:tcW w:w="999" w:type="dxa"/>
            <w:tcBorders>
              <w:top w:val="nil"/>
              <w:bottom w:val="nil"/>
            </w:tcBorders>
            <w:shd w:val="clear" w:color="auto" w:fill="auto"/>
          </w:tcPr>
          <w:p w14:paraId="33ED1208" w14:textId="77777777" w:rsidR="00175DC0" w:rsidRDefault="00175DC0" w:rsidP="00B42C6B">
            <w:pPr>
              <w:jc w:val="center"/>
              <w:rPr>
                <w:color w:val="000000"/>
                <w:szCs w:val="18"/>
              </w:rPr>
            </w:pPr>
            <w:r w:rsidRPr="00FA75C4">
              <w:t>3%</w:t>
            </w:r>
          </w:p>
        </w:tc>
      </w:tr>
      <w:tr w:rsidR="00175DC0" w:rsidRPr="00576C92" w14:paraId="647AAD87" w14:textId="77777777" w:rsidTr="001D4FE7">
        <w:trPr>
          <w:trHeight w:val="208"/>
        </w:trPr>
        <w:tc>
          <w:tcPr>
            <w:tcW w:w="1943" w:type="dxa"/>
            <w:tcBorders>
              <w:top w:val="nil"/>
              <w:bottom w:val="nil"/>
            </w:tcBorders>
            <w:shd w:val="clear" w:color="auto" w:fill="C9DED4"/>
          </w:tcPr>
          <w:p w14:paraId="3A6B3DBF" w14:textId="18BEE004" w:rsidR="00175DC0" w:rsidRDefault="00700E52" w:rsidP="00B42C6B">
            <w:pPr>
              <w:jc w:val="left"/>
              <w:rPr>
                <w:color w:val="000000"/>
                <w:szCs w:val="18"/>
              </w:rPr>
            </w:pPr>
            <w:r>
              <w:rPr>
                <w:color w:val="000000"/>
                <w:szCs w:val="18"/>
              </w:rPr>
              <w:t>European Union</w:t>
            </w:r>
          </w:p>
        </w:tc>
        <w:tc>
          <w:tcPr>
            <w:tcW w:w="1495" w:type="dxa"/>
            <w:tcBorders>
              <w:top w:val="nil"/>
              <w:bottom w:val="nil"/>
            </w:tcBorders>
            <w:shd w:val="clear" w:color="auto" w:fill="C9DED4"/>
          </w:tcPr>
          <w:p w14:paraId="3F2C994F" w14:textId="694F5C6A" w:rsidR="00175DC0" w:rsidRDefault="00700E52" w:rsidP="007E792B">
            <w:pPr>
              <w:ind w:right="361"/>
              <w:jc w:val="right"/>
              <w:rPr>
                <w:color w:val="000000"/>
                <w:szCs w:val="18"/>
              </w:rPr>
            </w:pPr>
            <w:r>
              <w:t>40</w:t>
            </w:r>
          </w:p>
        </w:tc>
        <w:tc>
          <w:tcPr>
            <w:tcW w:w="1044" w:type="dxa"/>
            <w:tcBorders>
              <w:top w:val="nil"/>
              <w:bottom w:val="nil"/>
            </w:tcBorders>
            <w:shd w:val="clear" w:color="auto" w:fill="C9DED4"/>
          </w:tcPr>
          <w:p w14:paraId="2D024C22" w14:textId="77777777" w:rsidR="00175DC0" w:rsidRDefault="00507EF2" w:rsidP="00B42C6B">
            <w:pPr>
              <w:jc w:val="center"/>
              <w:rPr>
                <w:color w:val="000000"/>
                <w:szCs w:val="18"/>
              </w:rPr>
            </w:pPr>
            <w:r>
              <w:t>3</w:t>
            </w:r>
            <w:r w:rsidR="00175DC0" w:rsidRPr="00983A49">
              <w:t>%</w:t>
            </w:r>
          </w:p>
        </w:tc>
        <w:tc>
          <w:tcPr>
            <w:tcW w:w="239" w:type="dxa"/>
            <w:tcBorders>
              <w:top w:val="nil"/>
              <w:bottom w:val="nil"/>
            </w:tcBorders>
            <w:shd w:val="clear" w:color="auto" w:fill="C9DED4"/>
          </w:tcPr>
          <w:p w14:paraId="4C2F856C" w14:textId="77777777" w:rsidR="00175DC0" w:rsidRPr="00576C92" w:rsidRDefault="00175DC0" w:rsidP="00F65A7A">
            <w:pPr>
              <w:rPr>
                <w:szCs w:val="18"/>
                <w:highlight w:val="yellow"/>
              </w:rPr>
            </w:pPr>
          </w:p>
        </w:tc>
        <w:tc>
          <w:tcPr>
            <w:tcW w:w="2172" w:type="dxa"/>
            <w:tcBorders>
              <w:top w:val="nil"/>
              <w:bottom w:val="nil"/>
            </w:tcBorders>
            <w:shd w:val="clear" w:color="auto" w:fill="C9DED4"/>
          </w:tcPr>
          <w:p w14:paraId="561E6E9A" w14:textId="627DE8D1" w:rsidR="00175DC0" w:rsidRDefault="0001181B" w:rsidP="00B42C6B">
            <w:pPr>
              <w:jc w:val="left"/>
              <w:rPr>
                <w:color w:val="000000"/>
                <w:szCs w:val="18"/>
              </w:rPr>
            </w:pPr>
            <w:r>
              <w:rPr>
                <w:color w:val="000000"/>
                <w:szCs w:val="18"/>
              </w:rPr>
              <w:t>Russian Federation</w:t>
            </w:r>
          </w:p>
        </w:tc>
        <w:tc>
          <w:tcPr>
            <w:tcW w:w="1500" w:type="dxa"/>
            <w:tcBorders>
              <w:top w:val="nil"/>
              <w:bottom w:val="nil"/>
            </w:tcBorders>
            <w:shd w:val="clear" w:color="auto" w:fill="C9DED4"/>
          </w:tcPr>
          <w:p w14:paraId="6885F923" w14:textId="2BCA92C5" w:rsidR="00175DC0" w:rsidRDefault="0001181B" w:rsidP="007E792B">
            <w:pPr>
              <w:ind w:right="453"/>
              <w:jc w:val="right"/>
              <w:rPr>
                <w:color w:val="000000"/>
                <w:szCs w:val="18"/>
              </w:rPr>
            </w:pPr>
            <w:r>
              <w:t>4</w:t>
            </w:r>
          </w:p>
        </w:tc>
        <w:tc>
          <w:tcPr>
            <w:tcW w:w="999" w:type="dxa"/>
            <w:tcBorders>
              <w:top w:val="nil"/>
              <w:bottom w:val="nil"/>
            </w:tcBorders>
            <w:shd w:val="clear" w:color="auto" w:fill="C9DED4"/>
          </w:tcPr>
          <w:p w14:paraId="76B3A2D5" w14:textId="77777777" w:rsidR="00175DC0" w:rsidRDefault="00175DC0" w:rsidP="00B42C6B">
            <w:pPr>
              <w:jc w:val="center"/>
              <w:rPr>
                <w:color w:val="000000"/>
                <w:szCs w:val="18"/>
              </w:rPr>
            </w:pPr>
            <w:r w:rsidRPr="00FA75C4">
              <w:t>3%</w:t>
            </w:r>
          </w:p>
        </w:tc>
      </w:tr>
      <w:tr w:rsidR="00175DC0" w:rsidRPr="00576C92" w14:paraId="020AAB1E" w14:textId="77777777" w:rsidTr="001D4FE7">
        <w:trPr>
          <w:trHeight w:val="222"/>
        </w:trPr>
        <w:tc>
          <w:tcPr>
            <w:tcW w:w="1943" w:type="dxa"/>
            <w:tcBorders>
              <w:top w:val="nil"/>
              <w:bottom w:val="nil"/>
            </w:tcBorders>
            <w:shd w:val="clear" w:color="auto" w:fill="auto"/>
          </w:tcPr>
          <w:p w14:paraId="51600077" w14:textId="52B14579" w:rsidR="00175DC0" w:rsidRDefault="00700E52" w:rsidP="00B42C6B">
            <w:pPr>
              <w:jc w:val="left"/>
              <w:rPr>
                <w:color w:val="000000"/>
                <w:szCs w:val="18"/>
              </w:rPr>
            </w:pPr>
            <w:r>
              <w:rPr>
                <w:color w:val="000000"/>
                <w:szCs w:val="18"/>
              </w:rPr>
              <w:t xml:space="preserve">Korea, Republic of </w:t>
            </w:r>
          </w:p>
        </w:tc>
        <w:tc>
          <w:tcPr>
            <w:tcW w:w="1495" w:type="dxa"/>
            <w:tcBorders>
              <w:top w:val="nil"/>
              <w:bottom w:val="nil"/>
            </w:tcBorders>
            <w:shd w:val="clear" w:color="auto" w:fill="auto"/>
          </w:tcPr>
          <w:p w14:paraId="6AFEA8B3" w14:textId="5937FA35" w:rsidR="00175DC0" w:rsidRDefault="00700E52" w:rsidP="007E792B">
            <w:pPr>
              <w:ind w:right="361"/>
              <w:jc w:val="right"/>
              <w:rPr>
                <w:color w:val="000000"/>
                <w:szCs w:val="18"/>
              </w:rPr>
            </w:pPr>
            <w:r>
              <w:rPr>
                <w:color w:val="000000"/>
                <w:szCs w:val="18"/>
              </w:rPr>
              <w:t>40</w:t>
            </w:r>
          </w:p>
        </w:tc>
        <w:tc>
          <w:tcPr>
            <w:tcW w:w="1044" w:type="dxa"/>
            <w:tcBorders>
              <w:top w:val="nil"/>
              <w:bottom w:val="nil"/>
            </w:tcBorders>
            <w:shd w:val="clear" w:color="auto" w:fill="auto"/>
          </w:tcPr>
          <w:p w14:paraId="469AC234" w14:textId="77777777" w:rsidR="00175DC0" w:rsidRDefault="00507EF2" w:rsidP="00B42C6B">
            <w:pPr>
              <w:jc w:val="center"/>
              <w:rPr>
                <w:color w:val="000000"/>
                <w:szCs w:val="18"/>
              </w:rPr>
            </w:pPr>
            <w:r>
              <w:t>3</w:t>
            </w:r>
            <w:r w:rsidR="00175DC0" w:rsidRPr="00983A49">
              <w:t>%</w:t>
            </w:r>
          </w:p>
        </w:tc>
        <w:tc>
          <w:tcPr>
            <w:tcW w:w="239" w:type="dxa"/>
            <w:tcBorders>
              <w:top w:val="nil"/>
              <w:bottom w:val="nil"/>
            </w:tcBorders>
            <w:shd w:val="clear" w:color="auto" w:fill="auto"/>
          </w:tcPr>
          <w:p w14:paraId="3A192360" w14:textId="77777777" w:rsidR="00175DC0" w:rsidRPr="00576C92" w:rsidRDefault="00175DC0" w:rsidP="00F65A7A">
            <w:pPr>
              <w:rPr>
                <w:szCs w:val="18"/>
                <w:highlight w:val="yellow"/>
              </w:rPr>
            </w:pPr>
          </w:p>
        </w:tc>
        <w:tc>
          <w:tcPr>
            <w:tcW w:w="2172" w:type="dxa"/>
            <w:tcBorders>
              <w:top w:val="nil"/>
              <w:bottom w:val="nil"/>
            </w:tcBorders>
            <w:shd w:val="clear" w:color="auto" w:fill="auto"/>
          </w:tcPr>
          <w:p w14:paraId="716EF596" w14:textId="455904CB" w:rsidR="00175DC0" w:rsidRDefault="0001181B" w:rsidP="00B42C6B">
            <w:pPr>
              <w:jc w:val="left"/>
              <w:rPr>
                <w:color w:val="000000"/>
                <w:szCs w:val="18"/>
              </w:rPr>
            </w:pPr>
            <w:r>
              <w:rPr>
                <w:color w:val="000000"/>
                <w:szCs w:val="18"/>
              </w:rPr>
              <w:t>Madagascar</w:t>
            </w:r>
          </w:p>
        </w:tc>
        <w:tc>
          <w:tcPr>
            <w:tcW w:w="1500" w:type="dxa"/>
            <w:tcBorders>
              <w:top w:val="nil"/>
              <w:bottom w:val="nil"/>
            </w:tcBorders>
            <w:shd w:val="clear" w:color="auto" w:fill="auto"/>
          </w:tcPr>
          <w:p w14:paraId="48D061EB" w14:textId="18A46423" w:rsidR="00175DC0" w:rsidRDefault="0001181B" w:rsidP="007E792B">
            <w:pPr>
              <w:ind w:right="453"/>
              <w:jc w:val="right"/>
              <w:rPr>
                <w:color w:val="000000"/>
                <w:szCs w:val="18"/>
              </w:rPr>
            </w:pPr>
            <w:r>
              <w:t>2</w:t>
            </w:r>
          </w:p>
        </w:tc>
        <w:tc>
          <w:tcPr>
            <w:tcW w:w="999" w:type="dxa"/>
            <w:tcBorders>
              <w:top w:val="nil"/>
              <w:bottom w:val="nil"/>
            </w:tcBorders>
            <w:shd w:val="clear" w:color="auto" w:fill="auto"/>
          </w:tcPr>
          <w:p w14:paraId="7D4959E5" w14:textId="77777777" w:rsidR="00175DC0" w:rsidRDefault="00507EF2" w:rsidP="00B42C6B">
            <w:pPr>
              <w:jc w:val="center"/>
              <w:rPr>
                <w:color w:val="000000"/>
                <w:szCs w:val="18"/>
              </w:rPr>
            </w:pPr>
            <w:r>
              <w:t>2</w:t>
            </w:r>
            <w:r w:rsidR="00175DC0" w:rsidRPr="00FA75C4">
              <w:t>%</w:t>
            </w:r>
          </w:p>
        </w:tc>
      </w:tr>
      <w:tr w:rsidR="00175DC0" w:rsidRPr="00C248C3" w14:paraId="7744083C" w14:textId="77777777" w:rsidTr="001D4FE7">
        <w:trPr>
          <w:trHeight w:val="208"/>
        </w:trPr>
        <w:tc>
          <w:tcPr>
            <w:tcW w:w="1943" w:type="dxa"/>
            <w:tcBorders>
              <w:top w:val="nil"/>
              <w:bottom w:val="single" w:sz="4" w:space="0" w:color="auto"/>
            </w:tcBorders>
            <w:shd w:val="clear" w:color="auto" w:fill="C9DED4"/>
            <w:vAlign w:val="center"/>
          </w:tcPr>
          <w:p w14:paraId="6E535A5D" w14:textId="77777777" w:rsidR="00175DC0" w:rsidRDefault="00507EF2" w:rsidP="00507EF2">
            <w:pPr>
              <w:jc w:val="left"/>
              <w:rPr>
                <w:color w:val="000000"/>
                <w:szCs w:val="18"/>
              </w:rPr>
            </w:pPr>
            <w:r>
              <w:rPr>
                <w:color w:val="000000"/>
                <w:szCs w:val="18"/>
              </w:rPr>
              <w:t>Mexico</w:t>
            </w:r>
          </w:p>
        </w:tc>
        <w:tc>
          <w:tcPr>
            <w:tcW w:w="1495" w:type="dxa"/>
            <w:tcBorders>
              <w:top w:val="nil"/>
              <w:bottom w:val="single" w:sz="4" w:space="0" w:color="auto"/>
            </w:tcBorders>
            <w:shd w:val="clear" w:color="auto" w:fill="C9DED4"/>
          </w:tcPr>
          <w:p w14:paraId="0EBE9209" w14:textId="5D511CA5" w:rsidR="00175DC0" w:rsidRDefault="00700E52" w:rsidP="007E792B">
            <w:pPr>
              <w:ind w:right="361"/>
              <w:jc w:val="right"/>
              <w:rPr>
                <w:color w:val="000000"/>
                <w:szCs w:val="18"/>
              </w:rPr>
            </w:pPr>
            <w:r>
              <w:t>33</w:t>
            </w:r>
          </w:p>
        </w:tc>
        <w:tc>
          <w:tcPr>
            <w:tcW w:w="1044" w:type="dxa"/>
            <w:tcBorders>
              <w:top w:val="nil"/>
              <w:bottom w:val="single" w:sz="4" w:space="0" w:color="auto"/>
            </w:tcBorders>
            <w:shd w:val="clear" w:color="auto" w:fill="C9DED4"/>
          </w:tcPr>
          <w:p w14:paraId="3FF50B35" w14:textId="77777777" w:rsidR="00175DC0" w:rsidRDefault="00175DC0" w:rsidP="00B42C6B">
            <w:pPr>
              <w:jc w:val="center"/>
              <w:rPr>
                <w:color w:val="000000"/>
                <w:szCs w:val="18"/>
              </w:rPr>
            </w:pPr>
            <w:r w:rsidRPr="00983A49">
              <w:t>3%</w:t>
            </w:r>
          </w:p>
        </w:tc>
        <w:tc>
          <w:tcPr>
            <w:tcW w:w="239" w:type="dxa"/>
            <w:tcBorders>
              <w:top w:val="nil"/>
              <w:bottom w:val="single" w:sz="4" w:space="0" w:color="auto"/>
            </w:tcBorders>
            <w:shd w:val="clear" w:color="auto" w:fill="C9DED4"/>
          </w:tcPr>
          <w:p w14:paraId="36BBC2FA" w14:textId="77777777" w:rsidR="00175DC0" w:rsidRPr="00576C92" w:rsidRDefault="00175DC0" w:rsidP="00F65A7A">
            <w:pPr>
              <w:rPr>
                <w:szCs w:val="18"/>
                <w:highlight w:val="yellow"/>
              </w:rPr>
            </w:pPr>
          </w:p>
        </w:tc>
        <w:tc>
          <w:tcPr>
            <w:tcW w:w="2172" w:type="dxa"/>
            <w:tcBorders>
              <w:top w:val="nil"/>
              <w:bottom w:val="single" w:sz="4" w:space="0" w:color="auto"/>
            </w:tcBorders>
            <w:shd w:val="clear" w:color="auto" w:fill="C9DED4"/>
          </w:tcPr>
          <w:p w14:paraId="5C33B8AD" w14:textId="5724F538" w:rsidR="00175DC0" w:rsidRDefault="0001181B" w:rsidP="00B42C6B">
            <w:pPr>
              <w:jc w:val="left"/>
              <w:rPr>
                <w:color w:val="000000"/>
                <w:szCs w:val="18"/>
              </w:rPr>
            </w:pPr>
            <w:r>
              <w:rPr>
                <w:color w:val="000000"/>
                <w:szCs w:val="18"/>
              </w:rPr>
              <w:t>Mauritius</w:t>
            </w:r>
          </w:p>
        </w:tc>
        <w:tc>
          <w:tcPr>
            <w:tcW w:w="1500" w:type="dxa"/>
            <w:tcBorders>
              <w:top w:val="nil"/>
              <w:bottom w:val="single" w:sz="4" w:space="0" w:color="auto"/>
            </w:tcBorders>
            <w:shd w:val="clear" w:color="auto" w:fill="C9DED4"/>
          </w:tcPr>
          <w:p w14:paraId="4740A61B" w14:textId="6352D7BA" w:rsidR="00175DC0" w:rsidRDefault="0001181B" w:rsidP="007E792B">
            <w:pPr>
              <w:ind w:right="453"/>
              <w:jc w:val="right"/>
              <w:rPr>
                <w:color w:val="000000"/>
                <w:szCs w:val="18"/>
              </w:rPr>
            </w:pPr>
            <w:r>
              <w:t>2</w:t>
            </w:r>
          </w:p>
        </w:tc>
        <w:tc>
          <w:tcPr>
            <w:tcW w:w="999" w:type="dxa"/>
            <w:tcBorders>
              <w:top w:val="nil"/>
              <w:bottom w:val="single" w:sz="4" w:space="0" w:color="auto"/>
            </w:tcBorders>
            <w:shd w:val="clear" w:color="auto" w:fill="C9DED4"/>
          </w:tcPr>
          <w:p w14:paraId="16312ACF" w14:textId="77777777" w:rsidR="00175DC0" w:rsidRDefault="00507EF2" w:rsidP="00B42C6B">
            <w:pPr>
              <w:jc w:val="center"/>
              <w:rPr>
                <w:color w:val="000000"/>
                <w:szCs w:val="18"/>
              </w:rPr>
            </w:pPr>
            <w:r>
              <w:t>2</w:t>
            </w:r>
            <w:r w:rsidR="00175DC0" w:rsidRPr="00FA75C4">
              <w:t>%</w:t>
            </w:r>
          </w:p>
        </w:tc>
      </w:tr>
    </w:tbl>
    <w:p w14:paraId="07FCD91E" w14:textId="77777777" w:rsidR="002819B4" w:rsidRDefault="002819B4" w:rsidP="000D7A28">
      <w:pPr>
        <w:spacing w:after="240"/>
      </w:pPr>
    </w:p>
    <w:p w14:paraId="0A21F5FF" w14:textId="77777777" w:rsidR="002819B4" w:rsidRDefault="002819B4" w:rsidP="00702EB6">
      <w:pPr>
        <w:pStyle w:val="Heading2"/>
      </w:pPr>
      <w:bookmarkStart w:id="16" w:name="_Toc400006340"/>
      <w:bookmarkStart w:id="17" w:name="_Toc400015167"/>
      <w:bookmarkStart w:id="18" w:name="_Toc527021050"/>
      <w:r>
        <w:t>Products covered</w:t>
      </w:r>
      <w:bookmarkEnd w:id="16"/>
      <w:bookmarkEnd w:id="17"/>
      <w:bookmarkEnd w:id="18"/>
    </w:p>
    <w:p w14:paraId="53E6DD8D" w14:textId="77777777" w:rsidR="002819B4" w:rsidRDefault="002819B4" w:rsidP="002819B4">
      <w:pPr>
        <w:pStyle w:val="BodyText"/>
      </w:pPr>
      <w:r>
        <w:t xml:space="preserve">In accordance with paragraphs 5 and 6 of Annex B of the SPS Agreement and the </w:t>
      </w:r>
      <w:r w:rsidR="00371234">
        <w:t xml:space="preserve">Recommended </w:t>
      </w:r>
      <w:r>
        <w:t>Transparency Procedures, Members are required to identify the products to be covered by a new or changed SPS measure and should prov</w:t>
      </w:r>
      <w:r w:rsidR="0061363C">
        <w:t>ide the relevant HS codes. Most </w:t>
      </w:r>
      <w:r>
        <w:t>Members have indicated they would welcome the provision of these codes by their trading partners.</w:t>
      </w:r>
      <w:r w:rsidR="00492B6F">
        <w:rPr>
          <w:rStyle w:val="FootnoteReference"/>
        </w:rPr>
        <w:footnoteReference w:id="14"/>
      </w:r>
      <w:r w:rsidR="00B86C44">
        <w:t xml:space="preserve"> </w:t>
      </w:r>
      <w:r w:rsidR="00B86C44">
        <w:lastRenderedPageBreak/>
        <w:t xml:space="preserve">However, identifying relevant HS codes is </w:t>
      </w:r>
      <w:r w:rsidR="00D14784">
        <w:t>one of the main difficulties</w:t>
      </w:r>
      <w:r w:rsidR="00B86C44">
        <w:t xml:space="preserve"> encountered by Members when filling in a notification according to the latest questionnaire on transparency.</w:t>
      </w:r>
      <w:r w:rsidR="00B86C44">
        <w:rPr>
          <w:rStyle w:val="FootnoteReference"/>
        </w:rPr>
        <w:footnoteReference w:id="15"/>
      </w:r>
    </w:p>
    <w:p w14:paraId="5ACE409D" w14:textId="77777777" w:rsidR="002819B4" w:rsidRDefault="002819B4" w:rsidP="002819B4">
      <w:pPr>
        <w:pStyle w:val="BodyText"/>
      </w:pPr>
      <w:r>
        <w:t>Since 1995 the WTO's Central Registry of Notifications (CRN) has been assigning, to the extent possible, the relevant HS codes for all notifications</w:t>
      </w:r>
      <w:r w:rsidR="001E3028">
        <w:t xml:space="preserve"> where these are not provided by the Member</w:t>
      </w:r>
      <w:r>
        <w:t>.</w:t>
      </w:r>
      <w:r w:rsidR="00492B6F">
        <w:rPr>
          <w:rStyle w:val="FootnoteReference"/>
        </w:rPr>
        <w:footnoteReference w:id="16"/>
      </w:r>
      <w:r w:rsidR="00175DC0">
        <w:t xml:space="preserve"> The SPS NSS </w:t>
      </w:r>
      <w:r w:rsidR="00443022">
        <w:t xml:space="preserve">also </w:t>
      </w:r>
      <w:r w:rsidR="00175DC0">
        <w:t>facilitates the inclusion of HS (and ICS) codes by submitting Members through a built-in search function.</w:t>
      </w:r>
    </w:p>
    <w:p w14:paraId="3591B16F" w14:textId="77777777" w:rsidR="002819B4" w:rsidRDefault="002819B4" w:rsidP="002819B4">
      <w:pPr>
        <w:pStyle w:val="BodyText"/>
      </w:pPr>
      <w:r>
        <w:t xml:space="preserve">While being only indicative, Table 3 shows the </w:t>
      </w:r>
      <w:r w:rsidR="00B86E84">
        <w:t xml:space="preserve">products </w:t>
      </w:r>
      <w:r>
        <w:t>at</w:t>
      </w:r>
      <w:r w:rsidR="00B86E84">
        <w:t xml:space="preserve"> the two-digit level of HS codes </w:t>
      </w:r>
      <w:r>
        <w:t>that are most often covered by regular and emergency notifications.</w:t>
      </w:r>
    </w:p>
    <w:p w14:paraId="3150C678" w14:textId="77777777" w:rsidR="002819B4" w:rsidRDefault="002819B4" w:rsidP="00492B6F">
      <w:pPr>
        <w:pStyle w:val="Caption"/>
      </w:pPr>
      <w:r>
        <w:t>Table 3. HS Codes assigned to notifications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41"/>
        <w:gridCol w:w="6"/>
        <w:gridCol w:w="4989"/>
        <w:gridCol w:w="88"/>
        <w:gridCol w:w="1406"/>
        <w:gridCol w:w="1586"/>
      </w:tblGrid>
      <w:tr w:rsidR="00A504C4" w14:paraId="38CCB220" w14:textId="77777777" w:rsidTr="004D139A">
        <w:tc>
          <w:tcPr>
            <w:tcW w:w="9016" w:type="dxa"/>
            <w:gridSpan w:val="6"/>
            <w:tcBorders>
              <w:bottom w:val="single" w:sz="4" w:space="0" w:color="auto"/>
            </w:tcBorders>
            <w:shd w:val="clear" w:color="auto" w:fill="006283"/>
          </w:tcPr>
          <w:p w14:paraId="19359CCA" w14:textId="135378F4" w:rsidR="00A504C4" w:rsidRPr="005D6C29" w:rsidRDefault="00A504C4" w:rsidP="007C59F8">
            <w:pPr>
              <w:spacing w:before="80" w:after="80"/>
              <w:jc w:val="center"/>
              <w:rPr>
                <w:b/>
                <w:color w:val="FFFFFF"/>
              </w:rPr>
            </w:pPr>
            <w:r w:rsidRPr="005D6C29">
              <w:rPr>
                <w:b/>
                <w:color w:val="FFFFFF"/>
              </w:rPr>
              <w:t>Regular notifications</w:t>
            </w:r>
          </w:p>
        </w:tc>
      </w:tr>
      <w:tr w:rsidR="008A562B" w14:paraId="2700AD66" w14:textId="77777777" w:rsidTr="004D139A">
        <w:tc>
          <w:tcPr>
            <w:tcW w:w="948" w:type="dxa"/>
            <w:gridSpan w:val="2"/>
            <w:tcBorders>
              <w:top w:val="single" w:sz="4" w:space="0" w:color="auto"/>
              <w:bottom w:val="nil"/>
            </w:tcBorders>
            <w:shd w:val="clear" w:color="auto" w:fill="006283"/>
          </w:tcPr>
          <w:p w14:paraId="1FDA3DB5" w14:textId="77777777" w:rsidR="00A504C4" w:rsidRPr="005D6C29" w:rsidRDefault="00A504C4" w:rsidP="005D6C29">
            <w:pPr>
              <w:jc w:val="center"/>
              <w:rPr>
                <w:b/>
                <w:color w:val="FFFFFF"/>
              </w:rPr>
            </w:pPr>
            <w:r w:rsidRPr="005D6C29">
              <w:rPr>
                <w:b/>
                <w:color w:val="FFFFFF"/>
              </w:rPr>
              <w:t>HS Code</w:t>
            </w:r>
          </w:p>
        </w:tc>
        <w:tc>
          <w:tcPr>
            <w:tcW w:w="5080" w:type="dxa"/>
            <w:gridSpan w:val="2"/>
            <w:tcBorders>
              <w:top w:val="single" w:sz="4" w:space="0" w:color="auto"/>
              <w:bottom w:val="nil"/>
            </w:tcBorders>
            <w:shd w:val="clear" w:color="auto" w:fill="006283"/>
          </w:tcPr>
          <w:p w14:paraId="127E188E" w14:textId="77777777" w:rsidR="00A504C4" w:rsidRPr="005D6C29" w:rsidRDefault="00A504C4" w:rsidP="005D6C29">
            <w:pPr>
              <w:jc w:val="center"/>
              <w:rPr>
                <w:b/>
                <w:color w:val="FFFFFF"/>
              </w:rPr>
            </w:pPr>
            <w:r w:rsidRPr="005D6C29">
              <w:rPr>
                <w:b/>
                <w:color w:val="FFFFFF"/>
              </w:rPr>
              <w:t>Description</w:t>
            </w:r>
          </w:p>
        </w:tc>
        <w:tc>
          <w:tcPr>
            <w:tcW w:w="1402" w:type="dxa"/>
            <w:tcBorders>
              <w:top w:val="single" w:sz="4" w:space="0" w:color="auto"/>
              <w:bottom w:val="nil"/>
            </w:tcBorders>
            <w:shd w:val="clear" w:color="auto" w:fill="006283"/>
          </w:tcPr>
          <w:p w14:paraId="0A80C439" w14:textId="77777777" w:rsidR="00A504C4" w:rsidRPr="005D6C29" w:rsidRDefault="00A504C4" w:rsidP="005D6C29">
            <w:pPr>
              <w:jc w:val="center"/>
              <w:rPr>
                <w:b/>
                <w:color w:val="FFFFFF"/>
              </w:rPr>
            </w:pPr>
            <w:r w:rsidRPr="005D6C29">
              <w:rPr>
                <w:b/>
                <w:color w:val="FFFFFF"/>
              </w:rPr>
              <w:t>Number</w:t>
            </w:r>
          </w:p>
        </w:tc>
        <w:tc>
          <w:tcPr>
            <w:tcW w:w="1586" w:type="dxa"/>
            <w:tcBorders>
              <w:top w:val="single" w:sz="4" w:space="0" w:color="auto"/>
              <w:bottom w:val="nil"/>
            </w:tcBorders>
            <w:shd w:val="clear" w:color="auto" w:fill="006283"/>
          </w:tcPr>
          <w:p w14:paraId="08F480DF" w14:textId="77777777" w:rsidR="00A504C4" w:rsidRPr="005D6C29" w:rsidRDefault="00A504C4" w:rsidP="005D6C29">
            <w:pPr>
              <w:jc w:val="center"/>
              <w:rPr>
                <w:b/>
                <w:color w:val="FFFFFF"/>
              </w:rPr>
            </w:pPr>
            <w:r w:rsidRPr="005D6C29">
              <w:rPr>
                <w:b/>
                <w:color w:val="FFFFFF"/>
              </w:rPr>
              <w:t>Share of Total</w:t>
            </w:r>
          </w:p>
        </w:tc>
      </w:tr>
      <w:tr w:rsidR="00175DC0" w:rsidRPr="00900973" w14:paraId="2AC67D1C" w14:textId="77777777" w:rsidTr="004D139A">
        <w:tc>
          <w:tcPr>
            <w:tcW w:w="948" w:type="dxa"/>
            <w:gridSpan w:val="2"/>
            <w:tcBorders>
              <w:top w:val="nil"/>
              <w:bottom w:val="nil"/>
            </w:tcBorders>
            <w:shd w:val="clear" w:color="auto" w:fill="FFFFFF"/>
          </w:tcPr>
          <w:p w14:paraId="6008F958" w14:textId="77777777" w:rsidR="00175DC0" w:rsidRPr="005063FB" w:rsidRDefault="00175DC0" w:rsidP="00E31092">
            <w:pPr>
              <w:jc w:val="center"/>
              <w:rPr>
                <w:color w:val="000000"/>
                <w:szCs w:val="18"/>
              </w:rPr>
            </w:pPr>
            <w:r w:rsidRPr="005063FB">
              <w:rPr>
                <w:color w:val="000000"/>
                <w:szCs w:val="18"/>
              </w:rPr>
              <w:t>(</w:t>
            </w:r>
            <w:r>
              <w:rPr>
                <w:color w:val="000000"/>
                <w:szCs w:val="18"/>
              </w:rPr>
              <w:t>02</w:t>
            </w:r>
            <w:r w:rsidRPr="005063FB">
              <w:rPr>
                <w:color w:val="000000"/>
                <w:szCs w:val="18"/>
              </w:rPr>
              <w:t>)</w:t>
            </w:r>
          </w:p>
        </w:tc>
        <w:tc>
          <w:tcPr>
            <w:tcW w:w="5080" w:type="dxa"/>
            <w:gridSpan w:val="2"/>
            <w:tcBorders>
              <w:top w:val="nil"/>
              <w:bottom w:val="nil"/>
            </w:tcBorders>
            <w:shd w:val="clear" w:color="auto" w:fill="FFFFFF"/>
          </w:tcPr>
          <w:p w14:paraId="53529642" w14:textId="77777777" w:rsidR="00175DC0" w:rsidRPr="005063FB" w:rsidRDefault="00175DC0" w:rsidP="002819B4">
            <w:r w:rsidRPr="008B5B4E">
              <w:t>Meat and edible meat offal</w:t>
            </w:r>
          </w:p>
        </w:tc>
        <w:tc>
          <w:tcPr>
            <w:tcW w:w="1402" w:type="dxa"/>
            <w:tcBorders>
              <w:top w:val="nil"/>
              <w:bottom w:val="nil"/>
            </w:tcBorders>
            <w:shd w:val="clear" w:color="auto" w:fill="FFFFFF"/>
          </w:tcPr>
          <w:p w14:paraId="225B5465" w14:textId="774B439C" w:rsidR="00175DC0" w:rsidRPr="005063FB" w:rsidRDefault="00175DC0" w:rsidP="005063FB">
            <w:pPr>
              <w:tabs>
                <w:tab w:val="right" w:pos="884"/>
              </w:tabs>
              <w:ind w:right="317"/>
              <w:jc w:val="right"/>
              <w:rPr>
                <w:color w:val="000000"/>
                <w:szCs w:val="18"/>
              </w:rPr>
            </w:pPr>
            <w:r w:rsidRPr="008B5B4E">
              <w:t>1</w:t>
            </w:r>
            <w:r>
              <w:t>,</w:t>
            </w:r>
            <w:r w:rsidR="00570AE8">
              <w:t>466</w:t>
            </w:r>
          </w:p>
        </w:tc>
        <w:tc>
          <w:tcPr>
            <w:tcW w:w="1586" w:type="dxa"/>
            <w:tcBorders>
              <w:top w:val="nil"/>
              <w:bottom w:val="nil"/>
            </w:tcBorders>
            <w:shd w:val="clear" w:color="auto" w:fill="FFFFFF"/>
            <w:vAlign w:val="bottom"/>
          </w:tcPr>
          <w:p w14:paraId="24C1682E" w14:textId="77777777" w:rsidR="00175DC0" w:rsidRPr="00E31092" w:rsidRDefault="00175DC0" w:rsidP="00E31092">
            <w:pPr>
              <w:jc w:val="center"/>
            </w:pPr>
            <w:r w:rsidRPr="00E31092">
              <w:t>9%</w:t>
            </w:r>
          </w:p>
        </w:tc>
      </w:tr>
      <w:tr w:rsidR="00175DC0" w:rsidRPr="00900973" w14:paraId="60772354" w14:textId="77777777" w:rsidTr="004D139A">
        <w:tc>
          <w:tcPr>
            <w:tcW w:w="948" w:type="dxa"/>
            <w:gridSpan w:val="2"/>
            <w:tcBorders>
              <w:top w:val="nil"/>
              <w:bottom w:val="nil"/>
            </w:tcBorders>
            <w:shd w:val="clear" w:color="auto" w:fill="C9DED4"/>
          </w:tcPr>
          <w:p w14:paraId="1BBA7131" w14:textId="77777777" w:rsidR="00175DC0" w:rsidRPr="005063FB" w:rsidRDefault="00175DC0" w:rsidP="00E31092">
            <w:pPr>
              <w:jc w:val="center"/>
              <w:rPr>
                <w:color w:val="000000"/>
                <w:szCs w:val="18"/>
              </w:rPr>
            </w:pPr>
            <w:r w:rsidRPr="005063FB">
              <w:rPr>
                <w:color w:val="000000"/>
                <w:szCs w:val="18"/>
              </w:rPr>
              <w:t>(</w:t>
            </w:r>
            <w:r>
              <w:rPr>
                <w:color w:val="000000"/>
                <w:szCs w:val="18"/>
              </w:rPr>
              <w:t>06</w:t>
            </w:r>
            <w:r w:rsidRPr="005063FB">
              <w:rPr>
                <w:color w:val="000000"/>
                <w:szCs w:val="18"/>
              </w:rPr>
              <w:t>)</w:t>
            </w:r>
          </w:p>
        </w:tc>
        <w:tc>
          <w:tcPr>
            <w:tcW w:w="5080" w:type="dxa"/>
            <w:gridSpan w:val="2"/>
            <w:tcBorders>
              <w:top w:val="nil"/>
              <w:bottom w:val="nil"/>
            </w:tcBorders>
            <w:shd w:val="clear" w:color="auto" w:fill="C9DED4"/>
          </w:tcPr>
          <w:p w14:paraId="5A952C5B" w14:textId="77777777" w:rsidR="00175DC0" w:rsidRPr="005063FB" w:rsidRDefault="00175DC0" w:rsidP="002819B4">
            <w:r w:rsidRPr="008B5B4E">
              <w:t>Live trees and other plants; bulbs, roots and the like; cut flowers and ornamental foliage</w:t>
            </w:r>
          </w:p>
        </w:tc>
        <w:tc>
          <w:tcPr>
            <w:tcW w:w="1402" w:type="dxa"/>
            <w:tcBorders>
              <w:top w:val="nil"/>
              <w:bottom w:val="nil"/>
            </w:tcBorders>
            <w:shd w:val="clear" w:color="auto" w:fill="C9DED4"/>
          </w:tcPr>
          <w:p w14:paraId="27D38ACF" w14:textId="45EC481B" w:rsidR="00175DC0" w:rsidRPr="005063FB" w:rsidRDefault="00175DC0" w:rsidP="005063FB">
            <w:pPr>
              <w:tabs>
                <w:tab w:val="right" w:pos="884"/>
              </w:tabs>
              <w:ind w:right="317"/>
              <w:jc w:val="right"/>
              <w:rPr>
                <w:color w:val="000000"/>
                <w:szCs w:val="18"/>
              </w:rPr>
            </w:pPr>
            <w:r w:rsidRPr="008B5B4E">
              <w:t>1</w:t>
            </w:r>
            <w:r>
              <w:t>,</w:t>
            </w:r>
            <w:r w:rsidR="00E96C44">
              <w:t>437</w:t>
            </w:r>
          </w:p>
        </w:tc>
        <w:tc>
          <w:tcPr>
            <w:tcW w:w="1586" w:type="dxa"/>
            <w:tcBorders>
              <w:top w:val="nil"/>
              <w:bottom w:val="nil"/>
            </w:tcBorders>
            <w:shd w:val="clear" w:color="auto" w:fill="C9DED4"/>
          </w:tcPr>
          <w:p w14:paraId="7980E251" w14:textId="77777777" w:rsidR="00175DC0" w:rsidRPr="00E31092" w:rsidRDefault="00175DC0" w:rsidP="00E96C44">
            <w:pPr>
              <w:jc w:val="center"/>
            </w:pPr>
            <w:r w:rsidRPr="00E31092">
              <w:t>9%</w:t>
            </w:r>
          </w:p>
        </w:tc>
      </w:tr>
      <w:tr w:rsidR="00175DC0" w:rsidRPr="00900973" w14:paraId="3D3A82E5" w14:textId="77777777" w:rsidTr="004D139A">
        <w:tc>
          <w:tcPr>
            <w:tcW w:w="948" w:type="dxa"/>
            <w:gridSpan w:val="2"/>
            <w:tcBorders>
              <w:top w:val="nil"/>
              <w:bottom w:val="nil"/>
            </w:tcBorders>
            <w:shd w:val="clear" w:color="auto" w:fill="FFFFFF"/>
          </w:tcPr>
          <w:p w14:paraId="5593288D" w14:textId="2DED5D84" w:rsidR="00175DC0" w:rsidRPr="005063FB" w:rsidRDefault="00E96C44" w:rsidP="00E31092">
            <w:pPr>
              <w:jc w:val="center"/>
              <w:rPr>
                <w:color w:val="000000"/>
                <w:szCs w:val="18"/>
              </w:rPr>
            </w:pPr>
            <w:r>
              <w:rPr>
                <w:color w:val="000000"/>
                <w:szCs w:val="18"/>
              </w:rPr>
              <w:t>(08</w:t>
            </w:r>
            <w:r w:rsidR="00175DC0" w:rsidRPr="005063FB">
              <w:rPr>
                <w:color w:val="000000"/>
                <w:szCs w:val="18"/>
              </w:rPr>
              <w:t>)</w:t>
            </w:r>
          </w:p>
        </w:tc>
        <w:tc>
          <w:tcPr>
            <w:tcW w:w="5080" w:type="dxa"/>
            <w:gridSpan w:val="2"/>
            <w:tcBorders>
              <w:top w:val="nil"/>
              <w:bottom w:val="nil"/>
            </w:tcBorders>
            <w:shd w:val="clear" w:color="auto" w:fill="FFFFFF"/>
          </w:tcPr>
          <w:p w14:paraId="09879DAA" w14:textId="2262EB67" w:rsidR="00175DC0" w:rsidRPr="00E96C44" w:rsidRDefault="00E96C44" w:rsidP="002819B4">
            <w:pPr>
              <w:rPr>
                <w:b/>
              </w:rPr>
            </w:pPr>
            <w:r w:rsidRPr="008B5B4E">
              <w:t>Edible fruit and nuts; peel of citrus fruit or melons</w:t>
            </w:r>
          </w:p>
        </w:tc>
        <w:tc>
          <w:tcPr>
            <w:tcW w:w="1402" w:type="dxa"/>
            <w:tcBorders>
              <w:top w:val="nil"/>
              <w:bottom w:val="nil"/>
            </w:tcBorders>
            <w:shd w:val="clear" w:color="auto" w:fill="FFFFFF"/>
          </w:tcPr>
          <w:p w14:paraId="32B84093" w14:textId="51086379" w:rsidR="00175DC0" w:rsidRPr="00450F81" w:rsidRDefault="00175DC0" w:rsidP="00C9199B">
            <w:pPr>
              <w:tabs>
                <w:tab w:val="right" w:pos="884"/>
              </w:tabs>
              <w:ind w:right="317"/>
              <w:jc w:val="right"/>
              <w:rPr>
                <w:color w:val="000000"/>
                <w:szCs w:val="18"/>
              </w:rPr>
            </w:pPr>
            <w:r w:rsidRPr="008B5B4E">
              <w:t>1</w:t>
            </w:r>
            <w:r>
              <w:t>,</w:t>
            </w:r>
            <w:r w:rsidR="00E96C44">
              <w:t>324</w:t>
            </w:r>
          </w:p>
        </w:tc>
        <w:tc>
          <w:tcPr>
            <w:tcW w:w="1586" w:type="dxa"/>
            <w:tcBorders>
              <w:top w:val="nil"/>
              <w:bottom w:val="nil"/>
            </w:tcBorders>
            <w:shd w:val="clear" w:color="auto" w:fill="FFFFFF"/>
            <w:vAlign w:val="bottom"/>
          </w:tcPr>
          <w:p w14:paraId="61921B9F" w14:textId="77777777" w:rsidR="00175DC0" w:rsidRPr="00E31092" w:rsidRDefault="00175DC0" w:rsidP="00E31092">
            <w:pPr>
              <w:jc w:val="center"/>
            </w:pPr>
            <w:r w:rsidRPr="00E31092">
              <w:t>8%</w:t>
            </w:r>
          </w:p>
        </w:tc>
      </w:tr>
      <w:tr w:rsidR="00175DC0" w:rsidRPr="00900973" w14:paraId="0C3C5BB8" w14:textId="77777777" w:rsidTr="004D139A">
        <w:trPr>
          <w:trHeight w:val="172"/>
        </w:trPr>
        <w:tc>
          <w:tcPr>
            <w:tcW w:w="948" w:type="dxa"/>
            <w:gridSpan w:val="2"/>
            <w:tcBorders>
              <w:top w:val="nil"/>
              <w:bottom w:val="nil"/>
            </w:tcBorders>
            <w:shd w:val="clear" w:color="auto" w:fill="C9DED4"/>
          </w:tcPr>
          <w:p w14:paraId="08BC66C2" w14:textId="1491F683" w:rsidR="00175DC0" w:rsidRPr="005063FB" w:rsidRDefault="00175DC0" w:rsidP="00E31092">
            <w:pPr>
              <w:jc w:val="center"/>
              <w:rPr>
                <w:color w:val="000000"/>
                <w:szCs w:val="18"/>
              </w:rPr>
            </w:pPr>
            <w:r w:rsidRPr="005063FB">
              <w:rPr>
                <w:color w:val="000000"/>
                <w:szCs w:val="18"/>
              </w:rPr>
              <w:t>(</w:t>
            </w:r>
            <w:r w:rsidR="00E96C44">
              <w:rPr>
                <w:color w:val="000000"/>
                <w:szCs w:val="18"/>
              </w:rPr>
              <w:t>04</w:t>
            </w:r>
            <w:r w:rsidRPr="005063FB">
              <w:rPr>
                <w:color w:val="000000"/>
                <w:szCs w:val="18"/>
              </w:rPr>
              <w:t>)</w:t>
            </w:r>
          </w:p>
        </w:tc>
        <w:tc>
          <w:tcPr>
            <w:tcW w:w="5080" w:type="dxa"/>
            <w:gridSpan w:val="2"/>
            <w:tcBorders>
              <w:top w:val="nil"/>
              <w:bottom w:val="nil"/>
            </w:tcBorders>
            <w:shd w:val="clear" w:color="auto" w:fill="C9DED4"/>
          </w:tcPr>
          <w:p w14:paraId="3EBED29B" w14:textId="5CD2FAE7" w:rsidR="00175DC0" w:rsidRPr="005063FB" w:rsidRDefault="00E96C44" w:rsidP="002819B4">
            <w:r w:rsidRPr="008B5B4E">
              <w:t xml:space="preserve">Dairy produce; birds' eggs; natural honey; edible products of animal origin, not elsewhere specified or included </w:t>
            </w:r>
            <w:r w:rsidR="00175DC0" w:rsidRPr="008B5B4E">
              <w:t>Edible fruit and nuts; peel of citrus fruit or melons</w:t>
            </w:r>
          </w:p>
        </w:tc>
        <w:tc>
          <w:tcPr>
            <w:tcW w:w="1402" w:type="dxa"/>
            <w:tcBorders>
              <w:top w:val="nil"/>
              <w:bottom w:val="nil"/>
            </w:tcBorders>
            <w:shd w:val="clear" w:color="auto" w:fill="C9DED4"/>
          </w:tcPr>
          <w:p w14:paraId="39A24BA4" w14:textId="1F9BD375" w:rsidR="00175DC0" w:rsidRPr="00450F81" w:rsidRDefault="00175DC0" w:rsidP="00C9199B">
            <w:pPr>
              <w:tabs>
                <w:tab w:val="right" w:pos="884"/>
              </w:tabs>
              <w:ind w:right="317"/>
              <w:jc w:val="right"/>
              <w:rPr>
                <w:color w:val="000000"/>
                <w:szCs w:val="18"/>
              </w:rPr>
            </w:pPr>
            <w:r w:rsidRPr="008B5B4E">
              <w:t>1</w:t>
            </w:r>
            <w:r>
              <w:t>,</w:t>
            </w:r>
            <w:r w:rsidR="00E96C44">
              <w:t>261</w:t>
            </w:r>
          </w:p>
        </w:tc>
        <w:tc>
          <w:tcPr>
            <w:tcW w:w="1586" w:type="dxa"/>
            <w:tcBorders>
              <w:top w:val="nil"/>
              <w:bottom w:val="nil"/>
            </w:tcBorders>
            <w:shd w:val="clear" w:color="auto" w:fill="C9DED4"/>
          </w:tcPr>
          <w:p w14:paraId="223CA96C" w14:textId="4A211CF8" w:rsidR="00175DC0" w:rsidRPr="00E31092" w:rsidRDefault="00E96C44" w:rsidP="00E31092">
            <w:pPr>
              <w:jc w:val="center"/>
            </w:pPr>
            <w:r>
              <w:t>8</w:t>
            </w:r>
            <w:r w:rsidR="00175DC0" w:rsidRPr="00E31092">
              <w:t>%</w:t>
            </w:r>
          </w:p>
        </w:tc>
      </w:tr>
      <w:tr w:rsidR="00175DC0" w14:paraId="6FA1E4CD" w14:textId="77777777" w:rsidTr="004D139A">
        <w:trPr>
          <w:trHeight w:val="150"/>
        </w:trPr>
        <w:tc>
          <w:tcPr>
            <w:tcW w:w="948" w:type="dxa"/>
            <w:gridSpan w:val="2"/>
            <w:tcBorders>
              <w:top w:val="nil"/>
              <w:bottom w:val="single" w:sz="4" w:space="0" w:color="auto"/>
            </w:tcBorders>
            <w:shd w:val="clear" w:color="auto" w:fill="FFFFFF"/>
          </w:tcPr>
          <w:p w14:paraId="02976043" w14:textId="50B13DF2" w:rsidR="00175DC0" w:rsidRPr="005063FB" w:rsidRDefault="00175DC0" w:rsidP="00E31092">
            <w:pPr>
              <w:jc w:val="center"/>
              <w:rPr>
                <w:color w:val="000000"/>
                <w:szCs w:val="18"/>
              </w:rPr>
            </w:pPr>
            <w:r w:rsidRPr="005063FB">
              <w:rPr>
                <w:color w:val="000000"/>
                <w:szCs w:val="18"/>
              </w:rPr>
              <w:t>(</w:t>
            </w:r>
            <w:r w:rsidR="00E96C44">
              <w:rPr>
                <w:color w:val="000000"/>
                <w:szCs w:val="18"/>
              </w:rPr>
              <w:t>01</w:t>
            </w:r>
            <w:r w:rsidRPr="005063FB">
              <w:rPr>
                <w:color w:val="000000"/>
                <w:szCs w:val="18"/>
              </w:rPr>
              <w:t>)</w:t>
            </w:r>
          </w:p>
        </w:tc>
        <w:tc>
          <w:tcPr>
            <w:tcW w:w="5080" w:type="dxa"/>
            <w:gridSpan w:val="2"/>
            <w:tcBorders>
              <w:top w:val="nil"/>
              <w:bottom w:val="single" w:sz="4" w:space="0" w:color="auto"/>
            </w:tcBorders>
            <w:shd w:val="clear" w:color="auto" w:fill="FFFFFF"/>
          </w:tcPr>
          <w:p w14:paraId="0454A995" w14:textId="037C733A" w:rsidR="00175DC0" w:rsidRPr="005063FB" w:rsidRDefault="00E96C44" w:rsidP="003322DC">
            <w:r>
              <w:t>Live animals</w:t>
            </w:r>
          </w:p>
        </w:tc>
        <w:tc>
          <w:tcPr>
            <w:tcW w:w="1402" w:type="dxa"/>
            <w:tcBorders>
              <w:top w:val="nil"/>
              <w:bottom w:val="single" w:sz="4" w:space="0" w:color="auto"/>
            </w:tcBorders>
            <w:shd w:val="clear" w:color="auto" w:fill="FFFFFF"/>
          </w:tcPr>
          <w:p w14:paraId="3EFA784C" w14:textId="19C5B4F9" w:rsidR="00175DC0" w:rsidRPr="005063FB" w:rsidRDefault="00175DC0" w:rsidP="00C9199B">
            <w:pPr>
              <w:tabs>
                <w:tab w:val="right" w:pos="884"/>
              </w:tabs>
              <w:ind w:right="317"/>
              <w:jc w:val="right"/>
              <w:rPr>
                <w:color w:val="000000"/>
                <w:szCs w:val="18"/>
              </w:rPr>
            </w:pPr>
            <w:r w:rsidRPr="008B5B4E">
              <w:t>1</w:t>
            </w:r>
            <w:r>
              <w:t>,</w:t>
            </w:r>
            <w:r w:rsidR="00E96C44">
              <w:t>206</w:t>
            </w:r>
          </w:p>
        </w:tc>
        <w:tc>
          <w:tcPr>
            <w:tcW w:w="1586" w:type="dxa"/>
            <w:tcBorders>
              <w:top w:val="nil"/>
              <w:bottom w:val="single" w:sz="4" w:space="0" w:color="auto"/>
            </w:tcBorders>
            <w:shd w:val="clear" w:color="auto" w:fill="FFFFFF"/>
          </w:tcPr>
          <w:p w14:paraId="29E5CACD" w14:textId="5EE86309" w:rsidR="00175DC0" w:rsidRPr="00E31092" w:rsidRDefault="00E96C44" w:rsidP="00E31092">
            <w:pPr>
              <w:jc w:val="center"/>
            </w:pPr>
            <w:r>
              <w:t>8</w:t>
            </w:r>
            <w:r w:rsidR="00175DC0" w:rsidRPr="00E31092">
              <w:t>%</w:t>
            </w:r>
          </w:p>
        </w:tc>
      </w:tr>
      <w:tr w:rsidR="00A504C4" w14:paraId="31113885" w14:textId="77777777" w:rsidTr="004D139A">
        <w:tc>
          <w:tcPr>
            <w:tcW w:w="9016" w:type="dxa"/>
            <w:gridSpan w:val="6"/>
            <w:tcBorders>
              <w:bottom w:val="single" w:sz="4" w:space="0" w:color="auto"/>
            </w:tcBorders>
            <w:shd w:val="clear" w:color="auto" w:fill="006283"/>
          </w:tcPr>
          <w:p w14:paraId="7E73870F" w14:textId="0D416A79" w:rsidR="00A504C4" w:rsidRPr="005D6C29" w:rsidRDefault="00A504C4" w:rsidP="007C59F8">
            <w:pPr>
              <w:spacing w:before="80" w:after="80"/>
              <w:jc w:val="center"/>
              <w:rPr>
                <w:b/>
                <w:color w:val="FFFFFF"/>
              </w:rPr>
            </w:pPr>
            <w:r w:rsidRPr="005D6C29">
              <w:rPr>
                <w:b/>
                <w:color w:val="FFFFFF"/>
              </w:rPr>
              <w:t>Emergency notifications</w:t>
            </w:r>
          </w:p>
        </w:tc>
      </w:tr>
      <w:tr w:rsidR="00A504C4" w14:paraId="37A84DC5" w14:textId="77777777" w:rsidTr="004D139A">
        <w:tc>
          <w:tcPr>
            <w:tcW w:w="942" w:type="dxa"/>
            <w:tcBorders>
              <w:top w:val="single" w:sz="4" w:space="0" w:color="auto"/>
              <w:bottom w:val="nil"/>
            </w:tcBorders>
            <w:shd w:val="clear" w:color="auto" w:fill="006283"/>
          </w:tcPr>
          <w:p w14:paraId="7CB219B5" w14:textId="77777777" w:rsidR="00A504C4" w:rsidRPr="005D6C29" w:rsidRDefault="00A504C4" w:rsidP="000D7A28">
            <w:pPr>
              <w:jc w:val="center"/>
              <w:rPr>
                <w:b/>
                <w:color w:val="FFFFFF"/>
              </w:rPr>
            </w:pPr>
            <w:r w:rsidRPr="005D6C29">
              <w:rPr>
                <w:b/>
                <w:color w:val="FFFFFF"/>
              </w:rPr>
              <w:t>HS Code</w:t>
            </w:r>
          </w:p>
        </w:tc>
        <w:tc>
          <w:tcPr>
            <w:tcW w:w="4998" w:type="dxa"/>
            <w:gridSpan w:val="2"/>
            <w:tcBorders>
              <w:top w:val="single" w:sz="4" w:space="0" w:color="auto"/>
              <w:bottom w:val="nil"/>
            </w:tcBorders>
            <w:shd w:val="clear" w:color="auto" w:fill="006283"/>
          </w:tcPr>
          <w:p w14:paraId="57913B53" w14:textId="77777777" w:rsidR="00A504C4" w:rsidRPr="005D6C29" w:rsidRDefault="00A504C4" w:rsidP="000D7A28">
            <w:pPr>
              <w:jc w:val="center"/>
              <w:rPr>
                <w:b/>
                <w:color w:val="FFFFFF"/>
              </w:rPr>
            </w:pPr>
            <w:r w:rsidRPr="005D6C29">
              <w:rPr>
                <w:b/>
                <w:color w:val="FFFFFF"/>
              </w:rPr>
              <w:t>Description</w:t>
            </w:r>
          </w:p>
        </w:tc>
        <w:tc>
          <w:tcPr>
            <w:tcW w:w="1494" w:type="dxa"/>
            <w:gridSpan w:val="2"/>
            <w:tcBorders>
              <w:top w:val="single" w:sz="4" w:space="0" w:color="auto"/>
              <w:bottom w:val="nil"/>
            </w:tcBorders>
            <w:shd w:val="clear" w:color="auto" w:fill="006283"/>
          </w:tcPr>
          <w:p w14:paraId="799DC1AE" w14:textId="77777777" w:rsidR="00A504C4" w:rsidRPr="005D6C29" w:rsidRDefault="00A504C4" w:rsidP="000D7A28">
            <w:pPr>
              <w:jc w:val="center"/>
              <w:rPr>
                <w:b/>
                <w:color w:val="FFFFFF"/>
              </w:rPr>
            </w:pPr>
            <w:r w:rsidRPr="005D6C29">
              <w:rPr>
                <w:b/>
                <w:color w:val="FFFFFF"/>
              </w:rPr>
              <w:t>Number</w:t>
            </w:r>
          </w:p>
        </w:tc>
        <w:tc>
          <w:tcPr>
            <w:tcW w:w="1582" w:type="dxa"/>
            <w:tcBorders>
              <w:top w:val="single" w:sz="4" w:space="0" w:color="auto"/>
              <w:bottom w:val="nil"/>
            </w:tcBorders>
            <w:shd w:val="clear" w:color="auto" w:fill="006283"/>
          </w:tcPr>
          <w:p w14:paraId="341C2AF2" w14:textId="77777777" w:rsidR="00A504C4" w:rsidRPr="005D6C29" w:rsidRDefault="00A504C4" w:rsidP="000D7A28">
            <w:pPr>
              <w:jc w:val="center"/>
              <w:rPr>
                <w:b/>
                <w:color w:val="FFFFFF"/>
              </w:rPr>
            </w:pPr>
            <w:r w:rsidRPr="005D6C29">
              <w:rPr>
                <w:b/>
                <w:color w:val="FFFFFF"/>
              </w:rPr>
              <w:t>Share of Total</w:t>
            </w:r>
          </w:p>
        </w:tc>
      </w:tr>
      <w:tr w:rsidR="00E31092" w:rsidRPr="00900973" w14:paraId="40DD9D23" w14:textId="77777777" w:rsidTr="004D139A">
        <w:tc>
          <w:tcPr>
            <w:tcW w:w="942" w:type="dxa"/>
            <w:tcBorders>
              <w:top w:val="nil"/>
              <w:bottom w:val="nil"/>
            </w:tcBorders>
            <w:shd w:val="clear" w:color="auto" w:fill="FFFFFF"/>
            <w:vAlign w:val="bottom"/>
          </w:tcPr>
          <w:p w14:paraId="4EBC5FD3" w14:textId="77777777" w:rsidR="00E31092" w:rsidRPr="000C359E" w:rsidRDefault="00E31092" w:rsidP="000D7A28">
            <w:pPr>
              <w:jc w:val="center"/>
              <w:rPr>
                <w:color w:val="000000"/>
                <w:szCs w:val="18"/>
              </w:rPr>
            </w:pPr>
            <w:r w:rsidRPr="000C359E">
              <w:rPr>
                <w:color w:val="000000"/>
                <w:szCs w:val="18"/>
              </w:rPr>
              <w:t>(</w:t>
            </w:r>
            <w:r>
              <w:rPr>
                <w:color w:val="000000"/>
                <w:szCs w:val="18"/>
              </w:rPr>
              <w:t>01</w:t>
            </w:r>
            <w:r w:rsidRPr="000C359E">
              <w:rPr>
                <w:color w:val="000000"/>
                <w:szCs w:val="18"/>
              </w:rPr>
              <w:t>)</w:t>
            </w:r>
          </w:p>
        </w:tc>
        <w:tc>
          <w:tcPr>
            <w:tcW w:w="4998" w:type="dxa"/>
            <w:gridSpan w:val="2"/>
            <w:tcBorders>
              <w:top w:val="nil"/>
              <w:bottom w:val="nil"/>
            </w:tcBorders>
            <w:shd w:val="clear" w:color="auto" w:fill="FFFFFF"/>
          </w:tcPr>
          <w:p w14:paraId="2BB4F2A7" w14:textId="77777777" w:rsidR="00E31092" w:rsidRPr="000C359E" w:rsidRDefault="00E31092" w:rsidP="000D7A28">
            <w:r w:rsidRPr="00216248">
              <w:t>Live animals</w:t>
            </w:r>
          </w:p>
        </w:tc>
        <w:tc>
          <w:tcPr>
            <w:tcW w:w="1494" w:type="dxa"/>
            <w:gridSpan w:val="2"/>
            <w:tcBorders>
              <w:top w:val="nil"/>
              <w:bottom w:val="nil"/>
            </w:tcBorders>
            <w:shd w:val="clear" w:color="auto" w:fill="FFFFFF"/>
          </w:tcPr>
          <w:p w14:paraId="57CDB1B4" w14:textId="0B344315" w:rsidR="00E31092" w:rsidRPr="00450F81" w:rsidRDefault="00E31092" w:rsidP="000D7A28">
            <w:pPr>
              <w:tabs>
                <w:tab w:val="right" w:pos="884"/>
              </w:tabs>
              <w:ind w:right="317"/>
              <w:jc w:val="right"/>
              <w:rPr>
                <w:color w:val="000000"/>
                <w:szCs w:val="18"/>
              </w:rPr>
            </w:pPr>
            <w:r w:rsidRPr="00216248">
              <w:t>1</w:t>
            </w:r>
            <w:r>
              <w:t>,</w:t>
            </w:r>
            <w:r w:rsidR="00E96C44">
              <w:t>207</w:t>
            </w:r>
          </w:p>
        </w:tc>
        <w:tc>
          <w:tcPr>
            <w:tcW w:w="1582" w:type="dxa"/>
            <w:tcBorders>
              <w:top w:val="nil"/>
              <w:bottom w:val="nil"/>
            </w:tcBorders>
            <w:shd w:val="clear" w:color="auto" w:fill="FFFFFF"/>
          </w:tcPr>
          <w:p w14:paraId="092739B5" w14:textId="50E1E7A4" w:rsidR="00E31092" w:rsidRPr="00E31092" w:rsidRDefault="00E96C44" w:rsidP="000D7A28">
            <w:pPr>
              <w:ind w:right="379"/>
              <w:jc w:val="right"/>
              <w:rPr>
                <w:color w:val="000000"/>
                <w:szCs w:val="18"/>
                <w:highlight w:val="yellow"/>
              </w:rPr>
            </w:pPr>
            <w:r>
              <w:t>57</w:t>
            </w:r>
            <w:r w:rsidR="00E31092" w:rsidRPr="004B1222">
              <w:t>%</w:t>
            </w:r>
          </w:p>
        </w:tc>
      </w:tr>
      <w:tr w:rsidR="00E31092" w:rsidRPr="00900973" w14:paraId="150B5287" w14:textId="77777777" w:rsidTr="004D139A">
        <w:tc>
          <w:tcPr>
            <w:tcW w:w="942" w:type="dxa"/>
            <w:tcBorders>
              <w:top w:val="nil"/>
              <w:bottom w:val="nil"/>
            </w:tcBorders>
            <w:shd w:val="clear" w:color="auto" w:fill="C9DED4"/>
            <w:vAlign w:val="bottom"/>
          </w:tcPr>
          <w:p w14:paraId="10E20D07" w14:textId="77777777" w:rsidR="00E31092" w:rsidRPr="000C359E" w:rsidRDefault="00E31092" w:rsidP="000D7A28">
            <w:pPr>
              <w:jc w:val="center"/>
              <w:rPr>
                <w:color w:val="000000"/>
                <w:szCs w:val="18"/>
              </w:rPr>
            </w:pPr>
            <w:r w:rsidRPr="000C359E">
              <w:rPr>
                <w:color w:val="000000"/>
                <w:szCs w:val="18"/>
              </w:rPr>
              <w:t>(</w:t>
            </w:r>
            <w:r>
              <w:rPr>
                <w:color w:val="000000"/>
                <w:szCs w:val="18"/>
              </w:rPr>
              <w:t>02</w:t>
            </w:r>
            <w:r w:rsidRPr="000C359E">
              <w:rPr>
                <w:color w:val="000000"/>
                <w:szCs w:val="18"/>
              </w:rPr>
              <w:t>)</w:t>
            </w:r>
          </w:p>
        </w:tc>
        <w:tc>
          <w:tcPr>
            <w:tcW w:w="4998" w:type="dxa"/>
            <w:gridSpan w:val="2"/>
            <w:tcBorders>
              <w:top w:val="nil"/>
              <w:bottom w:val="nil"/>
            </w:tcBorders>
            <w:shd w:val="clear" w:color="auto" w:fill="C9DED4"/>
          </w:tcPr>
          <w:p w14:paraId="4B1A79B1" w14:textId="77777777" w:rsidR="00E31092" w:rsidRPr="000C359E" w:rsidRDefault="00E31092" w:rsidP="000D7A28">
            <w:r w:rsidRPr="00216248">
              <w:t>Meat and edible meat offal</w:t>
            </w:r>
          </w:p>
        </w:tc>
        <w:tc>
          <w:tcPr>
            <w:tcW w:w="1494" w:type="dxa"/>
            <w:gridSpan w:val="2"/>
            <w:tcBorders>
              <w:top w:val="nil"/>
              <w:bottom w:val="nil"/>
            </w:tcBorders>
            <w:shd w:val="clear" w:color="auto" w:fill="C9DED4"/>
          </w:tcPr>
          <w:p w14:paraId="51BB6553" w14:textId="08316C86" w:rsidR="00E31092" w:rsidRPr="00450F81" w:rsidRDefault="00E31092" w:rsidP="000D7A28">
            <w:pPr>
              <w:tabs>
                <w:tab w:val="right" w:pos="884"/>
              </w:tabs>
              <w:ind w:right="317"/>
              <w:jc w:val="right"/>
              <w:rPr>
                <w:color w:val="000000"/>
                <w:szCs w:val="18"/>
              </w:rPr>
            </w:pPr>
            <w:r w:rsidRPr="00216248">
              <w:t>1</w:t>
            </w:r>
            <w:r>
              <w:t>,</w:t>
            </w:r>
            <w:r w:rsidR="00E96C44">
              <w:t>187</w:t>
            </w:r>
          </w:p>
        </w:tc>
        <w:tc>
          <w:tcPr>
            <w:tcW w:w="1582" w:type="dxa"/>
            <w:tcBorders>
              <w:top w:val="nil"/>
              <w:bottom w:val="nil"/>
            </w:tcBorders>
            <w:shd w:val="clear" w:color="auto" w:fill="C9DED4"/>
          </w:tcPr>
          <w:p w14:paraId="1D2AFBD1" w14:textId="2A475DFC" w:rsidR="00E31092" w:rsidRPr="00E31092" w:rsidRDefault="00E96C44" w:rsidP="000D7A28">
            <w:pPr>
              <w:ind w:right="379"/>
              <w:jc w:val="right"/>
              <w:rPr>
                <w:color w:val="000000"/>
                <w:szCs w:val="18"/>
                <w:highlight w:val="yellow"/>
              </w:rPr>
            </w:pPr>
            <w:r>
              <w:t>56</w:t>
            </w:r>
            <w:r w:rsidR="00E31092" w:rsidRPr="004B1222">
              <w:t>%</w:t>
            </w:r>
          </w:p>
        </w:tc>
      </w:tr>
      <w:tr w:rsidR="00E31092" w:rsidRPr="00900973" w14:paraId="771496A3" w14:textId="77777777" w:rsidTr="004D139A">
        <w:tc>
          <w:tcPr>
            <w:tcW w:w="942" w:type="dxa"/>
            <w:tcBorders>
              <w:top w:val="nil"/>
              <w:bottom w:val="nil"/>
            </w:tcBorders>
            <w:shd w:val="clear" w:color="auto" w:fill="FFFFFF"/>
          </w:tcPr>
          <w:p w14:paraId="6E69B119" w14:textId="77777777" w:rsidR="00E31092" w:rsidRPr="000C359E" w:rsidRDefault="00E31092" w:rsidP="000D7A28">
            <w:pPr>
              <w:jc w:val="center"/>
              <w:rPr>
                <w:color w:val="000000"/>
                <w:szCs w:val="18"/>
              </w:rPr>
            </w:pPr>
            <w:r w:rsidRPr="000C359E">
              <w:rPr>
                <w:color w:val="000000"/>
                <w:szCs w:val="18"/>
              </w:rPr>
              <w:t>(04)</w:t>
            </w:r>
          </w:p>
        </w:tc>
        <w:tc>
          <w:tcPr>
            <w:tcW w:w="4998" w:type="dxa"/>
            <w:gridSpan w:val="2"/>
            <w:tcBorders>
              <w:top w:val="nil"/>
              <w:bottom w:val="nil"/>
            </w:tcBorders>
            <w:shd w:val="clear" w:color="auto" w:fill="FFFFFF"/>
          </w:tcPr>
          <w:p w14:paraId="67BC04CA" w14:textId="77777777" w:rsidR="00E31092" w:rsidRPr="000C359E" w:rsidRDefault="00E31092" w:rsidP="000D7A28">
            <w:r w:rsidRPr="00216248">
              <w:t>Dairy produce; birds' eggs; natural honey; edible products of animal origin, not elsewhere specified or included</w:t>
            </w:r>
          </w:p>
        </w:tc>
        <w:tc>
          <w:tcPr>
            <w:tcW w:w="1494" w:type="dxa"/>
            <w:gridSpan w:val="2"/>
            <w:tcBorders>
              <w:top w:val="nil"/>
              <w:bottom w:val="nil"/>
            </w:tcBorders>
            <w:shd w:val="clear" w:color="auto" w:fill="FFFFFF"/>
          </w:tcPr>
          <w:p w14:paraId="3310AB33" w14:textId="248BDC48" w:rsidR="00E31092" w:rsidRPr="000C359E" w:rsidRDefault="00E96C44" w:rsidP="000D7A28">
            <w:pPr>
              <w:tabs>
                <w:tab w:val="right" w:pos="884"/>
              </w:tabs>
              <w:ind w:right="317"/>
              <w:jc w:val="right"/>
              <w:rPr>
                <w:color w:val="000000"/>
                <w:szCs w:val="18"/>
              </w:rPr>
            </w:pPr>
            <w:r>
              <w:t>78</w:t>
            </w:r>
            <w:r w:rsidR="00E31092" w:rsidRPr="00216248">
              <w:t>4</w:t>
            </w:r>
          </w:p>
        </w:tc>
        <w:tc>
          <w:tcPr>
            <w:tcW w:w="1582" w:type="dxa"/>
            <w:tcBorders>
              <w:top w:val="nil"/>
              <w:bottom w:val="nil"/>
            </w:tcBorders>
            <w:shd w:val="clear" w:color="auto" w:fill="FFFFFF"/>
          </w:tcPr>
          <w:p w14:paraId="218499FF" w14:textId="77777777" w:rsidR="00E31092" w:rsidRPr="00E31092" w:rsidRDefault="00E31092" w:rsidP="000D7A28">
            <w:pPr>
              <w:ind w:right="379"/>
              <w:jc w:val="right"/>
              <w:rPr>
                <w:color w:val="000000"/>
                <w:szCs w:val="18"/>
                <w:highlight w:val="yellow"/>
              </w:rPr>
            </w:pPr>
            <w:r w:rsidRPr="004B1222">
              <w:t>37%</w:t>
            </w:r>
          </w:p>
        </w:tc>
      </w:tr>
      <w:tr w:rsidR="00E31092" w:rsidRPr="00900973" w14:paraId="2719695E" w14:textId="77777777" w:rsidTr="004D139A">
        <w:tc>
          <w:tcPr>
            <w:tcW w:w="942" w:type="dxa"/>
            <w:tcBorders>
              <w:top w:val="nil"/>
              <w:bottom w:val="nil"/>
            </w:tcBorders>
            <w:shd w:val="clear" w:color="auto" w:fill="C9DED4"/>
          </w:tcPr>
          <w:p w14:paraId="6BE3E499" w14:textId="77777777" w:rsidR="00E31092" w:rsidRPr="000C359E" w:rsidRDefault="00E31092" w:rsidP="000D7A28">
            <w:pPr>
              <w:jc w:val="center"/>
              <w:rPr>
                <w:color w:val="000000"/>
                <w:szCs w:val="18"/>
              </w:rPr>
            </w:pPr>
            <w:r w:rsidRPr="000C359E">
              <w:rPr>
                <w:color w:val="000000"/>
                <w:szCs w:val="18"/>
              </w:rPr>
              <w:t>(05)</w:t>
            </w:r>
          </w:p>
        </w:tc>
        <w:tc>
          <w:tcPr>
            <w:tcW w:w="4998" w:type="dxa"/>
            <w:gridSpan w:val="2"/>
            <w:tcBorders>
              <w:top w:val="nil"/>
              <w:bottom w:val="nil"/>
            </w:tcBorders>
            <w:shd w:val="clear" w:color="auto" w:fill="C9DED4"/>
          </w:tcPr>
          <w:p w14:paraId="20C5A550" w14:textId="77777777" w:rsidR="00E31092" w:rsidRPr="000C359E" w:rsidRDefault="00E31092" w:rsidP="000D7A28">
            <w:r w:rsidRPr="00216248">
              <w:t>Products of animal origin, not elsewhere specified or included</w:t>
            </w:r>
          </w:p>
        </w:tc>
        <w:tc>
          <w:tcPr>
            <w:tcW w:w="1494" w:type="dxa"/>
            <w:gridSpan w:val="2"/>
            <w:tcBorders>
              <w:top w:val="nil"/>
              <w:bottom w:val="nil"/>
            </w:tcBorders>
            <w:shd w:val="clear" w:color="auto" w:fill="C9DED4"/>
          </w:tcPr>
          <w:p w14:paraId="5963BEE9" w14:textId="7B7A570D" w:rsidR="00E31092" w:rsidRPr="000C359E" w:rsidRDefault="00E96C44" w:rsidP="000D7A28">
            <w:pPr>
              <w:tabs>
                <w:tab w:val="right" w:pos="884"/>
              </w:tabs>
              <w:ind w:right="317"/>
              <w:jc w:val="right"/>
              <w:rPr>
                <w:color w:val="000000"/>
                <w:szCs w:val="18"/>
              </w:rPr>
            </w:pPr>
            <w:r>
              <w:t>52</w:t>
            </w:r>
            <w:r w:rsidR="00E31092" w:rsidRPr="00216248">
              <w:t>3</w:t>
            </w:r>
          </w:p>
        </w:tc>
        <w:tc>
          <w:tcPr>
            <w:tcW w:w="1582" w:type="dxa"/>
            <w:tcBorders>
              <w:top w:val="nil"/>
              <w:bottom w:val="nil"/>
            </w:tcBorders>
            <w:shd w:val="clear" w:color="auto" w:fill="C9DED4"/>
          </w:tcPr>
          <w:p w14:paraId="629FCA1B" w14:textId="77777777" w:rsidR="00E31092" w:rsidRPr="00E31092" w:rsidRDefault="00E31092" w:rsidP="000D7A28">
            <w:pPr>
              <w:ind w:right="379"/>
              <w:jc w:val="right"/>
              <w:rPr>
                <w:color w:val="000000"/>
                <w:szCs w:val="18"/>
                <w:highlight w:val="yellow"/>
              </w:rPr>
            </w:pPr>
            <w:r w:rsidRPr="004B1222">
              <w:t>25%</w:t>
            </w:r>
          </w:p>
        </w:tc>
      </w:tr>
      <w:tr w:rsidR="00E31092" w14:paraId="3CF6CDA8" w14:textId="77777777" w:rsidTr="004D139A">
        <w:tc>
          <w:tcPr>
            <w:tcW w:w="942" w:type="dxa"/>
            <w:tcBorders>
              <w:top w:val="nil"/>
              <w:bottom w:val="single" w:sz="4" w:space="0" w:color="auto"/>
            </w:tcBorders>
            <w:shd w:val="clear" w:color="auto" w:fill="FFFFFF"/>
          </w:tcPr>
          <w:p w14:paraId="14EC02C8" w14:textId="77777777" w:rsidR="00E31092" w:rsidRPr="000C359E" w:rsidRDefault="00E31092" w:rsidP="000D7A28">
            <w:pPr>
              <w:jc w:val="center"/>
              <w:rPr>
                <w:color w:val="000000"/>
                <w:szCs w:val="18"/>
              </w:rPr>
            </w:pPr>
            <w:r w:rsidRPr="000C359E">
              <w:rPr>
                <w:color w:val="000000"/>
                <w:szCs w:val="18"/>
              </w:rPr>
              <w:t>(23)</w:t>
            </w:r>
          </w:p>
        </w:tc>
        <w:tc>
          <w:tcPr>
            <w:tcW w:w="4998" w:type="dxa"/>
            <w:gridSpan w:val="2"/>
            <w:tcBorders>
              <w:top w:val="nil"/>
              <w:bottom w:val="single" w:sz="4" w:space="0" w:color="auto"/>
            </w:tcBorders>
            <w:shd w:val="clear" w:color="auto" w:fill="FFFFFF"/>
          </w:tcPr>
          <w:p w14:paraId="3D337F02" w14:textId="77777777" w:rsidR="00E31092" w:rsidRPr="000C359E" w:rsidRDefault="00E31092" w:rsidP="000D7A28">
            <w:r w:rsidRPr="00216248">
              <w:t>Residues and waste from the food industries; prepared animal fodder</w:t>
            </w:r>
          </w:p>
        </w:tc>
        <w:tc>
          <w:tcPr>
            <w:tcW w:w="1494" w:type="dxa"/>
            <w:gridSpan w:val="2"/>
            <w:tcBorders>
              <w:top w:val="nil"/>
              <w:bottom w:val="single" w:sz="4" w:space="0" w:color="auto"/>
            </w:tcBorders>
            <w:shd w:val="clear" w:color="auto" w:fill="FFFFFF"/>
          </w:tcPr>
          <w:p w14:paraId="7B9C4D15" w14:textId="4B58BAD3" w:rsidR="00E31092" w:rsidRPr="000C359E" w:rsidRDefault="00E96C44" w:rsidP="000D7A28">
            <w:pPr>
              <w:tabs>
                <w:tab w:val="right" w:pos="884"/>
              </w:tabs>
              <w:ind w:right="317"/>
              <w:jc w:val="right"/>
              <w:rPr>
                <w:color w:val="000000"/>
                <w:szCs w:val="18"/>
              </w:rPr>
            </w:pPr>
            <w:r>
              <w:t>25</w:t>
            </w:r>
            <w:r w:rsidR="00E31092" w:rsidRPr="00216248">
              <w:t>8</w:t>
            </w:r>
          </w:p>
        </w:tc>
        <w:tc>
          <w:tcPr>
            <w:tcW w:w="1582" w:type="dxa"/>
            <w:tcBorders>
              <w:top w:val="nil"/>
              <w:bottom w:val="single" w:sz="4" w:space="0" w:color="auto"/>
            </w:tcBorders>
            <w:shd w:val="clear" w:color="auto" w:fill="FFFFFF"/>
          </w:tcPr>
          <w:p w14:paraId="36462B45" w14:textId="09C5CAB8" w:rsidR="00E31092" w:rsidRPr="00E31092" w:rsidRDefault="00E96C44" w:rsidP="000D7A28">
            <w:pPr>
              <w:ind w:right="379"/>
              <w:jc w:val="right"/>
              <w:rPr>
                <w:color w:val="000000"/>
                <w:szCs w:val="18"/>
                <w:highlight w:val="yellow"/>
              </w:rPr>
            </w:pPr>
            <w:r>
              <w:t>12</w:t>
            </w:r>
            <w:r w:rsidR="00E31092" w:rsidRPr="004B1222">
              <w:t>%</w:t>
            </w:r>
          </w:p>
        </w:tc>
      </w:tr>
    </w:tbl>
    <w:p w14:paraId="633C8CD5" w14:textId="77777777" w:rsidR="002819B4" w:rsidRDefault="002819B4" w:rsidP="000D7A28">
      <w:pPr>
        <w:spacing w:after="240"/>
      </w:pPr>
    </w:p>
    <w:p w14:paraId="24F3A950" w14:textId="77777777" w:rsidR="002819B4" w:rsidRPr="00E31092" w:rsidRDefault="002819B4" w:rsidP="001A5687">
      <w:pPr>
        <w:pStyle w:val="Heading2"/>
      </w:pPr>
      <w:bookmarkStart w:id="19" w:name="_Toc400006341"/>
      <w:bookmarkStart w:id="20" w:name="_Toc400015168"/>
      <w:bookmarkStart w:id="21" w:name="_Toc527021051"/>
      <w:r w:rsidRPr="00E31092">
        <w:t>Regions/countries affected</w:t>
      </w:r>
      <w:bookmarkEnd w:id="19"/>
      <w:bookmarkEnd w:id="20"/>
      <w:bookmarkEnd w:id="21"/>
    </w:p>
    <w:p w14:paraId="32B3250D" w14:textId="4221C710" w:rsidR="001E3028" w:rsidRDefault="002819B4" w:rsidP="002819B4">
      <w:pPr>
        <w:pStyle w:val="BodyText"/>
      </w:pPr>
      <w:r>
        <w:t xml:space="preserve">The </w:t>
      </w:r>
      <w:r w:rsidR="00DC0382">
        <w:t xml:space="preserve">Recommended </w:t>
      </w:r>
      <w:r>
        <w:t xml:space="preserve">Transparency Procedures call on Members to identify the regions or countries which are most likely to be affected by the measure being notified. </w:t>
      </w:r>
      <w:r w:rsidR="001E3028">
        <w:t>The</w:t>
      </w:r>
      <w:r w:rsidR="00DC0382">
        <w:t>y</w:t>
      </w:r>
      <w:r w:rsidR="001E3028">
        <w:t xml:space="preserve"> include a data entry option for this item whereby Members are invited to either select the tick box for "all trading partners" or provide information on specific regions or c</w:t>
      </w:r>
      <w:r w:rsidR="00A34CCD">
        <w:t>ountries likely to be affected.</w:t>
      </w:r>
    </w:p>
    <w:p w14:paraId="1DA12609" w14:textId="20869BD7" w:rsidR="001E3028" w:rsidRPr="00653D81" w:rsidRDefault="002819B4" w:rsidP="001E3028">
      <w:pPr>
        <w:pStyle w:val="BodyText"/>
      </w:pPr>
      <w:r w:rsidRPr="001D6444">
        <w:t xml:space="preserve">An assessment of notifications submitted in the period between </w:t>
      </w:r>
      <w:r w:rsidR="00B76168" w:rsidRPr="001D6444">
        <w:t xml:space="preserve">16 </w:t>
      </w:r>
      <w:r w:rsidR="00AC7189" w:rsidRPr="001D6444">
        <w:t xml:space="preserve">September </w:t>
      </w:r>
      <w:r w:rsidR="00E96C44" w:rsidRPr="001D6444">
        <w:t>2017</w:t>
      </w:r>
      <w:r w:rsidR="00B76168" w:rsidRPr="001D6444">
        <w:t xml:space="preserve"> </w:t>
      </w:r>
      <w:r w:rsidR="00667BD0" w:rsidRPr="00736992">
        <w:t>and 15 </w:t>
      </w:r>
      <w:r w:rsidR="00AC7189" w:rsidRPr="00736992">
        <w:t xml:space="preserve">September </w:t>
      </w:r>
      <w:r w:rsidR="00E96C44" w:rsidRPr="00736992">
        <w:t>2018</w:t>
      </w:r>
      <w:r w:rsidR="00B76168" w:rsidRPr="00736992">
        <w:t xml:space="preserve"> </w:t>
      </w:r>
      <w:r w:rsidRPr="00736992">
        <w:t>indicate</w:t>
      </w:r>
      <w:r w:rsidR="00535FD1" w:rsidRPr="00736992">
        <w:t>s</w:t>
      </w:r>
      <w:r w:rsidRPr="00736992">
        <w:t xml:space="preserve"> that </w:t>
      </w:r>
      <w:r w:rsidR="00E31092" w:rsidRPr="00736992">
        <w:t>1</w:t>
      </w:r>
      <w:r w:rsidR="00E97B63">
        <w:t>6</w:t>
      </w:r>
      <w:r w:rsidRPr="001D6444">
        <w:t xml:space="preserve">% of regular notifications have identified a specific group of countries or a region, while </w:t>
      </w:r>
      <w:r w:rsidR="00E31092" w:rsidRPr="00736992">
        <w:t>8</w:t>
      </w:r>
      <w:r w:rsidR="00E97B63">
        <w:t>4</w:t>
      </w:r>
      <w:r w:rsidR="001E3028" w:rsidRPr="00736992">
        <w:t>% of regular notifications have selected the tick box for "all trading partners"</w:t>
      </w:r>
      <w:r w:rsidRPr="00E97B63">
        <w:t xml:space="preserve">. In contrast, </w:t>
      </w:r>
      <w:r w:rsidR="00E31092" w:rsidRPr="00E97B63">
        <w:t>9</w:t>
      </w:r>
      <w:r w:rsidR="001D6444" w:rsidRPr="00736992">
        <w:t>0</w:t>
      </w:r>
      <w:r w:rsidRPr="001D6444">
        <w:t>% of emergency notifications have identified a specific group of countries or a region</w:t>
      </w:r>
      <w:r w:rsidR="001E3028" w:rsidRPr="00736992">
        <w:t xml:space="preserve">, and only </w:t>
      </w:r>
      <w:r w:rsidR="00736992">
        <w:t>10</w:t>
      </w:r>
      <w:r w:rsidR="001E3028" w:rsidRPr="00736992">
        <w:t>% of emergency notifications indicate "all trading partners"</w:t>
      </w:r>
      <w:r w:rsidRPr="00E97B63">
        <w:t xml:space="preserve">. </w:t>
      </w:r>
      <w:r w:rsidR="001E3028" w:rsidRPr="00E97B63">
        <w:t>This reflects the fact that emergency actions are frequently taken in response to dis</w:t>
      </w:r>
      <w:r w:rsidR="001E3028" w:rsidRPr="00653D81">
        <w:t>ease outbreaks in specific countries, territories, or regions.</w:t>
      </w:r>
    </w:p>
    <w:p w14:paraId="4A3CF798" w14:textId="77777777" w:rsidR="002819B4" w:rsidRDefault="002819B4" w:rsidP="001E3028">
      <w:pPr>
        <w:pStyle w:val="BodyText"/>
      </w:pPr>
      <w:r>
        <w:t>The comprehension and work of other Members would be facilitated if more specificity were provided by notifying Members on regions or countries likely to be affected. It is understandable</w:t>
      </w:r>
      <w:r w:rsidR="00552C05">
        <w:t>,</w:t>
      </w:r>
      <w:r>
        <w:t xml:space="preserve"> </w:t>
      </w:r>
      <w:r>
        <w:lastRenderedPageBreak/>
        <w:t>however, that Members may be hesitant to specifically identify potentially affected countries or regions for fear of not accurately assessing who might be affected</w:t>
      </w:r>
      <w:r w:rsidR="00535FD1" w:rsidRPr="00535FD1">
        <w:t xml:space="preserve"> </w:t>
      </w:r>
      <w:r w:rsidR="00535FD1">
        <w:t>when submitting notifications</w:t>
      </w:r>
      <w:r>
        <w:t>.</w:t>
      </w:r>
    </w:p>
    <w:p w14:paraId="1FF35145" w14:textId="77777777" w:rsidR="002819B4" w:rsidRDefault="002819B4" w:rsidP="006F247B">
      <w:pPr>
        <w:pStyle w:val="Heading2"/>
      </w:pPr>
      <w:bookmarkStart w:id="22" w:name="_Toc400006342"/>
      <w:bookmarkStart w:id="23" w:name="_Toc400015169"/>
      <w:bookmarkStart w:id="24" w:name="_Toc527021052"/>
      <w:r>
        <w:t>Objective and rationale</w:t>
      </w:r>
      <w:bookmarkEnd w:id="22"/>
      <w:bookmarkEnd w:id="23"/>
      <w:bookmarkEnd w:id="24"/>
    </w:p>
    <w:p w14:paraId="54818FBE" w14:textId="77777777" w:rsidR="002819B4" w:rsidRDefault="002819B4" w:rsidP="002819B4">
      <w:pPr>
        <w:pStyle w:val="BodyText"/>
      </w:pPr>
      <w:r>
        <w:t xml:space="preserve">In accordance with paragraphs 5 and 6 of Annex B of the SPS Agreement and the </w:t>
      </w:r>
      <w:r w:rsidR="00371234">
        <w:t xml:space="preserve">Recommended </w:t>
      </w:r>
      <w:r>
        <w:t>Transparency Procedures, Members are also required to state the objective and rationale of proposed regulations by selecting one of the following five options: food safety, animal health, plant protection, protect humans from animal/plant pest or disease, and protect territory from other damage from pests.</w:t>
      </w:r>
      <w:r w:rsidR="001245C5">
        <w:t xml:space="preserve"> These objectives correspond to the definition of an SPS measure in Annex A, paragraph 1 of the SPS Agreement.</w:t>
      </w:r>
    </w:p>
    <w:p w14:paraId="09745766" w14:textId="77777777" w:rsidR="002819B4" w:rsidRDefault="002819B4" w:rsidP="002819B4">
      <w:pPr>
        <w:pStyle w:val="BodyText"/>
      </w:pPr>
      <w:r>
        <w:t>Table 4 indicates the total number and share of each objective as cited in regular and emergency notifications. It must be noted, however, that many notifications identify more than one objective. Therefore, the table below specifies the total number of times the specific objective was assigned regardless of whether the notifications identified multiple objectives.</w:t>
      </w:r>
    </w:p>
    <w:p w14:paraId="4F49A2B2" w14:textId="03B8C360" w:rsidR="002819B4" w:rsidRDefault="002819B4" w:rsidP="002819B4">
      <w:pPr>
        <w:pStyle w:val="BodyText"/>
      </w:pPr>
      <w:r>
        <w:t xml:space="preserve">For regular notifications the most frequently cited objective is </w:t>
      </w:r>
      <w:r w:rsidR="00257FCC" w:rsidRPr="003323BD">
        <w:t>food safety</w:t>
      </w:r>
      <w:r>
        <w:t>,</w:t>
      </w:r>
      <w:r w:rsidR="00915834">
        <w:t xml:space="preserve"> followed by plant protection and animal health,</w:t>
      </w:r>
      <w:r>
        <w:t xml:space="preserve"> while for emergency not</w:t>
      </w:r>
      <w:r w:rsidR="00667BD0">
        <w:t xml:space="preserve">ifications it is </w:t>
      </w:r>
      <w:r w:rsidR="00667BD0" w:rsidRPr="003323BD">
        <w:t>animal health</w:t>
      </w:r>
      <w:r w:rsidR="00915834">
        <w:t>, followed by food safety and protect humans from animal</w:t>
      </w:r>
      <w:r w:rsidR="00A9389C">
        <w:t>/</w:t>
      </w:r>
      <w:r w:rsidR="00915834">
        <w:t>plant pest or disease</w:t>
      </w:r>
      <w:r w:rsidR="001534DD">
        <w:t>.</w:t>
      </w:r>
    </w:p>
    <w:p w14:paraId="56F35ACF" w14:textId="53B48318" w:rsidR="002819B4" w:rsidRDefault="002819B4" w:rsidP="0018541D">
      <w:pPr>
        <w:pStyle w:val="Caption"/>
        <w:keepLines/>
        <w:jc w:val="both"/>
      </w:pPr>
      <w:r w:rsidRPr="006961B4">
        <w:t>Table 4. "Objectives" of notified SPS measures in the period between</w:t>
      </w:r>
      <w:r w:rsidR="004D3606" w:rsidRPr="006961B4">
        <w:t xml:space="preserve"> </w:t>
      </w:r>
      <w:r w:rsidR="00B76168">
        <w:t>16</w:t>
      </w:r>
      <w:r w:rsidRPr="006961B4">
        <w:t xml:space="preserve"> September </w:t>
      </w:r>
      <w:r w:rsidR="00492778">
        <w:t>2017</w:t>
      </w:r>
      <w:r w:rsidR="0059068A">
        <w:t xml:space="preserve"> – </w:t>
      </w:r>
      <w:r w:rsidRPr="006961B4">
        <w:t xml:space="preserve">15 September </w:t>
      </w:r>
      <w:r w:rsidR="00492778">
        <w:t>2018</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81"/>
        <w:gridCol w:w="1964"/>
        <w:gridCol w:w="1871"/>
      </w:tblGrid>
      <w:tr w:rsidR="004D3606" w:rsidRPr="00C248C3" w14:paraId="79BA0EF8" w14:textId="77777777" w:rsidTr="00C248C3">
        <w:trPr>
          <w:trHeight w:val="113"/>
        </w:trPr>
        <w:tc>
          <w:tcPr>
            <w:tcW w:w="5353" w:type="dxa"/>
            <w:shd w:val="clear" w:color="auto" w:fill="006283"/>
          </w:tcPr>
          <w:p w14:paraId="50EF905D" w14:textId="54C9150D" w:rsidR="004D3606" w:rsidRPr="00C248C3" w:rsidRDefault="004D3606" w:rsidP="001534DD">
            <w:pPr>
              <w:rPr>
                <w:b/>
                <w:color w:val="FFFFFF"/>
                <w:szCs w:val="18"/>
              </w:rPr>
            </w:pPr>
            <w:r w:rsidRPr="00C248C3">
              <w:rPr>
                <w:b/>
                <w:color w:val="FFFFFF"/>
                <w:szCs w:val="18"/>
              </w:rPr>
              <w:t xml:space="preserve">Regular </w:t>
            </w:r>
            <w:r w:rsidR="001534DD" w:rsidRPr="00C248C3">
              <w:rPr>
                <w:b/>
                <w:color w:val="FFFFFF"/>
                <w:szCs w:val="18"/>
              </w:rPr>
              <w:t>notifications</w:t>
            </w:r>
          </w:p>
        </w:tc>
        <w:tc>
          <w:tcPr>
            <w:tcW w:w="1985" w:type="dxa"/>
            <w:shd w:val="clear" w:color="auto" w:fill="006283"/>
          </w:tcPr>
          <w:p w14:paraId="11821F79" w14:textId="77777777" w:rsidR="004D3606" w:rsidRPr="00C248C3" w:rsidRDefault="004D3606" w:rsidP="001534DD">
            <w:pPr>
              <w:rPr>
                <w:b/>
                <w:color w:val="FFFFFF"/>
                <w:szCs w:val="18"/>
              </w:rPr>
            </w:pPr>
          </w:p>
        </w:tc>
        <w:tc>
          <w:tcPr>
            <w:tcW w:w="1904" w:type="dxa"/>
            <w:shd w:val="clear" w:color="auto" w:fill="006283"/>
          </w:tcPr>
          <w:p w14:paraId="47FE16B6" w14:textId="77777777" w:rsidR="004D3606" w:rsidRPr="00C248C3" w:rsidRDefault="004D3606" w:rsidP="001534DD">
            <w:pPr>
              <w:rPr>
                <w:b/>
                <w:color w:val="FFFFFF"/>
                <w:szCs w:val="18"/>
              </w:rPr>
            </w:pPr>
          </w:p>
        </w:tc>
      </w:tr>
      <w:tr w:rsidR="004D3606" w:rsidRPr="00C248C3" w14:paraId="435BC892" w14:textId="77777777" w:rsidTr="009131E1">
        <w:trPr>
          <w:trHeight w:val="112"/>
        </w:trPr>
        <w:tc>
          <w:tcPr>
            <w:tcW w:w="5353" w:type="dxa"/>
            <w:tcBorders>
              <w:bottom w:val="nil"/>
            </w:tcBorders>
            <w:shd w:val="clear" w:color="auto" w:fill="006283"/>
          </w:tcPr>
          <w:p w14:paraId="71DD2B8A" w14:textId="77777777" w:rsidR="004D3606" w:rsidRPr="00C248C3" w:rsidRDefault="004D3606" w:rsidP="001534DD">
            <w:pPr>
              <w:rPr>
                <w:b/>
                <w:color w:val="FFFFFF"/>
                <w:szCs w:val="18"/>
              </w:rPr>
            </w:pPr>
          </w:p>
        </w:tc>
        <w:tc>
          <w:tcPr>
            <w:tcW w:w="1985" w:type="dxa"/>
            <w:tcBorders>
              <w:bottom w:val="nil"/>
            </w:tcBorders>
            <w:shd w:val="clear" w:color="auto" w:fill="006283"/>
          </w:tcPr>
          <w:p w14:paraId="4CDC3941" w14:textId="77777777" w:rsidR="004D3606" w:rsidRPr="00C248C3" w:rsidRDefault="004D3606" w:rsidP="001534DD">
            <w:pPr>
              <w:jc w:val="center"/>
              <w:rPr>
                <w:b/>
                <w:color w:val="FFFFFF"/>
                <w:szCs w:val="18"/>
              </w:rPr>
            </w:pPr>
            <w:r w:rsidRPr="00C248C3">
              <w:rPr>
                <w:b/>
                <w:color w:val="FFFFFF"/>
                <w:szCs w:val="18"/>
              </w:rPr>
              <w:t>Notifications</w:t>
            </w:r>
          </w:p>
        </w:tc>
        <w:tc>
          <w:tcPr>
            <w:tcW w:w="1904" w:type="dxa"/>
            <w:tcBorders>
              <w:bottom w:val="nil"/>
            </w:tcBorders>
            <w:shd w:val="clear" w:color="auto" w:fill="006283"/>
          </w:tcPr>
          <w:p w14:paraId="378D50A6" w14:textId="77777777" w:rsidR="004D3606" w:rsidRPr="00C248C3" w:rsidRDefault="004D3606" w:rsidP="001534DD">
            <w:pPr>
              <w:jc w:val="center"/>
              <w:rPr>
                <w:b/>
                <w:color w:val="FFFFFF"/>
                <w:szCs w:val="18"/>
              </w:rPr>
            </w:pPr>
            <w:r w:rsidRPr="00C248C3">
              <w:rPr>
                <w:b/>
                <w:color w:val="FFFFFF"/>
                <w:szCs w:val="18"/>
              </w:rPr>
              <w:t>Share</w:t>
            </w:r>
          </w:p>
        </w:tc>
      </w:tr>
      <w:tr w:rsidR="00B76168" w:rsidRPr="00900973" w14:paraId="50878F3B" w14:textId="77777777" w:rsidTr="00741557">
        <w:tc>
          <w:tcPr>
            <w:tcW w:w="5353" w:type="dxa"/>
            <w:tcBorders>
              <w:top w:val="nil"/>
              <w:bottom w:val="nil"/>
            </w:tcBorders>
            <w:shd w:val="clear" w:color="auto" w:fill="auto"/>
            <w:vAlign w:val="bottom"/>
          </w:tcPr>
          <w:p w14:paraId="332A61D5" w14:textId="77777777" w:rsidR="00B76168" w:rsidRPr="003323BD" w:rsidRDefault="00B76168" w:rsidP="001534DD">
            <w:pPr>
              <w:rPr>
                <w:color w:val="000000"/>
                <w:szCs w:val="18"/>
              </w:rPr>
            </w:pPr>
            <w:r w:rsidRPr="003323BD">
              <w:rPr>
                <w:color w:val="000000"/>
                <w:szCs w:val="18"/>
              </w:rPr>
              <w:t>Food Safety</w:t>
            </w:r>
          </w:p>
        </w:tc>
        <w:tc>
          <w:tcPr>
            <w:tcW w:w="1985" w:type="dxa"/>
            <w:tcBorders>
              <w:top w:val="nil"/>
              <w:bottom w:val="nil"/>
            </w:tcBorders>
            <w:shd w:val="clear" w:color="auto" w:fill="auto"/>
          </w:tcPr>
          <w:p w14:paraId="7BF7E538" w14:textId="1BBC3615" w:rsidR="00B76168" w:rsidRPr="003323BD" w:rsidRDefault="00492778" w:rsidP="001534DD">
            <w:pPr>
              <w:ind w:right="743"/>
              <w:jc w:val="right"/>
              <w:rPr>
                <w:color w:val="000000"/>
                <w:szCs w:val="18"/>
              </w:rPr>
            </w:pPr>
            <w:r>
              <w:rPr>
                <w:color w:val="000000"/>
                <w:szCs w:val="18"/>
              </w:rPr>
              <w:t>855</w:t>
            </w:r>
          </w:p>
        </w:tc>
        <w:tc>
          <w:tcPr>
            <w:tcW w:w="1904" w:type="dxa"/>
            <w:tcBorders>
              <w:top w:val="nil"/>
              <w:bottom w:val="nil"/>
            </w:tcBorders>
            <w:shd w:val="clear" w:color="auto" w:fill="auto"/>
          </w:tcPr>
          <w:p w14:paraId="70218210" w14:textId="36546B89" w:rsidR="00B76168" w:rsidRPr="003323BD" w:rsidRDefault="00492778" w:rsidP="001534DD">
            <w:pPr>
              <w:ind w:right="521"/>
              <w:jc w:val="right"/>
              <w:rPr>
                <w:color w:val="000000"/>
                <w:szCs w:val="18"/>
              </w:rPr>
            </w:pPr>
            <w:r>
              <w:t>72</w:t>
            </w:r>
            <w:r w:rsidR="00B76168" w:rsidRPr="00E70F3B">
              <w:t>%</w:t>
            </w:r>
          </w:p>
        </w:tc>
      </w:tr>
      <w:tr w:rsidR="00B76168" w:rsidRPr="00900973" w14:paraId="09852B42" w14:textId="77777777" w:rsidTr="00741557">
        <w:tc>
          <w:tcPr>
            <w:tcW w:w="5353" w:type="dxa"/>
            <w:tcBorders>
              <w:top w:val="nil"/>
              <w:bottom w:val="nil"/>
            </w:tcBorders>
            <w:shd w:val="clear" w:color="auto" w:fill="C9DED4"/>
            <w:vAlign w:val="bottom"/>
          </w:tcPr>
          <w:p w14:paraId="7B8EA82A" w14:textId="77777777" w:rsidR="00B76168" w:rsidRPr="003323BD" w:rsidRDefault="00B76168" w:rsidP="001534DD">
            <w:pPr>
              <w:rPr>
                <w:color w:val="000000"/>
                <w:szCs w:val="18"/>
              </w:rPr>
            </w:pPr>
            <w:r w:rsidRPr="003323BD">
              <w:rPr>
                <w:color w:val="000000"/>
                <w:szCs w:val="18"/>
              </w:rPr>
              <w:t>Plant Protection</w:t>
            </w:r>
          </w:p>
        </w:tc>
        <w:tc>
          <w:tcPr>
            <w:tcW w:w="1985" w:type="dxa"/>
            <w:tcBorders>
              <w:top w:val="nil"/>
              <w:bottom w:val="nil"/>
            </w:tcBorders>
            <w:shd w:val="clear" w:color="auto" w:fill="C9DED4"/>
          </w:tcPr>
          <w:p w14:paraId="2AD65C61" w14:textId="74E714B4" w:rsidR="00B76168" w:rsidRPr="003323BD" w:rsidRDefault="00492778" w:rsidP="001534DD">
            <w:pPr>
              <w:ind w:right="743"/>
              <w:jc w:val="right"/>
              <w:rPr>
                <w:color w:val="000000"/>
                <w:szCs w:val="18"/>
              </w:rPr>
            </w:pPr>
            <w:r>
              <w:t>202</w:t>
            </w:r>
          </w:p>
        </w:tc>
        <w:tc>
          <w:tcPr>
            <w:tcW w:w="1904" w:type="dxa"/>
            <w:tcBorders>
              <w:top w:val="nil"/>
              <w:bottom w:val="nil"/>
            </w:tcBorders>
            <w:shd w:val="clear" w:color="auto" w:fill="C9DED4"/>
          </w:tcPr>
          <w:p w14:paraId="7CA2B84C" w14:textId="4259250C" w:rsidR="00B76168" w:rsidRPr="003323BD" w:rsidRDefault="00492778" w:rsidP="001534DD">
            <w:pPr>
              <w:ind w:right="521"/>
              <w:jc w:val="right"/>
              <w:rPr>
                <w:color w:val="000000"/>
                <w:szCs w:val="18"/>
              </w:rPr>
            </w:pPr>
            <w:r>
              <w:t>17</w:t>
            </w:r>
            <w:r w:rsidR="00B76168" w:rsidRPr="00E70F3B">
              <w:t>%</w:t>
            </w:r>
          </w:p>
        </w:tc>
      </w:tr>
      <w:tr w:rsidR="00B76168" w:rsidRPr="00900973" w14:paraId="30E9875E" w14:textId="77777777" w:rsidTr="00741557">
        <w:tc>
          <w:tcPr>
            <w:tcW w:w="5353" w:type="dxa"/>
            <w:tcBorders>
              <w:top w:val="nil"/>
              <w:bottom w:val="nil"/>
            </w:tcBorders>
            <w:shd w:val="clear" w:color="auto" w:fill="auto"/>
            <w:vAlign w:val="bottom"/>
          </w:tcPr>
          <w:p w14:paraId="54D928F7" w14:textId="77777777" w:rsidR="00B76168" w:rsidRPr="003323BD" w:rsidRDefault="00B76168" w:rsidP="001534DD">
            <w:pPr>
              <w:rPr>
                <w:color w:val="000000"/>
                <w:szCs w:val="18"/>
              </w:rPr>
            </w:pPr>
            <w:r w:rsidRPr="003323BD">
              <w:rPr>
                <w:color w:val="000000"/>
                <w:szCs w:val="18"/>
              </w:rPr>
              <w:t>Animal Health</w:t>
            </w:r>
          </w:p>
        </w:tc>
        <w:tc>
          <w:tcPr>
            <w:tcW w:w="1985" w:type="dxa"/>
            <w:tcBorders>
              <w:top w:val="nil"/>
              <w:bottom w:val="nil"/>
            </w:tcBorders>
            <w:shd w:val="clear" w:color="auto" w:fill="auto"/>
          </w:tcPr>
          <w:p w14:paraId="2A056918" w14:textId="36ED527C" w:rsidR="00B76168" w:rsidRPr="003323BD" w:rsidRDefault="00492778" w:rsidP="001534DD">
            <w:pPr>
              <w:ind w:right="743"/>
              <w:jc w:val="right"/>
              <w:rPr>
                <w:color w:val="000000"/>
                <w:szCs w:val="18"/>
              </w:rPr>
            </w:pPr>
            <w:r>
              <w:t>144</w:t>
            </w:r>
          </w:p>
        </w:tc>
        <w:tc>
          <w:tcPr>
            <w:tcW w:w="1904" w:type="dxa"/>
            <w:tcBorders>
              <w:top w:val="nil"/>
              <w:bottom w:val="nil"/>
            </w:tcBorders>
            <w:shd w:val="clear" w:color="auto" w:fill="auto"/>
          </w:tcPr>
          <w:p w14:paraId="2C9D7DA2" w14:textId="46FAA58E" w:rsidR="00B76168" w:rsidRPr="003323BD" w:rsidRDefault="00492778" w:rsidP="001534DD">
            <w:pPr>
              <w:ind w:right="521"/>
              <w:jc w:val="right"/>
              <w:rPr>
                <w:color w:val="000000"/>
                <w:szCs w:val="18"/>
              </w:rPr>
            </w:pPr>
            <w:r>
              <w:t>12</w:t>
            </w:r>
            <w:r w:rsidR="00B76168" w:rsidRPr="00E70F3B">
              <w:t>%</w:t>
            </w:r>
          </w:p>
        </w:tc>
      </w:tr>
      <w:tr w:rsidR="00B76168" w:rsidRPr="00900973" w14:paraId="5E89DAD6" w14:textId="77777777" w:rsidTr="00741557">
        <w:tc>
          <w:tcPr>
            <w:tcW w:w="5353" w:type="dxa"/>
            <w:tcBorders>
              <w:top w:val="nil"/>
              <w:bottom w:val="nil"/>
            </w:tcBorders>
            <w:shd w:val="clear" w:color="auto" w:fill="C9DED4"/>
            <w:vAlign w:val="bottom"/>
          </w:tcPr>
          <w:p w14:paraId="09FB00FC" w14:textId="77777777" w:rsidR="00B76168" w:rsidRPr="003323BD" w:rsidRDefault="00B76168" w:rsidP="001534DD">
            <w:pPr>
              <w:rPr>
                <w:color w:val="000000"/>
                <w:szCs w:val="18"/>
              </w:rPr>
            </w:pPr>
            <w:r w:rsidRPr="003323BD">
              <w:rPr>
                <w:color w:val="000000"/>
                <w:szCs w:val="18"/>
              </w:rPr>
              <w:t>Protect humans from animal/plant pest or disease</w:t>
            </w:r>
          </w:p>
        </w:tc>
        <w:tc>
          <w:tcPr>
            <w:tcW w:w="1985" w:type="dxa"/>
            <w:tcBorders>
              <w:top w:val="nil"/>
              <w:bottom w:val="nil"/>
            </w:tcBorders>
            <w:shd w:val="clear" w:color="auto" w:fill="C9DED4"/>
          </w:tcPr>
          <w:p w14:paraId="7D61833C" w14:textId="47C23DFC" w:rsidR="00B76168" w:rsidRPr="003323BD" w:rsidRDefault="00492778" w:rsidP="001534DD">
            <w:pPr>
              <w:ind w:right="743"/>
              <w:jc w:val="right"/>
              <w:rPr>
                <w:color w:val="000000"/>
                <w:szCs w:val="18"/>
              </w:rPr>
            </w:pPr>
            <w:r>
              <w:t>9</w:t>
            </w:r>
            <w:r w:rsidR="00B76168" w:rsidRPr="00E70F3B">
              <w:t>8</w:t>
            </w:r>
          </w:p>
        </w:tc>
        <w:tc>
          <w:tcPr>
            <w:tcW w:w="1904" w:type="dxa"/>
            <w:tcBorders>
              <w:top w:val="nil"/>
              <w:bottom w:val="nil"/>
            </w:tcBorders>
            <w:shd w:val="clear" w:color="auto" w:fill="C9DED4"/>
          </w:tcPr>
          <w:p w14:paraId="20F47DC6" w14:textId="65CC881E" w:rsidR="00B76168" w:rsidRPr="003323BD" w:rsidRDefault="00492778" w:rsidP="001534DD">
            <w:pPr>
              <w:ind w:right="521"/>
              <w:jc w:val="right"/>
              <w:rPr>
                <w:color w:val="000000"/>
                <w:szCs w:val="18"/>
              </w:rPr>
            </w:pPr>
            <w:r>
              <w:t>8</w:t>
            </w:r>
            <w:r w:rsidR="00B76168" w:rsidRPr="00E70F3B">
              <w:t>%</w:t>
            </w:r>
          </w:p>
        </w:tc>
      </w:tr>
      <w:tr w:rsidR="00B76168" w:rsidRPr="00C248C3" w14:paraId="1E01B861" w14:textId="77777777" w:rsidTr="00741557">
        <w:tc>
          <w:tcPr>
            <w:tcW w:w="5353" w:type="dxa"/>
            <w:tcBorders>
              <w:top w:val="nil"/>
              <w:bottom w:val="nil"/>
            </w:tcBorders>
            <w:shd w:val="clear" w:color="auto" w:fill="auto"/>
            <w:vAlign w:val="bottom"/>
          </w:tcPr>
          <w:p w14:paraId="699D2FA3" w14:textId="77777777" w:rsidR="00B76168" w:rsidRPr="003323BD" w:rsidRDefault="00B76168" w:rsidP="001534DD">
            <w:pPr>
              <w:rPr>
                <w:color w:val="000000"/>
                <w:szCs w:val="18"/>
              </w:rPr>
            </w:pPr>
            <w:r w:rsidRPr="003323BD">
              <w:rPr>
                <w:color w:val="000000"/>
                <w:szCs w:val="18"/>
              </w:rPr>
              <w:t>Protect territory from other damage from pests</w:t>
            </w:r>
          </w:p>
        </w:tc>
        <w:tc>
          <w:tcPr>
            <w:tcW w:w="1985" w:type="dxa"/>
            <w:tcBorders>
              <w:top w:val="nil"/>
              <w:bottom w:val="nil"/>
            </w:tcBorders>
            <w:shd w:val="clear" w:color="auto" w:fill="auto"/>
          </w:tcPr>
          <w:p w14:paraId="4E396FA2" w14:textId="062D922A" w:rsidR="00B76168" w:rsidRPr="003323BD" w:rsidRDefault="00492778" w:rsidP="001534DD">
            <w:pPr>
              <w:ind w:right="743"/>
              <w:jc w:val="right"/>
              <w:rPr>
                <w:color w:val="000000"/>
                <w:szCs w:val="18"/>
              </w:rPr>
            </w:pPr>
            <w:r>
              <w:t>98</w:t>
            </w:r>
          </w:p>
        </w:tc>
        <w:tc>
          <w:tcPr>
            <w:tcW w:w="1904" w:type="dxa"/>
            <w:tcBorders>
              <w:top w:val="nil"/>
              <w:bottom w:val="nil"/>
            </w:tcBorders>
            <w:shd w:val="clear" w:color="auto" w:fill="auto"/>
          </w:tcPr>
          <w:p w14:paraId="0C7C7784" w14:textId="1EAEAB7D" w:rsidR="00B76168" w:rsidRPr="003323BD" w:rsidRDefault="00492778" w:rsidP="001534DD">
            <w:pPr>
              <w:ind w:right="521"/>
              <w:jc w:val="right"/>
              <w:rPr>
                <w:color w:val="000000"/>
                <w:szCs w:val="18"/>
              </w:rPr>
            </w:pPr>
            <w:r>
              <w:t>8</w:t>
            </w:r>
            <w:r w:rsidR="00B76168" w:rsidRPr="00E70F3B">
              <w:t>%</w:t>
            </w:r>
          </w:p>
        </w:tc>
      </w:tr>
      <w:tr w:rsidR="001173A4" w:rsidRPr="00C248C3" w14:paraId="51366018" w14:textId="77777777" w:rsidTr="009131E1">
        <w:trPr>
          <w:trHeight w:val="113"/>
        </w:trPr>
        <w:tc>
          <w:tcPr>
            <w:tcW w:w="5353" w:type="dxa"/>
            <w:tcBorders>
              <w:top w:val="nil"/>
              <w:bottom w:val="nil"/>
            </w:tcBorders>
            <w:shd w:val="clear" w:color="auto" w:fill="006283"/>
          </w:tcPr>
          <w:p w14:paraId="430B2845" w14:textId="6C6A48B9" w:rsidR="001173A4" w:rsidRPr="00C248C3" w:rsidRDefault="00A70D38" w:rsidP="001534DD">
            <w:pPr>
              <w:rPr>
                <w:b/>
                <w:color w:val="FFFFFF"/>
                <w:szCs w:val="18"/>
              </w:rPr>
            </w:pPr>
            <w:r w:rsidRPr="00C248C3">
              <w:rPr>
                <w:b/>
                <w:color w:val="FFFFFF"/>
                <w:szCs w:val="18"/>
              </w:rPr>
              <w:t xml:space="preserve">Emergency </w:t>
            </w:r>
            <w:r w:rsidR="001534DD" w:rsidRPr="00C248C3">
              <w:rPr>
                <w:b/>
                <w:color w:val="FFFFFF"/>
                <w:szCs w:val="18"/>
              </w:rPr>
              <w:t>notifications</w:t>
            </w:r>
          </w:p>
        </w:tc>
        <w:tc>
          <w:tcPr>
            <w:tcW w:w="1985" w:type="dxa"/>
            <w:tcBorders>
              <w:top w:val="nil"/>
              <w:bottom w:val="nil"/>
            </w:tcBorders>
            <w:shd w:val="clear" w:color="auto" w:fill="006283"/>
          </w:tcPr>
          <w:p w14:paraId="1E14C067" w14:textId="77777777" w:rsidR="001173A4" w:rsidRPr="00C248C3" w:rsidRDefault="001173A4" w:rsidP="001534DD">
            <w:pPr>
              <w:rPr>
                <w:b/>
                <w:color w:val="FFFFFF"/>
                <w:szCs w:val="18"/>
              </w:rPr>
            </w:pPr>
          </w:p>
        </w:tc>
        <w:tc>
          <w:tcPr>
            <w:tcW w:w="1904" w:type="dxa"/>
            <w:tcBorders>
              <w:top w:val="nil"/>
              <w:bottom w:val="nil"/>
            </w:tcBorders>
            <w:shd w:val="clear" w:color="auto" w:fill="006283"/>
          </w:tcPr>
          <w:p w14:paraId="1D25E106" w14:textId="77777777" w:rsidR="001173A4" w:rsidRPr="00C248C3" w:rsidRDefault="001173A4" w:rsidP="001534DD">
            <w:pPr>
              <w:rPr>
                <w:b/>
                <w:color w:val="FFFFFF"/>
                <w:szCs w:val="18"/>
              </w:rPr>
            </w:pPr>
          </w:p>
        </w:tc>
      </w:tr>
      <w:tr w:rsidR="00F77B28" w:rsidRPr="00C248C3" w14:paraId="76B8A67F" w14:textId="77777777" w:rsidTr="009131E1">
        <w:trPr>
          <w:trHeight w:val="112"/>
        </w:trPr>
        <w:tc>
          <w:tcPr>
            <w:tcW w:w="5353" w:type="dxa"/>
            <w:tcBorders>
              <w:top w:val="nil"/>
              <w:bottom w:val="nil"/>
            </w:tcBorders>
            <w:shd w:val="clear" w:color="auto" w:fill="006283"/>
          </w:tcPr>
          <w:p w14:paraId="2E116C69" w14:textId="77777777" w:rsidR="00F77B28" w:rsidRPr="00C248C3" w:rsidRDefault="00F77B28" w:rsidP="001534DD">
            <w:pPr>
              <w:rPr>
                <w:b/>
                <w:color w:val="FFFFFF"/>
                <w:szCs w:val="18"/>
              </w:rPr>
            </w:pPr>
          </w:p>
        </w:tc>
        <w:tc>
          <w:tcPr>
            <w:tcW w:w="1985" w:type="dxa"/>
            <w:tcBorders>
              <w:top w:val="nil"/>
              <w:bottom w:val="nil"/>
            </w:tcBorders>
            <w:shd w:val="clear" w:color="auto" w:fill="006283"/>
          </w:tcPr>
          <w:p w14:paraId="6D78BD00" w14:textId="77777777" w:rsidR="00F77B28" w:rsidRPr="00C248C3" w:rsidRDefault="00F77B28" w:rsidP="001534DD">
            <w:pPr>
              <w:jc w:val="center"/>
              <w:rPr>
                <w:b/>
                <w:color w:val="FFFFFF"/>
                <w:szCs w:val="18"/>
              </w:rPr>
            </w:pPr>
            <w:r w:rsidRPr="00C248C3">
              <w:rPr>
                <w:b/>
                <w:color w:val="FFFFFF"/>
                <w:szCs w:val="18"/>
              </w:rPr>
              <w:t>Notifications</w:t>
            </w:r>
          </w:p>
        </w:tc>
        <w:tc>
          <w:tcPr>
            <w:tcW w:w="1904" w:type="dxa"/>
            <w:tcBorders>
              <w:top w:val="nil"/>
              <w:bottom w:val="nil"/>
            </w:tcBorders>
            <w:shd w:val="clear" w:color="auto" w:fill="006283"/>
          </w:tcPr>
          <w:p w14:paraId="4BF7A66E" w14:textId="77777777" w:rsidR="00F77B28" w:rsidRPr="00C248C3" w:rsidRDefault="00552C05" w:rsidP="001534DD">
            <w:pPr>
              <w:jc w:val="center"/>
              <w:rPr>
                <w:b/>
                <w:color w:val="FFFFFF"/>
                <w:szCs w:val="18"/>
              </w:rPr>
            </w:pPr>
            <w:r>
              <w:rPr>
                <w:b/>
                <w:color w:val="FFFFFF"/>
                <w:szCs w:val="18"/>
              </w:rPr>
              <w:t>Share</w:t>
            </w:r>
          </w:p>
        </w:tc>
      </w:tr>
      <w:tr w:rsidR="00B76168" w:rsidRPr="00900973" w14:paraId="3A44A120" w14:textId="77777777" w:rsidTr="00741557">
        <w:tc>
          <w:tcPr>
            <w:tcW w:w="5353" w:type="dxa"/>
            <w:tcBorders>
              <w:top w:val="nil"/>
              <w:bottom w:val="nil"/>
            </w:tcBorders>
            <w:shd w:val="clear" w:color="auto" w:fill="auto"/>
            <w:vAlign w:val="bottom"/>
          </w:tcPr>
          <w:p w14:paraId="24D83C7E" w14:textId="77777777" w:rsidR="00B76168" w:rsidRPr="003323BD" w:rsidRDefault="00B76168" w:rsidP="001534DD">
            <w:pPr>
              <w:rPr>
                <w:color w:val="000000"/>
                <w:szCs w:val="18"/>
              </w:rPr>
            </w:pPr>
            <w:r w:rsidRPr="003323BD">
              <w:rPr>
                <w:color w:val="000000"/>
                <w:szCs w:val="18"/>
              </w:rPr>
              <w:t>Animal Health</w:t>
            </w:r>
          </w:p>
        </w:tc>
        <w:tc>
          <w:tcPr>
            <w:tcW w:w="1985" w:type="dxa"/>
            <w:tcBorders>
              <w:top w:val="nil"/>
              <w:bottom w:val="nil"/>
            </w:tcBorders>
            <w:shd w:val="clear" w:color="auto" w:fill="auto"/>
          </w:tcPr>
          <w:p w14:paraId="1695660C" w14:textId="7F989397" w:rsidR="00B76168" w:rsidRPr="003323BD" w:rsidRDefault="00031A9A" w:rsidP="001534DD">
            <w:pPr>
              <w:tabs>
                <w:tab w:val="right" w:pos="1037"/>
              </w:tabs>
              <w:ind w:right="743"/>
              <w:jc w:val="right"/>
              <w:rPr>
                <w:color w:val="000000"/>
                <w:szCs w:val="18"/>
              </w:rPr>
            </w:pPr>
            <w:r>
              <w:t>72</w:t>
            </w:r>
          </w:p>
        </w:tc>
        <w:tc>
          <w:tcPr>
            <w:tcW w:w="1904" w:type="dxa"/>
            <w:tcBorders>
              <w:top w:val="nil"/>
              <w:bottom w:val="nil"/>
            </w:tcBorders>
            <w:shd w:val="clear" w:color="auto" w:fill="auto"/>
          </w:tcPr>
          <w:p w14:paraId="7C789DA4" w14:textId="7324A0BC" w:rsidR="00B76168" w:rsidRPr="003323BD" w:rsidRDefault="00031A9A" w:rsidP="001534DD">
            <w:pPr>
              <w:ind w:right="521"/>
              <w:jc w:val="right"/>
              <w:rPr>
                <w:color w:val="000000"/>
                <w:szCs w:val="18"/>
              </w:rPr>
            </w:pPr>
            <w:r>
              <w:t>59</w:t>
            </w:r>
            <w:r w:rsidR="00B76168" w:rsidRPr="00C973FE">
              <w:t>%</w:t>
            </w:r>
          </w:p>
        </w:tc>
      </w:tr>
      <w:tr w:rsidR="00B76168" w:rsidRPr="00900973" w14:paraId="0E29E196" w14:textId="77777777" w:rsidTr="00741557">
        <w:tc>
          <w:tcPr>
            <w:tcW w:w="5353" w:type="dxa"/>
            <w:tcBorders>
              <w:top w:val="nil"/>
              <w:bottom w:val="nil"/>
            </w:tcBorders>
            <w:shd w:val="clear" w:color="auto" w:fill="C9DED4"/>
            <w:vAlign w:val="bottom"/>
          </w:tcPr>
          <w:p w14:paraId="75E62EE6" w14:textId="77777777" w:rsidR="00B76168" w:rsidRPr="003323BD" w:rsidRDefault="00B76168" w:rsidP="001534DD">
            <w:pPr>
              <w:rPr>
                <w:color w:val="000000"/>
                <w:szCs w:val="18"/>
              </w:rPr>
            </w:pPr>
            <w:r w:rsidRPr="003323BD">
              <w:rPr>
                <w:color w:val="000000"/>
                <w:szCs w:val="18"/>
              </w:rPr>
              <w:t>Food Safety</w:t>
            </w:r>
          </w:p>
        </w:tc>
        <w:tc>
          <w:tcPr>
            <w:tcW w:w="1985" w:type="dxa"/>
            <w:tcBorders>
              <w:top w:val="nil"/>
              <w:bottom w:val="nil"/>
            </w:tcBorders>
            <w:shd w:val="clear" w:color="auto" w:fill="C9DED4"/>
          </w:tcPr>
          <w:p w14:paraId="1AA22B70" w14:textId="7B2B234C" w:rsidR="00B76168" w:rsidRPr="003323BD" w:rsidRDefault="00031A9A" w:rsidP="001534DD">
            <w:pPr>
              <w:tabs>
                <w:tab w:val="right" w:pos="1037"/>
              </w:tabs>
              <w:ind w:right="743"/>
              <w:jc w:val="right"/>
              <w:rPr>
                <w:color w:val="000000"/>
                <w:szCs w:val="18"/>
              </w:rPr>
            </w:pPr>
            <w:r>
              <w:t>65</w:t>
            </w:r>
          </w:p>
        </w:tc>
        <w:tc>
          <w:tcPr>
            <w:tcW w:w="1904" w:type="dxa"/>
            <w:tcBorders>
              <w:top w:val="nil"/>
              <w:bottom w:val="nil"/>
            </w:tcBorders>
            <w:shd w:val="clear" w:color="auto" w:fill="C9DED4"/>
          </w:tcPr>
          <w:p w14:paraId="5A692128" w14:textId="0D552E93" w:rsidR="00B76168" w:rsidRPr="003323BD" w:rsidRDefault="00031A9A" w:rsidP="001534DD">
            <w:pPr>
              <w:ind w:right="521"/>
              <w:jc w:val="right"/>
              <w:rPr>
                <w:color w:val="000000"/>
                <w:szCs w:val="18"/>
              </w:rPr>
            </w:pPr>
            <w:r>
              <w:t>53</w:t>
            </w:r>
            <w:r w:rsidR="00B76168" w:rsidRPr="00C973FE">
              <w:t>%</w:t>
            </w:r>
          </w:p>
        </w:tc>
      </w:tr>
      <w:tr w:rsidR="00B76168" w:rsidRPr="00900973" w14:paraId="011DDB68" w14:textId="77777777" w:rsidTr="00741557">
        <w:tc>
          <w:tcPr>
            <w:tcW w:w="5353" w:type="dxa"/>
            <w:tcBorders>
              <w:top w:val="nil"/>
              <w:bottom w:val="nil"/>
            </w:tcBorders>
            <w:shd w:val="clear" w:color="auto" w:fill="auto"/>
            <w:vAlign w:val="bottom"/>
          </w:tcPr>
          <w:p w14:paraId="77BFFA1A" w14:textId="77777777" w:rsidR="00B76168" w:rsidRPr="003323BD" w:rsidRDefault="00B76168" w:rsidP="001534DD">
            <w:pPr>
              <w:rPr>
                <w:color w:val="000000"/>
                <w:szCs w:val="18"/>
              </w:rPr>
            </w:pPr>
            <w:r w:rsidRPr="003323BD">
              <w:rPr>
                <w:color w:val="000000"/>
                <w:szCs w:val="18"/>
              </w:rPr>
              <w:t xml:space="preserve">Protect humans from animal/plant pest or disease </w:t>
            </w:r>
          </w:p>
        </w:tc>
        <w:tc>
          <w:tcPr>
            <w:tcW w:w="1985" w:type="dxa"/>
            <w:tcBorders>
              <w:top w:val="nil"/>
              <w:bottom w:val="nil"/>
            </w:tcBorders>
            <w:shd w:val="clear" w:color="auto" w:fill="auto"/>
          </w:tcPr>
          <w:p w14:paraId="1AEAA3A5" w14:textId="2E905349" w:rsidR="00B76168" w:rsidRPr="003323BD" w:rsidRDefault="00031A9A" w:rsidP="001534DD">
            <w:pPr>
              <w:tabs>
                <w:tab w:val="right" w:pos="1037"/>
              </w:tabs>
              <w:ind w:right="743"/>
              <w:jc w:val="right"/>
              <w:rPr>
                <w:color w:val="000000"/>
                <w:szCs w:val="18"/>
              </w:rPr>
            </w:pPr>
            <w:r>
              <w:t>23</w:t>
            </w:r>
          </w:p>
        </w:tc>
        <w:tc>
          <w:tcPr>
            <w:tcW w:w="1904" w:type="dxa"/>
            <w:tcBorders>
              <w:top w:val="nil"/>
              <w:bottom w:val="nil"/>
            </w:tcBorders>
            <w:shd w:val="clear" w:color="auto" w:fill="auto"/>
          </w:tcPr>
          <w:p w14:paraId="3694AF82" w14:textId="66F77A0A" w:rsidR="00B76168" w:rsidRPr="003323BD" w:rsidRDefault="00031A9A" w:rsidP="001534DD">
            <w:pPr>
              <w:ind w:right="521"/>
              <w:jc w:val="right"/>
              <w:rPr>
                <w:color w:val="000000"/>
                <w:szCs w:val="18"/>
              </w:rPr>
            </w:pPr>
            <w:r>
              <w:t>19</w:t>
            </w:r>
            <w:r w:rsidR="00B76168" w:rsidRPr="00C973FE">
              <w:t>%</w:t>
            </w:r>
          </w:p>
        </w:tc>
      </w:tr>
      <w:tr w:rsidR="00B76168" w:rsidRPr="00900973" w14:paraId="564A1A60" w14:textId="77777777" w:rsidTr="00031A9A">
        <w:tc>
          <w:tcPr>
            <w:tcW w:w="5353" w:type="dxa"/>
            <w:tcBorders>
              <w:top w:val="nil"/>
              <w:bottom w:val="nil"/>
            </w:tcBorders>
            <w:shd w:val="clear" w:color="auto" w:fill="C9DED4"/>
            <w:vAlign w:val="center"/>
          </w:tcPr>
          <w:p w14:paraId="7176DBB3" w14:textId="4FEDEA6B" w:rsidR="00B76168" w:rsidRPr="003323BD" w:rsidRDefault="00B76168" w:rsidP="001534DD">
            <w:pPr>
              <w:jc w:val="left"/>
              <w:rPr>
                <w:color w:val="000000"/>
                <w:szCs w:val="18"/>
              </w:rPr>
            </w:pPr>
            <w:r w:rsidRPr="003323BD">
              <w:rPr>
                <w:color w:val="000000"/>
                <w:szCs w:val="18"/>
              </w:rPr>
              <w:t>Plant Protection</w:t>
            </w:r>
          </w:p>
        </w:tc>
        <w:tc>
          <w:tcPr>
            <w:tcW w:w="1985" w:type="dxa"/>
            <w:tcBorders>
              <w:top w:val="nil"/>
              <w:bottom w:val="nil"/>
            </w:tcBorders>
            <w:shd w:val="clear" w:color="auto" w:fill="C9DED4"/>
          </w:tcPr>
          <w:p w14:paraId="77D767B3" w14:textId="66C1820B" w:rsidR="00B76168" w:rsidRPr="003323BD" w:rsidRDefault="00031A9A" w:rsidP="001534DD">
            <w:pPr>
              <w:tabs>
                <w:tab w:val="right" w:pos="1037"/>
              </w:tabs>
              <w:ind w:right="743"/>
              <w:jc w:val="right"/>
              <w:rPr>
                <w:color w:val="000000"/>
                <w:szCs w:val="18"/>
              </w:rPr>
            </w:pPr>
            <w:r>
              <w:t>18</w:t>
            </w:r>
          </w:p>
        </w:tc>
        <w:tc>
          <w:tcPr>
            <w:tcW w:w="1904" w:type="dxa"/>
            <w:tcBorders>
              <w:top w:val="nil"/>
              <w:bottom w:val="nil"/>
            </w:tcBorders>
            <w:shd w:val="clear" w:color="auto" w:fill="C9DED4"/>
          </w:tcPr>
          <w:p w14:paraId="1DB22535" w14:textId="4ACE7BBA" w:rsidR="00B76168" w:rsidRPr="003323BD" w:rsidRDefault="00031A9A" w:rsidP="001534DD">
            <w:pPr>
              <w:ind w:right="521"/>
              <w:jc w:val="right"/>
              <w:rPr>
                <w:color w:val="000000"/>
                <w:szCs w:val="18"/>
              </w:rPr>
            </w:pPr>
            <w:r>
              <w:t>15</w:t>
            </w:r>
            <w:r w:rsidR="00B76168" w:rsidRPr="00C973FE">
              <w:t>%</w:t>
            </w:r>
          </w:p>
        </w:tc>
      </w:tr>
      <w:tr w:rsidR="00B76168" w:rsidRPr="00C248C3" w14:paraId="1965521E" w14:textId="77777777" w:rsidTr="00741557">
        <w:tc>
          <w:tcPr>
            <w:tcW w:w="5353" w:type="dxa"/>
            <w:tcBorders>
              <w:top w:val="nil"/>
              <w:bottom w:val="single" w:sz="4" w:space="0" w:color="auto"/>
            </w:tcBorders>
            <w:shd w:val="clear" w:color="auto" w:fill="auto"/>
            <w:vAlign w:val="bottom"/>
          </w:tcPr>
          <w:p w14:paraId="73E2B096" w14:textId="77777777" w:rsidR="00B76168" w:rsidRPr="003323BD" w:rsidRDefault="00B76168" w:rsidP="001534DD">
            <w:pPr>
              <w:rPr>
                <w:color w:val="000000"/>
                <w:szCs w:val="18"/>
              </w:rPr>
            </w:pPr>
            <w:r w:rsidRPr="003323BD">
              <w:rPr>
                <w:color w:val="000000"/>
                <w:szCs w:val="18"/>
              </w:rPr>
              <w:t>Protect territory from other damage from pests</w:t>
            </w:r>
            <w:r w:rsidRPr="003323BD" w:rsidDel="00B76168">
              <w:rPr>
                <w:color w:val="000000"/>
                <w:szCs w:val="18"/>
              </w:rPr>
              <w:t xml:space="preserve"> </w:t>
            </w:r>
          </w:p>
        </w:tc>
        <w:tc>
          <w:tcPr>
            <w:tcW w:w="1985" w:type="dxa"/>
            <w:tcBorders>
              <w:top w:val="nil"/>
              <w:bottom w:val="single" w:sz="4" w:space="0" w:color="auto"/>
            </w:tcBorders>
            <w:shd w:val="clear" w:color="auto" w:fill="auto"/>
          </w:tcPr>
          <w:p w14:paraId="5A9D50EB" w14:textId="364EA08C" w:rsidR="00B76168" w:rsidRPr="003323BD" w:rsidRDefault="00031A9A" w:rsidP="001534DD">
            <w:pPr>
              <w:tabs>
                <w:tab w:val="right" w:pos="1037"/>
              </w:tabs>
              <w:ind w:right="743"/>
              <w:jc w:val="right"/>
              <w:rPr>
                <w:color w:val="000000"/>
                <w:szCs w:val="18"/>
              </w:rPr>
            </w:pPr>
            <w:r>
              <w:t>11</w:t>
            </w:r>
          </w:p>
        </w:tc>
        <w:tc>
          <w:tcPr>
            <w:tcW w:w="1904" w:type="dxa"/>
            <w:tcBorders>
              <w:top w:val="nil"/>
              <w:bottom w:val="single" w:sz="4" w:space="0" w:color="auto"/>
            </w:tcBorders>
            <w:shd w:val="clear" w:color="auto" w:fill="auto"/>
          </w:tcPr>
          <w:p w14:paraId="60362CE6" w14:textId="091690A8" w:rsidR="00B76168" w:rsidRPr="003323BD" w:rsidRDefault="00031A9A" w:rsidP="001534DD">
            <w:pPr>
              <w:ind w:right="521"/>
              <w:jc w:val="right"/>
              <w:rPr>
                <w:color w:val="000000"/>
                <w:szCs w:val="18"/>
              </w:rPr>
            </w:pPr>
            <w:r>
              <w:t>9</w:t>
            </w:r>
            <w:r w:rsidR="00B76168" w:rsidRPr="00C973FE">
              <w:t>%</w:t>
            </w:r>
          </w:p>
        </w:tc>
      </w:tr>
    </w:tbl>
    <w:p w14:paraId="5F0C0537" w14:textId="77777777" w:rsidR="001173A4" w:rsidRDefault="001173A4" w:rsidP="001534DD">
      <w:pPr>
        <w:spacing w:after="240"/>
      </w:pPr>
    </w:p>
    <w:p w14:paraId="6B30F149" w14:textId="77777777" w:rsidR="002819B4" w:rsidRDefault="002819B4" w:rsidP="00DE2F96">
      <w:pPr>
        <w:pStyle w:val="Heading2"/>
      </w:pPr>
      <w:bookmarkStart w:id="25" w:name="_Toc400006343"/>
      <w:bookmarkStart w:id="26" w:name="_Toc400015170"/>
      <w:bookmarkStart w:id="27" w:name="_Toc527021053"/>
      <w:r>
        <w:t>International standards, guidelines or recommendations</w:t>
      </w:r>
      <w:bookmarkEnd w:id="25"/>
      <w:bookmarkEnd w:id="26"/>
      <w:bookmarkEnd w:id="27"/>
    </w:p>
    <w:p w14:paraId="4FA56359" w14:textId="3C59131E" w:rsidR="002819B4" w:rsidRDefault="002819B4" w:rsidP="0014433A">
      <w:pPr>
        <w:pStyle w:val="BodyText"/>
      </w:pPr>
      <w:r>
        <w:t xml:space="preserve">The SPS Agreement does not require Members to notify a measure if its content is substantially the same as that of an international standard adopted by Codex, IPPC or the OIE. Nonetheless, the </w:t>
      </w:r>
      <w:r w:rsidR="00371234">
        <w:t xml:space="preserve">Recommended </w:t>
      </w:r>
      <w:r>
        <w:t xml:space="preserve">Transparency Procedures encourage Members to notify all regulations that are based on, conform to, or are substantially the same as an international standard, guideline or recommendation, if they are expected to have a significant impact on trade of other Members. The </w:t>
      </w:r>
      <w:r w:rsidR="00843B91">
        <w:t xml:space="preserve">notification </w:t>
      </w:r>
      <w:r>
        <w:t>formats also seek more precision from Members regarding relevant standards and the conformity of t</w:t>
      </w:r>
      <w:r w:rsidR="00965151">
        <w:t>he notified measure with these.</w:t>
      </w:r>
    </w:p>
    <w:p w14:paraId="16E1217B" w14:textId="31269964" w:rsidR="002819B4" w:rsidRPr="00436072" w:rsidRDefault="002819B4" w:rsidP="002819B4">
      <w:pPr>
        <w:pStyle w:val="BodyText"/>
      </w:pPr>
      <w:r w:rsidRPr="006961B4">
        <w:t xml:space="preserve">With respect to </w:t>
      </w:r>
      <w:r w:rsidRPr="000650A8">
        <w:t xml:space="preserve">regular notifications circulated from </w:t>
      </w:r>
      <w:r w:rsidR="003F2F15">
        <w:t>16</w:t>
      </w:r>
      <w:r w:rsidR="003F2F15" w:rsidRPr="000650A8">
        <w:t xml:space="preserve"> </w:t>
      </w:r>
      <w:r w:rsidR="005F363E" w:rsidRPr="000650A8">
        <w:t xml:space="preserve">September </w:t>
      </w:r>
      <w:r w:rsidR="00303816">
        <w:t>2017</w:t>
      </w:r>
      <w:r w:rsidR="003F2F15" w:rsidRPr="007B5D2F">
        <w:t xml:space="preserve"> </w:t>
      </w:r>
      <w:r w:rsidRPr="007B5D2F">
        <w:t>to 15 September</w:t>
      </w:r>
      <w:r w:rsidR="00C4735A">
        <w:t xml:space="preserve"> </w:t>
      </w:r>
      <w:r w:rsidR="00303816">
        <w:t>2018</w:t>
      </w:r>
      <w:r w:rsidRPr="0087453B">
        <w:t xml:space="preserve">, </w:t>
      </w:r>
      <w:r w:rsidR="00024FE6" w:rsidRPr="0087453B">
        <w:t xml:space="preserve">Chart </w:t>
      </w:r>
      <w:r w:rsidRPr="0087453B">
        <w:t xml:space="preserve">5 indicates that in </w:t>
      </w:r>
      <w:r w:rsidR="00514C87">
        <w:t>5</w:t>
      </w:r>
      <w:r w:rsidR="00303816">
        <w:t>6</w:t>
      </w:r>
      <w:r w:rsidRPr="00B04491">
        <w:t>% of</w:t>
      </w:r>
      <w:r w:rsidRPr="000650A8">
        <w:t xml:space="preserve"> the cases, Members have not identified an international standard as being relevant to the new measure being notified</w:t>
      </w:r>
      <w:r w:rsidR="007F279A" w:rsidRPr="00436072">
        <w:t xml:space="preserve">, while </w:t>
      </w:r>
      <w:r w:rsidR="00514C87">
        <w:t>2</w:t>
      </w:r>
      <w:r w:rsidR="00303816">
        <w:t>7</w:t>
      </w:r>
      <w:r w:rsidRPr="00B04491">
        <w:t>%</w:t>
      </w:r>
      <w:r w:rsidRPr="000650A8">
        <w:t xml:space="preserve"> have referred to Codex, </w:t>
      </w:r>
      <w:r w:rsidR="000A6BE5">
        <w:t>12</w:t>
      </w:r>
      <w:r w:rsidRPr="00B04491">
        <w:t>%</w:t>
      </w:r>
      <w:r w:rsidRPr="000650A8">
        <w:t xml:space="preserve"> </w:t>
      </w:r>
      <w:r w:rsidR="007F279A" w:rsidRPr="000650A8">
        <w:t xml:space="preserve">to the IPPC and </w:t>
      </w:r>
      <w:r w:rsidR="00303816">
        <w:t>5</w:t>
      </w:r>
      <w:r w:rsidR="007F279A" w:rsidRPr="00B04491">
        <w:t>%</w:t>
      </w:r>
      <w:r w:rsidR="007F279A" w:rsidRPr="000650A8">
        <w:t xml:space="preserve"> </w:t>
      </w:r>
      <w:r w:rsidRPr="000650A8">
        <w:t>to the OIE</w:t>
      </w:r>
      <w:r w:rsidR="007F279A" w:rsidRPr="000650A8">
        <w:t>.</w:t>
      </w:r>
    </w:p>
    <w:p w14:paraId="55CE1E7C" w14:textId="582E3A2A" w:rsidR="002819B4" w:rsidRDefault="006C42F7" w:rsidP="002819B4">
      <w:pPr>
        <w:pStyle w:val="BodyText"/>
      </w:pPr>
      <w:r>
        <w:t>When it comes to emergency notification</w:t>
      </w:r>
      <w:r w:rsidR="00687DC3">
        <w:t>s</w:t>
      </w:r>
      <w:r>
        <w:t xml:space="preserve"> for the same period, </w:t>
      </w:r>
      <w:r w:rsidR="005054CA">
        <w:t>Chart</w:t>
      </w:r>
      <w:r w:rsidR="002819B4">
        <w:t xml:space="preserve"> 6 shows that only </w:t>
      </w:r>
      <w:r w:rsidR="00FF62E9">
        <w:t>14</w:t>
      </w:r>
      <w:r w:rsidR="002819B4" w:rsidRPr="00B04491">
        <w:t>%</w:t>
      </w:r>
      <w:r w:rsidR="008B04D4">
        <w:t> </w:t>
      </w:r>
      <w:r w:rsidR="002819B4" w:rsidRPr="000650A8">
        <w:t xml:space="preserve">of emergency notifications have not identified an international standard as being relevant to the measure being notified, </w:t>
      </w:r>
      <w:r w:rsidRPr="00436072">
        <w:t xml:space="preserve">whereas </w:t>
      </w:r>
      <w:r w:rsidR="00514C87">
        <w:t>6</w:t>
      </w:r>
      <w:r w:rsidR="00FF62E9">
        <w:t>9</w:t>
      </w:r>
      <w:r w:rsidR="002819B4" w:rsidRPr="00B04491">
        <w:t xml:space="preserve">%, </w:t>
      </w:r>
      <w:r w:rsidR="00FF62E9">
        <w:t>12</w:t>
      </w:r>
      <w:r w:rsidR="002819B4" w:rsidRPr="00B04491">
        <w:t xml:space="preserve">% and </w:t>
      </w:r>
      <w:r w:rsidR="00FF62E9">
        <w:t>5</w:t>
      </w:r>
      <w:r w:rsidR="002819B4" w:rsidRPr="00B04491">
        <w:t>%</w:t>
      </w:r>
      <w:r w:rsidR="002819B4" w:rsidRPr="000650A8">
        <w:t xml:space="preserve"> have referred to the OIE, IPPC and</w:t>
      </w:r>
      <w:r w:rsidR="002819B4">
        <w:t xml:space="preserve"> Codex </w:t>
      </w:r>
      <w:r>
        <w:t xml:space="preserve">respectively </w:t>
      </w:r>
      <w:r w:rsidR="002819B4">
        <w:t>as having a relevant international standard. It is reassuring to note that the relevant international standards address many emergency situations, thus providing invaluable guidance to governments on how to protect health in the face of emergencies.</w:t>
      </w:r>
    </w:p>
    <w:p w14:paraId="5F745ABB" w14:textId="49AA4D7D" w:rsidR="002819B4" w:rsidRDefault="005054CA" w:rsidP="003053FF">
      <w:pPr>
        <w:pStyle w:val="Caption"/>
      </w:pPr>
      <w:r w:rsidRPr="00B14C9E">
        <w:lastRenderedPageBreak/>
        <w:t>Chart</w:t>
      </w:r>
      <w:r w:rsidR="002819B4" w:rsidRPr="00B14C9E">
        <w:t xml:space="preserve"> 5</w:t>
      </w:r>
      <w:r w:rsidR="003053FF" w:rsidRPr="00B14C9E">
        <w:t xml:space="preserve"> - Regular Notifications referring to a relevant international standard</w:t>
      </w:r>
    </w:p>
    <w:p w14:paraId="1775FDC9" w14:textId="55F80E4E" w:rsidR="00303816" w:rsidRPr="00303816" w:rsidRDefault="00303816" w:rsidP="00303816">
      <w:pPr>
        <w:rPr>
          <w:lang w:eastAsia="en-GB"/>
        </w:rPr>
      </w:pPr>
      <w:r>
        <w:rPr>
          <w:noProof/>
        </w:rPr>
        <w:drawing>
          <wp:inline distT="0" distB="0" distL="0" distR="0" wp14:anchorId="2849A74B" wp14:editId="4136C44A">
            <wp:extent cx="4991100" cy="3019425"/>
            <wp:effectExtent l="0" t="0" r="0" b="9525"/>
            <wp:docPr id="6" name="Chart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31B61C" w14:textId="0B5B0E0A" w:rsidR="00303816" w:rsidRDefault="00303816" w:rsidP="00C4735A">
      <w:pPr>
        <w:spacing w:after="240"/>
      </w:pPr>
    </w:p>
    <w:p w14:paraId="08A80D94" w14:textId="4F2CBBE9" w:rsidR="002819B4" w:rsidRDefault="00702719" w:rsidP="00907DEB">
      <w:pPr>
        <w:pStyle w:val="Caption"/>
        <w:keepLines/>
      </w:pPr>
      <w:r w:rsidRPr="00B14C9E">
        <w:t>Chart</w:t>
      </w:r>
      <w:r w:rsidR="002819B4" w:rsidRPr="00B14C9E">
        <w:t xml:space="preserve"> 6</w:t>
      </w:r>
      <w:r w:rsidR="00907DEB" w:rsidRPr="00B14C9E">
        <w:t xml:space="preserve"> - Emergency Notifications referring to a relevant international standard</w:t>
      </w:r>
    </w:p>
    <w:p w14:paraId="321DABDA" w14:textId="28DF39BA" w:rsidR="00A47D35" w:rsidRDefault="00303816" w:rsidP="00907DEB">
      <w:r>
        <w:rPr>
          <w:noProof/>
        </w:rPr>
        <w:drawing>
          <wp:inline distT="0" distB="0" distL="0" distR="0" wp14:anchorId="16B65D41" wp14:editId="6D151FED">
            <wp:extent cx="5038725" cy="2962275"/>
            <wp:effectExtent l="0" t="0" r="9525" b="9525"/>
            <wp:docPr id="11" name="Chart 11">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568FCE" w14:textId="77777777" w:rsidR="00907DEB" w:rsidRDefault="00907DEB" w:rsidP="00C4735A">
      <w:pPr>
        <w:spacing w:after="240"/>
      </w:pPr>
    </w:p>
    <w:p w14:paraId="0ED7A1DD" w14:textId="6A6FB076" w:rsidR="002819B4" w:rsidRDefault="002819B4" w:rsidP="002819B4">
      <w:pPr>
        <w:pStyle w:val="BodyText"/>
      </w:pPr>
      <w:r w:rsidRPr="006961B4">
        <w:t>The notification formats include a</w:t>
      </w:r>
      <w:r w:rsidR="006537DE">
        <w:t>n</w:t>
      </w:r>
      <w:r w:rsidRPr="006961B4">
        <w:t xml:space="preserve"> entry asking whether the proposed regulation conforms to the relevant </w:t>
      </w:r>
      <w:r w:rsidRPr="000650A8">
        <w:t xml:space="preserve">international standard. During the period from </w:t>
      </w:r>
      <w:r w:rsidR="003F2F15">
        <w:t>16</w:t>
      </w:r>
      <w:r w:rsidR="003F2F15" w:rsidRPr="000650A8">
        <w:t xml:space="preserve"> </w:t>
      </w:r>
      <w:r w:rsidR="00050B5D" w:rsidRPr="000650A8">
        <w:t xml:space="preserve">September </w:t>
      </w:r>
      <w:r w:rsidR="00FF62E9">
        <w:t>2017</w:t>
      </w:r>
      <w:r w:rsidR="003F2F15" w:rsidRPr="007B5D2F">
        <w:t xml:space="preserve"> </w:t>
      </w:r>
      <w:r w:rsidR="00907DEB" w:rsidRPr="00C9540C">
        <w:t>to 15</w:t>
      </w:r>
      <w:r w:rsidR="006F07E7">
        <w:t xml:space="preserve"> </w:t>
      </w:r>
      <w:r w:rsidRPr="00C9540C">
        <w:t>September</w:t>
      </w:r>
      <w:r w:rsidR="00D552A6">
        <w:t xml:space="preserve"> </w:t>
      </w:r>
      <w:r w:rsidR="00FF62E9">
        <w:t>2018</w:t>
      </w:r>
      <w:r w:rsidRPr="0087453B">
        <w:t xml:space="preserve">, </w:t>
      </w:r>
      <w:r w:rsidRPr="00D12336">
        <w:t xml:space="preserve">of the </w:t>
      </w:r>
      <w:r w:rsidR="00247C06">
        <w:t>50</w:t>
      </w:r>
      <w:r w:rsidRPr="00E303E0">
        <w:t xml:space="preserve">% of regular notifications identifying a relevant international standard regarding the measure, </w:t>
      </w:r>
      <w:r w:rsidR="00514C87" w:rsidRPr="002C1B7F">
        <w:t>8</w:t>
      </w:r>
      <w:r w:rsidR="00247C06">
        <w:t>8</w:t>
      </w:r>
      <w:r w:rsidRPr="002C1B7F">
        <w:t xml:space="preserve">% indicated that the proposed regulation conformed to that relevant international standard. For the same period, </w:t>
      </w:r>
      <w:r w:rsidR="00483303" w:rsidRPr="00550B24">
        <w:t xml:space="preserve">nearly </w:t>
      </w:r>
      <w:r w:rsidR="00483303" w:rsidRPr="009F7172">
        <w:t>all (9</w:t>
      </w:r>
      <w:r w:rsidR="009F7172" w:rsidRPr="009F7172">
        <w:t>8</w:t>
      </w:r>
      <w:r w:rsidR="00483303" w:rsidRPr="009F7172">
        <w:t xml:space="preserve">%) </w:t>
      </w:r>
      <w:r w:rsidRPr="009F7172">
        <w:t>of emergency</w:t>
      </w:r>
      <w:r w:rsidRPr="00550B24">
        <w:t xml:space="preserve"> notifications </w:t>
      </w:r>
      <w:r w:rsidRPr="00FC46B9">
        <w:t>identifying a relevant international standard indicated that the proposed regulation conformed to the r</w:t>
      </w:r>
      <w:r w:rsidR="00907DEB" w:rsidRPr="003F3CAB">
        <w:t>elevant international standard.</w:t>
      </w:r>
    </w:p>
    <w:p w14:paraId="01694E77" w14:textId="77777777" w:rsidR="002819B4" w:rsidRPr="00192B60" w:rsidRDefault="002819B4" w:rsidP="00482098">
      <w:pPr>
        <w:pStyle w:val="Heading2"/>
      </w:pPr>
      <w:bookmarkStart w:id="28" w:name="_Toc400006344"/>
      <w:bookmarkStart w:id="29" w:name="_Toc400015171"/>
      <w:bookmarkStart w:id="30" w:name="_Toc527021054"/>
      <w:r w:rsidRPr="00192B60">
        <w:lastRenderedPageBreak/>
        <w:t>Proposed date of adoption/publication/entry into force</w:t>
      </w:r>
      <w:bookmarkEnd w:id="28"/>
      <w:bookmarkEnd w:id="29"/>
      <w:bookmarkEnd w:id="30"/>
    </w:p>
    <w:p w14:paraId="3FF3E108" w14:textId="77777777" w:rsidR="002819B4" w:rsidRDefault="002819B4" w:rsidP="002819B4">
      <w:pPr>
        <w:pStyle w:val="BodyText"/>
      </w:pPr>
      <w:r>
        <w:t>In accordance with paragraphs 1 and 2 of Annex B of the SPS Agreement, Members are obliged to ensure that all SPS regulations which have been a</w:t>
      </w:r>
      <w:r w:rsidR="0094641D">
        <w:t xml:space="preserve">dopted are published promptly. </w:t>
      </w:r>
      <w:r>
        <w:t>Except</w:t>
      </w:r>
      <w:r w:rsidR="006C2D7F">
        <w:t> </w:t>
      </w:r>
      <w:r>
        <w:t>in urgent circumstances, Members are also obliged to allow a reasonable interval between the publication of a measure and its entry into force. Paragraph 3.2 of the Doha Decision on Implementation-Related Issues and Concerns states that this interval "shall be understood to mean normally a period of not less than 6 months".</w:t>
      </w:r>
      <w:r w:rsidR="006477FA">
        <w:rPr>
          <w:rStyle w:val="FootnoteReference"/>
        </w:rPr>
        <w:footnoteReference w:id="17"/>
      </w:r>
    </w:p>
    <w:p w14:paraId="0A0CB36C" w14:textId="77777777" w:rsidR="002819B4" w:rsidRPr="004C1097" w:rsidRDefault="002819B4" w:rsidP="002819B4">
      <w:pPr>
        <w:pStyle w:val="BodyText"/>
      </w:pPr>
      <w:r>
        <w:t xml:space="preserve">The regular notification format contained in the </w:t>
      </w:r>
      <w:r w:rsidR="00371234">
        <w:t xml:space="preserve">Recommended </w:t>
      </w:r>
      <w:r>
        <w:t xml:space="preserve">Transparency Procedures includes separate fields for entering the "proposed date of publication", the "proposed date of adoption" and the "proposed date of entry into force". In addition, it includes a default </w:t>
      </w:r>
      <w:r w:rsidRPr="004C1097">
        <w:t>checkbox for a six-month interval between the publication and entry into force of a new measure.</w:t>
      </w:r>
    </w:p>
    <w:p w14:paraId="5A98B028" w14:textId="695B5937" w:rsidR="004507A7" w:rsidRPr="00F7226E" w:rsidRDefault="002819B4" w:rsidP="002D7322">
      <w:pPr>
        <w:pStyle w:val="BodyText"/>
      </w:pPr>
      <w:r w:rsidRPr="002A1562">
        <w:t xml:space="preserve">For the period from </w:t>
      </w:r>
      <w:r w:rsidR="005330B9" w:rsidRPr="002A1562">
        <w:t xml:space="preserve">16 </w:t>
      </w:r>
      <w:r w:rsidR="00802734" w:rsidRPr="002A1562">
        <w:t xml:space="preserve">September </w:t>
      </w:r>
      <w:r w:rsidR="00104D5D" w:rsidRPr="002A1562">
        <w:t>2017</w:t>
      </w:r>
      <w:r w:rsidR="005330B9" w:rsidRPr="002A1562">
        <w:t xml:space="preserve"> </w:t>
      </w:r>
      <w:r w:rsidRPr="002A1562">
        <w:t xml:space="preserve">through 15 September </w:t>
      </w:r>
      <w:r w:rsidR="00104D5D" w:rsidRPr="002A1562">
        <w:t>2018</w:t>
      </w:r>
      <w:r w:rsidRPr="002A1562">
        <w:t xml:space="preserve">, </w:t>
      </w:r>
      <w:r w:rsidR="00BA7064">
        <w:t>25</w:t>
      </w:r>
      <w:r w:rsidR="003545CB" w:rsidRPr="002A1562">
        <w:t>% (</w:t>
      </w:r>
      <w:r w:rsidR="002A1562">
        <w:t>298</w:t>
      </w:r>
      <w:r w:rsidR="003545CB" w:rsidRPr="002A1562">
        <w:t>)</w:t>
      </w:r>
      <w:r w:rsidR="002A1562">
        <w:t xml:space="preserve"> </w:t>
      </w:r>
      <w:r w:rsidRPr="002A1562">
        <w:t xml:space="preserve">of regular notifications included a specific date for adoption, </w:t>
      </w:r>
      <w:r w:rsidR="00BA7064">
        <w:t xml:space="preserve">21% </w:t>
      </w:r>
      <w:r w:rsidR="00BA7064" w:rsidRPr="002A1562">
        <w:t>(2</w:t>
      </w:r>
      <w:r w:rsidR="00BA7064">
        <w:t>53</w:t>
      </w:r>
      <w:r w:rsidR="00BA7064" w:rsidRPr="002A1562">
        <w:t>)</w:t>
      </w:r>
      <w:r w:rsidR="00BA7064">
        <w:t xml:space="preserve"> </w:t>
      </w:r>
      <w:r w:rsidRPr="002A1562">
        <w:t xml:space="preserve">for publication, </w:t>
      </w:r>
      <w:r w:rsidR="00BA7064">
        <w:t xml:space="preserve">and 20% </w:t>
      </w:r>
      <w:r w:rsidR="00BA7064" w:rsidRPr="002A1562">
        <w:t>(2</w:t>
      </w:r>
      <w:r w:rsidR="00BA7064">
        <w:t>39</w:t>
      </w:r>
      <w:r w:rsidR="00BA7064" w:rsidRPr="002A1562">
        <w:t>)</w:t>
      </w:r>
      <w:r w:rsidR="00BA7064">
        <w:t xml:space="preserve"> </w:t>
      </w:r>
      <w:r w:rsidRPr="002A1562">
        <w:t>for entry into force</w:t>
      </w:r>
      <w:r w:rsidR="00BA7064">
        <w:t>.</w:t>
      </w:r>
      <w:r w:rsidR="004507A7" w:rsidRPr="002A1562">
        <w:t xml:space="preserve"> </w:t>
      </w:r>
      <w:r w:rsidRPr="002A1562">
        <w:t xml:space="preserve">In some </w:t>
      </w:r>
      <w:r w:rsidR="00730126" w:rsidRPr="002A1562">
        <w:t>cases,</w:t>
      </w:r>
      <w:r w:rsidRPr="002A1562">
        <w:t xml:space="preserve"> such dates</w:t>
      </w:r>
      <w:r w:rsidRPr="002C1B7F">
        <w:t xml:space="preserve"> are not yet determined at the time of the notification, as the nature and extent of comments received on the proposed measure may</w:t>
      </w:r>
      <w:r w:rsidRPr="00550B24">
        <w:t xml:space="preserve"> affect the dates of adoption, publication and entry into force.</w:t>
      </w:r>
      <w:r w:rsidR="002A0496" w:rsidRPr="00C70460">
        <w:t xml:space="preserve"> </w:t>
      </w:r>
      <w:r w:rsidRPr="002C1B7F">
        <w:t xml:space="preserve">During the </w:t>
      </w:r>
      <w:r w:rsidR="00EB2507">
        <w:t>reporting period</w:t>
      </w:r>
      <w:r w:rsidRPr="002C1B7F">
        <w:t xml:space="preserve">, </w:t>
      </w:r>
      <w:r w:rsidR="00D16592">
        <w:t>247</w:t>
      </w:r>
      <w:r w:rsidR="00E61C6E" w:rsidRPr="00550B24">
        <w:t xml:space="preserve"> </w:t>
      </w:r>
      <w:r w:rsidRPr="00550B24">
        <w:t>regular notifications (</w:t>
      </w:r>
      <w:r w:rsidR="004D60C8">
        <w:t>21</w:t>
      </w:r>
      <w:r w:rsidR="00655B36" w:rsidRPr="00550B24">
        <w:t>%</w:t>
      </w:r>
      <w:r w:rsidRPr="00550B24">
        <w:t xml:space="preserve">) had selected the checkbox for a six-month interval between the publication </w:t>
      </w:r>
      <w:r w:rsidRPr="00F7226E">
        <w:t>and</w:t>
      </w:r>
      <w:r w:rsidR="003D398D" w:rsidRPr="00F7226E">
        <w:t xml:space="preserve"> entry into force of a measure.</w:t>
      </w:r>
    </w:p>
    <w:p w14:paraId="0D1B3CC0" w14:textId="6FD8AB74" w:rsidR="002B34DB" w:rsidRPr="00F7226E" w:rsidRDefault="002B34DB" w:rsidP="002D7322">
      <w:pPr>
        <w:pStyle w:val="BodyText"/>
      </w:pPr>
      <w:r w:rsidRPr="00F7226E">
        <w:t>Regarding the regular notification</w:t>
      </w:r>
      <w:r w:rsidR="00FD3F59">
        <w:t>s</w:t>
      </w:r>
      <w:r w:rsidRPr="00F7226E">
        <w:t xml:space="preserve"> that indicated a specific date of entry into force, </w:t>
      </w:r>
      <w:r w:rsidR="00D9405C" w:rsidRPr="00F7226E">
        <w:t>2</w:t>
      </w:r>
      <w:r w:rsidR="00F7226E">
        <w:t>9</w:t>
      </w:r>
      <w:r w:rsidR="00D9405C" w:rsidRPr="00F7226E">
        <w:t xml:space="preserve">% </w:t>
      </w:r>
      <w:r w:rsidR="00447401" w:rsidRPr="00F7226E">
        <w:t>(</w:t>
      </w:r>
      <w:r w:rsidR="00F7226E">
        <w:t>69</w:t>
      </w:r>
      <w:r w:rsidR="00447401" w:rsidRPr="00F7226E">
        <w:t xml:space="preserve">) </w:t>
      </w:r>
      <w:r w:rsidR="004A624E" w:rsidRPr="00F7226E">
        <w:t>indicate a delay between the date of distribution and the proposed date of entry into force</w:t>
      </w:r>
      <w:r w:rsidR="001B4182" w:rsidRPr="00F7226E">
        <w:t xml:space="preserve"> that averaged 1</w:t>
      </w:r>
      <w:r w:rsidR="00F7226E">
        <w:t>23</w:t>
      </w:r>
      <w:r w:rsidR="001B4182" w:rsidRPr="00F7226E">
        <w:t xml:space="preserve"> days. </w:t>
      </w:r>
      <w:proofErr w:type="gramStart"/>
      <w:r w:rsidR="001B4182" w:rsidRPr="00CD45E4">
        <w:t>This average masks</w:t>
      </w:r>
      <w:proofErr w:type="gramEnd"/>
      <w:r w:rsidR="001B4182" w:rsidRPr="00F7226E">
        <w:t xml:space="preserve"> a very wide range, as the periods in the notifications varied from 1 to </w:t>
      </w:r>
      <w:r w:rsidR="00F7226E">
        <w:t>618</w:t>
      </w:r>
      <w:r w:rsidR="00F218D1" w:rsidRPr="00F7226E">
        <w:t xml:space="preserve"> </w:t>
      </w:r>
      <w:r w:rsidR="001B4182" w:rsidRPr="00F7226E">
        <w:t xml:space="preserve">days. </w:t>
      </w:r>
      <w:r w:rsidR="003D3DEA">
        <w:t>T</w:t>
      </w:r>
      <w:r w:rsidR="00FD3F59">
        <w:t>he remaining notifications,</w:t>
      </w:r>
      <w:r w:rsidR="001B4182" w:rsidRPr="00B90263">
        <w:t xml:space="preserve"> </w:t>
      </w:r>
      <w:r w:rsidR="00F7226E" w:rsidRPr="00B90263">
        <w:t>71</w:t>
      </w:r>
      <w:r w:rsidR="001B4182" w:rsidRPr="00B90263">
        <w:t>% (1</w:t>
      </w:r>
      <w:r w:rsidR="00F7226E" w:rsidRPr="00B90263">
        <w:t>70</w:t>
      </w:r>
      <w:r w:rsidR="001B4182" w:rsidRPr="00B90263">
        <w:t>), indicated a date of entry into force prior to the date of distribution</w:t>
      </w:r>
      <w:r w:rsidR="00FD3F59">
        <w:t xml:space="preserve"> of the notification</w:t>
      </w:r>
      <w:r w:rsidR="0024265F" w:rsidRPr="00B90263">
        <w:t xml:space="preserve">, and </w:t>
      </w:r>
      <w:r w:rsidR="00B90263" w:rsidRPr="00B90263">
        <w:t>36</w:t>
      </w:r>
      <w:r w:rsidR="0024265F" w:rsidRPr="00B90263">
        <w:t>% (</w:t>
      </w:r>
      <w:r w:rsidR="00B90263" w:rsidRPr="00B90263">
        <w:t>62</w:t>
      </w:r>
      <w:r w:rsidR="0024265F" w:rsidRPr="00B90263">
        <w:t>) of</w:t>
      </w:r>
      <w:r w:rsidR="0024265F" w:rsidRPr="00F7226E">
        <w:t xml:space="preserve"> these concerned measures identified as trade facilitating.</w:t>
      </w:r>
    </w:p>
    <w:p w14:paraId="53B7512D" w14:textId="0EF758CB" w:rsidR="002819B4" w:rsidRPr="00653D81" w:rsidRDefault="002819B4" w:rsidP="00C0502A">
      <w:pPr>
        <w:pStyle w:val="BodyText"/>
      </w:pPr>
      <w:bookmarkStart w:id="31" w:name="_Hlk525295765"/>
      <w:r w:rsidRPr="00F7226E">
        <w:t xml:space="preserve">As provided for in the </w:t>
      </w:r>
      <w:r w:rsidR="00371234" w:rsidRPr="00F7226E">
        <w:t xml:space="preserve">Recommended </w:t>
      </w:r>
      <w:r w:rsidRPr="00F7226E">
        <w:t>Transparency Procedures, notifying Members sometimes follow up on their original</w:t>
      </w:r>
      <w:r w:rsidRPr="00653D81">
        <w:t xml:space="preserve"> notification with an </w:t>
      </w:r>
      <w:r w:rsidR="00B9381F" w:rsidRPr="00653D81">
        <w:t>a</w:t>
      </w:r>
      <w:r w:rsidRPr="00653D81">
        <w:t xml:space="preserve">ddendum to alert Members to the adoption, publication, or entry into force of a previously notified proposed measure. During the period of </w:t>
      </w:r>
      <w:r w:rsidR="005330B9" w:rsidRPr="00653D81">
        <w:t>16</w:t>
      </w:r>
      <w:r w:rsidR="00E4121E">
        <w:t> </w:t>
      </w:r>
      <w:r w:rsidR="00A952AA" w:rsidRPr="00653D81">
        <w:t xml:space="preserve">September </w:t>
      </w:r>
      <w:r w:rsidR="00104D5D" w:rsidRPr="00653D81">
        <w:t>2017</w:t>
      </w:r>
      <w:r w:rsidR="005330B9" w:rsidRPr="00653D81">
        <w:t xml:space="preserve"> </w:t>
      </w:r>
      <w:r w:rsidRPr="00653D81">
        <w:t xml:space="preserve">to 15 September </w:t>
      </w:r>
      <w:r w:rsidR="00104D5D" w:rsidRPr="00653D81">
        <w:t>2018</w:t>
      </w:r>
      <w:r w:rsidRPr="00653D81">
        <w:t xml:space="preserve">, </w:t>
      </w:r>
      <w:r w:rsidR="00E4121E">
        <w:t>about</w:t>
      </w:r>
      <w:r w:rsidR="00E4121E" w:rsidRPr="00653D81">
        <w:t xml:space="preserve"> </w:t>
      </w:r>
      <w:r w:rsidR="00EB17B2">
        <w:t>50</w:t>
      </w:r>
      <w:r w:rsidRPr="00653D81">
        <w:t>% of the addenda indicated the</w:t>
      </w:r>
      <w:r w:rsidR="00310FDD" w:rsidRPr="00653D81">
        <w:t> </w:t>
      </w:r>
      <w:r w:rsidRPr="00653D81">
        <w:t>adoption, publication or entry into force of regulations as shown in Table 6</w:t>
      </w:r>
      <w:r w:rsidR="00022CB3">
        <w:t xml:space="preserve"> on reasons for addenda to notifications</w:t>
      </w:r>
      <w:r w:rsidRPr="00653D81">
        <w:t>.</w:t>
      </w:r>
    </w:p>
    <w:p w14:paraId="3AB217B2" w14:textId="77777777" w:rsidR="002819B4" w:rsidRPr="00192B60" w:rsidRDefault="002819B4" w:rsidP="00BB15AF">
      <w:pPr>
        <w:pStyle w:val="Heading2"/>
      </w:pPr>
      <w:bookmarkStart w:id="32" w:name="_Toc400006345"/>
      <w:bookmarkStart w:id="33" w:name="_Toc400015172"/>
      <w:bookmarkStart w:id="34" w:name="_Toc527021055"/>
      <w:bookmarkEnd w:id="31"/>
      <w:r w:rsidRPr="00192B60">
        <w:t>Final date for comments</w:t>
      </w:r>
      <w:bookmarkEnd w:id="32"/>
      <w:bookmarkEnd w:id="33"/>
      <w:bookmarkEnd w:id="34"/>
    </w:p>
    <w:p w14:paraId="5D43D42A" w14:textId="33B502D4" w:rsidR="002819B4" w:rsidRPr="00DB3156" w:rsidRDefault="002819B4" w:rsidP="007858B3">
      <w:pPr>
        <w:pStyle w:val="BodyText"/>
      </w:pPr>
      <w:r>
        <w:t xml:space="preserve">Annex B, paragraph 5 of the SPS Agreement provides that notifications should take place at an early stage, when amendments can still be introduced and comments </w:t>
      </w:r>
      <w:proofErr w:type="gramStart"/>
      <w:r>
        <w:t>taken into account</w:t>
      </w:r>
      <w:proofErr w:type="gramEnd"/>
      <w:r>
        <w:t>. The</w:t>
      </w:r>
      <w:r w:rsidR="00FC4299">
        <w:t> </w:t>
      </w:r>
      <w:r w:rsidR="00371234" w:rsidRPr="00C737F6">
        <w:t xml:space="preserve">Recommended </w:t>
      </w:r>
      <w:r w:rsidRPr="00C737F6">
        <w:t xml:space="preserve">Transparency Procedures state that </w:t>
      </w:r>
      <w:r w:rsidR="00E4121E">
        <w:t>the</w:t>
      </w:r>
      <w:r w:rsidRPr="00C737F6">
        <w:t xml:space="preserve"> comment period provided </w:t>
      </w:r>
      <w:r w:rsidR="00E4121E">
        <w:t>for</w:t>
      </w:r>
      <w:r w:rsidRPr="00C737F6">
        <w:t xml:space="preserve"> regular notifications</w:t>
      </w:r>
      <w:r w:rsidR="00E4121E">
        <w:t xml:space="preserve"> should last at least 60 days</w:t>
      </w:r>
      <w:r w:rsidRPr="00C737F6">
        <w:t>. Where domestic regulatory mechanisms allow, the 60-day comment period should normally begin with the circulation</w:t>
      </w:r>
      <w:r w:rsidR="0094641D">
        <w:t xml:space="preserve"> of the notification by the WTO </w:t>
      </w:r>
      <w:r w:rsidRPr="00C737F6">
        <w:t xml:space="preserve">Secretariat. The </w:t>
      </w:r>
      <w:r w:rsidR="006537DE" w:rsidRPr="00C737F6">
        <w:t xml:space="preserve">notification </w:t>
      </w:r>
      <w:r w:rsidRPr="00C737F6">
        <w:t xml:space="preserve">formats also offer a checkbox option for such a 60-day comment period to encourage Members to follow this </w:t>
      </w:r>
      <w:r w:rsidRPr="00B04491">
        <w:t>recommendation.</w:t>
      </w:r>
      <w:r w:rsidR="006477FA" w:rsidRPr="00B04491">
        <w:rPr>
          <w:rStyle w:val="FootnoteReference"/>
        </w:rPr>
        <w:footnoteReference w:id="18"/>
      </w:r>
      <w:r w:rsidR="003D398D" w:rsidRPr="00B04491">
        <w:t xml:space="preserve"> </w:t>
      </w:r>
      <w:r w:rsidR="006961B4" w:rsidRPr="00B04491">
        <w:t xml:space="preserve">Between </w:t>
      </w:r>
      <w:r w:rsidR="005330B9">
        <w:t>16</w:t>
      </w:r>
      <w:r w:rsidR="00E4121E">
        <w:t> </w:t>
      </w:r>
      <w:r w:rsidR="006961B4" w:rsidRPr="00B04491">
        <w:t xml:space="preserve">September </w:t>
      </w:r>
      <w:r w:rsidR="00104D5D">
        <w:t>2017</w:t>
      </w:r>
      <w:r w:rsidR="005330B9" w:rsidRPr="00B04491">
        <w:t xml:space="preserve"> </w:t>
      </w:r>
      <w:r w:rsidR="006961B4" w:rsidRPr="00B04491">
        <w:t xml:space="preserve">and 15 September </w:t>
      </w:r>
      <w:r w:rsidR="00104D5D">
        <w:t>2018</w:t>
      </w:r>
      <w:r w:rsidR="00E4121E">
        <w:t>,</w:t>
      </w:r>
      <w:r w:rsidR="005330B9" w:rsidRPr="00B04491">
        <w:t xml:space="preserve"> </w:t>
      </w:r>
      <w:r w:rsidR="006961B4" w:rsidRPr="00B04491">
        <w:t>t</w:t>
      </w:r>
      <w:r w:rsidRPr="00B04491">
        <w:t xml:space="preserve">his checkbox </w:t>
      </w:r>
      <w:r w:rsidR="006961B4" w:rsidRPr="00DB3156">
        <w:t xml:space="preserve">was </w:t>
      </w:r>
      <w:r w:rsidRPr="00DB3156">
        <w:t xml:space="preserve">selected in </w:t>
      </w:r>
      <w:r w:rsidR="00B97103">
        <w:t>56</w:t>
      </w:r>
      <w:r w:rsidR="00A1515F">
        <w:t>%</w:t>
      </w:r>
      <w:r w:rsidR="008D4398">
        <w:t xml:space="preserve"> </w:t>
      </w:r>
      <w:r w:rsidR="00046B63" w:rsidRPr="00DB3156">
        <w:t>(</w:t>
      </w:r>
      <w:r w:rsidR="00B97103">
        <w:t>661</w:t>
      </w:r>
      <w:r w:rsidR="005E78A3" w:rsidRPr="00DB3156">
        <w:t>)</w:t>
      </w:r>
      <w:r w:rsidRPr="00DB3156">
        <w:t xml:space="preserve"> of</w:t>
      </w:r>
      <w:r w:rsidR="00C779E7" w:rsidRPr="00DB3156">
        <w:t xml:space="preserve"> regular</w:t>
      </w:r>
      <w:r w:rsidRPr="00DB3156">
        <w:t xml:space="preserve"> notifications.</w:t>
      </w:r>
    </w:p>
    <w:p w14:paraId="0E2F3A8F" w14:textId="6CBF69D7" w:rsidR="002819B4" w:rsidRPr="0007005A" w:rsidRDefault="002819B4" w:rsidP="004F4347">
      <w:pPr>
        <w:pStyle w:val="BodyText"/>
      </w:pPr>
      <w:r w:rsidRPr="00DB3156">
        <w:t xml:space="preserve">An analysis of the notifications issued during the period from </w:t>
      </w:r>
      <w:r w:rsidR="005330B9" w:rsidRPr="00DB3156">
        <w:t xml:space="preserve">16 </w:t>
      </w:r>
      <w:r w:rsidR="003E285D" w:rsidRPr="00DB3156">
        <w:t xml:space="preserve">September </w:t>
      </w:r>
      <w:r w:rsidR="00104D5D">
        <w:t>2017</w:t>
      </w:r>
      <w:r w:rsidR="005330B9" w:rsidRPr="00DB3156">
        <w:t xml:space="preserve"> </w:t>
      </w:r>
      <w:r w:rsidRPr="00DB3156">
        <w:t>through 15</w:t>
      </w:r>
      <w:r w:rsidR="00E4121E">
        <w:t> </w:t>
      </w:r>
      <w:r w:rsidRPr="00DB3156">
        <w:t xml:space="preserve">September </w:t>
      </w:r>
      <w:r w:rsidR="00104D5D">
        <w:t>2018</w:t>
      </w:r>
      <w:r w:rsidR="005330B9" w:rsidRPr="00DB3156">
        <w:t xml:space="preserve"> </w:t>
      </w:r>
      <w:r w:rsidRPr="00DB3156">
        <w:t xml:space="preserve">shows that around </w:t>
      </w:r>
      <w:r w:rsidR="007858B3">
        <w:t>2</w:t>
      </w:r>
      <w:r w:rsidR="005E3CAD">
        <w:t>3</w:t>
      </w:r>
      <w:r w:rsidR="007858B3">
        <w:t>%</w:t>
      </w:r>
      <w:r w:rsidR="009E5674">
        <w:t xml:space="preserve"> </w:t>
      </w:r>
      <w:r w:rsidRPr="00DB3156">
        <w:t>of notifications have not provided a comment period</w:t>
      </w:r>
      <w:r w:rsidR="001428BE">
        <w:t xml:space="preserve"> </w:t>
      </w:r>
      <w:r w:rsidRPr="00DB3156">
        <w:t>(see Table 5).</w:t>
      </w:r>
      <w:r w:rsidR="009E5674">
        <w:t xml:space="preserve"> </w:t>
      </w:r>
      <w:r w:rsidRPr="00DB3156">
        <w:t xml:space="preserve">For those that do provide comment periods, these average </w:t>
      </w:r>
      <w:r w:rsidR="005E3CAD">
        <w:t>54</w:t>
      </w:r>
      <w:r w:rsidR="00FF5089">
        <w:t xml:space="preserve"> </w:t>
      </w:r>
      <w:r w:rsidRPr="00DB3156">
        <w:t>days when calculated as the difference between the date of circulation of the notification</w:t>
      </w:r>
      <w:r w:rsidRPr="0007005A">
        <w:t xml:space="preserve"> and the final date for comments. </w:t>
      </w:r>
      <w:r w:rsidR="00065F07" w:rsidRPr="00C57FC7">
        <w:t>On average, d</w:t>
      </w:r>
      <w:r w:rsidRPr="00C57FC7">
        <w:t>evelop</w:t>
      </w:r>
      <w:r w:rsidR="00FC0588" w:rsidRPr="00402993">
        <w:t>ed</w:t>
      </w:r>
      <w:r w:rsidRPr="00402993">
        <w:t xml:space="preserve"> </w:t>
      </w:r>
      <w:r w:rsidR="00C34C44" w:rsidRPr="00D62678">
        <w:t xml:space="preserve">country Members </w:t>
      </w:r>
      <w:r w:rsidRPr="00D62678">
        <w:t>provide</w:t>
      </w:r>
      <w:r w:rsidR="00C34C44" w:rsidRPr="00D62678">
        <w:t>d</w:t>
      </w:r>
      <w:r w:rsidR="00A80828" w:rsidRPr="00D62678">
        <w:t xml:space="preserve"> </w:t>
      </w:r>
      <w:r w:rsidR="009A3154">
        <w:t>longer</w:t>
      </w:r>
      <w:r w:rsidR="009A3154" w:rsidRPr="0007005A">
        <w:t xml:space="preserve"> </w:t>
      </w:r>
      <w:r w:rsidR="00117E79" w:rsidRPr="0007005A">
        <w:t>average</w:t>
      </w:r>
      <w:r w:rsidR="00FC0588" w:rsidRPr="0007005A">
        <w:t xml:space="preserve"> </w:t>
      </w:r>
      <w:r w:rsidRPr="0007005A">
        <w:t>comment period</w:t>
      </w:r>
      <w:r w:rsidR="00FC0588" w:rsidRPr="0007005A">
        <w:t>s</w:t>
      </w:r>
      <w:r w:rsidR="00117E79" w:rsidRPr="0007005A">
        <w:t xml:space="preserve"> </w:t>
      </w:r>
      <w:r w:rsidR="0007005A" w:rsidRPr="0007005A">
        <w:t>than developing country Members</w:t>
      </w:r>
      <w:r w:rsidR="00261D25">
        <w:t xml:space="preserve"> </w:t>
      </w:r>
      <w:r w:rsidR="00117E79" w:rsidRPr="0007005A">
        <w:t>(</w:t>
      </w:r>
      <w:r w:rsidR="005E3CAD">
        <w:t>60</w:t>
      </w:r>
      <w:r w:rsidR="00DB3156" w:rsidRPr="0007005A">
        <w:t xml:space="preserve"> </w:t>
      </w:r>
      <w:r w:rsidR="00C34C44" w:rsidRPr="0007005A">
        <w:t xml:space="preserve">and </w:t>
      </w:r>
      <w:r w:rsidR="005E3CAD">
        <w:t>52</w:t>
      </w:r>
      <w:r w:rsidR="00E87772">
        <w:t xml:space="preserve"> </w:t>
      </w:r>
      <w:r w:rsidR="00C34C44" w:rsidRPr="0007005A">
        <w:t>days respectively</w:t>
      </w:r>
      <w:r w:rsidR="00117E79" w:rsidRPr="0007005A">
        <w:t>)</w:t>
      </w:r>
      <w:r w:rsidR="0016502E" w:rsidRPr="0007005A">
        <w:t xml:space="preserve">. </w:t>
      </w:r>
      <w:r w:rsidR="00DB3156">
        <w:t>T</w:t>
      </w:r>
      <w:r w:rsidR="00261D25">
        <w:t xml:space="preserve">he overall </w:t>
      </w:r>
      <w:r w:rsidR="0016502E" w:rsidRPr="0007005A">
        <w:t xml:space="preserve">average comment period for all </w:t>
      </w:r>
      <w:r w:rsidR="00261D25">
        <w:t>M</w:t>
      </w:r>
      <w:r w:rsidR="00B97103">
        <w:t>embers</w:t>
      </w:r>
      <w:r w:rsidR="00FF5089">
        <w:t xml:space="preserve"> </w:t>
      </w:r>
      <w:r w:rsidR="005E3CAD">
        <w:t>increased slightly (54 this year compared to 52 the year before).</w:t>
      </w:r>
    </w:p>
    <w:p w14:paraId="44E6379F" w14:textId="029E12B1" w:rsidR="002819B4" w:rsidRDefault="002819B4" w:rsidP="00FC4299">
      <w:pPr>
        <w:pStyle w:val="Caption"/>
        <w:jc w:val="both"/>
      </w:pPr>
      <w:r>
        <w:lastRenderedPageBreak/>
        <w:t>Table 5. Comment period provided in regular notifications</w:t>
      </w:r>
      <w:r w:rsidR="00AB62B1">
        <w:t xml:space="preserve"> </w:t>
      </w:r>
      <w:r>
        <w:t>(</w:t>
      </w:r>
      <w:r w:rsidR="00EC7D7C">
        <w:t xml:space="preserve">16 </w:t>
      </w:r>
      <w:r w:rsidR="00E13C4E">
        <w:t xml:space="preserve">September </w:t>
      </w:r>
      <w:r w:rsidR="00104D5D">
        <w:t>2017</w:t>
      </w:r>
      <w:r w:rsidR="0059068A">
        <w:t xml:space="preserve"> </w:t>
      </w:r>
      <w:r w:rsidR="00E56A3D">
        <w:t>– 15</w:t>
      </w:r>
      <w:r w:rsidR="0094641D">
        <w:t> </w:t>
      </w:r>
      <w:r w:rsidR="00E13C4E">
        <w:t xml:space="preserve">September </w:t>
      </w:r>
      <w:r w:rsidR="00104D5D">
        <w:t>2018</w:t>
      </w: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97"/>
        <w:gridCol w:w="1815"/>
        <w:gridCol w:w="1904"/>
      </w:tblGrid>
      <w:tr w:rsidR="004A3C73" w:rsidRPr="00452AB5" w14:paraId="01449056" w14:textId="77777777" w:rsidTr="00A62269">
        <w:trPr>
          <w:trHeight w:val="98"/>
        </w:trPr>
        <w:tc>
          <w:tcPr>
            <w:tcW w:w="9016" w:type="dxa"/>
            <w:gridSpan w:val="3"/>
            <w:tcBorders>
              <w:top w:val="single" w:sz="4" w:space="0" w:color="auto"/>
              <w:bottom w:val="single" w:sz="4" w:space="0" w:color="auto"/>
            </w:tcBorders>
            <w:shd w:val="clear" w:color="auto" w:fill="006283"/>
          </w:tcPr>
          <w:p w14:paraId="4EF0A707" w14:textId="77777777" w:rsidR="004A3C73" w:rsidRPr="00452AB5" w:rsidRDefault="004A3C73" w:rsidP="00FC4299">
            <w:pPr>
              <w:keepNext/>
              <w:jc w:val="center"/>
              <w:rPr>
                <w:b/>
                <w:color w:val="FFFFFF"/>
                <w:szCs w:val="18"/>
                <w:lang w:eastAsia="en-GB"/>
              </w:rPr>
            </w:pPr>
            <w:r w:rsidRPr="00452AB5">
              <w:rPr>
                <w:b/>
                <w:color w:val="FFFFFF"/>
                <w:szCs w:val="18"/>
                <w:lang w:eastAsia="en-GB"/>
              </w:rPr>
              <w:t>All Members</w:t>
            </w:r>
          </w:p>
        </w:tc>
      </w:tr>
      <w:tr w:rsidR="004A3C73" w:rsidRPr="00452AB5" w14:paraId="71F972C0" w14:textId="77777777" w:rsidTr="00F74157">
        <w:trPr>
          <w:trHeight w:val="97"/>
        </w:trPr>
        <w:tc>
          <w:tcPr>
            <w:tcW w:w="5297" w:type="dxa"/>
            <w:tcBorders>
              <w:top w:val="single" w:sz="4" w:space="0" w:color="auto"/>
              <w:bottom w:val="nil"/>
            </w:tcBorders>
            <w:shd w:val="clear" w:color="auto" w:fill="006283"/>
          </w:tcPr>
          <w:p w14:paraId="3E61F016" w14:textId="77777777" w:rsidR="004A3C73" w:rsidRPr="00452AB5" w:rsidRDefault="004A3C73" w:rsidP="00FC4299">
            <w:pPr>
              <w:keepNext/>
              <w:rPr>
                <w:b/>
                <w:color w:val="FFFFFF"/>
                <w:szCs w:val="18"/>
                <w:lang w:eastAsia="en-GB"/>
              </w:rPr>
            </w:pPr>
          </w:p>
        </w:tc>
        <w:tc>
          <w:tcPr>
            <w:tcW w:w="1815" w:type="dxa"/>
            <w:tcBorders>
              <w:top w:val="single" w:sz="4" w:space="0" w:color="auto"/>
              <w:bottom w:val="nil"/>
            </w:tcBorders>
            <w:shd w:val="clear" w:color="auto" w:fill="006283"/>
          </w:tcPr>
          <w:p w14:paraId="4E44425A" w14:textId="77777777" w:rsidR="004A3C73" w:rsidRPr="00452AB5" w:rsidRDefault="004A3C73" w:rsidP="00FC4299">
            <w:pPr>
              <w:keepNext/>
              <w:jc w:val="center"/>
              <w:rPr>
                <w:b/>
                <w:color w:val="FFFFFF"/>
                <w:szCs w:val="18"/>
                <w:lang w:eastAsia="en-GB"/>
              </w:rPr>
            </w:pPr>
            <w:r w:rsidRPr="00452AB5">
              <w:rPr>
                <w:b/>
                <w:color w:val="FFFFFF"/>
                <w:szCs w:val="18"/>
                <w:lang w:eastAsia="en-GB"/>
              </w:rPr>
              <w:t>No.</w:t>
            </w:r>
          </w:p>
        </w:tc>
        <w:tc>
          <w:tcPr>
            <w:tcW w:w="1904" w:type="dxa"/>
            <w:tcBorders>
              <w:top w:val="single" w:sz="4" w:space="0" w:color="auto"/>
              <w:bottom w:val="nil"/>
            </w:tcBorders>
            <w:shd w:val="clear" w:color="auto" w:fill="006283"/>
          </w:tcPr>
          <w:p w14:paraId="2BB24B24" w14:textId="77777777" w:rsidR="004A3C73" w:rsidRPr="00452AB5" w:rsidRDefault="004A3C73" w:rsidP="00FC4299">
            <w:pPr>
              <w:keepNext/>
              <w:jc w:val="center"/>
              <w:rPr>
                <w:b/>
                <w:color w:val="FFFFFF"/>
                <w:szCs w:val="18"/>
                <w:lang w:eastAsia="en-GB"/>
              </w:rPr>
            </w:pPr>
            <w:r w:rsidRPr="00452AB5">
              <w:rPr>
                <w:b/>
                <w:color w:val="FFFFFF"/>
                <w:szCs w:val="18"/>
                <w:lang w:eastAsia="en-GB"/>
              </w:rPr>
              <w:t>Share</w:t>
            </w:r>
          </w:p>
        </w:tc>
      </w:tr>
      <w:tr w:rsidR="00A62269" w:rsidRPr="00E13C4E" w14:paraId="5C36B876" w14:textId="77777777" w:rsidTr="00F74157">
        <w:tc>
          <w:tcPr>
            <w:tcW w:w="5297" w:type="dxa"/>
            <w:tcBorders>
              <w:top w:val="nil"/>
              <w:bottom w:val="nil"/>
            </w:tcBorders>
            <w:shd w:val="clear" w:color="auto" w:fill="auto"/>
          </w:tcPr>
          <w:p w14:paraId="09B42551" w14:textId="77777777" w:rsidR="00A62269" w:rsidRPr="00127430" w:rsidRDefault="00A62269" w:rsidP="00A62269">
            <w:pPr>
              <w:keepNext/>
              <w:rPr>
                <w:szCs w:val="18"/>
                <w:lang w:eastAsia="en-GB"/>
              </w:rPr>
            </w:pPr>
            <w:r w:rsidRPr="00127430">
              <w:rPr>
                <w:szCs w:val="18"/>
                <w:lang w:eastAsia="en-GB"/>
              </w:rPr>
              <w:t>No. of regular notifications</w:t>
            </w:r>
          </w:p>
        </w:tc>
        <w:tc>
          <w:tcPr>
            <w:tcW w:w="1815" w:type="dxa"/>
            <w:tcBorders>
              <w:top w:val="nil"/>
              <w:bottom w:val="nil"/>
            </w:tcBorders>
            <w:shd w:val="clear" w:color="auto" w:fill="auto"/>
          </w:tcPr>
          <w:p w14:paraId="5F0847C0" w14:textId="76A40269" w:rsidR="00A62269" w:rsidRPr="00C0502A" w:rsidRDefault="00A62269" w:rsidP="00A62269">
            <w:pPr>
              <w:keepNext/>
              <w:ind w:right="600"/>
              <w:jc w:val="right"/>
            </w:pPr>
            <w:r w:rsidRPr="002E5EAE">
              <w:t>1</w:t>
            </w:r>
            <w:r w:rsidR="007A580E">
              <w:t>,</w:t>
            </w:r>
            <w:r w:rsidRPr="002E5EAE">
              <w:t>185</w:t>
            </w:r>
          </w:p>
        </w:tc>
        <w:tc>
          <w:tcPr>
            <w:tcW w:w="1904" w:type="dxa"/>
            <w:tcBorders>
              <w:top w:val="nil"/>
              <w:bottom w:val="nil"/>
            </w:tcBorders>
            <w:shd w:val="clear" w:color="auto" w:fill="auto"/>
          </w:tcPr>
          <w:p w14:paraId="5BB57AD9" w14:textId="123B0CE2" w:rsidR="00A62269" w:rsidRPr="003B6FD3" w:rsidRDefault="00A62269" w:rsidP="00A62269">
            <w:pPr>
              <w:ind w:right="662"/>
              <w:jc w:val="right"/>
              <w:rPr>
                <w:szCs w:val="18"/>
                <w:lang w:eastAsia="en-GB"/>
              </w:rPr>
            </w:pPr>
            <w:r w:rsidRPr="002E5EAE">
              <w:t>-</w:t>
            </w:r>
          </w:p>
        </w:tc>
      </w:tr>
      <w:tr w:rsidR="00A62269" w:rsidRPr="00E13C4E" w14:paraId="26E73D7F" w14:textId="77777777" w:rsidTr="00F74157">
        <w:tc>
          <w:tcPr>
            <w:tcW w:w="5297" w:type="dxa"/>
            <w:tcBorders>
              <w:top w:val="nil"/>
              <w:bottom w:val="nil"/>
            </w:tcBorders>
            <w:shd w:val="clear" w:color="auto" w:fill="C9DED4"/>
          </w:tcPr>
          <w:p w14:paraId="3A4F7AB5" w14:textId="77777777" w:rsidR="00A62269" w:rsidRPr="00127430" w:rsidRDefault="00A62269" w:rsidP="00A62269">
            <w:pPr>
              <w:keepNext/>
              <w:rPr>
                <w:szCs w:val="18"/>
              </w:rPr>
            </w:pPr>
            <w:r w:rsidRPr="00127430">
              <w:rPr>
                <w:szCs w:val="18"/>
              </w:rPr>
              <w:t>Comment period not indicated/not available</w:t>
            </w:r>
          </w:p>
        </w:tc>
        <w:tc>
          <w:tcPr>
            <w:tcW w:w="1815" w:type="dxa"/>
            <w:tcBorders>
              <w:top w:val="nil"/>
              <w:bottom w:val="nil"/>
            </w:tcBorders>
            <w:shd w:val="clear" w:color="auto" w:fill="C9DED4"/>
          </w:tcPr>
          <w:p w14:paraId="1623448D" w14:textId="7E69FBE3" w:rsidR="00A62269" w:rsidRPr="00D72555" w:rsidRDefault="00A62269" w:rsidP="00A62269">
            <w:pPr>
              <w:keepNext/>
              <w:ind w:right="600"/>
              <w:jc w:val="right"/>
            </w:pPr>
            <w:r w:rsidRPr="002E5EAE">
              <w:t>270</w:t>
            </w:r>
          </w:p>
        </w:tc>
        <w:tc>
          <w:tcPr>
            <w:tcW w:w="1904" w:type="dxa"/>
            <w:tcBorders>
              <w:top w:val="nil"/>
              <w:bottom w:val="nil"/>
            </w:tcBorders>
            <w:shd w:val="clear" w:color="auto" w:fill="C9DED4"/>
          </w:tcPr>
          <w:p w14:paraId="6209A40C" w14:textId="42F11FBD" w:rsidR="00A62269" w:rsidRPr="003B6FD3" w:rsidRDefault="00A62269" w:rsidP="00A62269">
            <w:pPr>
              <w:ind w:right="662"/>
              <w:jc w:val="right"/>
              <w:rPr>
                <w:szCs w:val="18"/>
                <w:lang w:eastAsia="en-GB"/>
              </w:rPr>
            </w:pPr>
            <w:r w:rsidRPr="002E5EAE">
              <w:t>22.8%</w:t>
            </w:r>
          </w:p>
        </w:tc>
      </w:tr>
      <w:tr w:rsidR="00A62269" w:rsidRPr="00E13C4E" w14:paraId="370A5B92" w14:textId="77777777" w:rsidTr="00F74157">
        <w:tc>
          <w:tcPr>
            <w:tcW w:w="5297" w:type="dxa"/>
            <w:tcBorders>
              <w:top w:val="nil"/>
              <w:bottom w:val="nil"/>
            </w:tcBorders>
            <w:shd w:val="clear" w:color="auto" w:fill="FFFFFF"/>
          </w:tcPr>
          <w:p w14:paraId="102F0283" w14:textId="77777777" w:rsidR="00A62269" w:rsidRPr="00127430" w:rsidRDefault="00A62269" w:rsidP="00A62269">
            <w:pPr>
              <w:rPr>
                <w:szCs w:val="18"/>
                <w:lang w:eastAsia="en-GB"/>
              </w:rPr>
            </w:pPr>
            <w:bookmarkStart w:id="35" w:name="_Hlk525641769"/>
            <w:r w:rsidRPr="00127430">
              <w:rPr>
                <w:szCs w:val="18"/>
                <w:lang w:eastAsia="en-GB"/>
              </w:rPr>
              <w:t>Comment period ends before distribution date</w:t>
            </w:r>
            <w:bookmarkEnd w:id="35"/>
          </w:p>
        </w:tc>
        <w:tc>
          <w:tcPr>
            <w:tcW w:w="1815" w:type="dxa"/>
            <w:tcBorders>
              <w:top w:val="nil"/>
              <w:bottom w:val="nil"/>
            </w:tcBorders>
            <w:shd w:val="clear" w:color="auto" w:fill="FFFFFF"/>
          </w:tcPr>
          <w:p w14:paraId="7680191A" w14:textId="4E33B092" w:rsidR="00A62269" w:rsidRPr="00986520" w:rsidRDefault="00A62269" w:rsidP="00A62269">
            <w:pPr>
              <w:ind w:right="600"/>
              <w:jc w:val="right"/>
            </w:pPr>
            <w:r w:rsidRPr="002E5EAE">
              <w:t>30</w:t>
            </w:r>
          </w:p>
        </w:tc>
        <w:tc>
          <w:tcPr>
            <w:tcW w:w="1904" w:type="dxa"/>
            <w:tcBorders>
              <w:top w:val="nil"/>
              <w:bottom w:val="nil"/>
            </w:tcBorders>
            <w:shd w:val="clear" w:color="auto" w:fill="auto"/>
          </w:tcPr>
          <w:p w14:paraId="2B4FFF85" w14:textId="7BF6420A" w:rsidR="00A62269" w:rsidRPr="003B6FD3" w:rsidRDefault="00A62269" w:rsidP="00A62269">
            <w:pPr>
              <w:ind w:right="662"/>
              <w:jc w:val="right"/>
              <w:rPr>
                <w:szCs w:val="18"/>
                <w:lang w:eastAsia="en-GB"/>
              </w:rPr>
            </w:pPr>
            <w:r w:rsidRPr="002E5EAE">
              <w:t>2.5%</w:t>
            </w:r>
          </w:p>
        </w:tc>
      </w:tr>
      <w:tr w:rsidR="00A62269" w:rsidRPr="00E13C4E" w14:paraId="1743E59B" w14:textId="77777777" w:rsidTr="00F74157">
        <w:tc>
          <w:tcPr>
            <w:tcW w:w="5297" w:type="dxa"/>
            <w:tcBorders>
              <w:top w:val="nil"/>
              <w:bottom w:val="nil"/>
            </w:tcBorders>
            <w:shd w:val="clear" w:color="auto" w:fill="C9DED4"/>
          </w:tcPr>
          <w:p w14:paraId="2367CA1B" w14:textId="77777777" w:rsidR="00A62269" w:rsidRPr="00127430" w:rsidRDefault="00A62269" w:rsidP="00A62269">
            <w:pPr>
              <w:rPr>
                <w:szCs w:val="18"/>
                <w:lang w:eastAsia="en-GB"/>
              </w:rPr>
            </w:pPr>
            <w:r w:rsidRPr="00127430">
              <w:rPr>
                <w:szCs w:val="18"/>
                <w:lang w:eastAsia="en-GB"/>
              </w:rPr>
              <w:t>Comment period available</w:t>
            </w:r>
          </w:p>
        </w:tc>
        <w:tc>
          <w:tcPr>
            <w:tcW w:w="1815" w:type="dxa"/>
            <w:tcBorders>
              <w:top w:val="nil"/>
              <w:bottom w:val="nil"/>
            </w:tcBorders>
            <w:shd w:val="clear" w:color="auto" w:fill="C9DED4"/>
          </w:tcPr>
          <w:p w14:paraId="5FC12E05" w14:textId="315071AB" w:rsidR="00A62269" w:rsidRPr="00986520" w:rsidRDefault="00A62269" w:rsidP="00A62269">
            <w:pPr>
              <w:ind w:right="600"/>
              <w:jc w:val="right"/>
            </w:pPr>
            <w:r w:rsidRPr="002E5EAE">
              <w:t>885</w:t>
            </w:r>
          </w:p>
        </w:tc>
        <w:tc>
          <w:tcPr>
            <w:tcW w:w="1904" w:type="dxa"/>
            <w:tcBorders>
              <w:top w:val="nil"/>
              <w:bottom w:val="nil"/>
            </w:tcBorders>
            <w:shd w:val="clear" w:color="auto" w:fill="C9DED4"/>
          </w:tcPr>
          <w:p w14:paraId="110F6936" w14:textId="18ABDD8F" w:rsidR="00A62269" w:rsidRPr="003B6FD3" w:rsidRDefault="00A62269" w:rsidP="00A62269">
            <w:pPr>
              <w:ind w:right="662"/>
              <w:jc w:val="right"/>
              <w:rPr>
                <w:szCs w:val="18"/>
                <w:lang w:eastAsia="en-GB"/>
              </w:rPr>
            </w:pPr>
            <w:r w:rsidRPr="002E5EAE">
              <w:t>74.7%</w:t>
            </w:r>
          </w:p>
        </w:tc>
      </w:tr>
      <w:tr w:rsidR="00A62269" w:rsidRPr="00E13C4E" w14:paraId="3A83DDDC" w14:textId="77777777" w:rsidTr="00F74157">
        <w:tc>
          <w:tcPr>
            <w:tcW w:w="5297" w:type="dxa"/>
            <w:tcBorders>
              <w:top w:val="nil"/>
              <w:bottom w:val="nil"/>
            </w:tcBorders>
            <w:shd w:val="clear" w:color="auto" w:fill="C9DED4"/>
          </w:tcPr>
          <w:p w14:paraId="164A97BD" w14:textId="519C56AA" w:rsidR="00A62269" w:rsidRPr="00127430" w:rsidRDefault="00A62269" w:rsidP="00A62269">
            <w:pPr>
              <w:rPr>
                <w:szCs w:val="18"/>
                <w:lang w:eastAsia="en-GB"/>
              </w:rPr>
            </w:pPr>
            <w:r>
              <w:rPr>
                <w:szCs w:val="18"/>
                <w:lang w:eastAsia="en-GB"/>
              </w:rPr>
              <w:t>Average length (in days)</w:t>
            </w:r>
          </w:p>
        </w:tc>
        <w:tc>
          <w:tcPr>
            <w:tcW w:w="3719" w:type="dxa"/>
            <w:gridSpan w:val="2"/>
            <w:tcBorders>
              <w:top w:val="nil"/>
              <w:bottom w:val="nil"/>
            </w:tcBorders>
            <w:shd w:val="clear" w:color="auto" w:fill="C9DED4"/>
          </w:tcPr>
          <w:p w14:paraId="4BFCC0F9" w14:textId="0ED8F901" w:rsidR="00A62269" w:rsidRPr="003B6FD3" w:rsidRDefault="00F74157" w:rsidP="00F74157">
            <w:pPr>
              <w:rPr>
                <w:szCs w:val="18"/>
                <w:lang w:eastAsia="en-GB"/>
              </w:rPr>
            </w:pPr>
            <w:r>
              <w:t xml:space="preserve">                         </w:t>
            </w:r>
            <w:r w:rsidR="00A62269" w:rsidRPr="002E5EAE">
              <w:t>54</w:t>
            </w:r>
          </w:p>
        </w:tc>
      </w:tr>
      <w:tr w:rsidR="00452AB5" w:rsidRPr="00452AB5" w14:paraId="7BF64451" w14:textId="77777777" w:rsidTr="00A62269">
        <w:trPr>
          <w:trHeight w:val="98"/>
        </w:trPr>
        <w:tc>
          <w:tcPr>
            <w:tcW w:w="9016" w:type="dxa"/>
            <w:gridSpan w:val="3"/>
            <w:tcBorders>
              <w:top w:val="single" w:sz="4" w:space="0" w:color="auto"/>
              <w:bottom w:val="single" w:sz="4" w:space="0" w:color="auto"/>
            </w:tcBorders>
            <w:shd w:val="clear" w:color="auto" w:fill="006283"/>
          </w:tcPr>
          <w:p w14:paraId="236F32A2" w14:textId="77777777" w:rsidR="00452AB5" w:rsidRPr="00C57FC7" w:rsidRDefault="00452AB5" w:rsidP="001409CE">
            <w:pPr>
              <w:jc w:val="center"/>
              <w:rPr>
                <w:b/>
                <w:color w:val="FFFFFF"/>
                <w:szCs w:val="18"/>
                <w:lang w:eastAsia="en-GB"/>
              </w:rPr>
            </w:pPr>
            <w:r w:rsidRPr="00C57FC7">
              <w:rPr>
                <w:b/>
                <w:color w:val="FFFFFF"/>
                <w:szCs w:val="18"/>
                <w:lang w:eastAsia="en-GB"/>
              </w:rPr>
              <w:t>Developed country Members</w:t>
            </w:r>
          </w:p>
        </w:tc>
      </w:tr>
      <w:tr w:rsidR="00452AB5" w:rsidRPr="00452AB5" w14:paraId="6DF367BA" w14:textId="77777777" w:rsidTr="00F74157">
        <w:trPr>
          <w:trHeight w:val="97"/>
        </w:trPr>
        <w:tc>
          <w:tcPr>
            <w:tcW w:w="5297" w:type="dxa"/>
            <w:tcBorders>
              <w:top w:val="single" w:sz="4" w:space="0" w:color="auto"/>
              <w:bottom w:val="nil"/>
            </w:tcBorders>
            <w:shd w:val="clear" w:color="auto" w:fill="006283"/>
          </w:tcPr>
          <w:p w14:paraId="31A7E4F7" w14:textId="77777777" w:rsidR="00452AB5" w:rsidRPr="00C57FC7" w:rsidRDefault="00452AB5" w:rsidP="001409CE">
            <w:pPr>
              <w:rPr>
                <w:b/>
                <w:color w:val="FFFFFF"/>
                <w:szCs w:val="18"/>
                <w:lang w:eastAsia="en-GB"/>
              </w:rPr>
            </w:pPr>
          </w:p>
        </w:tc>
        <w:tc>
          <w:tcPr>
            <w:tcW w:w="1815" w:type="dxa"/>
            <w:tcBorders>
              <w:top w:val="single" w:sz="4" w:space="0" w:color="auto"/>
              <w:bottom w:val="nil"/>
            </w:tcBorders>
            <w:shd w:val="clear" w:color="auto" w:fill="006283"/>
          </w:tcPr>
          <w:p w14:paraId="1107B638" w14:textId="77777777" w:rsidR="00452AB5" w:rsidRPr="00402993" w:rsidRDefault="00452AB5" w:rsidP="001409CE">
            <w:pPr>
              <w:jc w:val="center"/>
              <w:rPr>
                <w:b/>
                <w:color w:val="FFFFFF"/>
                <w:szCs w:val="18"/>
                <w:lang w:eastAsia="en-GB"/>
              </w:rPr>
            </w:pPr>
            <w:r w:rsidRPr="00402993">
              <w:rPr>
                <w:b/>
                <w:color w:val="FFFFFF"/>
                <w:szCs w:val="18"/>
                <w:lang w:eastAsia="en-GB"/>
              </w:rPr>
              <w:t>No.</w:t>
            </w:r>
          </w:p>
        </w:tc>
        <w:tc>
          <w:tcPr>
            <w:tcW w:w="1904" w:type="dxa"/>
            <w:tcBorders>
              <w:top w:val="single" w:sz="4" w:space="0" w:color="auto"/>
              <w:bottom w:val="nil"/>
            </w:tcBorders>
            <w:shd w:val="clear" w:color="auto" w:fill="006283"/>
          </w:tcPr>
          <w:p w14:paraId="6FE637B1" w14:textId="77777777" w:rsidR="00452AB5" w:rsidRPr="00452AB5" w:rsidRDefault="00452AB5" w:rsidP="001409CE">
            <w:pPr>
              <w:jc w:val="center"/>
              <w:rPr>
                <w:b/>
                <w:color w:val="FFFFFF"/>
                <w:szCs w:val="18"/>
                <w:lang w:eastAsia="en-GB"/>
              </w:rPr>
            </w:pPr>
            <w:r w:rsidRPr="00452AB5">
              <w:rPr>
                <w:b/>
                <w:color w:val="FFFFFF"/>
                <w:szCs w:val="18"/>
                <w:lang w:eastAsia="en-GB"/>
              </w:rPr>
              <w:t>Share</w:t>
            </w:r>
          </w:p>
        </w:tc>
      </w:tr>
      <w:tr w:rsidR="00F74157" w:rsidRPr="00E13C4E" w14:paraId="6F4D432C" w14:textId="77777777" w:rsidTr="00F74157">
        <w:tc>
          <w:tcPr>
            <w:tcW w:w="5297" w:type="dxa"/>
            <w:tcBorders>
              <w:top w:val="nil"/>
              <w:bottom w:val="nil"/>
            </w:tcBorders>
            <w:shd w:val="clear" w:color="auto" w:fill="auto"/>
          </w:tcPr>
          <w:p w14:paraId="2DDF3019" w14:textId="77777777" w:rsidR="00F74157" w:rsidRPr="00C57FC7" w:rsidRDefault="00F74157" w:rsidP="00F74157">
            <w:pPr>
              <w:rPr>
                <w:szCs w:val="18"/>
                <w:lang w:eastAsia="en-GB"/>
              </w:rPr>
            </w:pPr>
            <w:r w:rsidRPr="00C57FC7">
              <w:rPr>
                <w:szCs w:val="18"/>
                <w:lang w:eastAsia="en-GB"/>
              </w:rPr>
              <w:t>No. of regular notifications</w:t>
            </w:r>
          </w:p>
        </w:tc>
        <w:tc>
          <w:tcPr>
            <w:tcW w:w="1815" w:type="dxa"/>
            <w:tcBorders>
              <w:top w:val="nil"/>
              <w:bottom w:val="nil"/>
            </w:tcBorders>
            <w:shd w:val="clear" w:color="auto" w:fill="auto"/>
          </w:tcPr>
          <w:p w14:paraId="66450DB7" w14:textId="5A0DEDD6" w:rsidR="00F74157" w:rsidRPr="00E44073" w:rsidRDefault="00F74157" w:rsidP="00F74157">
            <w:pPr>
              <w:keepNext/>
              <w:ind w:right="600"/>
              <w:jc w:val="right"/>
            </w:pPr>
            <w:r w:rsidRPr="00E64378">
              <w:t>289</w:t>
            </w:r>
          </w:p>
        </w:tc>
        <w:tc>
          <w:tcPr>
            <w:tcW w:w="1904" w:type="dxa"/>
            <w:tcBorders>
              <w:top w:val="nil"/>
              <w:bottom w:val="nil"/>
            </w:tcBorders>
            <w:shd w:val="clear" w:color="auto" w:fill="auto"/>
          </w:tcPr>
          <w:p w14:paraId="022C0F22" w14:textId="636A2386" w:rsidR="00F74157" w:rsidRPr="0087453B" w:rsidRDefault="00F74157" w:rsidP="00F74157">
            <w:pPr>
              <w:ind w:right="662"/>
              <w:jc w:val="right"/>
              <w:rPr>
                <w:szCs w:val="18"/>
                <w:lang w:eastAsia="en-GB"/>
              </w:rPr>
            </w:pPr>
            <w:r w:rsidRPr="00E64378">
              <w:t>-</w:t>
            </w:r>
          </w:p>
        </w:tc>
      </w:tr>
      <w:tr w:rsidR="00F74157" w:rsidRPr="003B6FD3" w14:paraId="64542E81" w14:textId="77777777" w:rsidTr="00F74157">
        <w:tc>
          <w:tcPr>
            <w:tcW w:w="5297" w:type="dxa"/>
            <w:tcBorders>
              <w:top w:val="nil"/>
              <w:bottom w:val="nil"/>
            </w:tcBorders>
            <w:shd w:val="clear" w:color="auto" w:fill="C9DED4"/>
          </w:tcPr>
          <w:p w14:paraId="0216D531" w14:textId="77777777" w:rsidR="00F74157" w:rsidRPr="00C57FC7" w:rsidRDefault="00F74157" w:rsidP="00F74157">
            <w:pPr>
              <w:rPr>
                <w:szCs w:val="18"/>
              </w:rPr>
            </w:pPr>
            <w:r w:rsidRPr="00C57FC7">
              <w:rPr>
                <w:szCs w:val="18"/>
              </w:rPr>
              <w:t>Comment period not indicated/not available</w:t>
            </w:r>
          </w:p>
        </w:tc>
        <w:tc>
          <w:tcPr>
            <w:tcW w:w="1815" w:type="dxa"/>
            <w:tcBorders>
              <w:top w:val="nil"/>
              <w:bottom w:val="nil"/>
            </w:tcBorders>
            <w:shd w:val="clear" w:color="auto" w:fill="C9DED4"/>
          </w:tcPr>
          <w:p w14:paraId="40FD7A10" w14:textId="79E1C463" w:rsidR="00F74157" w:rsidRPr="00E44073" w:rsidRDefault="00F74157" w:rsidP="00F74157">
            <w:pPr>
              <w:keepNext/>
              <w:ind w:right="600"/>
              <w:jc w:val="right"/>
            </w:pPr>
            <w:r w:rsidRPr="00E64378">
              <w:t>88</w:t>
            </w:r>
          </w:p>
        </w:tc>
        <w:tc>
          <w:tcPr>
            <w:tcW w:w="1904" w:type="dxa"/>
            <w:tcBorders>
              <w:top w:val="nil"/>
              <w:bottom w:val="nil"/>
            </w:tcBorders>
            <w:shd w:val="clear" w:color="auto" w:fill="C9DED4"/>
          </w:tcPr>
          <w:p w14:paraId="574099AC" w14:textId="2FC01E67" w:rsidR="00F74157" w:rsidRPr="003B6FD3" w:rsidRDefault="00F74157" w:rsidP="00F74157">
            <w:pPr>
              <w:ind w:right="662"/>
              <w:jc w:val="right"/>
              <w:rPr>
                <w:szCs w:val="18"/>
                <w:lang w:eastAsia="en-GB"/>
              </w:rPr>
            </w:pPr>
            <w:r w:rsidRPr="00E64378">
              <w:t>30.4%</w:t>
            </w:r>
          </w:p>
        </w:tc>
      </w:tr>
      <w:tr w:rsidR="00F74157" w:rsidRPr="003B6FD3" w14:paraId="2B3BADF5" w14:textId="77777777" w:rsidTr="00F74157">
        <w:tc>
          <w:tcPr>
            <w:tcW w:w="5297" w:type="dxa"/>
            <w:tcBorders>
              <w:top w:val="nil"/>
              <w:bottom w:val="nil"/>
            </w:tcBorders>
            <w:shd w:val="clear" w:color="auto" w:fill="FFFFFF"/>
          </w:tcPr>
          <w:p w14:paraId="0C88EE99" w14:textId="77777777" w:rsidR="00F74157" w:rsidRPr="00C57FC7" w:rsidRDefault="00F74157" w:rsidP="00F74157">
            <w:pPr>
              <w:rPr>
                <w:szCs w:val="18"/>
                <w:lang w:eastAsia="en-GB"/>
              </w:rPr>
            </w:pPr>
            <w:r w:rsidRPr="00C57FC7">
              <w:rPr>
                <w:szCs w:val="18"/>
                <w:lang w:eastAsia="en-GB"/>
              </w:rPr>
              <w:t>Comment period ends before distribution date</w:t>
            </w:r>
          </w:p>
        </w:tc>
        <w:tc>
          <w:tcPr>
            <w:tcW w:w="1815" w:type="dxa"/>
            <w:tcBorders>
              <w:top w:val="nil"/>
              <w:bottom w:val="nil"/>
            </w:tcBorders>
            <w:shd w:val="clear" w:color="auto" w:fill="FFFFFF"/>
          </w:tcPr>
          <w:p w14:paraId="7C360DFD" w14:textId="785B327A" w:rsidR="00F74157" w:rsidRPr="00E44073" w:rsidRDefault="00F74157" w:rsidP="00F74157">
            <w:pPr>
              <w:keepNext/>
              <w:ind w:right="600"/>
              <w:jc w:val="right"/>
            </w:pPr>
            <w:r w:rsidRPr="00E64378">
              <w:t>1</w:t>
            </w:r>
          </w:p>
        </w:tc>
        <w:tc>
          <w:tcPr>
            <w:tcW w:w="1904" w:type="dxa"/>
            <w:tcBorders>
              <w:top w:val="nil"/>
              <w:bottom w:val="nil"/>
            </w:tcBorders>
            <w:shd w:val="clear" w:color="auto" w:fill="auto"/>
          </w:tcPr>
          <w:p w14:paraId="40C39BC5" w14:textId="39622B11" w:rsidR="00F74157" w:rsidRPr="003B6FD3" w:rsidRDefault="00F74157" w:rsidP="00F74157">
            <w:pPr>
              <w:ind w:right="662"/>
              <w:jc w:val="right"/>
              <w:rPr>
                <w:szCs w:val="18"/>
                <w:lang w:eastAsia="en-GB"/>
              </w:rPr>
            </w:pPr>
            <w:r w:rsidRPr="00E64378">
              <w:t>0.3%</w:t>
            </w:r>
          </w:p>
        </w:tc>
      </w:tr>
      <w:tr w:rsidR="00F74157" w:rsidRPr="003B6FD3" w14:paraId="08747D65" w14:textId="77777777" w:rsidTr="00F74157">
        <w:tc>
          <w:tcPr>
            <w:tcW w:w="5297" w:type="dxa"/>
            <w:tcBorders>
              <w:top w:val="nil"/>
              <w:bottom w:val="nil"/>
            </w:tcBorders>
            <w:shd w:val="clear" w:color="auto" w:fill="C9DED4"/>
          </w:tcPr>
          <w:p w14:paraId="2B8D5E3B" w14:textId="77777777" w:rsidR="00F74157" w:rsidRPr="00C57FC7" w:rsidRDefault="00F74157" w:rsidP="00F74157">
            <w:pPr>
              <w:rPr>
                <w:szCs w:val="18"/>
                <w:lang w:eastAsia="en-GB"/>
              </w:rPr>
            </w:pPr>
            <w:r w:rsidRPr="00C57FC7">
              <w:rPr>
                <w:szCs w:val="18"/>
                <w:lang w:eastAsia="en-GB"/>
              </w:rPr>
              <w:t>Comment period available</w:t>
            </w:r>
          </w:p>
        </w:tc>
        <w:tc>
          <w:tcPr>
            <w:tcW w:w="1815" w:type="dxa"/>
            <w:tcBorders>
              <w:top w:val="nil"/>
              <w:bottom w:val="nil"/>
            </w:tcBorders>
            <w:shd w:val="clear" w:color="auto" w:fill="C9DED4"/>
          </w:tcPr>
          <w:p w14:paraId="6964C92F" w14:textId="061B107C" w:rsidR="00F74157" w:rsidRPr="00E44073" w:rsidRDefault="00F74157" w:rsidP="00F74157">
            <w:pPr>
              <w:keepNext/>
              <w:ind w:right="600"/>
              <w:jc w:val="right"/>
            </w:pPr>
            <w:r w:rsidRPr="00E64378">
              <w:t>200</w:t>
            </w:r>
          </w:p>
        </w:tc>
        <w:tc>
          <w:tcPr>
            <w:tcW w:w="1904" w:type="dxa"/>
            <w:tcBorders>
              <w:top w:val="nil"/>
              <w:bottom w:val="nil"/>
            </w:tcBorders>
            <w:shd w:val="clear" w:color="auto" w:fill="C9DED4"/>
          </w:tcPr>
          <w:p w14:paraId="5A87026A" w14:textId="4DD0BA49" w:rsidR="00F74157" w:rsidRPr="003B6FD3" w:rsidRDefault="00F74157" w:rsidP="00F74157">
            <w:pPr>
              <w:ind w:right="662"/>
              <w:jc w:val="right"/>
              <w:rPr>
                <w:szCs w:val="18"/>
                <w:lang w:eastAsia="en-GB"/>
              </w:rPr>
            </w:pPr>
            <w:r w:rsidRPr="00E64378">
              <w:t>69.2%</w:t>
            </w:r>
          </w:p>
        </w:tc>
      </w:tr>
      <w:tr w:rsidR="00F74157" w:rsidRPr="003B6FD3" w14:paraId="342BB99B" w14:textId="77777777" w:rsidTr="00F74157">
        <w:tc>
          <w:tcPr>
            <w:tcW w:w="5297" w:type="dxa"/>
            <w:tcBorders>
              <w:top w:val="nil"/>
              <w:bottom w:val="nil"/>
            </w:tcBorders>
            <w:shd w:val="clear" w:color="auto" w:fill="C9DED4"/>
          </w:tcPr>
          <w:p w14:paraId="767EC3B8" w14:textId="5965A163" w:rsidR="00F74157" w:rsidRPr="00C57FC7" w:rsidRDefault="00F74157" w:rsidP="00F74157">
            <w:pPr>
              <w:rPr>
                <w:szCs w:val="18"/>
                <w:lang w:eastAsia="en-GB"/>
              </w:rPr>
            </w:pPr>
            <w:r>
              <w:rPr>
                <w:szCs w:val="18"/>
                <w:lang w:eastAsia="en-GB"/>
              </w:rPr>
              <w:t>Average length (in days)</w:t>
            </w:r>
          </w:p>
        </w:tc>
        <w:tc>
          <w:tcPr>
            <w:tcW w:w="3719" w:type="dxa"/>
            <w:gridSpan w:val="2"/>
            <w:tcBorders>
              <w:top w:val="nil"/>
              <w:bottom w:val="nil"/>
            </w:tcBorders>
            <w:shd w:val="clear" w:color="auto" w:fill="C9DED4"/>
          </w:tcPr>
          <w:p w14:paraId="1B6CB36A" w14:textId="10D349B0" w:rsidR="00F74157" w:rsidRDefault="00F74157" w:rsidP="00F74157">
            <w:pPr>
              <w:rPr>
                <w:szCs w:val="18"/>
                <w:lang w:eastAsia="en-GB"/>
              </w:rPr>
            </w:pPr>
            <w:r>
              <w:t xml:space="preserve">                         </w:t>
            </w:r>
            <w:r w:rsidRPr="00E64378">
              <w:t>60</w:t>
            </w:r>
          </w:p>
        </w:tc>
      </w:tr>
      <w:tr w:rsidR="00452AB5" w:rsidRPr="003B6FD3" w14:paraId="456ABC5E" w14:textId="77777777" w:rsidTr="00A62269">
        <w:trPr>
          <w:trHeight w:val="98"/>
        </w:trPr>
        <w:tc>
          <w:tcPr>
            <w:tcW w:w="9016" w:type="dxa"/>
            <w:gridSpan w:val="3"/>
            <w:tcBorders>
              <w:top w:val="single" w:sz="4" w:space="0" w:color="auto"/>
              <w:bottom w:val="single" w:sz="4" w:space="0" w:color="auto"/>
            </w:tcBorders>
            <w:shd w:val="clear" w:color="auto" w:fill="006283"/>
          </w:tcPr>
          <w:p w14:paraId="21B8B0FE" w14:textId="77777777" w:rsidR="00452AB5" w:rsidRPr="003B6FD3" w:rsidRDefault="00452AB5" w:rsidP="001409CE">
            <w:pPr>
              <w:jc w:val="center"/>
              <w:rPr>
                <w:b/>
                <w:color w:val="FFFFFF"/>
                <w:szCs w:val="18"/>
                <w:lang w:eastAsia="en-GB"/>
              </w:rPr>
            </w:pPr>
            <w:r w:rsidRPr="003B6FD3">
              <w:rPr>
                <w:b/>
                <w:color w:val="FFFFFF"/>
                <w:szCs w:val="18"/>
                <w:lang w:eastAsia="en-GB"/>
              </w:rPr>
              <w:t>Developing country Members</w:t>
            </w:r>
          </w:p>
        </w:tc>
      </w:tr>
      <w:tr w:rsidR="00452AB5" w:rsidRPr="003B6FD3" w14:paraId="0D040DE3" w14:textId="77777777" w:rsidTr="00F74157">
        <w:trPr>
          <w:trHeight w:val="97"/>
        </w:trPr>
        <w:tc>
          <w:tcPr>
            <w:tcW w:w="5297" w:type="dxa"/>
            <w:tcBorders>
              <w:top w:val="single" w:sz="4" w:space="0" w:color="auto"/>
              <w:left w:val="single" w:sz="4" w:space="0" w:color="auto"/>
              <w:bottom w:val="nil"/>
              <w:right w:val="single" w:sz="4" w:space="0" w:color="auto"/>
            </w:tcBorders>
            <w:shd w:val="clear" w:color="auto" w:fill="006283"/>
          </w:tcPr>
          <w:p w14:paraId="2AC92F8D" w14:textId="77777777" w:rsidR="00452AB5" w:rsidRPr="00C57FC7" w:rsidRDefault="00452AB5" w:rsidP="001409CE">
            <w:pPr>
              <w:rPr>
                <w:b/>
                <w:color w:val="FFFFFF"/>
                <w:szCs w:val="18"/>
                <w:lang w:eastAsia="en-GB"/>
              </w:rPr>
            </w:pPr>
          </w:p>
        </w:tc>
        <w:tc>
          <w:tcPr>
            <w:tcW w:w="1815" w:type="dxa"/>
            <w:tcBorders>
              <w:top w:val="single" w:sz="4" w:space="0" w:color="auto"/>
              <w:left w:val="single" w:sz="4" w:space="0" w:color="auto"/>
              <w:bottom w:val="nil"/>
              <w:right w:val="single" w:sz="4" w:space="0" w:color="auto"/>
            </w:tcBorders>
            <w:shd w:val="clear" w:color="auto" w:fill="006283"/>
          </w:tcPr>
          <w:p w14:paraId="0332000E" w14:textId="77777777" w:rsidR="00452AB5" w:rsidRPr="00402993" w:rsidRDefault="00452AB5" w:rsidP="001409CE">
            <w:pPr>
              <w:jc w:val="center"/>
              <w:rPr>
                <w:b/>
                <w:color w:val="FFFFFF"/>
                <w:szCs w:val="18"/>
                <w:lang w:eastAsia="en-GB"/>
              </w:rPr>
            </w:pPr>
            <w:r w:rsidRPr="00402993">
              <w:rPr>
                <w:b/>
                <w:color w:val="FFFFFF"/>
                <w:szCs w:val="18"/>
                <w:lang w:eastAsia="en-GB"/>
              </w:rPr>
              <w:t>No.</w:t>
            </w:r>
          </w:p>
        </w:tc>
        <w:tc>
          <w:tcPr>
            <w:tcW w:w="1904" w:type="dxa"/>
            <w:tcBorders>
              <w:top w:val="single" w:sz="4" w:space="0" w:color="auto"/>
              <w:left w:val="single" w:sz="4" w:space="0" w:color="auto"/>
              <w:bottom w:val="nil"/>
            </w:tcBorders>
            <w:shd w:val="clear" w:color="auto" w:fill="006283"/>
          </w:tcPr>
          <w:p w14:paraId="3038C5AB" w14:textId="77777777" w:rsidR="00452AB5" w:rsidRPr="003B6FD3" w:rsidRDefault="00452AB5" w:rsidP="001409CE">
            <w:pPr>
              <w:jc w:val="center"/>
              <w:rPr>
                <w:b/>
                <w:color w:val="FFFFFF"/>
                <w:szCs w:val="18"/>
                <w:lang w:eastAsia="en-GB"/>
              </w:rPr>
            </w:pPr>
            <w:r w:rsidRPr="003B6FD3">
              <w:rPr>
                <w:b/>
                <w:color w:val="FFFFFF"/>
                <w:szCs w:val="18"/>
                <w:lang w:eastAsia="en-GB"/>
              </w:rPr>
              <w:t>Share</w:t>
            </w:r>
          </w:p>
        </w:tc>
      </w:tr>
      <w:tr w:rsidR="00F74157" w:rsidRPr="003B6FD3" w14:paraId="41D2190B" w14:textId="77777777" w:rsidTr="00F74157">
        <w:tc>
          <w:tcPr>
            <w:tcW w:w="5297" w:type="dxa"/>
            <w:tcBorders>
              <w:top w:val="nil"/>
              <w:left w:val="single" w:sz="4" w:space="0" w:color="auto"/>
              <w:bottom w:val="nil"/>
              <w:right w:val="single" w:sz="4" w:space="0" w:color="auto"/>
            </w:tcBorders>
            <w:shd w:val="clear" w:color="auto" w:fill="auto"/>
          </w:tcPr>
          <w:p w14:paraId="6F9582FF" w14:textId="77777777" w:rsidR="00F74157" w:rsidRPr="00C57FC7" w:rsidRDefault="00F74157" w:rsidP="00F74157">
            <w:pPr>
              <w:rPr>
                <w:szCs w:val="18"/>
                <w:lang w:eastAsia="en-GB"/>
              </w:rPr>
            </w:pPr>
            <w:r w:rsidRPr="00C57FC7">
              <w:rPr>
                <w:szCs w:val="18"/>
                <w:lang w:eastAsia="en-GB"/>
              </w:rPr>
              <w:t>No. of regular notifications</w:t>
            </w:r>
          </w:p>
        </w:tc>
        <w:tc>
          <w:tcPr>
            <w:tcW w:w="1815" w:type="dxa"/>
            <w:tcBorders>
              <w:top w:val="nil"/>
              <w:left w:val="single" w:sz="4" w:space="0" w:color="auto"/>
              <w:bottom w:val="nil"/>
              <w:right w:val="single" w:sz="4" w:space="0" w:color="auto"/>
            </w:tcBorders>
            <w:shd w:val="clear" w:color="auto" w:fill="auto"/>
          </w:tcPr>
          <w:p w14:paraId="55CF600E" w14:textId="7408BA6B" w:rsidR="00F74157" w:rsidRPr="00E44073" w:rsidRDefault="00F74157" w:rsidP="00F74157">
            <w:pPr>
              <w:keepNext/>
              <w:ind w:right="600"/>
              <w:jc w:val="right"/>
            </w:pPr>
            <w:r w:rsidRPr="00750EF8">
              <w:t>896</w:t>
            </w:r>
          </w:p>
        </w:tc>
        <w:tc>
          <w:tcPr>
            <w:tcW w:w="1904" w:type="dxa"/>
            <w:tcBorders>
              <w:top w:val="nil"/>
              <w:left w:val="single" w:sz="4" w:space="0" w:color="auto"/>
              <w:bottom w:val="nil"/>
              <w:right w:val="single" w:sz="4" w:space="0" w:color="auto"/>
            </w:tcBorders>
            <w:shd w:val="clear" w:color="auto" w:fill="auto"/>
          </w:tcPr>
          <w:p w14:paraId="0FA4D6D3" w14:textId="0DE48666" w:rsidR="00F74157" w:rsidRPr="003B6FD3" w:rsidRDefault="00F74157" w:rsidP="00F74157">
            <w:pPr>
              <w:ind w:right="662"/>
              <w:jc w:val="right"/>
              <w:rPr>
                <w:szCs w:val="18"/>
                <w:lang w:eastAsia="en-GB"/>
              </w:rPr>
            </w:pPr>
            <w:r w:rsidRPr="00750EF8">
              <w:t>-</w:t>
            </w:r>
          </w:p>
        </w:tc>
      </w:tr>
      <w:tr w:rsidR="00F74157" w:rsidRPr="003B6FD3" w14:paraId="22B4DD8D" w14:textId="77777777" w:rsidTr="00F74157">
        <w:tc>
          <w:tcPr>
            <w:tcW w:w="5297" w:type="dxa"/>
            <w:tcBorders>
              <w:top w:val="nil"/>
              <w:left w:val="single" w:sz="4" w:space="0" w:color="auto"/>
              <w:bottom w:val="nil"/>
              <w:right w:val="single" w:sz="4" w:space="0" w:color="auto"/>
            </w:tcBorders>
            <w:shd w:val="clear" w:color="auto" w:fill="C9DED4"/>
          </w:tcPr>
          <w:p w14:paraId="3417A445" w14:textId="77777777" w:rsidR="00F74157" w:rsidRPr="00C57FC7" w:rsidRDefault="00F74157" w:rsidP="00F74157">
            <w:pPr>
              <w:rPr>
                <w:szCs w:val="18"/>
              </w:rPr>
            </w:pPr>
            <w:bookmarkStart w:id="36" w:name="_Hlk524697940"/>
            <w:r w:rsidRPr="00C57FC7">
              <w:rPr>
                <w:szCs w:val="18"/>
              </w:rPr>
              <w:t>Comment period not indicated/not available</w:t>
            </w:r>
          </w:p>
        </w:tc>
        <w:tc>
          <w:tcPr>
            <w:tcW w:w="1815" w:type="dxa"/>
            <w:tcBorders>
              <w:top w:val="nil"/>
              <w:left w:val="single" w:sz="4" w:space="0" w:color="auto"/>
              <w:bottom w:val="nil"/>
              <w:right w:val="single" w:sz="4" w:space="0" w:color="auto"/>
            </w:tcBorders>
            <w:shd w:val="clear" w:color="auto" w:fill="C9DED4"/>
          </w:tcPr>
          <w:p w14:paraId="0A05CCC7" w14:textId="13049D59" w:rsidR="00F74157" w:rsidRPr="00E44073" w:rsidRDefault="00F74157" w:rsidP="00F74157">
            <w:pPr>
              <w:keepNext/>
              <w:ind w:right="600"/>
              <w:jc w:val="right"/>
            </w:pPr>
            <w:r w:rsidRPr="00750EF8">
              <w:t>182</w:t>
            </w:r>
          </w:p>
        </w:tc>
        <w:tc>
          <w:tcPr>
            <w:tcW w:w="1904" w:type="dxa"/>
            <w:tcBorders>
              <w:top w:val="nil"/>
              <w:left w:val="single" w:sz="4" w:space="0" w:color="auto"/>
              <w:bottom w:val="nil"/>
              <w:right w:val="single" w:sz="4" w:space="0" w:color="auto"/>
            </w:tcBorders>
            <w:shd w:val="clear" w:color="auto" w:fill="C9DED4"/>
          </w:tcPr>
          <w:p w14:paraId="1B8D9C60" w14:textId="49740CE6" w:rsidR="00F74157" w:rsidRPr="003B6FD3" w:rsidRDefault="00F74157" w:rsidP="00F74157">
            <w:pPr>
              <w:ind w:right="662"/>
              <w:jc w:val="right"/>
              <w:rPr>
                <w:szCs w:val="18"/>
                <w:lang w:eastAsia="en-GB"/>
              </w:rPr>
            </w:pPr>
            <w:r w:rsidRPr="00750EF8">
              <w:t>20.3%</w:t>
            </w:r>
          </w:p>
        </w:tc>
      </w:tr>
      <w:tr w:rsidR="00F74157" w:rsidRPr="003B6FD3" w14:paraId="7E6A931E" w14:textId="77777777" w:rsidTr="00F74157">
        <w:tc>
          <w:tcPr>
            <w:tcW w:w="5297" w:type="dxa"/>
            <w:tcBorders>
              <w:top w:val="nil"/>
              <w:left w:val="single" w:sz="4" w:space="0" w:color="auto"/>
              <w:bottom w:val="nil"/>
              <w:right w:val="single" w:sz="4" w:space="0" w:color="auto"/>
            </w:tcBorders>
            <w:shd w:val="clear" w:color="auto" w:fill="FFFFFF"/>
          </w:tcPr>
          <w:p w14:paraId="0FA4396D" w14:textId="77777777" w:rsidR="00F74157" w:rsidRPr="00C57FC7" w:rsidRDefault="00F74157" w:rsidP="00F74157">
            <w:pPr>
              <w:rPr>
                <w:szCs w:val="18"/>
                <w:lang w:eastAsia="en-GB"/>
              </w:rPr>
            </w:pPr>
            <w:r w:rsidRPr="00C57FC7">
              <w:rPr>
                <w:szCs w:val="18"/>
                <w:lang w:eastAsia="en-GB"/>
              </w:rPr>
              <w:t>Comment period ends before distribution date</w:t>
            </w:r>
          </w:p>
        </w:tc>
        <w:tc>
          <w:tcPr>
            <w:tcW w:w="1815" w:type="dxa"/>
            <w:tcBorders>
              <w:top w:val="nil"/>
              <w:left w:val="single" w:sz="4" w:space="0" w:color="auto"/>
              <w:bottom w:val="nil"/>
              <w:right w:val="single" w:sz="4" w:space="0" w:color="auto"/>
            </w:tcBorders>
            <w:shd w:val="clear" w:color="auto" w:fill="auto"/>
          </w:tcPr>
          <w:p w14:paraId="2A3BBDDA" w14:textId="041FAC93" w:rsidR="00F74157" w:rsidRPr="00E44073" w:rsidRDefault="00F74157" w:rsidP="00F74157">
            <w:pPr>
              <w:keepNext/>
              <w:ind w:right="600"/>
              <w:jc w:val="right"/>
            </w:pPr>
            <w:r w:rsidRPr="00750EF8">
              <w:t>29</w:t>
            </w:r>
          </w:p>
        </w:tc>
        <w:tc>
          <w:tcPr>
            <w:tcW w:w="1904" w:type="dxa"/>
            <w:tcBorders>
              <w:top w:val="nil"/>
              <w:left w:val="single" w:sz="4" w:space="0" w:color="auto"/>
              <w:bottom w:val="nil"/>
              <w:right w:val="single" w:sz="4" w:space="0" w:color="auto"/>
            </w:tcBorders>
            <w:shd w:val="clear" w:color="auto" w:fill="auto"/>
          </w:tcPr>
          <w:p w14:paraId="50EF10F6" w14:textId="100BB561" w:rsidR="00F74157" w:rsidRPr="003B6FD3" w:rsidRDefault="00F74157" w:rsidP="00F74157">
            <w:pPr>
              <w:ind w:right="662"/>
              <w:jc w:val="right"/>
              <w:rPr>
                <w:szCs w:val="18"/>
                <w:lang w:eastAsia="en-GB"/>
              </w:rPr>
            </w:pPr>
            <w:r w:rsidRPr="00750EF8">
              <w:t>3.2%</w:t>
            </w:r>
          </w:p>
        </w:tc>
      </w:tr>
      <w:bookmarkEnd w:id="36"/>
      <w:tr w:rsidR="00F74157" w:rsidRPr="003B6FD3" w14:paraId="36FF3187" w14:textId="77777777" w:rsidTr="00F74157">
        <w:tc>
          <w:tcPr>
            <w:tcW w:w="5297" w:type="dxa"/>
            <w:tcBorders>
              <w:top w:val="nil"/>
              <w:left w:val="single" w:sz="4" w:space="0" w:color="auto"/>
              <w:bottom w:val="nil"/>
              <w:right w:val="single" w:sz="4" w:space="0" w:color="auto"/>
            </w:tcBorders>
            <w:shd w:val="clear" w:color="auto" w:fill="C9DED4"/>
          </w:tcPr>
          <w:p w14:paraId="599AD95D" w14:textId="77777777" w:rsidR="00F74157" w:rsidRPr="00C57FC7" w:rsidRDefault="00F74157" w:rsidP="00F74157">
            <w:pPr>
              <w:rPr>
                <w:szCs w:val="18"/>
                <w:lang w:eastAsia="en-GB"/>
              </w:rPr>
            </w:pPr>
            <w:r w:rsidRPr="00C57FC7">
              <w:rPr>
                <w:szCs w:val="18"/>
                <w:lang w:eastAsia="en-GB"/>
              </w:rPr>
              <w:t>Comment period available</w:t>
            </w:r>
          </w:p>
        </w:tc>
        <w:tc>
          <w:tcPr>
            <w:tcW w:w="1815" w:type="dxa"/>
            <w:tcBorders>
              <w:top w:val="nil"/>
              <w:left w:val="single" w:sz="4" w:space="0" w:color="auto"/>
              <w:bottom w:val="nil"/>
              <w:right w:val="single" w:sz="4" w:space="0" w:color="auto"/>
            </w:tcBorders>
            <w:shd w:val="clear" w:color="auto" w:fill="C9DED4"/>
          </w:tcPr>
          <w:p w14:paraId="24919B2E" w14:textId="5546C789" w:rsidR="00F74157" w:rsidRPr="00E44073" w:rsidRDefault="00F74157" w:rsidP="00F74157">
            <w:pPr>
              <w:keepNext/>
              <w:ind w:right="600"/>
              <w:jc w:val="right"/>
            </w:pPr>
            <w:r w:rsidRPr="00750EF8">
              <w:t>685</w:t>
            </w:r>
          </w:p>
        </w:tc>
        <w:tc>
          <w:tcPr>
            <w:tcW w:w="1904" w:type="dxa"/>
            <w:tcBorders>
              <w:top w:val="nil"/>
              <w:left w:val="single" w:sz="4" w:space="0" w:color="auto"/>
              <w:bottom w:val="nil"/>
              <w:right w:val="single" w:sz="4" w:space="0" w:color="auto"/>
            </w:tcBorders>
            <w:shd w:val="clear" w:color="auto" w:fill="C9DED4"/>
          </w:tcPr>
          <w:p w14:paraId="00FAF7C0" w14:textId="1761C56A" w:rsidR="00F74157" w:rsidRPr="003B6FD3" w:rsidRDefault="00F74157" w:rsidP="00F74157">
            <w:pPr>
              <w:ind w:right="662"/>
              <w:jc w:val="right"/>
              <w:rPr>
                <w:szCs w:val="18"/>
                <w:lang w:eastAsia="en-GB"/>
              </w:rPr>
            </w:pPr>
            <w:r w:rsidRPr="00750EF8">
              <w:t>76.5%</w:t>
            </w:r>
          </w:p>
        </w:tc>
      </w:tr>
      <w:tr w:rsidR="00F74157" w:rsidRPr="003B6FD3" w14:paraId="7E8FF0EF" w14:textId="77777777" w:rsidTr="00F74157">
        <w:tc>
          <w:tcPr>
            <w:tcW w:w="5297" w:type="dxa"/>
            <w:tcBorders>
              <w:top w:val="nil"/>
              <w:left w:val="single" w:sz="4" w:space="0" w:color="auto"/>
              <w:bottom w:val="single" w:sz="4" w:space="0" w:color="auto"/>
              <w:right w:val="single" w:sz="4" w:space="0" w:color="auto"/>
            </w:tcBorders>
            <w:shd w:val="clear" w:color="auto" w:fill="auto"/>
          </w:tcPr>
          <w:p w14:paraId="44A252EC" w14:textId="65D80E55" w:rsidR="00F74157" w:rsidRPr="00C57FC7" w:rsidRDefault="00F74157" w:rsidP="00F74157">
            <w:pPr>
              <w:rPr>
                <w:szCs w:val="18"/>
                <w:lang w:eastAsia="en-GB"/>
              </w:rPr>
            </w:pPr>
            <w:r>
              <w:rPr>
                <w:szCs w:val="18"/>
                <w:lang w:eastAsia="en-GB"/>
              </w:rPr>
              <w:t>Average length (in days)</w:t>
            </w:r>
          </w:p>
        </w:tc>
        <w:tc>
          <w:tcPr>
            <w:tcW w:w="3719" w:type="dxa"/>
            <w:gridSpan w:val="2"/>
            <w:tcBorders>
              <w:top w:val="nil"/>
              <w:left w:val="single" w:sz="4" w:space="0" w:color="auto"/>
              <w:bottom w:val="single" w:sz="4" w:space="0" w:color="auto"/>
              <w:right w:val="single" w:sz="4" w:space="0" w:color="auto"/>
            </w:tcBorders>
            <w:shd w:val="clear" w:color="auto" w:fill="auto"/>
          </w:tcPr>
          <w:p w14:paraId="08DC17F6" w14:textId="0CD10592" w:rsidR="00F74157" w:rsidRDefault="00F74157" w:rsidP="00F74157">
            <w:pPr>
              <w:rPr>
                <w:szCs w:val="18"/>
                <w:lang w:eastAsia="en-GB"/>
              </w:rPr>
            </w:pPr>
            <w:r>
              <w:t xml:space="preserve">                         </w:t>
            </w:r>
            <w:r w:rsidRPr="00750EF8">
              <w:t>52</w:t>
            </w:r>
          </w:p>
        </w:tc>
      </w:tr>
    </w:tbl>
    <w:p w14:paraId="426E07C7" w14:textId="77777777" w:rsidR="002F6FC8" w:rsidRPr="002F6FC8" w:rsidRDefault="002F6FC8" w:rsidP="006F2D28">
      <w:pPr>
        <w:spacing w:after="120"/>
        <w:rPr>
          <w:lang w:eastAsia="en-GB"/>
        </w:rPr>
      </w:pPr>
    </w:p>
    <w:p w14:paraId="122D40E0" w14:textId="0CD57A40" w:rsidR="004F4347" w:rsidRDefault="00170D10" w:rsidP="00170D10">
      <w:pPr>
        <w:pStyle w:val="BodyText"/>
      </w:pPr>
      <w:r w:rsidRPr="00170D10">
        <w:t xml:space="preserve">It should be noted that no comment period needs to be provided in the case of trade facilitating measures. The notification format includes a tick box for specifying whether the </w:t>
      </w:r>
      <w:r w:rsidRPr="00B04491">
        <w:t xml:space="preserve">notification concerns a trade facilitating measure. From </w:t>
      </w:r>
      <w:r w:rsidR="00822EC0">
        <w:t>16</w:t>
      </w:r>
      <w:r w:rsidR="00822EC0" w:rsidRPr="00B04491">
        <w:t xml:space="preserve"> </w:t>
      </w:r>
      <w:r w:rsidRPr="00B04491">
        <w:t>September</w:t>
      </w:r>
      <w:r w:rsidR="008E724C">
        <w:t xml:space="preserve"> 2017</w:t>
      </w:r>
      <w:r w:rsidR="009F7172">
        <w:t xml:space="preserve"> </w:t>
      </w:r>
      <w:r w:rsidRPr="00B04491">
        <w:t>through 15 September</w:t>
      </w:r>
      <w:r w:rsidR="003B5F10">
        <w:t xml:space="preserve"> </w:t>
      </w:r>
      <w:r w:rsidR="008E724C">
        <w:t>2018</w:t>
      </w:r>
      <w:r w:rsidRPr="00B04491">
        <w:t xml:space="preserve">, </w:t>
      </w:r>
      <w:r w:rsidR="002D7322">
        <w:t>1</w:t>
      </w:r>
      <w:r w:rsidR="003B5F10">
        <w:t>7%</w:t>
      </w:r>
      <w:r w:rsidRPr="008B4A48">
        <w:t xml:space="preserve"> </w:t>
      </w:r>
      <w:r w:rsidR="009F7172">
        <w:t xml:space="preserve">of </w:t>
      </w:r>
      <w:r w:rsidRPr="008B4A48">
        <w:t>notifications have been identified to be trade facilitating.</w:t>
      </w:r>
      <w:r w:rsidRPr="00B04491">
        <w:t xml:space="preserve"> In addition, as there is no obligation to notify</w:t>
      </w:r>
      <w:r w:rsidRPr="00170D10">
        <w:t xml:space="preserve"> measures if their content is substantially the same as that of an international standard, </w:t>
      </w:r>
      <w:r w:rsidR="00E4121E">
        <w:t xml:space="preserve">it is not mandatory to provide a </w:t>
      </w:r>
      <w:r w:rsidRPr="00170D10">
        <w:t>comment period for this category of measures.</w:t>
      </w:r>
    </w:p>
    <w:p w14:paraId="6D1E9435" w14:textId="5DF5B8CE" w:rsidR="002819B4" w:rsidRDefault="002819B4" w:rsidP="002819B4">
      <w:pPr>
        <w:pStyle w:val="BodyText"/>
      </w:pPr>
      <w:r>
        <w:t xml:space="preserve">While Members </w:t>
      </w:r>
      <w:r w:rsidR="00AB27C9">
        <w:t>must</w:t>
      </w:r>
      <w:r>
        <w:t xml:space="preserve"> notify other WTO Members of draft</w:t>
      </w:r>
      <w:r w:rsidR="000D269A">
        <w:t>,</w:t>
      </w:r>
      <w:r>
        <w:t xml:space="preserve"> new or changed measures, they are not required to submit the text of the relevant regulations along with their notifications. However, Members have raised concerns in the SPS Committee regarding the difficulties of accessing the actual text of notified regulations, which are described only in summarized form in notifications. Members have also pointed out that the process of receiving the texts of regulations reduces the period </w:t>
      </w:r>
      <w:proofErr w:type="gramStart"/>
      <w:r>
        <w:t>actually av</w:t>
      </w:r>
      <w:r w:rsidR="003D398D">
        <w:t>ailable</w:t>
      </w:r>
      <w:proofErr w:type="gramEnd"/>
      <w:r w:rsidR="003D398D">
        <w:t xml:space="preserve"> for providing comments.</w:t>
      </w:r>
    </w:p>
    <w:p w14:paraId="4928B65B" w14:textId="627518EC" w:rsidR="002819B4" w:rsidRPr="00FE13F3" w:rsidRDefault="003D3DEA" w:rsidP="002819B4">
      <w:pPr>
        <w:pStyle w:val="BodyText"/>
      </w:pPr>
      <w:r>
        <w:t>S</w:t>
      </w:r>
      <w:r w:rsidRPr="00402993">
        <w:t>ince</w:t>
      </w:r>
      <w:r w:rsidRPr="00FE13F3">
        <w:t xml:space="preserve"> February 2008</w:t>
      </w:r>
      <w:r>
        <w:t xml:space="preserve">, </w:t>
      </w:r>
      <w:proofErr w:type="gramStart"/>
      <w:r>
        <w:t>i</w:t>
      </w:r>
      <w:r w:rsidR="002819B4" w:rsidRPr="00402993">
        <w:t>n an effort to</w:t>
      </w:r>
      <w:proofErr w:type="gramEnd"/>
      <w:r w:rsidR="002819B4" w:rsidRPr="00402993">
        <w:t xml:space="preserve"> address these concerns and facilitate access to notified draft regulations, </w:t>
      </w:r>
      <w:r w:rsidR="002819B4" w:rsidRPr="00FE13F3">
        <w:t>Members may, on a voluntary basis, provide the Secr</w:t>
      </w:r>
      <w:r w:rsidR="002819B4" w:rsidRPr="00D62678">
        <w:t xml:space="preserve">etariat with an electronic version of the text of the notified </w:t>
      </w:r>
      <w:r w:rsidR="00B9381F">
        <w:t xml:space="preserve">draft </w:t>
      </w:r>
      <w:r w:rsidR="002819B4" w:rsidRPr="00D62678">
        <w:t>regulation as an attachment to the notification format. The submitted text is then</w:t>
      </w:r>
      <w:r w:rsidR="00AB27C9">
        <w:t xml:space="preserve"> made</w:t>
      </w:r>
      <w:r w:rsidR="002819B4" w:rsidRPr="00D62678">
        <w:t xml:space="preserve"> electronically accessible to other Members through a hyperlink </w:t>
      </w:r>
      <w:r w:rsidR="002819B4" w:rsidRPr="00EB2507">
        <w:t>in the notification format.</w:t>
      </w:r>
      <w:r w:rsidR="0046017F" w:rsidRPr="00EB2507">
        <w:rPr>
          <w:rStyle w:val="FootnoteReference"/>
        </w:rPr>
        <w:footnoteReference w:id="19"/>
      </w:r>
      <w:r w:rsidR="002819B4" w:rsidRPr="00EB2507">
        <w:t xml:space="preserve"> From </w:t>
      </w:r>
      <w:r w:rsidR="00822EC0" w:rsidRPr="00EB2507">
        <w:t xml:space="preserve">16 </w:t>
      </w:r>
      <w:r w:rsidR="002819B4" w:rsidRPr="00EB2507">
        <w:t>September</w:t>
      </w:r>
      <w:r w:rsidR="00890BEA" w:rsidRPr="00EB2507">
        <w:t xml:space="preserve"> </w:t>
      </w:r>
      <w:r w:rsidR="00105395" w:rsidRPr="00EB2507">
        <w:t>2017</w:t>
      </w:r>
      <w:r w:rsidR="00742788" w:rsidRPr="00EB2507">
        <w:t xml:space="preserve"> </w:t>
      </w:r>
      <w:r w:rsidR="002819B4" w:rsidRPr="00EB2507">
        <w:t>through 15 September</w:t>
      </w:r>
      <w:r w:rsidR="009F7172">
        <w:t xml:space="preserve"> </w:t>
      </w:r>
      <w:r w:rsidR="00105395" w:rsidRPr="00EB2507">
        <w:t>2018</w:t>
      </w:r>
      <w:r w:rsidR="002819B4" w:rsidRPr="00EB2507">
        <w:t>, around</w:t>
      </w:r>
      <w:r w:rsidR="00AC3215" w:rsidRPr="00EB2507">
        <w:t xml:space="preserve"> </w:t>
      </w:r>
      <w:r w:rsidR="004801CE" w:rsidRPr="00EB2507">
        <w:t>7</w:t>
      </w:r>
      <w:r w:rsidR="00EB2507">
        <w:t>3</w:t>
      </w:r>
      <w:r w:rsidR="002819B4" w:rsidRPr="00EB2507">
        <w:t xml:space="preserve">% of </w:t>
      </w:r>
      <w:r w:rsidR="00EF35A7" w:rsidRPr="00EB2507">
        <w:t xml:space="preserve">all </w:t>
      </w:r>
      <w:r w:rsidR="002819B4" w:rsidRPr="00EB2507">
        <w:t>notifications</w:t>
      </w:r>
      <w:r w:rsidR="00EF35A7" w:rsidRPr="00EB2507">
        <w:t xml:space="preserve"> (</w:t>
      </w:r>
      <w:r w:rsidR="004801CE" w:rsidRPr="00EB2507">
        <w:t>8</w:t>
      </w:r>
      <w:r w:rsidR="00EB2507">
        <w:t>2</w:t>
      </w:r>
      <w:r w:rsidR="00EF35A7" w:rsidRPr="00EB2507">
        <w:t xml:space="preserve">% of regular and </w:t>
      </w:r>
      <w:r w:rsidR="004801CE" w:rsidRPr="00EB2507">
        <w:t>3</w:t>
      </w:r>
      <w:r w:rsidR="00EB2507">
        <w:t>0</w:t>
      </w:r>
      <w:r w:rsidR="00EF35A7" w:rsidRPr="00EB2507">
        <w:t>% of emergency notifications)</w:t>
      </w:r>
      <w:r w:rsidR="002819B4" w:rsidRPr="00EB2507">
        <w:t xml:space="preserve"> have provided the full text or a</w:t>
      </w:r>
      <w:r w:rsidR="00F978D6">
        <w:t xml:space="preserve"> </w:t>
      </w:r>
      <w:r w:rsidR="002819B4" w:rsidRPr="00EB2507">
        <w:t xml:space="preserve">summary of the notified </w:t>
      </w:r>
      <w:r w:rsidR="00B9381F" w:rsidRPr="00EB2507">
        <w:t xml:space="preserve">draft </w:t>
      </w:r>
      <w:r w:rsidR="002819B4" w:rsidRPr="00EB2507">
        <w:t>regulations using this facility. Members may wish to remind their notification authorities of the availability of this facility.</w:t>
      </w:r>
    </w:p>
    <w:p w14:paraId="39E899B3" w14:textId="77777777" w:rsidR="002819B4" w:rsidRPr="00F61762" w:rsidRDefault="002819B4" w:rsidP="002819B4">
      <w:pPr>
        <w:pStyle w:val="BodyText"/>
      </w:pPr>
      <w:r w:rsidRPr="00F61762">
        <w:t>Many Members include a hyperlink to their own electronic version of the notified regulation as part of the text of the notification, in addition to or</w:t>
      </w:r>
      <w:r w:rsidR="003D398D" w:rsidRPr="00F61762">
        <w:t xml:space="preserve"> instead of the above facility.</w:t>
      </w:r>
    </w:p>
    <w:p w14:paraId="2B5D3D4C" w14:textId="77777777" w:rsidR="002819B4" w:rsidRPr="00F61762" w:rsidRDefault="002819B4" w:rsidP="00EC6E6C">
      <w:pPr>
        <w:pStyle w:val="Heading2"/>
      </w:pPr>
      <w:bookmarkStart w:id="37" w:name="_Toc400006346"/>
      <w:bookmarkStart w:id="38" w:name="_Toc400015173"/>
      <w:bookmarkStart w:id="39" w:name="_Toc527021056"/>
      <w:r w:rsidRPr="00F61762">
        <w:t>Reasons for addenda to regular and emergency notifications</w:t>
      </w:r>
      <w:bookmarkEnd w:id="37"/>
      <w:bookmarkEnd w:id="38"/>
      <w:bookmarkEnd w:id="39"/>
    </w:p>
    <w:p w14:paraId="33055B36" w14:textId="36818349" w:rsidR="002819B4" w:rsidRPr="00F61762" w:rsidRDefault="006537DE" w:rsidP="002819B4">
      <w:pPr>
        <w:pStyle w:val="BodyText"/>
      </w:pPr>
      <w:r>
        <w:t>According to t</w:t>
      </w:r>
      <w:r w:rsidR="002819B4" w:rsidRPr="00F61762">
        <w:t xml:space="preserve">he </w:t>
      </w:r>
      <w:r w:rsidR="00A9778B">
        <w:t>Recommended</w:t>
      </w:r>
      <w:r w:rsidR="00A9778B" w:rsidRPr="00F61762">
        <w:t xml:space="preserve"> </w:t>
      </w:r>
      <w:r w:rsidR="002819B4" w:rsidRPr="00F61762">
        <w:t>Transparency Procedures</w:t>
      </w:r>
      <w:r>
        <w:t>,</w:t>
      </w:r>
      <w:r w:rsidR="002819B4" w:rsidRPr="00F61762">
        <w:t xml:space="preserve"> Members are asked to select from </w:t>
      </w:r>
      <w:proofErr w:type="gramStart"/>
      <w:r w:rsidR="002819B4" w:rsidRPr="00F61762">
        <w:t>a number of</w:t>
      </w:r>
      <w:proofErr w:type="gramEnd"/>
      <w:r w:rsidR="002819B4" w:rsidRPr="00F61762">
        <w:t xml:space="preserve"> options regarding the reason for </w:t>
      </w:r>
      <w:r w:rsidR="00641CB5">
        <w:t>an</w:t>
      </w:r>
      <w:r w:rsidR="00641CB5" w:rsidRPr="00F61762">
        <w:t xml:space="preserve"> </w:t>
      </w:r>
      <w:r w:rsidR="002819B4" w:rsidRPr="00F61762">
        <w:t xml:space="preserve">Addendum. Table 6 below shows the share of each option for the period from </w:t>
      </w:r>
      <w:r w:rsidR="00EC7D7C">
        <w:t>16</w:t>
      </w:r>
      <w:r w:rsidR="00EC7D7C" w:rsidRPr="00F61762">
        <w:t xml:space="preserve"> </w:t>
      </w:r>
      <w:r w:rsidR="00B35E8B" w:rsidRPr="00F61762">
        <w:t xml:space="preserve">September </w:t>
      </w:r>
      <w:r w:rsidR="00105395">
        <w:t>2017</w:t>
      </w:r>
      <w:r w:rsidR="00EC7D7C" w:rsidRPr="00F61762">
        <w:t xml:space="preserve"> </w:t>
      </w:r>
      <w:r w:rsidR="002819B4" w:rsidRPr="00F61762">
        <w:t>to 15 September</w:t>
      </w:r>
      <w:r w:rsidR="009F7172">
        <w:t xml:space="preserve"> </w:t>
      </w:r>
      <w:r w:rsidR="00105395">
        <w:t>2018</w:t>
      </w:r>
      <w:r w:rsidR="002819B4" w:rsidRPr="00F61762">
        <w:t>:</w:t>
      </w:r>
    </w:p>
    <w:p w14:paraId="6F88EED8" w14:textId="77777777" w:rsidR="002819B4" w:rsidRDefault="002819B4" w:rsidP="000A12D2">
      <w:pPr>
        <w:pStyle w:val="Caption"/>
      </w:pPr>
      <w:r w:rsidRPr="00C81C2D">
        <w:lastRenderedPageBreak/>
        <w:t>Table 6. Reasons for addenda</w:t>
      </w:r>
      <w:r w:rsidR="0046017F">
        <w:rPr>
          <w:rStyle w:val="FootnoteReference"/>
        </w:rPr>
        <w:footnoteReference w:id="20"/>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994"/>
        <w:gridCol w:w="977"/>
        <w:gridCol w:w="1045"/>
      </w:tblGrid>
      <w:tr w:rsidR="00EC6E6C" w14:paraId="68205756" w14:textId="77777777" w:rsidTr="00EB2507">
        <w:trPr>
          <w:trHeight w:val="288"/>
        </w:trPr>
        <w:tc>
          <w:tcPr>
            <w:tcW w:w="7196" w:type="dxa"/>
            <w:shd w:val="clear" w:color="auto" w:fill="006283"/>
          </w:tcPr>
          <w:p w14:paraId="733FD891" w14:textId="77777777" w:rsidR="00EC6E6C" w:rsidRPr="001409CE" w:rsidRDefault="00EC6E6C" w:rsidP="000A12D2">
            <w:pPr>
              <w:keepNext/>
              <w:jc w:val="center"/>
              <w:rPr>
                <w:b/>
                <w:color w:val="FFFFFF"/>
              </w:rPr>
            </w:pPr>
            <w:r w:rsidRPr="001409CE">
              <w:rPr>
                <w:b/>
                <w:color w:val="FFFFFF"/>
              </w:rPr>
              <w:t>Reason for addenda:</w:t>
            </w:r>
          </w:p>
        </w:tc>
        <w:tc>
          <w:tcPr>
            <w:tcW w:w="992" w:type="dxa"/>
            <w:shd w:val="clear" w:color="auto" w:fill="006283"/>
          </w:tcPr>
          <w:p w14:paraId="73641581" w14:textId="77777777" w:rsidR="00EC6E6C" w:rsidRPr="001409CE" w:rsidRDefault="00EC6E6C" w:rsidP="000A12D2">
            <w:pPr>
              <w:keepNext/>
              <w:jc w:val="center"/>
              <w:rPr>
                <w:b/>
                <w:color w:val="FFFFFF"/>
              </w:rPr>
            </w:pPr>
            <w:r w:rsidRPr="001409CE">
              <w:rPr>
                <w:b/>
                <w:color w:val="FFFFFF"/>
              </w:rPr>
              <w:t>No.</w:t>
            </w:r>
          </w:p>
        </w:tc>
        <w:tc>
          <w:tcPr>
            <w:tcW w:w="1054" w:type="dxa"/>
            <w:shd w:val="clear" w:color="auto" w:fill="006283"/>
          </w:tcPr>
          <w:p w14:paraId="6199E62E" w14:textId="77777777" w:rsidR="00EC6E6C" w:rsidRPr="001409CE" w:rsidRDefault="00EC6E6C" w:rsidP="000A12D2">
            <w:pPr>
              <w:keepNext/>
              <w:jc w:val="center"/>
              <w:rPr>
                <w:b/>
                <w:color w:val="FFFFFF"/>
              </w:rPr>
            </w:pPr>
            <w:r w:rsidRPr="001409CE">
              <w:rPr>
                <w:b/>
                <w:color w:val="FFFFFF"/>
              </w:rPr>
              <w:t>Share</w:t>
            </w:r>
          </w:p>
        </w:tc>
      </w:tr>
      <w:tr w:rsidR="00EC7D7C" w:rsidRPr="00B90E07" w14:paraId="6C18ADF2" w14:textId="77777777" w:rsidTr="00741557">
        <w:tc>
          <w:tcPr>
            <w:tcW w:w="7196" w:type="dxa"/>
            <w:shd w:val="clear" w:color="auto" w:fill="auto"/>
          </w:tcPr>
          <w:p w14:paraId="3BC37C46" w14:textId="77777777" w:rsidR="00EC7D7C" w:rsidRPr="0087453B" w:rsidRDefault="00EC7D7C" w:rsidP="000A12D2">
            <w:pPr>
              <w:keepNext/>
              <w:rPr>
                <w:color w:val="000000"/>
                <w:szCs w:val="18"/>
              </w:rPr>
            </w:pPr>
            <w:r w:rsidRPr="00451811">
              <w:t>Notification of adoption, publication, or entry into force of regulation</w:t>
            </w:r>
          </w:p>
        </w:tc>
        <w:tc>
          <w:tcPr>
            <w:tcW w:w="992" w:type="dxa"/>
            <w:shd w:val="clear" w:color="auto" w:fill="auto"/>
          </w:tcPr>
          <w:p w14:paraId="558350D6" w14:textId="68138DFF" w:rsidR="00EC7D7C" w:rsidRPr="0087453B" w:rsidRDefault="0089523B" w:rsidP="001A79F8">
            <w:pPr>
              <w:keepNext/>
              <w:ind w:left="-392" w:right="175"/>
              <w:jc w:val="right"/>
              <w:rPr>
                <w:color w:val="000000"/>
                <w:szCs w:val="18"/>
              </w:rPr>
            </w:pPr>
            <w:r>
              <w:t>155</w:t>
            </w:r>
          </w:p>
        </w:tc>
        <w:tc>
          <w:tcPr>
            <w:tcW w:w="1054" w:type="dxa"/>
            <w:shd w:val="clear" w:color="auto" w:fill="auto"/>
          </w:tcPr>
          <w:p w14:paraId="29C0FF8E" w14:textId="6351EC10" w:rsidR="00EC7D7C" w:rsidRPr="0087453B" w:rsidRDefault="0089523B" w:rsidP="000A12D2">
            <w:pPr>
              <w:keepNext/>
              <w:ind w:right="95"/>
              <w:jc w:val="right"/>
              <w:rPr>
                <w:color w:val="000000"/>
                <w:szCs w:val="18"/>
              </w:rPr>
            </w:pPr>
            <w:r>
              <w:t>50</w:t>
            </w:r>
            <w:r w:rsidR="00EC7D7C" w:rsidRPr="00451811">
              <w:t>%</w:t>
            </w:r>
          </w:p>
        </w:tc>
      </w:tr>
      <w:tr w:rsidR="00EC7D7C" w:rsidRPr="00B90E07" w14:paraId="6BC4F7EB" w14:textId="77777777" w:rsidTr="00741557">
        <w:tc>
          <w:tcPr>
            <w:tcW w:w="7196" w:type="dxa"/>
            <w:shd w:val="clear" w:color="auto" w:fill="C9DED4"/>
          </w:tcPr>
          <w:p w14:paraId="09D60212" w14:textId="7BCB4CE4" w:rsidR="00EC7D7C" w:rsidRPr="0087453B" w:rsidRDefault="0089523B" w:rsidP="0094641D">
            <w:pPr>
              <w:rPr>
                <w:color w:val="000000"/>
                <w:szCs w:val="18"/>
              </w:rPr>
            </w:pPr>
            <w:r w:rsidRPr="00451811">
              <w:t>Other concerns</w:t>
            </w:r>
          </w:p>
        </w:tc>
        <w:tc>
          <w:tcPr>
            <w:tcW w:w="992" w:type="dxa"/>
            <w:shd w:val="clear" w:color="auto" w:fill="C9DED4"/>
          </w:tcPr>
          <w:p w14:paraId="721A2867" w14:textId="0839420C" w:rsidR="00EC7D7C" w:rsidRPr="0087453B" w:rsidRDefault="00EC7D7C" w:rsidP="001A79F8">
            <w:pPr>
              <w:tabs>
                <w:tab w:val="right" w:pos="573"/>
              </w:tabs>
              <w:ind w:left="-392" w:right="175"/>
              <w:jc w:val="right"/>
              <w:rPr>
                <w:color w:val="000000"/>
                <w:szCs w:val="18"/>
              </w:rPr>
            </w:pPr>
            <w:r w:rsidRPr="00451811">
              <w:t>8</w:t>
            </w:r>
            <w:r w:rsidR="0089523B">
              <w:t>8</w:t>
            </w:r>
          </w:p>
        </w:tc>
        <w:tc>
          <w:tcPr>
            <w:tcW w:w="1054" w:type="dxa"/>
            <w:shd w:val="clear" w:color="auto" w:fill="C9DED4"/>
          </w:tcPr>
          <w:p w14:paraId="708CFCA3" w14:textId="1F827143" w:rsidR="00EC7D7C" w:rsidRPr="0087453B" w:rsidRDefault="0089523B" w:rsidP="000A12D2">
            <w:pPr>
              <w:ind w:right="95"/>
              <w:jc w:val="right"/>
              <w:rPr>
                <w:color w:val="000000"/>
                <w:szCs w:val="18"/>
              </w:rPr>
            </w:pPr>
            <w:r>
              <w:t>2</w:t>
            </w:r>
            <w:r w:rsidR="00EB17B2">
              <w:t>8</w:t>
            </w:r>
            <w:r w:rsidR="00EC7D7C" w:rsidRPr="00451811">
              <w:t>%</w:t>
            </w:r>
          </w:p>
        </w:tc>
      </w:tr>
      <w:tr w:rsidR="00EC7D7C" w:rsidRPr="00B90E07" w14:paraId="3462C2B7" w14:textId="77777777" w:rsidTr="00741557">
        <w:tc>
          <w:tcPr>
            <w:tcW w:w="7196" w:type="dxa"/>
            <w:shd w:val="clear" w:color="auto" w:fill="auto"/>
          </w:tcPr>
          <w:p w14:paraId="7E67D233" w14:textId="121D92EA" w:rsidR="00EC7D7C" w:rsidRPr="0087453B" w:rsidRDefault="0089523B" w:rsidP="0094641D">
            <w:pPr>
              <w:rPr>
                <w:color w:val="000000"/>
                <w:szCs w:val="18"/>
              </w:rPr>
            </w:pPr>
            <w:r>
              <w:rPr>
                <w:color w:val="000000"/>
                <w:szCs w:val="18"/>
              </w:rPr>
              <w:t>Modification of content and/or scope of previously notified draft regulation</w:t>
            </w:r>
          </w:p>
        </w:tc>
        <w:tc>
          <w:tcPr>
            <w:tcW w:w="992" w:type="dxa"/>
            <w:shd w:val="clear" w:color="auto" w:fill="auto"/>
          </w:tcPr>
          <w:p w14:paraId="6FF7FB04" w14:textId="22FED027" w:rsidR="00EC7D7C" w:rsidRPr="0087453B" w:rsidRDefault="0089523B" w:rsidP="001A79F8">
            <w:pPr>
              <w:tabs>
                <w:tab w:val="right" w:pos="573"/>
              </w:tabs>
              <w:ind w:left="-392" w:right="175"/>
              <w:jc w:val="right"/>
              <w:rPr>
                <w:color w:val="000000"/>
                <w:szCs w:val="18"/>
              </w:rPr>
            </w:pPr>
            <w:r>
              <w:t>3</w:t>
            </w:r>
            <w:r w:rsidR="00EB17B2">
              <w:t>2</w:t>
            </w:r>
          </w:p>
        </w:tc>
        <w:tc>
          <w:tcPr>
            <w:tcW w:w="1054" w:type="dxa"/>
            <w:shd w:val="clear" w:color="auto" w:fill="auto"/>
          </w:tcPr>
          <w:p w14:paraId="1765B879" w14:textId="69978B62" w:rsidR="00EC7D7C" w:rsidRPr="0087453B" w:rsidRDefault="0089523B" w:rsidP="000A12D2">
            <w:pPr>
              <w:ind w:right="95"/>
              <w:jc w:val="right"/>
              <w:rPr>
                <w:color w:val="000000"/>
                <w:szCs w:val="18"/>
              </w:rPr>
            </w:pPr>
            <w:r>
              <w:t>10</w:t>
            </w:r>
            <w:r w:rsidR="00EC7D7C" w:rsidRPr="00451811">
              <w:t>%</w:t>
            </w:r>
          </w:p>
        </w:tc>
      </w:tr>
      <w:tr w:rsidR="00EC7D7C" w:rsidRPr="00B90E07" w14:paraId="407A7C1D" w14:textId="77777777" w:rsidTr="00741557">
        <w:tc>
          <w:tcPr>
            <w:tcW w:w="7196" w:type="dxa"/>
            <w:shd w:val="clear" w:color="auto" w:fill="C9DED4"/>
          </w:tcPr>
          <w:p w14:paraId="4BD4A844" w14:textId="0F17FBEE" w:rsidR="00EC7D7C" w:rsidRPr="0087453B" w:rsidRDefault="0089523B" w:rsidP="0094641D">
            <w:pPr>
              <w:rPr>
                <w:color w:val="000000"/>
                <w:szCs w:val="18"/>
              </w:rPr>
            </w:pPr>
            <w:r w:rsidRPr="00451811">
              <w:t>Withdrawal of proposed regulation</w:t>
            </w:r>
          </w:p>
        </w:tc>
        <w:tc>
          <w:tcPr>
            <w:tcW w:w="992" w:type="dxa"/>
            <w:shd w:val="clear" w:color="auto" w:fill="C9DED4"/>
          </w:tcPr>
          <w:p w14:paraId="384824FA" w14:textId="16244DD6" w:rsidR="00EC7D7C" w:rsidRPr="0087453B" w:rsidRDefault="0089523B" w:rsidP="001A79F8">
            <w:pPr>
              <w:tabs>
                <w:tab w:val="right" w:pos="573"/>
              </w:tabs>
              <w:ind w:left="-392" w:right="175"/>
              <w:jc w:val="right"/>
              <w:rPr>
                <w:color w:val="000000"/>
                <w:szCs w:val="18"/>
              </w:rPr>
            </w:pPr>
            <w:r>
              <w:t>17</w:t>
            </w:r>
          </w:p>
        </w:tc>
        <w:tc>
          <w:tcPr>
            <w:tcW w:w="1054" w:type="dxa"/>
            <w:shd w:val="clear" w:color="auto" w:fill="C9DED4"/>
          </w:tcPr>
          <w:p w14:paraId="42BF505B" w14:textId="77777777" w:rsidR="00EC7D7C" w:rsidRPr="0087453B" w:rsidRDefault="00EC7D7C" w:rsidP="000A12D2">
            <w:pPr>
              <w:ind w:right="95"/>
              <w:jc w:val="right"/>
              <w:rPr>
                <w:color w:val="000000"/>
                <w:szCs w:val="18"/>
              </w:rPr>
            </w:pPr>
            <w:r w:rsidRPr="00451811">
              <w:t>6%</w:t>
            </w:r>
          </w:p>
        </w:tc>
      </w:tr>
      <w:tr w:rsidR="00EC7D7C" w:rsidRPr="00B90E07" w14:paraId="66156DD0" w14:textId="77777777" w:rsidTr="00741557">
        <w:tc>
          <w:tcPr>
            <w:tcW w:w="7196" w:type="dxa"/>
            <w:shd w:val="clear" w:color="auto" w:fill="auto"/>
          </w:tcPr>
          <w:p w14:paraId="35F84232" w14:textId="51431451" w:rsidR="00EC7D7C" w:rsidRPr="0087453B" w:rsidRDefault="0089523B" w:rsidP="0063787A">
            <w:pPr>
              <w:rPr>
                <w:color w:val="000000"/>
                <w:szCs w:val="18"/>
              </w:rPr>
            </w:pPr>
            <w:bookmarkStart w:id="40" w:name="_Hlk525901143"/>
            <w:r>
              <w:rPr>
                <w:color w:val="000000"/>
                <w:szCs w:val="18"/>
              </w:rPr>
              <w:t xml:space="preserve">Modification of final date for comments </w:t>
            </w:r>
            <w:bookmarkEnd w:id="40"/>
          </w:p>
        </w:tc>
        <w:tc>
          <w:tcPr>
            <w:tcW w:w="992" w:type="dxa"/>
            <w:shd w:val="clear" w:color="auto" w:fill="auto"/>
          </w:tcPr>
          <w:p w14:paraId="101053F4" w14:textId="462FE957" w:rsidR="00EC7D7C" w:rsidRPr="0087453B" w:rsidRDefault="0089523B" w:rsidP="001A79F8">
            <w:pPr>
              <w:tabs>
                <w:tab w:val="right" w:pos="573"/>
              </w:tabs>
              <w:ind w:left="-392" w:right="175"/>
              <w:jc w:val="right"/>
              <w:rPr>
                <w:color w:val="000000"/>
                <w:szCs w:val="18"/>
              </w:rPr>
            </w:pPr>
            <w:r>
              <w:t>12</w:t>
            </w:r>
          </w:p>
        </w:tc>
        <w:tc>
          <w:tcPr>
            <w:tcW w:w="1054" w:type="dxa"/>
            <w:shd w:val="clear" w:color="auto" w:fill="auto"/>
          </w:tcPr>
          <w:p w14:paraId="5D717EAC" w14:textId="77777777" w:rsidR="00EC7D7C" w:rsidRPr="0087453B" w:rsidRDefault="00EC7D7C" w:rsidP="000A12D2">
            <w:pPr>
              <w:ind w:right="95"/>
              <w:jc w:val="right"/>
              <w:rPr>
                <w:color w:val="000000"/>
                <w:szCs w:val="18"/>
              </w:rPr>
            </w:pPr>
            <w:r w:rsidRPr="00451811">
              <w:t>4%</w:t>
            </w:r>
          </w:p>
        </w:tc>
      </w:tr>
      <w:tr w:rsidR="00EC7D7C" w14:paraId="66AC5E5B" w14:textId="77777777" w:rsidTr="00741557">
        <w:tc>
          <w:tcPr>
            <w:tcW w:w="7196" w:type="dxa"/>
            <w:shd w:val="clear" w:color="auto" w:fill="C9DED4"/>
          </w:tcPr>
          <w:p w14:paraId="5F22C2E4" w14:textId="0F608B52" w:rsidR="00EC7D7C" w:rsidRPr="0087453B" w:rsidRDefault="00973EEE" w:rsidP="0094641D">
            <w:pPr>
              <w:rPr>
                <w:color w:val="000000"/>
                <w:szCs w:val="18"/>
              </w:rPr>
            </w:pPr>
            <w:r>
              <w:rPr>
                <w:color w:val="000000"/>
                <w:szCs w:val="18"/>
              </w:rPr>
              <w:t>Change in proposed date of adoption, publication, or entry into force</w:t>
            </w:r>
          </w:p>
        </w:tc>
        <w:tc>
          <w:tcPr>
            <w:tcW w:w="992" w:type="dxa"/>
            <w:shd w:val="clear" w:color="auto" w:fill="C9DED4"/>
          </w:tcPr>
          <w:p w14:paraId="539B881B" w14:textId="22145ECB" w:rsidR="00EC7D7C" w:rsidRPr="0087453B" w:rsidRDefault="009A341E" w:rsidP="001A79F8">
            <w:pPr>
              <w:tabs>
                <w:tab w:val="right" w:pos="573"/>
              </w:tabs>
              <w:ind w:left="-392" w:right="175"/>
              <w:jc w:val="right"/>
              <w:rPr>
                <w:color w:val="000000"/>
                <w:szCs w:val="18"/>
              </w:rPr>
            </w:pPr>
            <w:r>
              <w:rPr>
                <w:color w:val="000000"/>
                <w:szCs w:val="18"/>
              </w:rPr>
              <w:t>8</w:t>
            </w:r>
          </w:p>
        </w:tc>
        <w:tc>
          <w:tcPr>
            <w:tcW w:w="1054" w:type="dxa"/>
            <w:shd w:val="clear" w:color="auto" w:fill="C9DED4"/>
          </w:tcPr>
          <w:p w14:paraId="10C16780" w14:textId="548C14A5" w:rsidR="00EC7D7C" w:rsidRPr="0087453B" w:rsidRDefault="009A341E" w:rsidP="000A12D2">
            <w:pPr>
              <w:ind w:right="95"/>
              <w:jc w:val="right"/>
              <w:rPr>
                <w:color w:val="000000"/>
                <w:szCs w:val="18"/>
              </w:rPr>
            </w:pPr>
            <w:r>
              <w:rPr>
                <w:color w:val="000000"/>
                <w:szCs w:val="18"/>
              </w:rPr>
              <w:t>3%</w:t>
            </w:r>
          </w:p>
        </w:tc>
      </w:tr>
    </w:tbl>
    <w:p w14:paraId="7DACC67C" w14:textId="77777777" w:rsidR="006F2D28" w:rsidRDefault="006F2D28" w:rsidP="006F2D28">
      <w:pPr>
        <w:spacing w:after="120"/>
      </w:pPr>
      <w:bookmarkStart w:id="41" w:name="_Toc400006347"/>
      <w:bookmarkStart w:id="42" w:name="_Toc400015174"/>
    </w:p>
    <w:p w14:paraId="684785CB" w14:textId="77777777" w:rsidR="000D269A" w:rsidRDefault="000D269A" w:rsidP="00DC233B">
      <w:pPr>
        <w:pStyle w:val="BodyText"/>
      </w:pPr>
      <w:r>
        <w:t xml:space="preserve">In addition, Members can notify their decision on whether and how </w:t>
      </w:r>
      <w:r w:rsidR="00B9381F">
        <w:t>special and differential treatment was</w:t>
      </w:r>
      <w:r>
        <w:t xml:space="preserve"> provided </w:t>
      </w:r>
      <w:proofErr w:type="gramStart"/>
      <w:r>
        <w:t>in reference to</w:t>
      </w:r>
      <w:proofErr w:type="gramEnd"/>
      <w:r>
        <w:t xml:space="preserve"> a specific request, through another addendum notification format. No Member has ever notified such a decision to the Committee. </w:t>
      </w:r>
    </w:p>
    <w:p w14:paraId="1AE4BB9A" w14:textId="77777777" w:rsidR="002819B4" w:rsidRDefault="002819B4" w:rsidP="00F15F39">
      <w:pPr>
        <w:pStyle w:val="Heading1"/>
      </w:pPr>
      <w:bookmarkStart w:id="43" w:name="_Toc527021057"/>
      <w:r>
        <w:t>Notification keywords</w:t>
      </w:r>
      <w:bookmarkEnd w:id="41"/>
      <w:bookmarkEnd w:id="42"/>
      <w:bookmarkEnd w:id="43"/>
    </w:p>
    <w:p w14:paraId="53FDCA47" w14:textId="77777777" w:rsidR="00093AA6" w:rsidRPr="00D756E8" w:rsidRDefault="002819B4" w:rsidP="002819B4">
      <w:pPr>
        <w:pStyle w:val="BodyText"/>
      </w:pPr>
      <w:r>
        <w:t>With the SPS IMS, all notifications can also be categorized according to a list of approximately 70 predefined keywords, which describe issues appearing frequently in notifications. The CRN has assigned these keywords since 2003</w:t>
      </w:r>
      <w:r w:rsidR="00E46784">
        <w:t xml:space="preserve">, and they </w:t>
      </w:r>
      <w:r>
        <w:t xml:space="preserve">assist searching for notifications in certain areas. </w:t>
      </w:r>
      <w:r w:rsidR="00733130">
        <w:t xml:space="preserve">While the keywords include the objectives of the notification (e.g., food safety, animal health, plant protection), they also include additional specificity, such as pesticides, </w:t>
      </w:r>
      <w:r w:rsidR="00733130" w:rsidRPr="00D756E8">
        <w:t xml:space="preserve">maximum residues levels, </w:t>
      </w:r>
      <w:r w:rsidR="00EC7D7C">
        <w:t xml:space="preserve">avian influenza, </w:t>
      </w:r>
      <w:r w:rsidR="00733130" w:rsidRPr="00D756E8">
        <w:t>etc.</w:t>
      </w:r>
    </w:p>
    <w:p w14:paraId="4A45DCA2" w14:textId="0BFFE872" w:rsidR="0087453B" w:rsidRPr="0087453B" w:rsidRDefault="0087453B" w:rsidP="0087453B">
      <w:pPr>
        <w:pStyle w:val="BodyText"/>
      </w:pPr>
      <w:r w:rsidRPr="0087453B">
        <w:t xml:space="preserve">As shown in Table 7, the keywords which have been most frequently assigned to regular notifications, in descending order for the </w:t>
      </w:r>
      <w:r w:rsidR="00EC7D7C">
        <w:t>current reporting period</w:t>
      </w:r>
      <w:r w:rsidRPr="0087453B">
        <w:t xml:space="preserve">, are: human health, food safety, pesticides, maximum residue limits (MRLs) and plant health. For emergency notifications, the most frequent keywords in descending order are: animal diseases, animal health, </w:t>
      </w:r>
      <w:r w:rsidR="00A72718">
        <w:t>human health and food safety</w:t>
      </w:r>
      <w:r w:rsidRPr="0087453B">
        <w:t xml:space="preserve">. It must be noted, however, that </w:t>
      </w:r>
      <w:proofErr w:type="gramStart"/>
      <w:r w:rsidRPr="0087453B">
        <w:t>the majority of</w:t>
      </w:r>
      <w:proofErr w:type="gramEnd"/>
      <w:r w:rsidRPr="0087453B">
        <w:t xml:space="preserve"> the notifications are assigned more than one keyword. </w:t>
      </w:r>
      <w:r w:rsidR="006547B6">
        <w:t>T</w:t>
      </w:r>
      <w:r w:rsidRPr="0087453B">
        <w:t>he table below specifies the total number of times the specific keyword was assigned, regardless of whether this objective was specifically identif</w:t>
      </w:r>
      <w:r w:rsidR="00310FDD">
        <w:t>ied in the notification itself.</w:t>
      </w:r>
    </w:p>
    <w:p w14:paraId="752E20B2" w14:textId="046A32B2" w:rsidR="00093AA6" w:rsidRPr="00093AA6" w:rsidRDefault="00093AA6" w:rsidP="006F2D28">
      <w:pPr>
        <w:pStyle w:val="Caption"/>
        <w:keepLines/>
        <w:tabs>
          <w:tab w:val="center" w:pos="0"/>
        </w:tabs>
      </w:pPr>
      <w:r w:rsidRPr="00764219">
        <w:t>Table 7.</w:t>
      </w:r>
      <w:r w:rsidRPr="006961B4">
        <w:t xml:space="preserve"> "</w:t>
      </w:r>
      <w:r>
        <w:t>Keywords</w:t>
      </w:r>
      <w:r w:rsidRPr="006961B4">
        <w:t xml:space="preserve">" of notified SPS measures </w:t>
      </w:r>
      <w:r w:rsidR="00802EA7">
        <w:t>(16</w:t>
      </w:r>
      <w:r w:rsidR="00802EA7" w:rsidRPr="006961B4">
        <w:t xml:space="preserve"> </w:t>
      </w:r>
      <w:r w:rsidRPr="006961B4">
        <w:t xml:space="preserve">September </w:t>
      </w:r>
      <w:r w:rsidR="001822D5">
        <w:t>201</w:t>
      </w:r>
      <w:r w:rsidR="00F6385F">
        <w:t>7</w:t>
      </w:r>
      <w:r w:rsidR="001822D5">
        <w:t xml:space="preserve"> </w:t>
      </w:r>
      <w:r w:rsidR="0059068A">
        <w:t xml:space="preserve">– </w:t>
      </w:r>
      <w:r w:rsidRPr="006961B4">
        <w:t xml:space="preserve">15 September </w:t>
      </w:r>
      <w:r w:rsidR="002744A8">
        <w:t>2018</w:t>
      </w:r>
      <w:r w:rsidR="00802EA7">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075"/>
        <w:gridCol w:w="2941"/>
      </w:tblGrid>
      <w:tr w:rsidR="00167F4D" w:rsidRPr="00C248C3" w14:paraId="4C7B4911" w14:textId="77777777" w:rsidTr="004002E8">
        <w:trPr>
          <w:trHeight w:val="113"/>
        </w:trPr>
        <w:tc>
          <w:tcPr>
            <w:tcW w:w="6204" w:type="dxa"/>
            <w:shd w:val="clear" w:color="auto" w:fill="006283"/>
          </w:tcPr>
          <w:p w14:paraId="05A93172" w14:textId="168E5BE8" w:rsidR="00167F4D" w:rsidRPr="00C248C3" w:rsidRDefault="00167F4D" w:rsidP="006F2D28">
            <w:pPr>
              <w:keepNext/>
              <w:keepLines/>
              <w:rPr>
                <w:b/>
                <w:color w:val="FFFFFF"/>
                <w:szCs w:val="18"/>
              </w:rPr>
            </w:pPr>
            <w:r w:rsidRPr="00C248C3">
              <w:rPr>
                <w:b/>
                <w:color w:val="FFFFFF"/>
                <w:szCs w:val="18"/>
              </w:rPr>
              <w:t xml:space="preserve">Regular </w:t>
            </w:r>
            <w:r w:rsidR="0057569A" w:rsidRPr="00C248C3">
              <w:rPr>
                <w:b/>
                <w:color w:val="FFFFFF"/>
                <w:szCs w:val="18"/>
              </w:rPr>
              <w:t>notifications</w:t>
            </w:r>
          </w:p>
        </w:tc>
        <w:tc>
          <w:tcPr>
            <w:tcW w:w="2976" w:type="dxa"/>
            <w:shd w:val="clear" w:color="auto" w:fill="006283"/>
          </w:tcPr>
          <w:p w14:paraId="46DAA1BA" w14:textId="655FB408" w:rsidR="00167F4D" w:rsidRPr="00C248C3" w:rsidRDefault="004002E8" w:rsidP="004002E8">
            <w:pPr>
              <w:keepNext/>
              <w:keepLines/>
              <w:jc w:val="center"/>
              <w:rPr>
                <w:b/>
                <w:color w:val="FFFFFF"/>
                <w:szCs w:val="18"/>
              </w:rPr>
            </w:pPr>
            <w:r w:rsidRPr="00C248C3">
              <w:rPr>
                <w:b/>
                <w:color w:val="FFFFFF"/>
                <w:szCs w:val="18"/>
              </w:rPr>
              <w:t>Notifications</w:t>
            </w:r>
          </w:p>
        </w:tc>
      </w:tr>
      <w:tr w:rsidR="00167F4D" w:rsidRPr="00C248C3" w14:paraId="10DC5625" w14:textId="77777777" w:rsidTr="00301D48">
        <w:trPr>
          <w:trHeight w:val="112"/>
        </w:trPr>
        <w:tc>
          <w:tcPr>
            <w:tcW w:w="6204" w:type="dxa"/>
            <w:tcBorders>
              <w:bottom w:val="nil"/>
            </w:tcBorders>
            <w:shd w:val="clear" w:color="auto" w:fill="006283"/>
          </w:tcPr>
          <w:p w14:paraId="30AEEB9E" w14:textId="77777777" w:rsidR="00167F4D" w:rsidRPr="00C248C3" w:rsidRDefault="00167F4D" w:rsidP="006F2D28">
            <w:pPr>
              <w:keepNext/>
              <w:keepLines/>
              <w:rPr>
                <w:b/>
                <w:color w:val="FFFFFF"/>
                <w:szCs w:val="18"/>
              </w:rPr>
            </w:pPr>
          </w:p>
        </w:tc>
        <w:tc>
          <w:tcPr>
            <w:tcW w:w="2976" w:type="dxa"/>
            <w:tcBorders>
              <w:bottom w:val="nil"/>
            </w:tcBorders>
            <w:shd w:val="clear" w:color="auto" w:fill="006283"/>
          </w:tcPr>
          <w:p w14:paraId="4191C917" w14:textId="18AAA3EF" w:rsidR="00167F4D" w:rsidRPr="00C248C3" w:rsidRDefault="00167F4D" w:rsidP="006F2D28">
            <w:pPr>
              <w:keepNext/>
              <w:keepLines/>
              <w:jc w:val="center"/>
              <w:rPr>
                <w:b/>
                <w:color w:val="FFFFFF"/>
                <w:szCs w:val="18"/>
              </w:rPr>
            </w:pPr>
          </w:p>
        </w:tc>
      </w:tr>
      <w:tr w:rsidR="00EC7D7C" w:rsidRPr="00307F21" w14:paraId="67CC8F08" w14:textId="77777777" w:rsidTr="00741557">
        <w:tc>
          <w:tcPr>
            <w:tcW w:w="6204" w:type="dxa"/>
            <w:tcBorders>
              <w:top w:val="nil"/>
              <w:bottom w:val="nil"/>
            </w:tcBorders>
            <w:shd w:val="clear" w:color="auto" w:fill="auto"/>
          </w:tcPr>
          <w:p w14:paraId="6FE1744C" w14:textId="77777777" w:rsidR="00EC7D7C" w:rsidRPr="0087453B" w:rsidRDefault="00EC7D7C" w:rsidP="00043F9F">
            <w:pPr>
              <w:rPr>
                <w:color w:val="000000"/>
                <w:szCs w:val="18"/>
              </w:rPr>
            </w:pPr>
            <w:r w:rsidRPr="007F3507">
              <w:t>Human health</w:t>
            </w:r>
          </w:p>
        </w:tc>
        <w:tc>
          <w:tcPr>
            <w:tcW w:w="2976" w:type="dxa"/>
            <w:tcBorders>
              <w:top w:val="nil"/>
              <w:bottom w:val="nil"/>
            </w:tcBorders>
            <w:shd w:val="clear" w:color="auto" w:fill="auto"/>
          </w:tcPr>
          <w:p w14:paraId="373783EB" w14:textId="674E6757" w:rsidR="00EC7D7C" w:rsidRPr="0087453B" w:rsidRDefault="00F6385F" w:rsidP="00043F9F">
            <w:pPr>
              <w:ind w:right="1167"/>
              <w:jc w:val="right"/>
              <w:rPr>
                <w:color w:val="000000"/>
                <w:szCs w:val="18"/>
              </w:rPr>
            </w:pPr>
            <w:r>
              <w:t>893</w:t>
            </w:r>
          </w:p>
        </w:tc>
      </w:tr>
      <w:tr w:rsidR="00EC7D7C" w:rsidRPr="00307F21" w14:paraId="18EF7087" w14:textId="77777777" w:rsidTr="00741557">
        <w:tc>
          <w:tcPr>
            <w:tcW w:w="6204" w:type="dxa"/>
            <w:tcBorders>
              <w:top w:val="nil"/>
              <w:bottom w:val="nil"/>
            </w:tcBorders>
            <w:shd w:val="clear" w:color="auto" w:fill="C9DED4"/>
          </w:tcPr>
          <w:p w14:paraId="2D981CBE" w14:textId="77777777" w:rsidR="00EC7D7C" w:rsidRPr="0087453B" w:rsidRDefault="00EC7D7C" w:rsidP="00043F9F">
            <w:pPr>
              <w:rPr>
                <w:color w:val="000000"/>
                <w:szCs w:val="18"/>
              </w:rPr>
            </w:pPr>
            <w:r w:rsidRPr="007F3507">
              <w:t>Food safety</w:t>
            </w:r>
          </w:p>
        </w:tc>
        <w:tc>
          <w:tcPr>
            <w:tcW w:w="2976" w:type="dxa"/>
            <w:tcBorders>
              <w:top w:val="nil"/>
              <w:bottom w:val="nil"/>
            </w:tcBorders>
            <w:shd w:val="clear" w:color="auto" w:fill="C9DED4"/>
          </w:tcPr>
          <w:p w14:paraId="3F938203" w14:textId="6852C643" w:rsidR="00EC7D7C" w:rsidRPr="0087453B" w:rsidRDefault="00F6385F" w:rsidP="00043F9F">
            <w:pPr>
              <w:ind w:right="1167"/>
              <w:jc w:val="right"/>
              <w:rPr>
                <w:color w:val="000000"/>
                <w:szCs w:val="18"/>
              </w:rPr>
            </w:pPr>
            <w:r>
              <w:t>855</w:t>
            </w:r>
          </w:p>
        </w:tc>
      </w:tr>
      <w:tr w:rsidR="00EC7D7C" w:rsidRPr="00307F21" w14:paraId="784D219E" w14:textId="77777777" w:rsidTr="00741557">
        <w:tc>
          <w:tcPr>
            <w:tcW w:w="6204" w:type="dxa"/>
            <w:tcBorders>
              <w:top w:val="nil"/>
              <w:bottom w:val="nil"/>
            </w:tcBorders>
            <w:shd w:val="clear" w:color="auto" w:fill="auto"/>
          </w:tcPr>
          <w:p w14:paraId="34BCB0CD" w14:textId="77777777" w:rsidR="00EC7D7C" w:rsidRPr="0087453B" w:rsidRDefault="00EC7D7C" w:rsidP="00043F9F">
            <w:pPr>
              <w:rPr>
                <w:color w:val="000000"/>
                <w:szCs w:val="18"/>
              </w:rPr>
            </w:pPr>
            <w:r w:rsidRPr="007F3507">
              <w:t>Pesticides</w:t>
            </w:r>
          </w:p>
        </w:tc>
        <w:tc>
          <w:tcPr>
            <w:tcW w:w="2976" w:type="dxa"/>
            <w:tcBorders>
              <w:top w:val="nil"/>
              <w:bottom w:val="nil"/>
            </w:tcBorders>
            <w:shd w:val="clear" w:color="auto" w:fill="auto"/>
          </w:tcPr>
          <w:p w14:paraId="45D7866F" w14:textId="359ED3B5" w:rsidR="00EC7D7C" w:rsidRPr="0087453B" w:rsidRDefault="00F6385F" w:rsidP="00043F9F">
            <w:pPr>
              <w:ind w:right="1167"/>
              <w:jc w:val="right"/>
              <w:rPr>
                <w:color w:val="000000"/>
                <w:szCs w:val="18"/>
              </w:rPr>
            </w:pPr>
            <w:r>
              <w:t>298</w:t>
            </w:r>
          </w:p>
        </w:tc>
      </w:tr>
      <w:tr w:rsidR="00EC7D7C" w:rsidRPr="00307F21" w14:paraId="3942274E" w14:textId="77777777" w:rsidTr="00741557">
        <w:tc>
          <w:tcPr>
            <w:tcW w:w="6204" w:type="dxa"/>
            <w:tcBorders>
              <w:top w:val="nil"/>
              <w:bottom w:val="nil"/>
            </w:tcBorders>
            <w:shd w:val="clear" w:color="auto" w:fill="C9DED4"/>
          </w:tcPr>
          <w:p w14:paraId="420FADAC" w14:textId="77777777" w:rsidR="00EC7D7C" w:rsidRPr="0087453B" w:rsidRDefault="00EC7D7C" w:rsidP="00043F9F">
            <w:pPr>
              <w:rPr>
                <w:color w:val="000000"/>
                <w:szCs w:val="18"/>
              </w:rPr>
            </w:pPr>
            <w:r w:rsidRPr="007F3507">
              <w:t>Maximum residue limits (MRLs)</w:t>
            </w:r>
          </w:p>
        </w:tc>
        <w:tc>
          <w:tcPr>
            <w:tcW w:w="2976" w:type="dxa"/>
            <w:tcBorders>
              <w:top w:val="nil"/>
              <w:bottom w:val="nil"/>
            </w:tcBorders>
            <w:shd w:val="clear" w:color="auto" w:fill="C9DED4"/>
          </w:tcPr>
          <w:p w14:paraId="6E868250" w14:textId="30905C59" w:rsidR="00EC7D7C" w:rsidRPr="0087453B" w:rsidRDefault="00F6385F" w:rsidP="00043F9F">
            <w:pPr>
              <w:ind w:right="1167"/>
              <w:jc w:val="right"/>
              <w:rPr>
                <w:color w:val="000000"/>
                <w:szCs w:val="18"/>
              </w:rPr>
            </w:pPr>
            <w:r>
              <w:t>28</w:t>
            </w:r>
            <w:r w:rsidR="00EC7D7C" w:rsidRPr="007F3507">
              <w:t>1</w:t>
            </w:r>
          </w:p>
        </w:tc>
      </w:tr>
      <w:tr w:rsidR="00EC7D7C" w:rsidRPr="00307F21" w14:paraId="0ABF8886" w14:textId="77777777" w:rsidTr="00741557">
        <w:tc>
          <w:tcPr>
            <w:tcW w:w="6204" w:type="dxa"/>
            <w:tcBorders>
              <w:top w:val="nil"/>
              <w:bottom w:val="nil"/>
            </w:tcBorders>
            <w:shd w:val="clear" w:color="auto" w:fill="auto"/>
          </w:tcPr>
          <w:p w14:paraId="39EAB912" w14:textId="77777777" w:rsidR="00EC7D7C" w:rsidRPr="0087453B" w:rsidRDefault="00EC7D7C" w:rsidP="00043F9F">
            <w:pPr>
              <w:rPr>
                <w:color w:val="000000"/>
                <w:szCs w:val="18"/>
              </w:rPr>
            </w:pPr>
            <w:r w:rsidRPr="007F3507">
              <w:t>Plant health</w:t>
            </w:r>
          </w:p>
        </w:tc>
        <w:tc>
          <w:tcPr>
            <w:tcW w:w="2976" w:type="dxa"/>
            <w:tcBorders>
              <w:top w:val="nil"/>
              <w:bottom w:val="nil"/>
            </w:tcBorders>
            <w:shd w:val="clear" w:color="auto" w:fill="auto"/>
          </w:tcPr>
          <w:p w14:paraId="7CCACA4B" w14:textId="11E54518" w:rsidR="00EC7D7C" w:rsidRPr="0087453B" w:rsidRDefault="00F6385F" w:rsidP="00043F9F">
            <w:pPr>
              <w:ind w:right="1167"/>
              <w:jc w:val="right"/>
              <w:rPr>
                <w:color w:val="000000"/>
                <w:szCs w:val="18"/>
              </w:rPr>
            </w:pPr>
            <w:r>
              <w:t>253</w:t>
            </w:r>
          </w:p>
        </w:tc>
      </w:tr>
      <w:tr w:rsidR="00EC7D7C" w:rsidRPr="00307F21" w14:paraId="0D54BCB2" w14:textId="77777777" w:rsidTr="00741557">
        <w:tc>
          <w:tcPr>
            <w:tcW w:w="6204" w:type="dxa"/>
            <w:shd w:val="clear" w:color="auto" w:fill="C9DED4"/>
          </w:tcPr>
          <w:p w14:paraId="70E53818" w14:textId="77777777" w:rsidR="00EC7D7C" w:rsidRPr="0087453B" w:rsidRDefault="00EC7D7C" w:rsidP="00043F9F">
            <w:pPr>
              <w:rPr>
                <w:color w:val="000000"/>
                <w:szCs w:val="18"/>
              </w:rPr>
            </w:pPr>
            <w:r w:rsidRPr="007F3507">
              <w:t>Pests</w:t>
            </w:r>
          </w:p>
        </w:tc>
        <w:tc>
          <w:tcPr>
            <w:tcW w:w="2976" w:type="dxa"/>
            <w:shd w:val="clear" w:color="auto" w:fill="C9DED4"/>
          </w:tcPr>
          <w:p w14:paraId="24A5F27F" w14:textId="00F471B2" w:rsidR="00EC7D7C" w:rsidRPr="0087453B" w:rsidRDefault="00F6385F" w:rsidP="00043F9F">
            <w:pPr>
              <w:ind w:right="1167"/>
              <w:jc w:val="right"/>
              <w:rPr>
                <w:color w:val="000000"/>
                <w:szCs w:val="18"/>
              </w:rPr>
            </w:pPr>
            <w:r>
              <w:t>149</w:t>
            </w:r>
          </w:p>
        </w:tc>
      </w:tr>
      <w:tr w:rsidR="00EC7D7C" w:rsidRPr="00307F21" w14:paraId="0E6E9E1F" w14:textId="77777777" w:rsidTr="00741557">
        <w:tc>
          <w:tcPr>
            <w:tcW w:w="6204" w:type="dxa"/>
            <w:shd w:val="clear" w:color="auto" w:fill="auto"/>
          </w:tcPr>
          <w:p w14:paraId="06D7A1E1" w14:textId="77777777" w:rsidR="00EC7D7C" w:rsidRPr="0087453B" w:rsidRDefault="00EC7D7C" w:rsidP="00043F9F">
            <w:pPr>
              <w:rPr>
                <w:color w:val="000000"/>
                <w:szCs w:val="18"/>
              </w:rPr>
            </w:pPr>
            <w:r w:rsidRPr="007F3507">
              <w:t>Animal health</w:t>
            </w:r>
          </w:p>
        </w:tc>
        <w:tc>
          <w:tcPr>
            <w:tcW w:w="2976" w:type="dxa"/>
            <w:shd w:val="clear" w:color="auto" w:fill="auto"/>
          </w:tcPr>
          <w:p w14:paraId="1969E478" w14:textId="70D18DFA" w:rsidR="00EC7D7C" w:rsidRPr="0087453B" w:rsidRDefault="00F6385F" w:rsidP="00043F9F">
            <w:pPr>
              <w:ind w:right="1167"/>
              <w:jc w:val="right"/>
              <w:rPr>
                <w:color w:val="000000"/>
                <w:szCs w:val="18"/>
              </w:rPr>
            </w:pPr>
            <w:r>
              <w:t>140</w:t>
            </w:r>
          </w:p>
        </w:tc>
      </w:tr>
      <w:tr w:rsidR="00EC7D7C" w:rsidRPr="00307F21" w14:paraId="7B2EF426" w14:textId="77777777" w:rsidTr="00741557">
        <w:tc>
          <w:tcPr>
            <w:tcW w:w="6204" w:type="dxa"/>
            <w:shd w:val="clear" w:color="auto" w:fill="C9DED4"/>
          </w:tcPr>
          <w:p w14:paraId="44B4CC86" w14:textId="2046FB04" w:rsidR="00EC7D7C" w:rsidRPr="0087453B" w:rsidRDefault="00F6385F" w:rsidP="00043F9F">
            <w:pPr>
              <w:rPr>
                <w:color w:val="000000"/>
                <w:szCs w:val="18"/>
              </w:rPr>
            </w:pPr>
            <w:r>
              <w:t>Territory protection</w:t>
            </w:r>
          </w:p>
        </w:tc>
        <w:tc>
          <w:tcPr>
            <w:tcW w:w="2976" w:type="dxa"/>
            <w:shd w:val="clear" w:color="auto" w:fill="C9DED4"/>
          </w:tcPr>
          <w:p w14:paraId="67171289" w14:textId="3596AA17" w:rsidR="00EC7D7C" w:rsidRPr="0087453B" w:rsidRDefault="00F6385F" w:rsidP="00043F9F">
            <w:pPr>
              <w:ind w:right="1167"/>
              <w:jc w:val="right"/>
              <w:rPr>
                <w:color w:val="000000"/>
                <w:szCs w:val="18"/>
              </w:rPr>
            </w:pPr>
            <w:r>
              <w:t>96</w:t>
            </w:r>
          </w:p>
        </w:tc>
      </w:tr>
      <w:tr w:rsidR="00EC7D7C" w:rsidRPr="00307F21" w14:paraId="5FB96CC3" w14:textId="77777777" w:rsidTr="00741557">
        <w:tc>
          <w:tcPr>
            <w:tcW w:w="6204" w:type="dxa"/>
            <w:shd w:val="clear" w:color="auto" w:fill="auto"/>
          </w:tcPr>
          <w:p w14:paraId="5359429A" w14:textId="363F36F4" w:rsidR="00EC7D7C" w:rsidRPr="0087453B" w:rsidRDefault="00F6385F" w:rsidP="00043F9F">
            <w:pPr>
              <w:rPr>
                <w:color w:val="000000"/>
                <w:szCs w:val="18"/>
              </w:rPr>
            </w:pPr>
            <w:r>
              <w:t xml:space="preserve">Animal diseases </w:t>
            </w:r>
          </w:p>
        </w:tc>
        <w:tc>
          <w:tcPr>
            <w:tcW w:w="2976" w:type="dxa"/>
            <w:shd w:val="clear" w:color="auto" w:fill="auto"/>
          </w:tcPr>
          <w:p w14:paraId="225CDDE5" w14:textId="7561BC70" w:rsidR="00EC7D7C" w:rsidRPr="0087453B" w:rsidRDefault="00F6385F" w:rsidP="00043F9F">
            <w:pPr>
              <w:ind w:right="1167"/>
              <w:jc w:val="right"/>
              <w:rPr>
                <w:color w:val="000000"/>
                <w:szCs w:val="18"/>
              </w:rPr>
            </w:pPr>
            <w:r>
              <w:t>68</w:t>
            </w:r>
          </w:p>
        </w:tc>
      </w:tr>
      <w:tr w:rsidR="00EC7D7C" w14:paraId="5A205C16" w14:textId="77777777" w:rsidTr="00741557">
        <w:tc>
          <w:tcPr>
            <w:tcW w:w="6204" w:type="dxa"/>
            <w:shd w:val="clear" w:color="auto" w:fill="C9DED4"/>
          </w:tcPr>
          <w:p w14:paraId="678E551F" w14:textId="76A629C8" w:rsidR="00EC7D7C" w:rsidRPr="0087453B" w:rsidRDefault="00F6385F" w:rsidP="00043F9F">
            <w:pPr>
              <w:rPr>
                <w:color w:val="000000"/>
                <w:szCs w:val="18"/>
              </w:rPr>
            </w:pPr>
            <w:r>
              <w:t xml:space="preserve">Contaminants </w:t>
            </w:r>
          </w:p>
        </w:tc>
        <w:tc>
          <w:tcPr>
            <w:tcW w:w="2976" w:type="dxa"/>
            <w:shd w:val="clear" w:color="auto" w:fill="C9DED4"/>
          </w:tcPr>
          <w:p w14:paraId="5A646FC2" w14:textId="2A6B067B" w:rsidR="00EC7D7C" w:rsidRPr="0087453B" w:rsidRDefault="00F6385F" w:rsidP="00043F9F">
            <w:pPr>
              <w:ind w:right="1167"/>
              <w:jc w:val="right"/>
              <w:rPr>
                <w:color w:val="000000"/>
                <w:szCs w:val="18"/>
              </w:rPr>
            </w:pPr>
            <w:r>
              <w:t>65</w:t>
            </w:r>
          </w:p>
        </w:tc>
      </w:tr>
      <w:tr w:rsidR="00167F4D" w:rsidRPr="00C248C3" w14:paraId="38810E0C" w14:textId="77777777" w:rsidTr="004002E8">
        <w:trPr>
          <w:trHeight w:val="112"/>
        </w:trPr>
        <w:tc>
          <w:tcPr>
            <w:tcW w:w="6204" w:type="dxa"/>
            <w:tcBorders>
              <w:top w:val="nil"/>
              <w:bottom w:val="nil"/>
            </w:tcBorders>
            <w:shd w:val="clear" w:color="auto" w:fill="006283"/>
          </w:tcPr>
          <w:p w14:paraId="2679A670" w14:textId="5F277A15" w:rsidR="00167F4D" w:rsidRPr="00C248C3" w:rsidRDefault="00167F4D" w:rsidP="004002E8">
            <w:pPr>
              <w:keepNext/>
              <w:keepLines/>
              <w:jc w:val="left"/>
              <w:rPr>
                <w:b/>
                <w:color w:val="FFFFFF"/>
                <w:szCs w:val="18"/>
              </w:rPr>
            </w:pPr>
            <w:r w:rsidRPr="00C248C3">
              <w:rPr>
                <w:b/>
                <w:color w:val="FFFFFF"/>
                <w:szCs w:val="18"/>
              </w:rPr>
              <w:t xml:space="preserve">Emergency </w:t>
            </w:r>
            <w:r w:rsidR="0057569A" w:rsidRPr="00C248C3">
              <w:rPr>
                <w:b/>
                <w:color w:val="FFFFFF"/>
                <w:szCs w:val="18"/>
              </w:rPr>
              <w:t>notifications</w:t>
            </w:r>
          </w:p>
        </w:tc>
        <w:tc>
          <w:tcPr>
            <w:tcW w:w="2976" w:type="dxa"/>
            <w:tcBorders>
              <w:top w:val="nil"/>
              <w:bottom w:val="nil"/>
            </w:tcBorders>
            <w:shd w:val="clear" w:color="auto" w:fill="006283"/>
          </w:tcPr>
          <w:p w14:paraId="23F2E67D" w14:textId="3881AA5F" w:rsidR="00167F4D" w:rsidRPr="00C248C3" w:rsidRDefault="004002E8" w:rsidP="004002E8">
            <w:pPr>
              <w:keepNext/>
              <w:keepLines/>
              <w:jc w:val="center"/>
              <w:rPr>
                <w:b/>
                <w:color w:val="FFFFFF"/>
                <w:szCs w:val="18"/>
              </w:rPr>
            </w:pPr>
            <w:r w:rsidRPr="00C248C3">
              <w:rPr>
                <w:b/>
                <w:color w:val="FFFFFF"/>
                <w:szCs w:val="18"/>
              </w:rPr>
              <w:t>Notifications</w:t>
            </w:r>
          </w:p>
        </w:tc>
      </w:tr>
      <w:tr w:rsidR="00167F4D" w:rsidRPr="009131E1" w14:paraId="3CA04278" w14:textId="77777777" w:rsidTr="004002E8">
        <w:tc>
          <w:tcPr>
            <w:tcW w:w="6204" w:type="dxa"/>
            <w:tcBorders>
              <w:top w:val="nil"/>
              <w:bottom w:val="nil"/>
            </w:tcBorders>
            <w:shd w:val="clear" w:color="auto" w:fill="006283"/>
          </w:tcPr>
          <w:p w14:paraId="4A04A485" w14:textId="77777777" w:rsidR="00167F4D" w:rsidRPr="009131E1" w:rsidRDefault="00167F4D" w:rsidP="006F2D28">
            <w:pPr>
              <w:keepNext/>
              <w:keepLines/>
              <w:rPr>
                <w:szCs w:val="18"/>
              </w:rPr>
            </w:pPr>
          </w:p>
        </w:tc>
        <w:tc>
          <w:tcPr>
            <w:tcW w:w="2976" w:type="dxa"/>
            <w:tcBorders>
              <w:top w:val="nil"/>
              <w:bottom w:val="nil"/>
            </w:tcBorders>
            <w:shd w:val="clear" w:color="auto" w:fill="006283"/>
          </w:tcPr>
          <w:p w14:paraId="2F286B11" w14:textId="314B8031" w:rsidR="00167F4D" w:rsidRPr="009131E1" w:rsidRDefault="00167F4D" w:rsidP="004002E8">
            <w:pPr>
              <w:keepNext/>
              <w:keepLines/>
              <w:jc w:val="center"/>
              <w:rPr>
                <w:szCs w:val="18"/>
              </w:rPr>
            </w:pPr>
          </w:p>
        </w:tc>
      </w:tr>
      <w:tr w:rsidR="00EC7D7C" w:rsidRPr="00307F21" w14:paraId="5D630DDC" w14:textId="77777777" w:rsidTr="00741557">
        <w:tc>
          <w:tcPr>
            <w:tcW w:w="6204" w:type="dxa"/>
            <w:tcBorders>
              <w:top w:val="nil"/>
              <w:bottom w:val="nil"/>
            </w:tcBorders>
            <w:shd w:val="clear" w:color="auto" w:fill="auto"/>
          </w:tcPr>
          <w:p w14:paraId="6B22C085" w14:textId="77777777" w:rsidR="00EC7D7C" w:rsidRPr="0087453B" w:rsidRDefault="00EC7D7C" w:rsidP="00122D61">
            <w:pPr>
              <w:rPr>
                <w:color w:val="000000"/>
                <w:szCs w:val="18"/>
              </w:rPr>
            </w:pPr>
            <w:r w:rsidRPr="00567623">
              <w:t>Animal diseases</w:t>
            </w:r>
          </w:p>
        </w:tc>
        <w:tc>
          <w:tcPr>
            <w:tcW w:w="2976" w:type="dxa"/>
            <w:tcBorders>
              <w:top w:val="nil"/>
              <w:bottom w:val="nil"/>
            </w:tcBorders>
            <w:shd w:val="clear" w:color="auto" w:fill="auto"/>
          </w:tcPr>
          <w:p w14:paraId="2F40A0BC" w14:textId="3F88F29E" w:rsidR="00EC7D7C" w:rsidRPr="0087453B" w:rsidRDefault="00F6385F" w:rsidP="00B04491">
            <w:pPr>
              <w:keepNext/>
              <w:keepLines/>
              <w:ind w:right="1167"/>
              <w:jc w:val="right"/>
              <w:rPr>
                <w:color w:val="000000"/>
                <w:szCs w:val="18"/>
              </w:rPr>
            </w:pPr>
            <w:r>
              <w:t>89</w:t>
            </w:r>
          </w:p>
        </w:tc>
      </w:tr>
      <w:tr w:rsidR="00EC7D7C" w:rsidRPr="00307F21" w14:paraId="052BD097" w14:textId="77777777" w:rsidTr="00741557">
        <w:tc>
          <w:tcPr>
            <w:tcW w:w="6204" w:type="dxa"/>
            <w:tcBorders>
              <w:top w:val="nil"/>
              <w:bottom w:val="nil"/>
            </w:tcBorders>
            <w:shd w:val="clear" w:color="auto" w:fill="C9DED4"/>
          </w:tcPr>
          <w:p w14:paraId="3C17884A" w14:textId="77777777" w:rsidR="00EC7D7C" w:rsidRPr="0087453B" w:rsidRDefault="00EC7D7C" w:rsidP="00122D61">
            <w:pPr>
              <w:rPr>
                <w:color w:val="000000"/>
                <w:szCs w:val="18"/>
              </w:rPr>
            </w:pPr>
            <w:r w:rsidRPr="00567623">
              <w:t>Animal health</w:t>
            </w:r>
          </w:p>
        </w:tc>
        <w:tc>
          <w:tcPr>
            <w:tcW w:w="2976" w:type="dxa"/>
            <w:tcBorders>
              <w:top w:val="nil"/>
              <w:bottom w:val="nil"/>
            </w:tcBorders>
            <w:shd w:val="clear" w:color="auto" w:fill="C9DED4"/>
          </w:tcPr>
          <w:p w14:paraId="6DD450C7" w14:textId="09DF8D83" w:rsidR="00EC7D7C" w:rsidRPr="0087453B" w:rsidRDefault="00F6385F" w:rsidP="00B04491">
            <w:pPr>
              <w:keepNext/>
              <w:keepLines/>
              <w:ind w:right="1167"/>
              <w:jc w:val="right"/>
              <w:rPr>
                <w:color w:val="000000"/>
                <w:szCs w:val="18"/>
              </w:rPr>
            </w:pPr>
            <w:r>
              <w:t>85</w:t>
            </w:r>
          </w:p>
        </w:tc>
      </w:tr>
      <w:tr w:rsidR="00EC7D7C" w:rsidRPr="00307F21" w14:paraId="4769FFC5" w14:textId="77777777" w:rsidTr="00741557">
        <w:tc>
          <w:tcPr>
            <w:tcW w:w="6204" w:type="dxa"/>
            <w:tcBorders>
              <w:top w:val="nil"/>
              <w:bottom w:val="nil"/>
            </w:tcBorders>
            <w:shd w:val="clear" w:color="auto" w:fill="auto"/>
          </w:tcPr>
          <w:p w14:paraId="7CEDF2B7" w14:textId="7A313FA1" w:rsidR="00EC7D7C" w:rsidRPr="0087453B" w:rsidRDefault="00F6385F" w:rsidP="00122D61">
            <w:pPr>
              <w:rPr>
                <w:color w:val="000000"/>
                <w:szCs w:val="18"/>
              </w:rPr>
            </w:pPr>
            <w:r>
              <w:t>Human health</w:t>
            </w:r>
          </w:p>
        </w:tc>
        <w:tc>
          <w:tcPr>
            <w:tcW w:w="2976" w:type="dxa"/>
            <w:tcBorders>
              <w:top w:val="nil"/>
              <w:bottom w:val="nil"/>
            </w:tcBorders>
            <w:shd w:val="clear" w:color="auto" w:fill="auto"/>
          </w:tcPr>
          <w:p w14:paraId="4F8549B8" w14:textId="6B18C2CB" w:rsidR="00EC7D7C" w:rsidRPr="0087453B" w:rsidRDefault="00F6385F" w:rsidP="00B04491">
            <w:pPr>
              <w:keepNext/>
              <w:keepLines/>
              <w:ind w:right="1167"/>
              <w:jc w:val="right"/>
              <w:rPr>
                <w:color w:val="000000"/>
                <w:szCs w:val="18"/>
              </w:rPr>
            </w:pPr>
            <w:r>
              <w:t>63</w:t>
            </w:r>
          </w:p>
        </w:tc>
      </w:tr>
      <w:tr w:rsidR="00EC7D7C" w:rsidRPr="00307F21" w14:paraId="53579223" w14:textId="77777777" w:rsidTr="00741557">
        <w:tc>
          <w:tcPr>
            <w:tcW w:w="6204" w:type="dxa"/>
            <w:tcBorders>
              <w:top w:val="nil"/>
              <w:bottom w:val="nil"/>
            </w:tcBorders>
            <w:shd w:val="clear" w:color="auto" w:fill="C9DED4"/>
          </w:tcPr>
          <w:p w14:paraId="4885FFEF" w14:textId="6A1045DD" w:rsidR="00EC7D7C" w:rsidRPr="0087453B" w:rsidRDefault="009451E3" w:rsidP="00122D61">
            <w:pPr>
              <w:rPr>
                <w:color w:val="000000"/>
                <w:szCs w:val="18"/>
              </w:rPr>
            </w:pPr>
            <w:r>
              <w:rPr>
                <w:color w:val="000000"/>
                <w:szCs w:val="18"/>
              </w:rPr>
              <w:t>Food safety</w:t>
            </w:r>
          </w:p>
        </w:tc>
        <w:tc>
          <w:tcPr>
            <w:tcW w:w="2976" w:type="dxa"/>
            <w:tcBorders>
              <w:top w:val="nil"/>
              <w:bottom w:val="nil"/>
            </w:tcBorders>
            <w:shd w:val="clear" w:color="auto" w:fill="C9DED4"/>
          </w:tcPr>
          <w:p w14:paraId="57B845B8" w14:textId="79F6E30E" w:rsidR="00EC7D7C" w:rsidRPr="0087453B" w:rsidRDefault="00F6385F" w:rsidP="00B04491">
            <w:pPr>
              <w:keepNext/>
              <w:keepLines/>
              <w:ind w:right="1167"/>
              <w:jc w:val="right"/>
              <w:rPr>
                <w:color w:val="000000"/>
                <w:szCs w:val="18"/>
              </w:rPr>
            </w:pPr>
            <w:r>
              <w:t>62</w:t>
            </w:r>
          </w:p>
        </w:tc>
      </w:tr>
      <w:tr w:rsidR="00EC7D7C" w:rsidRPr="00307F21" w14:paraId="20B1EF60" w14:textId="77777777" w:rsidTr="00741557">
        <w:tc>
          <w:tcPr>
            <w:tcW w:w="6204" w:type="dxa"/>
            <w:tcBorders>
              <w:top w:val="nil"/>
              <w:bottom w:val="nil"/>
            </w:tcBorders>
            <w:shd w:val="clear" w:color="auto" w:fill="auto"/>
          </w:tcPr>
          <w:p w14:paraId="618E30F0" w14:textId="0080E318" w:rsidR="00EC7D7C" w:rsidRPr="0087453B" w:rsidRDefault="009451E3" w:rsidP="00122D61">
            <w:pPr>
              <w:rPr>
                <w:color w:val="000000"/>
                <w:szCs w:val="18"/>
              </w:rPr>
            </w:pPr>
            <w:r w:rsidRPr="00567623">
              <w:t>Zoonoses</w:t>
            </w:r>
          </w:p>
        </w:tc>
        <w:tc>
          <w:tcPr>
            <w:tcW w:w="2976" w:type="dxa"/>
            <w:tcBorders>
              <w:top w:val="nil"/>
              <w:bottom w:val="nil"/>
            </w:tcBorders>
            <w:shd w:val="clear" w:color="auto" w:fill="auto"/>
          </w:tcPr>
          <w:p w14:paraId="26F85A6E" w14:textId="44F87714" w:rsidR="00EC7D7C" w:rsidRPr="0087453B" w:rsidRDefault="00F6385F" w:rsidP="00B04491">
            <w:pPr>
              <w:keepNext/>
              <w:keepLines/>
              <w:ind w:right="1167"/>
              <w:jc w:val="right"/>
              <w:rPr>
                <w:color w:val="000000"/>
                <w:szCs w:val="18"/>
              </w:rPr>
            </w:pPr>
            <w:r>
              <w:t>53</w:t>
            </w:r>
          </w:p>
        </w:tc>
      </w:tr>
      <w:tr w:rsidR="00EC7D7C" w:rsidRPr="00307F21" w14:paraId="66886880" w14:textId="77777777" w:rsidTr="00741557">
        <w:tc>
          <w:tcPr>
            <w:tcW w:w="6204" w:type="dxa"/>
            <w:shd w:val="clear" w:color="auto" w:fill="C9DED4"/>
          </w:tcPr>
          <w:p w14:paraId="6538FF4E" w14:textId="3D6A537E" w:rsidR="00EC7D7C" w:rsidRPr="0087453B" w:rsidRDefault="009451E3" w:rsidP="00122D61">
            <w:pPr>
              <w:rPr>
                <w:color w:val="000000"/>
                <w:szCs w:val="18"/>
              </w:rPr>
            </w:pPr>
            <w:r>
              <w:t xml:space="preserve">Pest or </w:t>
            </w:r>
            <w:r w:rsidR="006D034F">
              <w:t>D</w:t>
            </w:r>
            <w:r>
              <w:t xml:space="preserve">isease </w:t>
            </w:r>
            <w:proofErr w:type="gramStart"/>
            <w:r>
              <w:t>free</w:t>
            </w:r>
            <w:proofErr w:type="gramEnd"/>
            <w:r>
              <w:t xml:space="preserve"> Regions / Regionalization</w:t>
            </w:r>
          </w:p>
        </w:tc>
        <w:tc>
          <w:tcPr>
            <w:tcW w:w="2976" w:type="dxa"/>
            <w:shd w:val="clear" w:color="auto" w:fill="C9DED4"/>
          </w:tcPr>
          <w:p w14:paraId="56A72D79" w14:textId="6188CFFD" w:rsidR="00EC7D7C" w:rsidRPr="0087453B" w:rsidRDefault="00F6385F" w:rsidP="00B04491">
            <w:pPr>
              <w:keepNext/>
              <w:keepLines/>
              <w:ind w:right="1167"/>
              <w:jc w:val="right"/>
              <w:rPr>
                <w:color w:val="000000"/>
                <w:szCs w:val="18"/>
              </w:rPr>
            </w:pPr>
            <w:r>
              <w:rPr>
                <w:color w:val="000000"/>
                <w:szCs w:val="18"/>
              </w:rPr>
              <w:t>53</w:t>
            </w:r>
          </w:p>
        </w:tc>
      </w:tr>
      <w:tr w:rsidR="00EC7D7C" w:rsidRPr="00307F21" w14:paraId="30A0A8EA" w14:textId="77777777" w:rsidTr="00741557">
        <w:tc>
          <w:tcPr>
            <w:tcW w:w="6204" w:type="dxa"/>
            <w:shd w:val="clear" w:color="auto" w:fill="auto"/>
          </w:tcPr>
          <w:p w14:paraId="1A1DE5C5" w14:textId="6A5C12A2" w:rsidR="00EC7D7C" w:rsidRPr="0087453B" w:rsidRDefault="009451E3" w:rsidP="00122D61">
            <w:pPr>
              <w:rPr>
                <w:color w:val="000000"/>
                <w:szCs w:val="18"/>
              </w:rPr>
            </w:pPr>
            <w:r>
              <w:rPr>
                <w:color w:val="000000"/>
                <w:szCs w:val="18"/>
              </w:rPr>
              <w:t>Avian Influenza</w:t>
            </w:r>
          </w:p>
        </w:tc>
        <w:tc>
          <w:tcPr>
            <w:tcW w:w="2976" w:type="dxa"/>
            <w:shd w:val="clear" w:color="auto" w:fill="auto"/>
          </w:tcPr>
          <w:p w14:paraId="0804864B" w14:textId="598C67BD" w:rsidR="00EC7D7C" w:rsidRPr="0087453B" w:rsidRDefault="00F6385F" w:rsidP="00B04491">
            <w:pPr>
              <w:keepNext/>
              <w:keepLines/>
              <w:ind w:right="1167"/>
              <w:jc w:val="right"/>
              <w:rPr>
                <w:color w:val="000000"/>
                <w:szCs w:val="18"/>
              </w:rPr>
            </w:pPr>
            <w:r>
              <w:t>43</w:t>
            </w:r>
          </w:p>
        </w:tc>
      </w:tr>
      <w:tr w:rsidR="00EC7D7C" w:rsidRPr="00307F21" w14:paraId="045678CB" w14:textId="77777777" w:rsidTr="00741557">
        <w:tc>
          <w:tcPr>
            <w:tcW w:w="6204" w:type="dxa"/>
            <w:shd w:val="clear" w:color="auto" w:fill="C9DED4"/>
          </w:tcPr>
          <w:p w14:paraId="1E7CDF4B" w14:textId="77777777" w:rsidR="00EC7D7C" w:rsidRPr="0087453B" w:rsidRDefault="00EC7D7C" w:rsidP="00122D61">
            <w:pPr>
              <w:rPr>
                <w:color w:val="000000"/>
                <w:szCs w:val="18"/>
              </w:rPr>
            </w:pPr>
            <w:r w:rsidRPr="00567623">
              <w:t>Plant health</w:t>
            </w:r>
          </w:p>
        </w:tc>
        <w:tc>
          <w:tcPr>
            <w:tcW w:w="2976" w:type="dxa"/>
            <w:shd w:val="clear" w:color="auto" w:fill="C9DED4"/>
          </w:tcPr>
          <w:p w14:paraId="378F0242" w14:textId="7085C109" w:rsidR="00EC7D7C" w:rsidRPr="0087453B" w:rsidRDefault="00F6385F" w:rsidP="00B04491">
            <w:pPr>
              <w:keepNext/>
              <w:keepLines/>
              <w:ind w:right="1167"/>
              <w:jc w:val="right"/>
              <w:rPr>
                <w:color w:val="000000"/>
                <w:szCs w:val="18"/>
              </w:rPr>
            </w:pPr>
            <w:r>
              <w:t>16</w:t>
            </w:r>
          </w:p>
        </w:tc>
      </w:tr>
      <w:tr w:rsidR="00EC7D7C" w:rsidRPr="00307F21" w14:paraId="319BED52" w14:textId="77777777" w:rsidTr="00741557">
        <w:tc>
          <w:tcPr>
            <w:tcW w:w="6204" w:type="dxa"/>
            <w:tcBorders>
              <w:bottom w:val="nil"/>
            </w:tcBorders>
            <w:shd w:val="clear" w:color="auto" w:fill="auto"/>
          </w:tcPr>
          <w:p w14:paraId="0464BCEC" w14:textId="77777777" w:rsidR="00EC7D7C" w:rsidRPr="0087453B" w:rsidRDefault="00EC7D7C" w:rsidP="00122D61">
            <w:pPr>
              <w:rPr>
                <w:color w:val="000000"/>
                <w:szCs w:val="18"/>
              </w:rPr>
            </w:pPr>
            <w:r w:rsidRPr="00567623">
              <w:t>Pests</w:t>
            </w:r>
          </w:p>
        </w:tc>
        <w:tc>
          <w:tcPr>
            <w:tcW w:w="2976" w:type="dxa"/>
            <w:tcBorders>
              <w:bottom w:val="nil"/>
            </w:tcBorders>
            <w:shd w:val="clear" w:color="auto" w:fill="auto"/>
          </w:tcPr>
          <w:p w14:paraId="27B04D8D" w14:textId="1506525D" w:rsidR="00EC7D7C" w:rsidRPr="0087453B" w:rsidRDefault="00F6385F" w:rsidP="00B04491">
            <w:pPr>
              <w:keepNext/>
              <w:keepLines/>
              <w:ind w:right="1167"/>
              <w:jc w:val="right"/>
              <w:rPr>
                <w:color w:val="000000"/>
                <w:szCs w:val="18"/>
              </w:rPr>
            </w:pPr>
            <w:r>
              <w:t>15</w:t>
            </w:r>
          </w:p>
        </w:tc>
      </w:tr>
      <w:tr w:rsidR="00EC7D7C" w14:paraId="65414DA9" w14:textId="77777777" w:rsidTr="00741557">
        <w:tc>
          <w:tcPr>
            <w:tcW w:w="6204" w:type="dxa"/>
            <w:tcBorders>
              <w:top w:val="nil"/>
              <w:bottom w:val="single" w:sz="4" w:space="0" w:color="auto"/>
            </w:tcBorders>
            <w:shd w:val="clear" w:color="auto" w:fill="C9DED4"/>
          </w:tcPr>
          <w:p w14:paraId="45EC2720" w14:textId="6B6F31B4" w:rsidR="00EC7D7C" w:rsidRPr="0087453B" w:rsidRDefault="009451E3" w:rsidP="00122D61">
            <w:pPr>
              <w:rPr>
                <w:color w:val="000000"/>
                <w:szCs w:val="18"/>
              </w:rPr>
            </w:pPr>
            <w:r>
              <w:t>Territory protection</w:t>
            </w:r>
          </w:p>
        </w:tc>
        <w:tc>
          <w:tcPr>
            <w:tcW w:w="2976" w:type="dxa"/>
            <w:tcBorders>
              <w:top w:val="nil"/>
              <w:bottom w:val="single" w:sz="4" w:space="0" w:color="auto"/>
            </w:tcBorders>
            <w:shd w:val="clear" w:color="auto" w:fill="C9DED4"/>
          </w:tcPr>
          <w:p w14:paraId="0FA5C348" w14:textId="4E1EC9B5" w:rsidR="00EC7D7C" w:rsidRPr="0087453B" w:rsidRDefault="00F6385F" w:rsidP="00B04491">
            <w:pPr>
              <w:keepNext/>
              <w:keepLines/>
              <w:ind w:right="1167"/>
              <w:jc w:val="right"/>
              <w:rPr>
                <w:color w:val="000000"/>
                <w:szCs w:val="18"/>
              </w:rPr>
            </w:pPr>
            <w:r>
              <w:t>12</w:t>
            </w:r>
          </w:p>
        </w:tc>
      </w:tr>
    </w:tbl>
    <w:p w14:paraId="154D488E" w14:textId="77777777" w:rsidR="00093AA6" w:rsidRPr="00691941" w:rsidRDefault="00093AA6" w:rsidP="000C2EA9">
      <w:pPr>
        <w:pStyle w:val="BodyText"/>
        <w:numPr>
          <w:ilvl w:val="0"/>
          <w:numId w:val="0"/>
        </w:numPr>
        <w:spacing w:after="120"/>
      </w:pPr>
    </w:p>
    <w:p w14:paraId="50E5223D" w14:textId="77777777" w:rsidR="002819B4" w:rsidRDefault="002819B4" w:rsidP="00415222">
      <w:pPr>
        <w:pStyle w:val="Heading1"/>
      </w:pPr>
      <w:bookmarkStart w:id="44" w:name="_Toc400006348"/>
      <w:bookmarkStart w:id="45" w:name="_Toc400015175"/>
      <w:bookmarkStart w:id="46" w:name="_Toc527021058"/>
      <w:r>
        <w:lastRenderedPageBreak/>
        <w:t>EFFORTS TO ENHANCE THE BENEFITS FROM A TRANSPARENT SYSTEM</w:t>
      </w:r>
      <w:bookmarkEnd w:id="44"/>
      <w:bookmarkEnd w:id="45"/>
      <w:bookmarkEnd w:id="46"/>
    </w:p>
    <w:p w14:paraId="015F4FE9" w14:textId="77777777" w:rsidR="002819B4" w:rsidRDefault="002819B4" w:rsidP="002819B4">
      <w:pPr>
        <w:pStyle w:val="BodyText"/>
      </w:pPr>
      <w:proofErr w:type="gramStart"/>
      <w:r>
        <w:t>In light of</w:t>
      </w:r>
      <w:proofErr w:type="gramEnd"/>
      <w:r>
        <w:t xml:space="preserve"> the steadily increasing volume of documents, managing the flow of notifications, </w:t>
      </w:r>
      <w:r w:rsidR="00F10A06">
        <w:t xml:space="preserve">and </w:t>
      </w:r>
      <w:r>
        <w:t xml:space="preserve">coordinating at the national level, benefiting from a transparent system </w:t>
      </w:r>
      <w:r w:rsidR="00641CB5">
        <w:t>is</w:t>
      </w:r>
      <w:r>
        <w:t xml:space="preserve"> a challenge for many Members. </w:t>
      </w:r>
      <w:r w:rsidR="00632B21">
        <w:t>T</w:t>
      </w:r>
      <w:r>
        <w:t xml:space="preserve">his is one of the areas where Members </w:t>
      </w:r>
      <w:r w:rsidR="00632B21">
        <w:t>have sought</w:t>
      </w:r>
      <w:r>
        <w:t xml:space="preserve"> technical assistance and guidance on best practices.</w:t>
      </w:r>
      <w:r w:rsidR="0046017F">
        <w:rPr>
          <w:rStyle w:val="FootnoteReference"/>
        </w:rPr>
        <w:footnoteReference w:id="21"/>
      </w:r>
      <w:r w:rsidR="00C62D7A">
        <w:t xml:space="preserve"> Below are some examples of information resources, tools and guidance related to implementing the transparency provisions of the SPS Agreement.</w:t>
      </w:r>
    </w:p>
    <w:p w14:paraId="408957A4" w14:textId="62E23143" w:rsidR="00632B21" w:rsidRDefault="002819B4" w:rsidP="00C62D7A">
      <w:pPr>
        <w:pStyle w:val="BodyText"/>
      </w:pPr>
      <w:r>
        <w:t xml:space="preserve">The SPS IMS </w:t>
      </w:r>
      <w:r w:rsidR="002B475D" w:rsidRPr="002B475D">
        <w:t>is a specialized and detailed information</w:t>
      </w:r>
      <w:r w:rsidR="002B475D">
        <w:t xml:space="preserve"> source on SPS notifications, specific trade c</w:t>
      </w:r>
      <w:r w:rsidR="002B475D" w:rsidRPr="002B475D">
        <w:t xml:space="preserve">oncerns, </w:t>
      </w:r>
      <w:r w:rsidR="00C62D7A" w:rsidRPr="00C62D7A">
        <w:t>National Notification Authorities</w:t>
      </w:r>
      <w:r w:rsidR="002B475D" w:rsidRPr="002B475D">
        <w:t xml:space="preserve"> &amp; </w:t>
      </w:r>
      <w:r w:rsidR="00C62D7A">
        <w:t>Enquiry Point</w:t>
      </w:r>
      <w:r w:rsidR="002B475D" w:rsidRPr="002B475D">
        <w:t xml:space="preserve"> con</w:t>
      </w:r>
      <w:r w:rsidR="00891EE0">
        <w:t>tact information, and other SPS </w:t>
      </w:r>
      <w:r w:rsidR="002B475D" w:rsidRPr="002B475D">
        <w:t>documents. It allows for advanced searches</w:t>
      </w:r>
      <w:r w:rsidR="00C62D7A">
        <w:t xml:space="preserve"> according to specific criteria</w:t>
      </w:r>
      <w:r w:rsidR="002B475D" w:rsidRPr="002B475D">
        <w:t xml:space="preserve"> </w:t>
      </w:r>
      <w:proofErr w:type="gramStart"/>
      <w:r w:rsidR="002B475D" w:rsidRPr="002B475D">
        <w:t>and also</w:t>
      </w:r>
      <w:proofErr w:type="gramEnd"/>
      <w:r w:rsidR="002B475D" w:rsidRPr="002B475D">
        <w:t xml:space="preserve"> facilitates </w:t>
      </w:r>
      <w:r w:rsidR="00F10A06">
        <w:t xml:space="preserve">the </w:t>
      </w:r>
      <w:r w:rsidR="002B475D" w:rsidRPr="002B475D">
        <w:t>creation of custom reports and graphs</w:t>
      </w:r>
      <w:r w:rsidR="002B475D">
        <w:t xml:space="preserve">, </w:t>
      </w:r>
      <w:r>
        <w:t>which can be shared with interested stakeholders</w:t>
      </w:r>
      <w:r w:rsidR="00A6749C">
        <w:t>.</w:t>
      </w:r>
    </w:p>
    <w:p w14:paraId="6FF3F8AE" w14:textId="3B7BAF23" w:rsidR="00632B21" w:rsidRPr="009F7172" w:rsidRDefault="002B475D" w:rsidP="002B475D">
      <w:pPr>
        <w:pStyle w:val="BodyText"/>
      </w:pPr>
      <w:r>
        <w:t>T</w:t>
      </w:r>
      <w:r w:rsidR="00632B21">
        <w:t xml:space="preserve">he SPS NSS </w:t>
      </w:r>
      <w:r w:rsidRPr="002B475D">
        <w:t xml:space="preserve">is an online platform where WTO Members can directly complete and submit notifications. Submission through the SPS NSS allows for notifications to be processed more accurately and efficiently by the WTO Secretariat, making notifications </w:t>
      </w:r>
      <w:r w:rsidRPr="009F7172">
        <w:t xml:space="preserve">accessible to the membership much more quickly. </w:t>
      </w:r>
      <w:r w:rsidR="00632B21" w:rsidRPr="009F7172">
        <w:t>Interested Members may request login names and access passwords for their National Notification Authorities from the Secretariat.</w:t>
      </w:r>
      <w:r w:rsidR="007B27ED" w:rsidRPr="009F7172">
        <w:rPr>
          <w:rStyle w:val="FootnoteReference"/>
        </w:rPr>
        <w:footnoteReference w:id="22"/>
      </w:r>
      <w:r w:rsidR="00632B21" w:rsidRPr="009F7172">
        <w:t xml:space="preserve"> To date, </w:t>
      </w:r>
      <w:r w:rsidR="009F7172" w:rsidRPr="009F7172">
        <w:t>80</w:t>
      </w:r>
      <w:r w:rsidR="00A47D35" w:rsidRPr="009F7172">
        <w:t xml:space="preserve"> </w:t>
      </w:r>
      <w:r w:rsidR="00632B21" w:rsidRPr="009F7172">
        <w:t xml:space="preserve">Members have requested access to the system, and </w:t>
      </w:r>
      <w:r w:rsidR="00A47D35" w:rsidRPr="009F7172">
        <w:t xml:space="preserve">42 </w:t>
      </w:r>
      <w:r w:rsidR="00632B21" w:rsidRPr="009F7172">
        <w:t>of these have officially submitted notifications via the SPS NSS</w:t>
      </w:r>
      <w:r w:rsidR="00AD118E" w:rsidRPr="009F7172">
        <w:t>.</w:t>
      </w:r>
    </w:p>
    <w:p w14:paraId="7D982929" w14:textId="686203E0" w:rsidR="002819B4" w:rsidRPr="006547B6" w:rsidRDefault="002819B4" w:rsidP="001508F7">
      <w:pPr>
        <w:pStyle w:val="BodyText"/>
      </w:pPr>
      <w:r>
        <w:t xml:space="preserve">The WTO Secretariat </w:t>
      </w:r>
      <w:r w:rsidR="00632B21">
        <w:t xml:space="preserve">provides training on </w:t>
      </w:r>
      <w:r>
        <w:t xml:space="preserve">the SPS IMS </w:t>
      </w:r>
      <w:r w:rsidR="00632B21">
        <w:t>and NSS as part of</w:t>
      </w:r>
      <w:r>
        <w:t xml:space="preserve"> its technical assistance programmes</w:t>
      </w:r>
      <w:r w:rsidR="00632B21">
        <w:t>.</w:t>
      </w:r>
      <w:r>
        <w:t xml:space="preserve"> </w:t>
      </w:r>
      <w:r w:rsidR="001E0904">
        <w:t xml:space="preserve">According to the </w:t>
      </w:r>
      <w:r w:rsidR="00CF70CE">
        <w:t>2015</w:t>
      </w:r>
      <w:r w:rsidR="001E0904">
        <w:t xml:space="preserve"> questionnaire on transparency, </w:t>
      </w:r>
      <w:proofErr w:type="gramStart"/>
      <w:r w:rsidR="001E0904">
        <w:t>a majority of</w:t>
      </w:r>
      <w:proofErr w:type="gramEnd"/>
      <w:r w:rsidR="001E0904">
        <w:t xml:space="preserve"> Members express</w:t>
      </w:r>
      <w:r w:rsidR="003D3DEA">
        <w:t>ed</w:t>
      </w:r>
      <w:r w:rsidR="001E0904">
        <w:t xml:space="preserve"> a need for technical assistance in order to enhance their transparency mechanisms, and Members that received </w:t>
      </w:r>
      <w:r w:rsidR="00CF70CE">
        <w:t xml:space="preserve">such </w:t>
      </w:r>
      <w:r w:rsidR="001E0904">
        <w:t>technical assistance reported it</w:t>
      </w:r>
      <w:r w:rsidR="003D3DEA">
        <w:t xml:space="preserve"> to be</w:t>
      </w:r>
      <w:r w:rsidR="001E0904">
        <w:t xml:space="preserve"> very useful.</w:t>
      </w:r>
      <w:r w:rsidR="001E0904">
        <w:rPr>
          <w:rStyle w:val="FootnoteReference"/>
        </w:rPr>
        <w:footnoteReference w:id="23"/>
      </w:r>
      <w:r w:rsidR="001E0904">
        <w:t xml:space="preserve"> </w:t>
      </w:r>
      <w:r w:rsidR="006835D0">
        <w:t>T</w:t>
      </w:r>
      <w:r w:rsidRPr="00E605F7">
        <w:t>ransparency workshop</w:t>
      </w:r>
      <w:r w:rsidR="006835D0">
        <w:t>s</w:t>
      </w:r>
      <w:r w:rsidR="00AA32CC">
        <w:t>, usually organized every other year,</w:t>
      </w:r>
      <w:r w:rsidRPr="00E605F7">
        <w:t xml:space="preserve"> </w:t>
      </w:r>
      <w:r w:rsidR="00632B21" w:rsidRPr="00C9540C">
        <w:t>provide</w:t>
      </w:r>
      <w:r w:rsidRPr="0087453B">
        <w:t xml:space="preserve"> highly interactive, "hands-on" training on the</w:t>
      </w:r>
      <w:r w:rsidR="00184CD2" w:rsidRPr="0087453B">
        <w:t xml:space="preserve"> use of the SPS IMS and SPS NSS</w:t>
      </w:r>
      <w:r w:rsidR="00D63A38">
        <w:t xml:space="preserve">. </w:t>
      </w:r>
      <w:r w:rsidR="00AA2216">
        <w:t xml:space="preserve">The last one </w:t>
      </w:r>
      <w:r w:rsidR="00D63A38">
        <w:t xml:space="preserve">was held in Geneva </w:t>
      </w:r>
      <w:r w:rsidR="00031DC4">
        <w:t>on 30 and 31 </w:t>
      </w:r>
      <w:r w:rsidR="00C870D6" w:rsidRPr="00C870D6">
        <w:t>October 2017</w:t>
      </w:r>
      <w:r w:rsidR="00994446">
        <w:t>.</w:t>
      </w:r>
      <w:r w:rsidR="00D63A38">
        <w:rPr>
          <w:rStyle w:val="FootnoteReference"/>
        </w:rPr>
        <w:footnoteReference w:id="24"/>
      </w:r>
      <w:r w:rsidR="00C870D6" w:rsidRPr="00C870D6">
        <w:t xml:space="preserve"> </w:t>
      </w:r>
      <w:r w:rsidR="00CE12E0" w:rsidRPr="003F77F4">
        <w:t>The next one</w:t>
      </w:r>
      <w:r w:rsidR="005A2FCD" w:rsidRPr="003F77F4">
        <w:t>, on transparency and coordination,</w:t>
      </w:r>
      <w:r w:rsidR="00CE12E0" w:rsidRPr="003F77F4">
        <w:t xml:space="preserve"> is expected to take place in </w:t>
      </w:r>
      <w:r w:rsidR="005A2FCD" w:rsidRPr="003F77F4">
        <w:t xml:space="preserve">July </w:t>
      </w:r>
      <w:r w:rsidR="00CE12E0" w:rsidRPr="003F77F4">
        <w:t>2019.</w:t>
      </w:r>
    </w:p>
    <w:p w14:paraId="51701722" w14:textId="6DC36DAF" w:rsidR="002819B4" w:rsidRDefault="002819B4" w:rsidP="00E44268">
      <w:pPr>
        <w:pStyle w:val="BodyText"/>
      </w:pPr>
      <w:r>
        <w:t xml:space="preserve">In addition, </w:t>
      </w:r>
      <w:r w:rsidR="00390636">
        <w:t xml:space="preserve">a practical manual on the operation of Enquiry Points and Notification Authorities includes guidance </w:t>
      </w:r>
      <w:r w:rsidR="00261D33">
        <w:t xml:space="preserve">for governments </w:t>
      </w:r>
      <w:r w:rsidR="00CE15D5">
        <w:t>to facilitate the implementation of the</w:t>
      </w:r>
      <w:r w:rsidR="00390636">
        <w:t xml:space="preserve"> </w:t>
      </w:r>
      <w:r w:rsidR="00CE15D5">
        <w:t>transparency provisions of the SPS Agreement. While it may be especially useful for developing and least-developed countries (LDCs), it may also be</w:t>
      </w:r>
      <w:r w:rsidR="00390636">
        <w:t xml:space="preserve"> </w:t>
      </w:r>
      <w:r w:rsidR="00CE15D5">
        <w:t xml:space="preserve">a helpful reference for </w:t>
      </w:r>
      <w:r w:rsidR="00390636">
        <w:t>countries</w:t>
      </w:r>
      <w:r w:rsidR="00CE15D5">
        <w:t xml:space="preserve"> that are acceding to the WTO and establishing NNAs and NEPs, as</w:t>
      </w:r>
      <w:r w:rsidR="00390636">
        <w:t xml:space="preserve"> </w:t>
      </w:r>
      <w:r w:rsidR="00CE15D5">
        <w:t>well as WTO Members in general.</w:t>
      </w:r>
      <w:r w:rsidR="00390636">
        <w:t xml:space="preserve"> This manual has been revised to include the new SPS IMS and </w:t>
      </w:r>
      <w:proofErr w:type="spellStart"/>
      <w:r w:rsidR="00390636">
        <w:t>NSS</w:t>
      </w:r>
      <w:proofErr w:type="spellEnd"/>
      <w:r w:rsidR="00390636">
        <w:t xml:space="preserve"> platforms, the </w:t>
      </w:r>
      <w:proofErr w:type="spellStart"/>
      <w:r w:rsidR="00390636">
        <w:t>ePing</w:t>
      </w:r>
      <w:proofErr w:type="spellEnd"/>
      <w:r w:rsidR="00390636">
        <w:t xml:space="preserve"> alert system, and to streamline the content. </w:t>
      </w:r>
      <w:r>
        <w:t>Th</w:t>
      </w:r>
      <w:r w:rsidR="00632B21">
        <w:t>e</w:t>
      </w:r>
      <w:r>
        <w:t xml:space="preserve"> </w:t>
      </w:r>
      <w:r w:rsidR="00390636">
        <w:t xml:space="preserve">updated version of the </w:t>
      </w:r>
      <w:r>
        <w:t xml:space="preserve">manual </w:t>
      </w:r>
      <w:r w:rsidR="00390636">
        <w:t>was made</w:t>
      </w:r>
      <w:r>
        <w:t xml:space="preserve"> available in English</w:t>
      </w:r>
      <w:r w:rsidR="00390636">
        <w:t xml:space="preserve"> </w:t>
      </w:r>
      <w:r w:rsidR="00261D33">
        <w:t>on</w:t>
      </w:r>
      <w:r w:rsidR="00390636">
        <w:t xml:space="preserve"> </w:t>
      </w:r>
      <w:r w:rsidR="00261D33">
        <w:t xml:space="preserve">the SPS gateway of the WTO website on </w:t>
      </w:r>
      <w:r w:rsidR="00D94241">
        <w:t>1</w:t>
      </w:r>
      <w:r w:rsidR="0059068A">
        <w:t>1</w:t>
      </w:r>
      <w:r w:rsidR="00F5424C">
        <w:t> </w:t>
      </w:r>
      <w:r w:rsidR="00261D33" w:rsidRPr="003F77F4">
        <w:t>October 2018</w:t>
      </w:r>
      <w:r w:rsidR="00261D33">
        <w:t>.</w:t>
      </w:r>
      <w:r w:rsidR="00261D33">
        <w:rPr>
          <w:rStyle w:val="FootnoteReference"/>
        </w:rPr>
        <w:footnoteReference w:id="25"/>
      </w:r>
      <w:r>
        <w:t xml:space="preserve"> </w:t>
      </w:r>
      <w:r w:rsidR="00261D33">
        <w:t xml:space="preserve">The </w:t>
      </w:r>
      <w:r>
        <w:t>French and Spanish</w:t>
      </w:r>
      <w:r w:rsidR="00261D33">
        <w:t xml:space="preserve"> versions will follow as soon as available</w:t>
      </w:r>
      <w:r>
        <w:t xml:space="preserve">. Hard copies </w:t>
      </w:r>
      <w:r w:rsidR="00261D33">
        <w:t xml:space="preserve">can be requested </w:t>
      </w:r>
      <w:r>
        <w:t>from the WTO Secretariat</w:t>
      </w:r>
      <w:r w:rsidR="00261D33">
        <w:t>.</w:t>
      </w:r>
    </w:p>
    <w:p w14:paraId="54345C53" w14:textId="2D04CF7E" w:rsidR="008C6F99" w:rsidRDefault="008C6F99" w:rsidP="004B5B9F">
      <w:pPr>
        <w:pStyle w:val="BodyText"/>
      </w:pPr>
      <w:proofErr w:type="spellStart"/>
      <w:r>
        <w:t>ePing</w:t>
      </w:r>
      <w:proofErr w:type="spellEnd"/>
      <w:r>
        <w:rPr>
          <w:rStyle w:val="FootnoteReference"/>
        </w:rPr>
        <w:footnoteReference w:id="26"/>
      </w:r>
      <w:r>
        <w:t xml:space="preserve"> is a publicly available notification alert system. </w:t>
      </w:r>
      <w:r w:rsidR="006547B6">
        <w:t xml:space="preserve">It covers both SPS notifications as well as notifications submitted under the Agreement on Technical Barriers to Trade (TBT). </w:t>
      </w:r>
      <w:r>
        <w:t xml:space="preserve">Subscribers </w:t>
      </w:r>
      <w:proofErr w:type="gramStart"/>
      <w:r>
        <w:t>are able to</w:t>
      </w:r>
      <w:proofErr w:type="gramEnd"/>
      <w:r>
        <w:t xml:space="preserve"> receive email alerts regarding SPS &amp; TBT notifications covering particular products and/or markets of interest to them. In addition, users can search and share notifications, upload additional information and related documents, as well as participate in discussion forums. </w:t>
      </w:r>
      <w:proofErr w:type="spellStart"/>
      <w:r w:rsidR="004B5B9F" w:rsidRPr="004B5B9F">
        <w:t>ePing</w:t>
      </w:r>
      <w:proofErr w:type="spellEnd"/>
      <w:r w:rsidR="004B5B9F" w:rsidRPr="004B5B9F">
        <w:t xml:space="preserve"> also offers an Enquiry Point Management Tool to facilitate domestic as well as international information sharing and discussion.</w:t>
      </w:r>
      <w:r w:rsidR="004B5B9F">
        <w:t xml:space="preserve"> </w:t>
      </w:r>
      <w:r>
        <w:t xml:space="preserve">The system is expected to help public and private stakeholders, </w:t>
      </w:r>
      <w:proofErr w:type="gramStart"/>
      <w:r>
        <w:t>in particular small</w:t>
      </w:r>
      <w:proofErr w:type="gramEnd"/>
      <w:r>
        <w:t xml:space="preserve"> and medium enterprises, to track, consult and comment on measures that are being developed and adapt as necessary to changing regulatory conditions.</w:t>
      </w:r>
    </w:p>
    <w:p w14:paraId="14ECFC2B" w14:textId="77777777" w:rsidR="006547B6" w:rsidRDefault="00E04278" w:rsidP="00E04278">
      <w:pPr>
        <w:pStyle w:val="BodyText"/>
      </w:pPr>
      <w:r w:rsidRPr="00E04278">
        <w:t xml:space="preserve">The Standards and Trade Development Facility (STDF) has funded various projects to increase transparency by enhancing inter-agency coordination at the national and/or regional level, as well </w:t>
      </w:r>
      <w:r w:rsidRPr="00E04278">
        <w:lastRenderedPageBreak/>
        <w:t>as strengthening linkages between government agencies and the private sector. The STDF has devel</w:t>
      </w:r>
      <w:r>
        <w:t>oped a framework called P-IMA</w:t>
      </w:r>
      <w:r>
        <w:rPr>
          <w:rStyle w:val="FootnoteReference"/>
        </w:rPr>
        <w:footnoteReference w:id="27"/>
      </w:r>
      <w:r w:rsidRPr="00E04278">
        <w:t xml:space="preserve"> that helps countries prioritize and make choices between competing SPS capacity building needs. It seeks to move towards greater efficiency in the use of scarce resources and to enhance the transparency and accountability of resource allocation decisions. This framework uses a multi-criteria decision analysis (MCDA) approach as well as computer software to help derive priorities. Experiences from developing countries where the framework has been applied show that the process has also been helpful in promoting and creating linkages between the public and private sector. P-IMA will soon be applied in </w:t>
      </w:r>
      <w:proofErr w:type="gramStart"/>
      <w:r w:rsidRPr="00E04278">
        <w:t>a number of</w:t>
      </w:r>
      <w:proofErr w:type="gramEnd"/>
      <w:r w:rsidRPr="00E04278">
        <w:t xml:space="preserve"> countries in Africa, under an STDF-funded project in partnership with the Common Market for Eastern and Southern African States (COMESA).</w:t>
      </w:r>
      <w:r w:rsidR="007B5AA9">
        <w:rPr>
          <w:rStyle w:val="FootnoteReference"/>
        </w:rPr>
        <w:footnoteReference w:id="28"/>
      </w:r>
      <w:r w:rsidRPr="00E04278">
        <w:t xml:space="preserve"> It is also applied through project preparation grants in Madagascar</w:t>
      </w:r>
      <w:r w:rsidR="005F1CBB">
        <w:rPr>
          <w:rStyle w:val="FootnoteReference"/>
        </w:rPr>
        <w:footnoteReference w:id="29"/>
      </w:r>
      <w:r w:rsidRPr="00E04278">
        <w:t xml:space="preserve"> and Tajikistan.</w:t>
      </w:r>
      <w:r w:rsidR="005F1CBB">
        <w:rPr>
          <w:rStyle w:val="FootnoteReference"/>
        </w:rPr>
        <w:footnoteReference w:id="30"/>
      </w:r>
      <w:r w:rsidRPr="00E04278">
        <w:t xml:space="preserve"> </w:t>
      </w:r>
    </w:p>
    <w:p w14:paraId="77C6C859" w14:textId="43589596" w:rsidR="002819B4" w:rsidRDefault="00E04278" w:rsidP="00E04278">
      <w:pPr>
        <w:pStyle w:val="BodyText"/>
      </w:pPr>
      <w:r w:rsidRPr="00E04278">
        <w:t>In 2012, the STDF completed a study to examine national SPS coordination mechanisms in Africa to identify factors that contribute to successful coordination and provide guidance on the establishment and operation of SPS coordination mechanisms.</w:t>
      </w:r>
      <w:r w:rsidR="0035059B">
        <w:rPr>
          <w:rStyle w:val="FootnoteReference"/>
        </w:rPr>
        <w:footnoteReference w:id="31"/>
      </w:r>
      <w:r w:rsidRPr="00E04278">
        <w:t xml:space="preserve"> The study indicates that strengthening coordination among relevant government institutions at the national and sub-national level, and with the private sector, reduces information gaps, promotes synergies in the implementation of SPS measures and enhances the effectivene</w:t>
      </w:r>
      <w:r w:rsidR="00F5424C">
        <w:t>ss of available resources. More </w:t>
      </w:r>
      <w:r w:rsidRPr="00E04278">
        <w:t>recently, attention is also being given to participation of SPS authorities in National Trade Facilitation Committees, under the WTO Trade Facilitation Agreement (TFA). WTO Members are invited to contact the STDF Secretariat (</w:t>
      </w:r>
      <w:hyperlink r:id="rId14" w:history="1">
        <w:r w:rsidR="00DF282D" w:rsidRPr="00695D40">
          <w:rPr>
            <w:rStyle w:val="Hyperlink"/>
          </w:rPr>
          <w:t>stdfsecretariat@wto.org</w:t>
        </w:r>
      </w:hyperlink>
      <w:r w:rsidRPr="00E04278">
        <w:t>) to obtain further information on any of the above-mentioned points.</w:t>
      </w:r>
    </w:p>
    <w:p w14:paraId="2000E343" w14:textId="77777777" w:rsidR="002819B4" w:rsidRDefault="002819B4" w:rsidP="00577277">
      <w:pPr>
        <w:pStyle w:val="Heading1"/>
      </w:pPr>
      <w:bookmarkStart w:id="47" w:name="_Toc400006349"/>
      <w:bookmarkStart w:id="48" w:name="_Toc400015176"/>
      <w:bookmarkStart w:id="49" w:name="_Toc527021059"/>
      <w:r>
        <w:t>OTHER ASPECTS RELATING TO TRANSPARENCY</w:t>
      </w:r>
      <w:bookmarkEnd w:id="47"/>
      <w:bookmarkEnd w:id="48"/>
      <w:bookmarkEnd w:id="49"/>
    </w:p>
    <w:p w14:paraId="5D1B4E97" w14:textId="77777777" w:rsidR="00577277" w:rsidRDefault="002819B4" w:rsidP="007F78D3">
      <w:pPr>
        <w:pStyle w:val="BodyText"/>
        <w:spacing w:after="120"/>
      </w:pPr>
      <w:r>
        <w:t xml:space="preserve">As indicated in the introduction, there are </w:t>
      </w:r>
      <w:proofErr w:type="gramStart"/>
      <w:r>
        <w:t>a number of</w:t>
      </w:r>
      <w:proofErr w:type="gramEnd"/>
      <w:r>
        <w:t xml:space="preserve"> areas where the Secretariat is not in a position to provide an overview. These include questions such as the following:</w:t>
      </w:r>
    </w:p>
    <w:p w14:paraId="7BA2DB1B" w14:textId="77777777" w:rsidR="00577277" w:rsidRDefault="002819B4" w:rsidP="000C2EA9">
      <w:pPr>
        <w:pStyle w:val="BodyText2"/>
        <w:spacing w:after="120"/>
      </w:pPr>
      <w:r>
        <w:t xml:space="preserve">To what extent are Members publishing a notice at an early stage regarding proposals to introduce a </w:t>
      </w:r>
      <w:proofErr w:type="gramStart"/>
      <w:r>
        <w:t>particular regulation</w:t>
      </w:r>
      <w:proofErr w:type="gramEnd"/>
      <w:r>
        <w:t>? (Annex B, paragraph 5(a))</w:t>
      </w:r>
    </w:p>
    <w:p w14:paraId="31BC9C5C" w14:textId="77777777" w:rsidR="00577277" w:rsidRDefault="002819B4" w:rsidP="000C2EA9">
      <w:pPr>
        <w:pStyle w:val="BodyText2"/>
        <w:spacing w:after="120"/>
      </w:pPr>
      <w:r>
        <w:t>To what extent are translations into English, French or Spanish of proposed regulations available? (Annex B, paragraph 8)</w:t>
      </w:r>
    </w:p>
    <w:p w14:paraId="2BC75183" w14:textId="77777777" w:rsidR="00577277" w:rsidRDefault="002819B4" w:rsidP="000C2EA9">
      <w:pPr>
        <w:pStyle w:val="BodyText2"/>
        <w:spacing w:after="120"/>
      </w:pPr>
      <w:r>
        <w:t>How quickly do Members respond to requests for documents or other information? (Annex B, paragraphs 3 and 5(c))</w:t>
      </w:r>
    </w:p>
    <w:p w14:paraId="188ECB22" w14:textId="77777777" w:rsidR="002819B4" w:rsidRDefault="002819B4" w:rsidP="002819B4">
      <w:pPr>
        <w:pStyle w:val="BodyText2"/>
      </w:pPr>
      <w:r>
        <w:t xml:space="preserve">To what extent are Members providing comments on notifications, and to what extent are these </w:t>
      </w:r>
      <w:proofErr w:type="gramStart"/>
      <w:r>
        <w:t>taken into account</w:t>
      </w:r>
      <w:proofErr w:type="gramEnd"/>
      <w:r>
        <w:t>? (Annex B, paragraph 5(d))</w:t>
      </w:r>
    </w:p>
    <w:p w14:paraId="3913A833" w14:textId="77777777" w:rsidR="002819B4" w:rsidRDefault="002819B4" w:rsidP="006F2D28">
      <w:pPr>
        <w:pStyle w:val="BodyText"/>
      </w:pPr>
      <w:r>
        <w:t>These are areas where Members have occasionally shared</w:t>
      </w:r>
      <w:r w:rsidR="007F78D3">
        <w:t xml:space="preserve"> their experiences with the SPS </w:t>
      </w:r>
      <w:r>
        <w:t>Committee. However, as this information is not provided systematically, it has not been possible to include further details on these questions. Members are encouraged to complement this overview document through submissions to the SPS Committee regarding their own experience in matters related to the transparency provisions of the SPS Agreement.</w:t>
      </w:r>
    </w:p>
    <w:p w14:paraId="422885FE" w14:textId="77777777" w:rsidR="006F2D28" w:rsidRDefault="006F2D28" w:rsidP="006F2D28"/>
    <w:p w14:paraId="27A93678" w14:textId="77777777" w:rsidR="006F2D28" w:rsidRPr="006F2D28" w:rsidRDefault="006F2D28" w:rsidP="006F2D28">
      <w:pPr>
        <w:jc w:val="center"/>
      </w:pPr>
      <w:r>
        <w:rPr>
          <w:b/>
        </w:rPr>
        <w:t>__________</w:t>
      </w:r>
    </w:p>
    <w:sectPr w:rsidR="006F2D28" w:rsidRPr="006F2D28" w:rsidSect="00D746A4">
      <w:headerReference w:type="even" r:id="rId15"/>
      <w:headerReference w:type="default" r:id="rId16"/>
      <w:footerReference w:type="even" r:id="rId17"/>
      <w:footerReference w:type="default" r:id="rId18"/>
      <w:head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1CF8" w14:textId="77777777" w:rsidR="004A1BF9" w:rsidRDefault="004A1BF9" w:rsidP="00ED54E0">
      <w:r>
        <w:separator/>
      </w:r>
    </w:p>
  </w:endnote>
  <w:endnote w:type="continuationSeparator" w:id="0">
    <w:p w14:paraId="2AD4FDFA" w14:textId="77777777" w:rsidR="004A1BF9" w:rsidRDefault="004A1BF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2DA5" w14:textId="1CE8F162" w:rsidR="004A1BF9" w:rsidRPr="00D746A4" w:rsidRDefault="004A1BF9" w:rsidP="00D746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AA8A" w14:textId="29BF5B08" w:rsidR="004A1BF9" w:rsidRPr="00D746A4" w:rsidRDefault="004A1BF9" w:rsidP="00D746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5B06" w14:textId="77777777" w:rsidR="004A1BF9" w:rsidRDefault="004A1BF9" w:rsidP="00ED54E0">
      <w:r>
        <w:separator/>
      </w:r>
    </w:p>
  </w:footnote>
  <w:footnote w:type="continuationSeparator" w:id="0">
    <w:p w14:paraId="7CBAFB6F" w14:textId="77777777" w:rsidR="004A1BF9" w:rsidRDefault="004A1BF9" w:rsidP="00ED54E0">
      <w:r>
        <w:continuationSeparator/>
      </w:r>
    </w:p>
  </w:footnote>
  <w:footnote w:id="1">
    <w:p w14:paraId="29A8F4A7" w14:textId="77777777" w:rsidR="004A1BF9" w:rsidRDefault="004A1BF9" w:rsidP="00D751D9">
      <w:pPr>
        <w:pStyle w:val="FootnoteText"/>
        <w:jc w:val="both"/>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14:paraId="51BE7A17" w14:textId="473C082B" w:rsidR="004A1BF9" w:rsidRDefault="004A1BF9" w:rsidP="00AC7CEC">
      <w:pPr>
        <w:pStyle w:val="FootnoteText"/>
      </w:pPr>
      <w:r>
        <w:rPr>
          <w:rStyle w:val="FootnoteReference"/>
        </w:rPr>
        <w:footnoteRef/>
      </w:r>
      <w:r>
        <w:t xml:space="preserve"> See G/SPS/R/47, para. 44, for the recommendations arising from the 2007 workshop on transparency. See also footnote 4 of G/SPS/7/Rev.4 requesting the Secretariat to provide an annual report on the level of implementation of the transparency provisions of the SPS Agreement and of the recommended transparency procedures.</w:t>
      </w:r>
    </w:p>
  </w:footnote>
  <w:footnote w:id="3">
    <w:p w14:paraId="135EB2E1" w14:textId="77777777" w:rsidR="004A1BF9" w:rsidRDefault="004A1BF9" w:rsidP="00AC7CEC">
      <w:pPr>
        <w:pStyle w:val="FootnoteText"/>
      </w:pPr>
      <w:r>
        <w:rPr>
          <w:rStyle w:val="FootnoteReference"/>
        </w:rPr>
        <w:footnoteRef/>
      </w:r>
      <w:r>
        <w:t xml:space="preserve"> </w:t>
      </w:r>
      <w:hyperlink r:id="rId1" w:history="1">
        <w:r w:rsidRPr="00AC7CEC">
          <w:rPr>
            <w:rStyle w:val="Hyperlink"/>
          </w:rPr>
          <w:t>http://spsims.wto.org</w:t>
        </w:r>
      </w:hyperlink>
      <w:r>
        <w:t>.</w:t>
      </w:r>
    </w:p>
  </w:footnote>
  <w:footnote w:id="4">
    <w:p w14:paraId="4B21D5F4" w14:textId="77777777" w:rsidR="004A1BF9" w:rsidRDefault="004A1BF9">
      <w:pPr>
        <w:pStyle w:val="FootnoteText"/>
      </w:pPr>
      <w:r>
        <w:rPr>
          <w:rStyle w:val="FootnoteReference"/>
        </w:rPr>
        <w:footnoteRef/>
      </w:r>
      <w:r>
        <w:t xml:space="preserve"> </w:t>
      </w:r>
      <w:hyperlink r:id="rId2" w:history="1">
        <w:r w:rsidRPr="00EC09A2">
          <w:rPr>
            <w:rStyle w:val="Hyperlink"/>
          </w:rPr>
          <w:t>https://nss.wto.org/spsmembers</w:t>
        </w:r>
      </w:hyperlink>
      <w:r>
        <w:t>.</w:t>
      </w:r>
    </w:p>
  </w:footnote>
  <w:footnote w:id="5">
    <w:p w14:paraId="6C19DA8A" w14:textId="77777777" w:rsidR="004A1BF9" w:rsidRDefault="004A1BF9" w:rsidP="008A562B">
      <w:pPr>
        <w:pStyle w:val="FootnoteText"/>
        <w:jc w:val="both"/>
      </w:pPr>
      <w:r>
        <w:rPr>
          <w:rStyle w:val="FootnoteReference"/>
        </w:rPr>
        <w:footnoteRef/>
      </w:r>
      <w:r>
        <w:t xml:space="preserve"> See para. 5.3. for more information.</w:t>
      </w:r>
    </w:p>
  </w:footnote>
  <w:footnote w:id="6">
    <w:p w14:paraId="36E1C55D" w14:textId="77777777" w:rsidR="004A1BF9" w:rsidRDefault="004A1BF9" w:rsidP="007E57E6">
      <w:pPr>
        <w:pStyle w:val="FootnoteText"/>
      </w:pPr>
      <w:r>
        <w:rPr>
          <w:rStyle w:val="FootnoteReference"/>
        </w:rPr>
        <w:footnoteRef/>
      </w:r>
      <w:r>
        <w:t xml:space="preserve"> All notification formats can be downloaded from </w:t>
      </w:r>
      <w:hyperlink r:id="rId3" w:history="1">
        <w:r w:rsidRPr="007E57E6">
          <w:rPr>
            <w:rStyle w:val="Hyperlink"/>
          </w:rPr>
          <w:t>http://www.wto.org/spstran</w:t>
        </w:r>
        <w:r w:rsidRPr="00EC09A2">
          <w:rPr>
            <w:rStyle w:val="Hyperlink"/>
          </w:rPr>
          <w:t>sparency</w:t>
        </w:r>
      </w:hyperlink>
      <w:r>
        <w:t>.</w:t>
      </w:r>
    </w:p>
  </w:footnote>
  <w:footnote w:id="7">
    <w:p w14:paraId="55A95D56" w14:textId="77777777" w:rsidR="004A1BF9" w:rsidRDefault="004A1BF9" w:rsidP="006B057F">
      <w:pPr>
        <w:pStyle w:val="FootnoteText"/>
        <w:jc w:val="both"/>
      </w:pPr>
      <w:r>
        <w:rPr>
          <w:rStyle w:val="FootnoteReference"/>
        </w:rPr>
        <w:footnoteRef/>
      </w:r>
      <w:r>
        <w:t xml:space="preserve"> The categories of level of development rely on WTO working definitions as identified in the WTO's Integrated Database (IDB) for analytical purposes (</w:t>
      </w:r>
      <w:hyperlink r:id="rId4" w:history="1">
        <w:r w:rsidRPr="007E57E6">
          <w:rPr>
            <w:rStyle w:val="Hyperlink"/>
          </w:rPr>
          <w:t>idb@wto.org</w:t>
        </w:r>
      </w:hyperlink>
      <w:r>
        <w:t>). They can be consulted through the SPS IMS by clicking on "definitions of groups" on the top menu bar.</w:t>
      </w:r>
    </w:p>
  </w:footnote>
  <w:footnote w:id="8">
    <w:p w14:paraId="2AF525A1" w14:textId="77777777" w:rsidR="004A1BF9" w:rsidRDefault="004A1BF9" w:rsidP="00BF1308">
      <w:pPr>
        <w:pStyle w:val="FootnoteText"/>
      </w:pPr>
      <w:r>
        <w:rPr>
          <w:rStyle w:val="FootnoteReference"/>
        </w:rPr>
        <w:footnoteRef/>
      </w:r>
      <w:r>
        <w:t xml:space="preserve"> </w:t>
      </w:r>
      <w:hyperlink r:id="rId5" w:history="1">
        <w:r w:rsidRPr="00EC09A2">
          <w:rPr>
            <w:rStyle w:val="Hyperlink"/>
          </w:rPr>
          <w:t>http://spsims.wto.org/en/EnquiryPointsNotificationAuthorities/Search</w:t>
        </w:r>
      </w:hyperlink>
      <w:r>
        <w:t>.</w:t>
      </w:r>
    </w:p>
  </w:footnote>
  <w:footnote w:id="9">
    <w:p w14:paraId="19B16E2D" w14:textId="62109326" w:rsidR="004A1BF9" w:rsidRDefault="004A1BF9" w:rsidP="00D751D9">
      <w:pPr>
        <w:pStyle w:val="FootnoteText"/>
        <w:jc w:val="both"/>
      </w:pPr>
      <w:r>
        <w:rPr>
          <w:rStyle w:val="FootnoteReference"/>
        </w:rPr>
        <w:footnoteRef/>
      </w:r>
      <w:r>
        <w:t xml:space="preserve"> See the Recommended Transparency Procedures (G/SPS/7/Rev.4) for further elaboration on the different types of notifications.</w:t>
      </w:r>
    </w:p>
  </w:footnote>
  <w:footnote w:id="10">
    <w:p w14:paraId="0D4718F2" w14:textId="009EF0C4" w:rsidR="004A1BF9" w:rsidRDefault="004A1BF9" w:rsidP="00E860E9">
      <w:pPr>
        <w:pStyle w:val="FootnoteText"/>
      </w:pPr>
      <w:r>
        <w:rPr>
          <w:rStyle w:val="FootnoteReference"/>
        </w:rPr>
        <w:footnoteRef/>
      </w:r>
      <w:r>
        <w:t xml:space="preserve"> For this Note, submission refers to the date of distribution of the notification.</w:t>
      </w:r>
    </w:p>
  </w:footnote>
  <w:footnote w:id="11">
    <w:p w14:paraId="147E8DAD" w14:textId="77777777" w:rsidR="004A1BF9" w:rsidRDefault="004A1BF9">
      <w:pPr>
        <w:pStyle w:val="FootnoteText"/>
      </w:pPr>
      <w:r>
        <w:rPr>
          <w:rStyle w:val="FootnoteReference"/>
        </w:rPr>
        <w:footnoteRef/>
      </w:r>
      <w:r>
        <w:t xml:space="preserve"> </w:t>
      </w:r>
      <w:r w:rsidRPr="007F730B">
        <w:t>See G/SPS/33/Rev.1.</w:t>
      </w:r>
    </w:p>
  </w:footnote>
  <w:footnote w:id="12">
    <w:p w14:paraId="1E48FF6C" w14:textId="77777777" w:rsidR="004A1BF9" w:rsidRDefault="004A1BF9" w:rsidP="00455E4D">
      <w:pPr>
        <w:pStyle w:val="FootnoteText"/>
      </w:pPr>
      <w:r>
        <w:rPr>
          <w:rStyle w:val="FootnoteReference"/>
        </w:rPr>
        <w:footnoteRef/>
      </w:r>
      <w:r>
        <w:t xml:space="preserve"> See G/SPS/GEN/456 for notification procedures for the European Union and its member States.</w:t>
      </w:r>
    </w:p>
  </w:footnote>
  <w:footnote w:id="13">
    <w:p w14:paraId="6CBBB24C" w14:textId="77777777" w:rsidR="004A1BF9" w:rsidRDefault="004A1BF9" w:rsidP="00D751D9">
      <w:pPr>
        <w:pStyle w:val="FootnoteText"/>
        <w:jc w:val="both"/>
      </w:pPr>
      <w:r>
        <w:rPr>
          <w:rStyle w:val="FootnoteReference"/>
        </w:rPr>
        <w:footnoteRef/>
      </w:r>
      <w:r>
        <w:t xml:space="preserve"> The geographical groupings used rely on WTO working definitions as identified in the Integrated Database (IDB) for analytical purposes (</w:t>
      </w:r>
      <w:hyperlink r:id="rId6" w:history="1">
        <w:r w:rsidRPr="00296792">
          <w:rPr>
            <w:rStyle w:val="Hyperlink"/>
          </w:rPr>
          <w:t>idb@wto.org</w:t>
        </w:r>
      </w:hyperlink>
      <w:r>
        <w:t>). The same groupings are used in the WTO Annual Reports. They can be consulted through the SPS IMS by clicking on "definitions of groups" on the top menu bar.</w:t>
      </w:r>
    </w:p>
  </w:footnote>
  <w:footnote w:id="14">
    <w:p w14:paraId="77B3F036" w14:textId="77777777" w:rsidR="004A1BF9" w:rsidRDefault="004A1BF9" w:rsidP="00D751D9">
      <w:pPr>
        <w:pStyle w:val="FootnoteText"/>
        <w:jc w:val="both"/>
      </w:pPr>
      <w:r>
        <w:rPr>
          <w:rStyle w:val="FootnoteReference"/>
        </w:rPr>
        <w:footnoteRef/>
      </w:r>
      <w:r>
        <w:t xml:space="preserve"> See the Analysis of Replies to the Questionnaire on the Operation of Enquiry Points and National Notification Authorities, (G/SPS/GEN/751/Rev.1, paras. 11 and 18) for further elaboration on this point.</w:t>
      </w:r>
    </w:p>
  </w:footnote>
  <w:footnote w:id="15">
    <w:p w14:paraId="4D134951" w14:textId="77777777" w:rsidR="004A1BF9" w:rsidRDefault="004A1BF9">
      <w:pPr>
        <w:pStyle w:val="FootnoteText"/>
      </w:pPr>
      <w:r>
        <w:rPr>
          <w:rStyle w:val="FootnoteReference"/>
        </w:rPr>
        <w:footnoteRef/>
      </w:r>
      <w:r>
        <w:t xml:space="preserve"> See the Analysis of Replies to the Questionnaire on Transparency under the SPS Agreement, (G/SPS/GEN/1402, para. 2.1) for further elaboration on this point.</w:t>
      </w:r>
    </w:p>
  </w:footnote>
  <w:footnote w:id="16">
    <w:p w14:paraId="77F09272" w14:textId="77777777" w:rsidR="004A1BF9" w:rsidRDefault="004A1BF9" w:rsidP="007E57E6">
      <w:pPr>
        <w:pStyle w:val="FootnoteText"/>
      </w:pPr>
      <w:r>
        <w:rPr>
          <w:rStyle w:val="FootnoteReference"/>
        </w:rPr>
        <w:footnoteRef/>
      </w:r>
      <w:r>
        <w:t xml:space="preserve"> This information is available in the SPS IMS (</w:t>
      </w:r>
      <w:hyperlink r:id="rId7" w:history="1">
        <w:r w:rsidRPr="00EC09A2">
          <w:rPr>
            <w:rStyle w:val="Hyperlink"/>
          </w:rPr>
          <w:t>http://spsims.wto.org</w:t>
        </w:r>
      </w:hyperlink>
      <w:r>
        <w:t>).</w:t>
      </w:r>
    </w:p>
  </w:footnote>
  <w:footnote w:id="17">
    <w:p w14:paraId="632F2070" w14:textId="26C4815D" w:rsidR="004A1BF9" w:rsidRDefault="004A1BF9">
      <w:pPr>
        <w:pStyle w:val="FootnoteText"/>
      </w:pPr>
      <w:r>
        <w:rPr>
          <w:rStyle w:val="FootnoteReference"/>
        </w:rPr>
        <w:footnoteRef/>
      </w:r>
      <w:r>
        <w:t xml:space="preserve"> WT/</w:t>
      </w:r>
      <w:proofErr w:type="gramStart"/>
      <w:r>
        <w:t>MIN(</w:t>
      </w:r>
      <w:proofErr w:type="gramEnd"/>
      <w:r>
        <w:t>01)/17 and para. 4.3 of G/SPS/7/Rev.4.</w:t>
      </w:r>
    </w:p>
  </w:footnote>
  <w:footnote w:id="18">
    <w:p w14:paraId="21FC60CD" w14:textId="41E780B8" w:rsidR="004A1BF9" w:rsidRDefault="004A1BF9">
      <w:pPr>
        <w:pStyle w:val="FootnoteText"/>
      </w:pPr>
      <w:r>
        <w:rPr>
          <w:rStyle w:val="FootnoteReference"/>
        </w:rPr>
        <w:footnoteRef/>
      </w:r>
      <w:r>
        <w:t xml:space="preserve"> </w:t>
      </w:r>
      <w:r w:rsidRPr="002B1F9A">
        <w:t>See G/SPS/7/Rev.4, para. 2.8.</w:t>
      </w:r>
    </w:p>
  </w:footnote>
  <w:footnote w:id="19">
    <w:p w14:paraId="6A1A5277" w14:textId="31FF2108" w:rsidR="004A1BF9" w:rsidRDefault="004A1BF9">
      <w:pPr>
        <w:pStyle w:val="FootnoteText"/>
      </w:pPr>
      <w:r>
        <w:rPr>
          <w:rStyle w:val="FootnoteReference"/>
        </w:rPr>
        <w:footnoteRef/>
      </w:r>
      <w:r>
        <w:t xml:space="preserve"> See G/SPS/7/Rev.4, para. 2.8 and Annex C.</w:t>
      </w:r>
    </w:p>
  </w:footnote>
  <w:footnote w:id="20">
    <w:p w14:paraId="0EDA8FB3" w14:textId="77777777" w:rsidR="004A1BF9" w:rsidRDefault="004A1BF9">
      <w:pPr>
        <w:pStyle w:val="FootnoteText"/>
      </w:pPr>
      <w:r>
        <w:rPr>
          <w:rStyle w:val="FootnoteReference"/>
        </w:rPr>
        <w:footnoteRef/>
      </w:r>
      <w:r>
        <w:t xml:space="preserve"> Each notification can have multiple entries for the reasons for addenda.</w:t>
      </w:r>
    </w:p>
  </w:footnote>
  <w:footnote w:id="21">
    <w:p w14:paraId="71C79227" w14:textId="77777777" w:rsidR="004A1BF9" w:rsidRDefault="004A1BF9" w:rsidP="00D751D9">
      <w:pPr>
        <w:pStyle w:val="FootnoteText"/>
        <w:jc w:val="both"/>
      </w:pPr>
      <w:r>
        <w:rPr>
          <w:rStyle w:val="FootnoteReference"/>
        </w:rPr>
        <w:footnoteRef/>
      </w:r>
      <w:r>
        <w:t xml:space="preserve"> See the Analysis of Replies to the Questionnaire on the Operation of Enquiry Points and National Notification Authorities (G/SPS/GEN/751/Rev.1) for further elaboration on this issue.</w:t>
      </w:r>
    </w:p>
  </w:footnote>
  <w:footnote w:id="22">
    <w:p w14:paraId="103ED0FD" w14:textId="417B7FB6" w:rsidR="004A1BF9" w:rsidRPr="000C2EA9" w:rsidRDefault="004A1BF9">
      <w:pPr>
        <w:pStyle w:val="FootnoteText"/>
        <w:rPr>
          <w:sz w:val="14"/>
        </w:rPr>
      </w:pPr>
      <w:r>
        <w:rPr>
          <w:rStyle w:val="FootnoteReference"/>
        </w:rPr>
        <w:footnoteRef/>
      </w:r>
      <w:r>
        <w:t xml:space="preserve"> </w:t>
      </w:r>
      <w:r w:rsidRPr="000C2EA9">
        <w:t xml:space="preserve">Two different user names and passwords are provided (a </w:t>
      </w:r>
      <w:r w:rsidRPr="000C2EA9">
        <w:rPr>
          <w:i/>
        </w:rPr>
        <w:t>submitting</w:t>
      </w:r>
      <w:r w:rsidRPr="000C2EA9">
        <w:t xml:space="preserve"> user name and a </w:t>
      </w:r>
      <w:r w:rsidRPr="000C2EA9">
        <w:rPr>
          <w:i/>
        </w:rPr>
        <w:t>secondary</w:t>
      </w:r>
      <w:r w:rsidRPr="000C2EA9">
        <w:t xml:space="preserve"> user name). Only the submitting user name</w:t>
      </w:r>
      <w:r>
        <w:t xml:space="preserve"> allows to officially submit</w:t>
      </w:r>
      <w:r w:rsidRPr="000C2EA9">
        <w:t xml:space="preserve"> the notification to the CRN, but the secondary user name allows other individuals to enter information and review the draft notification.</w:t>
      </w:r>
    </w:p>
  </w:footnote>
  <w:footnote w:id="23">
    <w:p w14:paraId="54E44643" w14:textId="77777777" w:rsidR="004A1BF9" w:rsidRDefault="004A1BF9">
      <w:pPr>
        <w:pStyle w:val="FootnoteText"/>
      </w:pPr>
      <w:r>
        <w:rPr>
          <w:rStyle w:val="FootnoteReference"/>
        </w:rPr>
        <w:footnoteRef/>
      </w:r>
      <w:r>
        <w:t xml:space="preserve"> See the Analysis of Replies to the Questionnaire on Transparency under the SPS Agreement, (G/SPS/GEN/1402, paras. 3.29 and 3.30) for further elaboration on this point.</w:t>
      </w:r>
    </w:p>
  </w:footnote>
  <w:footnote w:id="24">
    <w:p w14:paraId="7487705B" w14:textId="4C210598" w:rsidR="004A1BF9" w:rsidRDefault="004A1BF9">
      <w:pPr>
        <w:pStyle w:val="FootnoteText"/>
      </w:pPr>
      <w:r>
        <w:rPr>
          <w:rStyle w:val="FootnoteReference"/>
        </w:rPr>
        <w:footnoteRef/>
      </w:r>
      <w:r>
        <w:t xml:space="preserve"> The report of this workshop is contained in document G/SPS/R/89.</w:t>
      </w:r>
    </w:p>
  </w:footnote>
  <w:footnote w:id="25">
    <w:p w14:paraId="2DB77BDE" w14:textId="127342BF" w:rsidR="004A1BF9" w:rsidRPr="00FF3910" w:rsidRDefault="004A1BF9" w:rsidP="00261D33">
      <w:pPr>
        <w:pStyle w:val="FootnoteText"/>
      </w:pPr>
      <w:r>
        <w:rPr>
          <w:rStyle w:val="FootnoteReference"/>
        </w:rPr>
        <w:footnoteRef/>
      </w:r>
      <w:r>
        <w:t xml:space="preserve"> Practical Manual for SPS National Notifications Authorities and SPS National Enquiry Points can be downloaded from:</w:t>
      </w:r>
      <w:r w:rsidRPr="00302E27">
        <w:rPr>
          <w:lang w:val="pl-PL"/>
        </w:rPr>
        <w:t xml:space="preserve"> </w:t>
      </w:r>
      <w:hyperlink r:id="rId8" w:history="1">
        <w:r w:rsidRPr="00FF3910">
          <w:rPr>
            <w:rStyle w:val="Hyperlink"/>
          </w:rPr>
          <w:t>http://www.wto.org/spstransparency</w:t>
        </w:r>
      </w:hyperlink>
      <w:r w:rsidRPr="00FF3910">
        <w:t>.</w:t>
      </w:r>
    </w:p>
  </w:footnote>
  <w:footnote w:id="26">
    <w:p w14:paraId="15A879DB" w14:textId="4BE56B1C" w:rsidR="004A1BF9" w:rsidRPr="00741557" w:rsidRDefault="004A1BF9" w:rsidP="00FF3910">
      <w:pPr>
        <w:pStyle w:val="FootnoteText"/>
      </w:pPr>
      <w:r>
        <w:rPr>
          <w:rStyle w:val="FootnoteReference"/>
        </w:rPr>
        <w:footnoteRef/>
      </w:r>
      <w:r w:rsidRPr="00741557">
        <w:t xml:space="preserve"> </w:t>
      </w:r>
      <w:hyperlink r:id="rId9" w:history="1">
        <w:r w:rsidRPr="00FF3910">
          <w:rPr>
            <w:rStyle w:val="Hyperlink"/>
          </w:rPr>
          <w:t>http://www.epingalert.org</w:t>
        </w:r>
      </w:hyperlink>
      <w:r>
        <w:rPr>
          <w:rStyle w:val="Hyperlink"/>
        </w:rPr>
        <w:t>.</w:t>
      </w:r>
    </w:p>
  </w:footnote>
  <w:footnote w:id="27">
    <w:p w14:paraId="1CE27BC0" w14:textId="54805F1E" w:rsidR="004A1BF9" w:rsidRDefault="004A1BF9">
      <w:pPr>
        <w:pStyle w:val="FootnoteText"/>
      </w:pPr>
      <w:r>
        <w:rPr>
          <w:rStyle w:val="FootnoteReference"/>
        </w:rPr>
        <w:footnoteRef/>
      </w:r>
      <w:r>
        <w:t xml:space="preserve"> </w:t>
      </w:r>
      <w:hyperlink r:id="rId10" w:history="1">
        <w:r>
          <w:rPr>
            <w:rStyle w:val="Hyperlink"/>
            <w:lang w:val="en-US"/>
          </w:rPr>
          <w:t>http://www.standardsfacility.org/prioritizing-sps-investments-market-access-p-ima</w:t>
        </w:r>
      </w:hyperlink>
      <w:r>
        <w:rPr>
          <w:lang w:val="en-US"/>
        </w:rPr>
        <w:t>.</w:t>
      </w:r>
    </w:p>
  </w:footnote>
  <w:footnote w:id="28">
    <w:p w14:paraId="23B7282D" w14:textId="303A0FB5" w:rsidR="004A1BF9" w:rsidRDefault="004A1BF9">
      <w:pPr>
        <w:pStyle w:val="FootnoteText"/>
      </w:pPr>
      <w:r>
        <w:rPr>
          <w:rStyle w:val="FootnoteReference"/>
        </w:rPr>
        <w:footnoteRef/>
      </w:r>
      <w:r>
        <w:t xml:space="preserve"> </w:t>
      </w:r>
      <w:hyperlink r:id="rId11" w:history="1">
        <w:r>
          <w:rPr>
            <w:rStyle w:val="Hyperlink"/>
            <w:lang w:val="en-US"/>
          </w:rPr>
          <w:t>http://www.standardsfacility.org/PG-606</w:t>
        </w:r>
      </w:hyperlink>
      <w:r>
        <w:rPr>
          <w:lang w:val="en-US"/>
        </w:rPr>
        <w:t>.</w:t>
      </w:r>
    </w:p>
  </w:footnote>
  <w:footnote w:id="29">
    <w:p w14:paraId="32A60AD4" w14:textId="26845D84" w:rsidR="004A1BF9" w:rsidRDefault="004A1BF9">
      <w:pPr>
        <w:pStyle w:val="FootnoteText"/>
      </w:pPr>
      <w:r>
        <w:rPr>
          <w:rStyle w:val="FootnoteReference"/>
        </w:rPr>
        <w:footnoteRef/>
      </w:r>
      <w:r>
        <w:t xml:space="preserve"> </w:t>
      </w:r>
      <w:hyperlink r:id="rId12" w:history="1">
        <w:r>
          <w:rPr>
            <w:rStyle w:val="Hyperlink"/>
            <w:lang w:val="en-US"/>
          </w:rPr>
          <w:t>http://www.standardsfacility.org/PPG-575</w:t>
        </w:r>
      </w:hyperlink>
      <w:r>
        <w:rPr>
          <w:lang w:val="en-US"/>
        </w:rPr>
        <w:t>.</w:t>
      </w:r>
    </w:p>
  </w:footnote>
  <w:footnote w:id="30">
    <w:p w14:paraId="2882C940" w14:textId="6C9537FB" w:rsidR="004A1BF9" w:rsidRDefault="004A1BF9">
      <w:pPr>
        <w:pStyle w:val="FootnoteText"/>
      </w:pPr>
      <w:r>
        <w:rPr>
          <w:rStyle w:val="FootnoteReference"/>
        </w:rPr>
        <w:footnoteRef/>
      </w:r>
      <w:r>
        <w:t xml:space="preserve"> </w:t>
      </w:r>
      <w:hyperlink r:id="rId13" w:history="1">
        <w:r>
          <w:rPr>
            <w:rStyle w:val="Hyperlink"/>
            <w:lang w:val="en-US"/>
          </w:rPr>
          <w:t>http://www.standardsfacility.org/PPG-561</w:t>
        </w:r>
      </w:hyperlink>
      <w:r>
        <w:rPr>
          <w:lang w:val="en-US"/>
        </w:rPr>
        <w:t>.</w:t>
      </w:r>
    </w:p>
  </w:footnote>
  <w:footnote w:id="31">
    <w:p w14:paraId="7D237D85" w14:textId="04F03B0B" w:rsidR="004A1BF9" w:rsidRPr="0035059B" w:rsidRDefault="004A1BF9" w:rsidP="00A42094">
      <w:pPr>
        <w:ind w:firstLine="567"/>
        <w:rPr>
          <w:rStyle w:val="Hyperlink"/>
          <w:rFonts w:eastAsia="Calibri" w:cs="Times New Roman"/>
          <w:sz w:val="16"/>
          <w:szCs w:val="18"/>
          <w:lang w:val="en-US" w:eastAsia="en-GB"/>
        </w:rPr>
      </w:pPr>
      <w:r>
        <w:rPr>
          <w:rStyle w:val="FootnoteReference"/>
        </w:rPr>
        <w:footnoteRef/>
      </w:r>
      <w:r>
        <w:t xml:space="preserve"> </w:t>
      </w:r>
      <w:hyperlink r:id="rId14" w:history="1">
        <w:r w:rsidRPr="0035059B">
          <w:rPr>
            <w:rStyle w:val="Hyperlink"/>
            <w:rFonts w:eastAsia="Calibri" w:cs="Times New Roman"/>
            <w:sz w:val="16"/>
            <w:szCs w:val="18"/>
            <w:lang w:val="en-US" w:eastAsia="en-GB"/>
          </w:rPr>
          <w:t>http://www.standardsfacility.org/sites/default/files/STDF_NationalSPSCoordinationMechanisms_EN_0.pdf</w:t>
        </w:r>
      </w:hyperlink>
      <w:r w:rsidRPr="0035059B">
        <w:rPr>
          <w:rStyle w:val="Hyperlink"/>
          <w:rFonts w:eastAsia="Calibri" w:cs="Times New Roman"/>
          <w:sz w:val="16"/>
          <w:szCs w:val="18"/>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3C6B" w14:textId="77777777" w:rsidR="004A1BF9" w:rsidRPr="00D746A4" w:rsidRDefault="004A1BF9" w:rsidP="00D746A4">
    <w:pPr>
      <w:pStyle w:val="Header"/>
      <w:pBdr>
        <w:bottom w:val="single" w:sz="4" w:space="1" w:color="auto"/>
      </w:pBdr>
      <w:tabs>
        <w:tab w:val="clear" w:pos="4513"/>
        <w:tab w:val="clear" w:pos="9027"/>
      </w:tabs>
      <w:jc w:val="center"/>
    </w:pPr>
    <w:r w:rsidRPr="00D746A4">
      <w:t>G/SPS/GEN/804/Rev.11</w:t>
    </w:r>
  </w:p>
  <w:p w14:paraId="3354D6A4" w14:textId="77777777" w:rsidR="004A1BF9" w:rsidRPr="00D746A4" w:rsidRDefault="004A1BF9" w:rsidP="00D746A4">
    <w:pPr>
      <w:pStyle w:val="Header"/>
      <w:pBdr>
        <w:bottom w:val="single" w:sz="4" w:space="1" w:color="auto"/>
      </w:pBdr>
      <w:tabs>
        <w:tab w:val="clear" w:pos="4513"/>
        <w:tab w:val="clear" w:pos="9027"/>
      </w:tabs>
      <w:jc w:val="center"/>
    </w:pPr>
  </w:p>
  <w:p w14:paraId="62AFB9AF" w14:textId="76BAFA43" w:rsidR="004A1BF9" w:rsidRPr="00D746A4" w:rsidRDefault="004A1BF9" w:rsidP="00D746A4">
    <w:pPr>
      <w:pStyle w:val="Header"/>
      <w:pBdr>
        <w:bottom w:val="single" w:sz="4" w:space="1" w:color="auto"/>
      </w:pBdr>
      <w:tabs>
        <w:tab w:val="clear" w:pos="4513"/>
        <w:tab w:val="clear" w:pos="9027"/>
      </w:tabs>
      <w:jc w:val="center"/>
    </w:pPr>
    <w:r w:rsidRPr="00D746A4">
      <w:t xml:space="preserve">- </w:t>
    </w:r>
    <w:r w:rsidRPr="00D746A4">
      <w:fldChar w:fldCharType="begin"/>
    </w:r>
    <w:r w:rsidRPr="00D746A4">
      <w:instrText xml:space="preserve"> PAGE </w:instrText>
    </w:r>
    <w:r w:rsidRPr="00D746A4">
      <w:fldChar w:fldCharType="separate"/>
    </w:r>
    <w:r w:rsidR="008C4DD6">
      <w:rPr>
        <w:noProof/>
      </w:rPr>
      <w:t>10</w:t>
    </w:r>
    <w:r w:rsidRPr="00D746A4">
      <w:fldChar w:fldCharType="end"/>
    </w:r>
    <w:r w:rsidRPr="00D746A4">
      <w:t xml:space="preserve"> -</w:t>
    </w:r>
  </w:p>
  <w:p w14:paraId="346EF63E" w14:textId="740443F3" w:rsidR="004A1BF9" w:rsidRPr="00D746A4" w:rsidRDefault="004A1BF9" w:rsidP="00D746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1D71" w14:textId="77777777" w:rsidR="004A1BF9" w:rsidRPr="00D746A4" w:rsidRDefault="004A1BF9" w:rsidP="00D746A4">
    <w:pPr>
      <w:pStyle w:val="Header"/>
      <w:pBdr>
        <w:bottom w:val="single" w:sz="4" w:space="1" w:color="auto"/>
      </w:pBdr>
      <w:tabs>
        <w:tab w:val="clear" w:pos="4513"/>
        <w:tab w:val="clear" w:pos="9027"/>
      </w:tabs>
      <w:jc w:val="center"/>
    </w:pPr>
    <w:r w:rsidRPr="00D746A4">
      <w:t>G/SPS/GEN/804/Rev.11</w:t>
    </w:r>
  </w:p>
  <w:p w14:paraId="4D66BF8B" w14:textId="77777777" w:rsidR="004A1BF9" w:rsidRPr="00D746A4" w:rsidRDefault="004A1BF9" w:rsidP="00D746A4">
    <w:pPr>
      <w:pStyle w:val="Header"/>
      <w:pBdr>
        <w:bottom w:val="single" w:sz="4" w:space="1" w:color="auto"/>
      </w:pBdr>
      <w:tabs>
        <w:tab w:val="clear" w:pos="4513"/>
        <w:tab w:val="clear" w:pos="9027"/>
      </w:tabs>
      <w:jc w:val="center"/>
    </w:pPr>
  </w:p>
  <w:p w14:paraId="5DBC38AB" w14:textId="56F880C3" w:rsidR="004A1BF9" w:rsidRPr="00D746A4" w:rsidRDefault="004A1BF9" w:rsidP="00D746A4">
    <w:pPr>
      <w:pStyle w:val="Header"/>
      <w:pBdr>
        <w:bottom w:val="single" w:sz="4" w:space="1" w:color="auto"/>
      </w:pBdr>
      <w:tabs>
        <w:tab w:val="clear" w:pos="4513"/>
        <w:tab w:val="clear" w:pos="9027"/>
      </w:tabs>
      <w:jc w:val="center"/>
    </w:pPr>
    <w:r w:rsidRPr="00D746A4">
      <w:t xml:space="preserve">- </w:t>
    </w:r>
    <w:r w:rsidRPr="00D746A4">
      <w:fldChar w:fldCharType="begin"/>
    </w:r>
    <w:r w:rsidRPr="00D746A4">
      <w:instrText xml:space="preserve"> PAGE </w:instrText>
    </w:r>
    <w:r w:rsidRPr="00D746A4">
      <w:fldChar w:fldCharType="separate"/>
    </w:r>
    <w:r w:rsidR="008C4DD6">
      <w:rPr>
        <w:noProof/>
      </w:rPr>
      <w:t>9</w:t>
    </w:r>
    <w:r w:rsidRPr="00D746A4">
      <w:fldChar w:fldCharType="end"/>
    </w:r>
    <w:r w:rsidRPr="00D746A4">
      <w:t xml:space="preserve"> -</w:t>
    </w:r>
  </w:p>
  <w:p w14:paraId="023DE198" w14:textId="03292D51" w:rsidR="004A1BF9" w:rsidRPr="00D746A4" w:rsidRDefault="004A1BF9" w:rsidP="00D746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BF9" w:rsidRPr="002819B4" w14:paraId="037DDC5D" w14:textId="77777777" w:rsidTr="00544326">
      <w:trPr>
        <w:trHeight w:val="240"/>
        <w:jc w:val="center"/>
      </w:trPr>
      <w:tc>
        <w:tcPr>
          <w:tcW w:w="3794" w:type="dxa"/>
          <w:shd w:val="clear" w:color="auto" w:fill="FFFFFF"/>
          <w:tcMar>
            <w:left w:w="108" w:type="dxa"/>
            <w:right w:w="108" w:type="dxa"/>
          </w:tcMar>
          <w:vAlign w:val="center"/>
        </w:tcPr>
        <w:p w14:paraId="13F362BC" w14:textId="77777777" w:rsidR="004A1BF9" w:rsidRPr="002819B4" w:rsidRDefault="004A1BF9" w:rsidP="005D511E">
          <w:pPr>
            <w:rPr>
              <w:noProof/>
              <w:lang w:eastAsia="en-GB"/>
            </w:rPr>
          </w:pPr>
          <w:bookmarkStart w:id="50" w:name="bmkRestricted" w:colFirst="1" w:colLast="1"/>
        </w:p>
      </w:tc>
      <w:tc>
        <w:tcPr>
          <w:tcW w:w="5448" w:type="dxa"/>
          <w:gridSpan w:val="2"/>
          <w:shd w:val="clear" w:color="auto" w:fill="FFFFFF"/>
          <w:tcMar>
            <w:left w:w="108" w:type="dxa"/>
            <w:right w:w="108" w:type="dxa"/>
          </w:tcMar>
          <w:vAlign w:val="center"/>
        </w:tcPr>
        <w:p w14:paraId="7B1F86A8" w14:textId="751E718F" w:rsidR="004A1BF9" w:rsidRPr="002819B4" w:rsidRDefault="004A1BF9" w:rsidP="005D511E">
          <w:pPr>
            <w:jc w:val="right"/>
            <w:rPr>
              <w:b/>
              <w:color w:val="FF0000"/>
              <w:szCs w:val="16"/>
            </w:rPr>
          </w:pPr>
          <w:r>
            <w:rPr>
              <w:b/>
              <w:color w:val="FF0000"/>
              <w:szCs w:val="16"/>
            </w:rPr>
            <w:t xml:space="preserve"> </w:t>
          </w:r>
        </w:p>
      </w:tc>
    </w:tr>
    <w:bookmarkEnd w:id="50"/>
    <w:tr w:rsidR="004A1BF9" w:rsidRPr="002819B4" w14:paraId="4B62EA98" w14:textId="77777777" w:rsidTr="00544326">
      <w:trPr>
        <w:trHeight w:val="213"/>
        <w:jc w:val="center"/>
      </w:trPr>
      <w:tc>
        <w:tcPr>
          <w:tcW w:w="3794" w:type="dxa"/>
          <w:vMerge w:val="restart"/>
          <w:shd w:val="clear" w:color="auto" w:fill="FFFFFF"/>
          <w:tcMar>
            <w:left w:w="0" w:type="dxa"/>
            <w:right w:w="0" w:type="dxa"/>
          </w:tcMar>
        </w:tcPr>
        <w:p w14:paraId="0E7B7CAF" w14:textId="77777777" w:rsidR="004A1BF9" w:rsidRPr="002819B4" w:rsidRDefault="004A1BF9" w:rsidP="005D511E">
          <w:pPr>
            <w:jc w:val="left"/>
          </w:pPr>
          <w:r>
            <w:rPr>
              <w:noProof/>
              <w:lang w:val="en-US"/>
            </w:rPr>
            <w:drawing>
              <wp:inline distT="0" distB="0" distL="0" distR="0" wp14:anchorId="307F5873" wp14:editId="2070FD0F">
                <wp:extent cx="2400300" cy="714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6AEF16" w14:textId="77777777" w:rsidR="004A1BF9" w:rsidRPr="002819B4" w:rsidRDefault="004A1BF9" w:rsidP="005D511E">
          <w:pPr>
            <w:jc w:val="right"/>
            <w:rPr>
              <w:b/>
              <w:szCs w:val="16"/>
            </w:rPr>
          </w:pPr>
        </w:p>
      </w:tc>
    </w:tr>
    <w:tr w:rsidR="004A1BF9" w:rsidRPr="002819B4" w14:paraId="0FFF4F7D" w14:textId="77777777" w:rsidTr="00544326">
      <w:trPr>
        <w:trHeight w:val="868"/>
        <w:jc w:val="center"/>
      </w:trPr>
      <w:tc>
        <w:tcPr>
          <w:tcW w:w="3794" w:type="dxa"/>
          <w:vMerge/>
          <w:shd w:val="clear" w:color="auto" w:fill="FFFFFF"/>
          <w:tcMar>
            <w:left w:w="108" w:type="dxa"/>
            <w:right w:w="108" w:type="dxa"/>
          </w:tcMar>
        </w:tcPr>
        <w:p w14:paraId="2CCEADA0" w14:textId="77777777" w:rsidR="004A1BF9" w:rsidRPr="002819B4" w:rsidRDefault="004A1BF9" w:rsidP="005D511E">
          <w:pPr>
            <w:jc w:val="left"/>
            <w:rPr>
              <w:noProof/>
              <w:lang w:eastAsia="en-GB"/>
            </w:rPr>
          </w:pPr>
        </w:p>
      </w:tc>
      <w:tc>
        <w:tcPr>
          <w:tcW w:w="5448" w:type="dxa"/>
          <w:gridSpan w:val="2"/>
          <w:shd w:val="clear" w:color="auto" w:fill="FFFFFF"/>
          <w:tcMar>
            <w:left w:w="108" w:type="dxa"/>
            <w:right w:w="108" w:type="dxa"/>
          </w:tcMar>
        </w:tcPr>
        <w:p w14:paraId="3AC2927F" w14:textId="77777777" w:rsidR="004A1BF9" w:rsidRDefault="004A1BF9" w:rsidP="005D511E">
          <w:pPr>
            <w:jc w:val="right"/>
            <w:rPr>
              <w:b/>
              <w:szCs w:val="16"/>
            </w:rPr>
          </w:pPr>
          <w:bookmarkStart w:id="51" w:name="bmkSymbols"/>
          <w:r>
            <w:rPr>
              <w:b/>
              <w:szCs w:val="16"/>
            </w:rPr>
            <w:t>G/SPS/GEN/804/Rev.11</w:t>
          </w:r>
        </w:p>
        <w:bookmarkEnd w:id="51"/>
        <w:p w14:paraId="426DF93C" w14:textId="3801DE86" w:rsidR="004A1BF9" w:rsidRPr="002819B4" w:rsidRDefault="004A1BF9" w:rsidP="005D511E">
          <w:pPr>
            <w:jc w:val="right"/>
            <w:rPr>
              <w:b/>
              <w:szCs w:val="16"/>
            </w:rPr>
          </w:pPr>
        </w:p>
      </w:tc>
    </w:tr>
    <w:tr w:rsidR="004A1BF9" w:rsidRPr="002819B4" w14:paraId="65B5FA7D" w14:textId="77777777" w:rsidTr="00544326">
      <w:trPr>
        <w:trHeight w:val="240"/>
        <w:jc w:val="center"/>
      </w:trPr>
      <w:tc>
        <w:tcPr>
          <w:tcW w:w="3794" w:type="dxa"/>
          <w:vMerge/>
          <w:shd w:val="clear" w:color="auto" w:fill="FFFFFF"/>
          <w:tcMar>
            <w:left w:w="108" w:type="dxa"/>
            <w:right w:w="108" w:type="dxa"/>
          </w:tcMar>
          <w:vAlign w:val="center"/>
        </w:tcPr>
        <w:p w14:paraId="509915F9" w14:textId="77777777" w:rsidR="004A1BF9" w:rsidRPr="002819B4" w:rsidRDefault="004A1BF9" w:rsidP="005D511E"/>
      </w:tc>
      <w:tc>
        <w:tcPr>
          <w:tcW w:w="5448" w:type="dxa"/>
          <w:gridSpan w:val="2"/>
          <w:shd w:val="clear" w:color="auto" w:fill="FFFFFF"/>
          <w:tcMar>
            <w:left w:w="108" w:type="dxa"/>
            <w:right w:w="108" w:type="dxa"/>
          </w:tcMar>
          <w:vAlign w:val="center"/>
        </w:tcPr>
        <w:p w14:paraId="1BECC7B4" w14:textId="7FADCCD9" w:rsidR="004A1BF9" w:rsidRPr="002819B4" w:rsidRDefault="004A1BF9" w:rsidP="002538CD">
          <w:pPr>
            <w:jc w:val="right"/>
            <w:rPr>
              <w:szCs w:val="16"/>
            </w:rPr>
          </w:pPr>
          <w:r>
            <w:rPr>
              <w:szCs w:val="16"/>
            </w:rPr>
            <w:t>11 October 2018</w:t>
          </w:r>
        </w:p>
      </w:tc>
    </w:tr>
    <w:tr w:rsidR="004A1BF9" w:rsidRPr="002819B4" w14:paraId="23C97A0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576CCC" w14:textId="06B03C54" w:rsidR="004A1BF9" w:rsidRPr="002819B4" w:rsidRDefault="004A1BF9" w:rsidP="00564BED">
          <w:pPr>
            <w:jc w:val="left"/>
            <w:rPr>
              <w:b/>
            </w:rPr>
          </w:pPr>
          <w:bookmarkStart w:id="52" w:name="bmkSerial" w:colFirst="0" w:colLast="0"/>
          <w:r w:rsidRPr="002819B4">
            <w:rPr>
              <w:color w:val="FF0000"/>
              <w:szCs w:val="16"/>
            </w:rPr>
            <w:t>(</w:t>
          </w:r>
          <w:r>
            <w:rPr>
              <w:color w:val="FF0000"/>
              <w:szCs w:val="16"/>
            </w:rPr>
            <w:t>18-</w:t>
          </w:r>
          <w:r w:rsidR="008C4DD6">
            <w:rPr>
              <w:color w:val="FF0000"/>
              <w:szCs w:val="16"/>
            </w:rPr>
            <w:t>6304</w:t>
          </w:r>
          <w:r w:rsidRPr="002819B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1F58A5A" w14:textId="61D0E5CB" w:rsidR="004A1BF9" w:rsidRPr="002819B4" w:rsidRDefault="004A1BF9" w:rsidP="00607C61">
          <w:pPr>
            <w:jc w:val="right"/>
            <w:rPr>
              <w:szCs w:val="16"/>
            </w:rPr>
          </w:pPr>
          <w:bookmarkStart w:id="53" w:name="bmkTotPages"/>
          <w:r w:rsidRPr="002819B4">
            <w:rPr>
              <w:bCs/>
              <w:szCs w:val="16"/>
            </w:rPr>
            <w:t xml:space="preserve">Page: </w:t>
          </w:r>
          <w:r w:rsidRPr="002819B4">
            <w:rPr>
              <w:bCs/>
              <w:szCs w:val="16"/>
            </w:rPr>
            <w:fldChar w:fldCharType="begin"/>
          </w:r>
          <w:r w:rsidRPr="002819B4">
            <w:rPr>
              <w:bCs/>
              <w:szCs w:val="16"/>
            </w:rPr>
            <w:instrText xml:space="preserve"> PAGE  \* Arabic  \* MERGEFORMAT </w:instrText>
          </w:r>
          <w:r w:rsidRPr="002819B4">
            <w:rPr>
              <w:bCs/>
              <w:szCs w:val="16"/>
            </w:rPr>
            <w:fldChar w:fldCharType="separate"/>
          </w:r>
          <w:r w:rsidR="008C4DD6">
            <w:rPr>
              <w:bCs/>
              <w:noProof/>
              <w:szCs w:val="16"/>
            </w:rPr>
            <w:t>1</w:t>
          </w:r>
          <w:r w:rsidRPr="002819B4">
            <w:rPr>
              <w:bCs/>
              <w:szCs w:val="16"/>
            </w:rPr>
            <w:fldChar w:fldCharType="end"/>
          </w:r>
          <w:r w:rsidRPr="002819B4">
            <w:rPr>
              <w:bCs/>
              <w:szCs w:val="16"/>
            </w:rPr>
            <w:t>/</w:t>
          </w:r>
          <w:bookmarkEnd w:id="53"/>
          <w:r>
            <w:rPr>
              <w:bCs/>
              <w:szCs w:val="16"/>
            </w:rPr>
            <w:t>15</w:t>
          </w:r>
        </w:p>
      </w:tc>
    </w:tr>
    <w:tr w:rsidR="004A1BF9" w:rsidRPr="002819B4" w14:paraId="7628E25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5B6EDC" w14:textId="725D453A" w:rsidR="004A1BF9" w:rsidRPr="002819B4" w:rsidRDefault="004A1BF9" w:rsidP="005D511E">
          <w:pPr>
            <w:jc w:val="left"/>
            <w:rPr>
              <w:sz w:val="14"/>
              <w:szCs w:val="16"/>
            </w:rPr>
          </w:pPr>
          <w:bookmarkStart w:id="54" w:name="bmkCommittee"/>
          <w:bookmarkEnd w:id="52"/>
          <w:r>
            <w:rPr>
              <w:b/>
            </w:rPr>
            <w:t>Committee on Sanitary and Phytosanitary Measures</w:t>
          </w:r>
          <w:bookmarkEnd w:id="54"/>
        </w:p>
      </w:tc>
      <w:tc>
        <w:tcPr>
          <w:tcW w:w="3325" w:type="dxa"/>
          <w:tcBorders>
            <w:top w:val="single" w:sz="4" w:space="0" w:color="auto"/>
          </w:tcBorders>
          <w:tcMar>
            <w:top w:w="113" w:type="dxa"/>
            <w:left w:w="108" w:type="dxa"/>
            <w:bottom w:w="57" w:type="dxa"/>
            <w:right w:w="108" w:type="dxa"/>
          </w:tcMar>
          <w:vAlign w:val="center"/>
        </w:tcPr>
        <w:p w14:paraId="65B89B40" w14:textId="7EE9FEAC" w:rsidR="004A1BF9" w:rsidRPr="002819B4" w:rsidRDefault="004A1BF9" w:rsidP="005D511E">
          <w:pPr>
            <w:jc w:val="right"/>
            <w:rPr>
              <w:bCs/>
              <w:szCs w:val="18"/>
            </w:rPr>
          </w:pPr>
          <w:bookmarkStart w:id="55" w:name="bmkLanguage"/>
          <w:r>
            <w:rPr>
              <w:szCs w:val="18"/>
            </w:rPr>
            <w:t xml:space="preserve"> </w:t>
          </w:r>
          <w:bookmarkEnd w:id="55"/>
        </w:p>
      </w:tc>
    </w:tr>
  </w:tbl>
  <w:p w14:paraId="197FA8EE" w14:textId="77777777" w:rsidR="004A1BF9" w:rsidRDefault="004A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474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6C0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84B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D472B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8FE3226"/>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454AB1"/>
    <w:multiLevelType w:val="multilevel"/>
    <w:tmpl w:val="2D162686"/>
    <w:numStyleLink w:val="LegalHeadings"/>
  </w:abstractNum>
  <w:abstractNum w:abstractNumId="7" w15:restartNumberingAfterBreak="0">
    <w:nsid w:val="57551E12"/>
    <w:multiLevelType w:val="multilevel"/>
    <w:tmpl w:val="2D162686"/>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8" w15:restartNumberingAfterBreak="0">
    <w:nsid w:val="63D526BA"/>
    <w:multiLevelType w:val="hybridMultilevel"/>
    <w:tmpl w:val="267CC014"/>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284"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3">
    <w:abstractNumId w:val="7"/>
    <w:lvlOverride w:ilvl="6">
      <w:lvl w:ilvl="6">
        <w:start w:val="1"/>
        <w:numFmt w:val="decimal"/>
        <w:lvlRestart w:val="1"/>
        <w:pStyle w:val="BodyText"/>
        <w:isLgl/>
        <w:suff w:val="nothing"/>
        <w:lvlText w:val="%1.%7.  "/>
        <w:lvlJc w:val="left"/>
        <w:pPr>
          <w:ind w:left="0" w:firstLine="0"/>
        </w:pPr>
        <w:rPr>
          <w:rFonts w:hint="default"/>
        </w:rPr>
      </w:lvl>
    </w:lvlOverride>
  </w:num>
  <w:num w:numId="4">
    <w:abstractNumId w:val="4"/>
  </w:num>
  <w:num w:numId="5">
    <w:abstractNumId w:val="3"/>
  </w:num>
  <w:num w:numId="6">
    <w:abstractNumId w:val="2"/>
  </w:num>
  <w:num w:numId="7">
    <w:abstractNumId w:val="1"/>
  </w:num>
  <w:num w:numId="8">
    <w:abstractNumId w:val="0"/>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6">
      <w:lvl w:ilvl="6">
        <w:start w:val="1"/>
        <w:numFmt w:val="decimal"/>
        <w:lvlRestart w:val="1"/>
        <w:pStyle w:val="BodyText"/>
        <w:isLgl/>
        <w:suff w:val="nothing"/>
        <w:lvlText w:val="%1.%7.  "/>
        <w:lvlJc w:val="left"/>
        <w:pPr>
          <w:ind w:left="0"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567"/>
  <w:evenAndOddHeaders/>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B4"/>
    <w:rsid w:val="00000781"/>
    <w:rsid w:val="000015CE"/>
    <w:rsid w:val="0001181B"/>
    <w:rsid w:val="00013C16"/>
    <w:rsid w:val="000166CD"/>
    <w:rsid w:val="00016940"/>
    <w:rsid w:val="00020094"/>
    <w:rsid w:val="00022CB3"/>
    <w:rsid w:val="00024FE6"/>
    <w:rsid w:val="00026BEA"/>
    <w:rsid w:val="000272F6"/>
    <w:rsid w:val="00031A9A"/>
    <w:rsid w:val="00031CB4"/>
    <w:rsid w:val="00031DC4"/>
    <w:rsid w:val="00037AC4"/>
    <w:rsid w:val="00037C2B"/>
    <w:rsid w:val="00040C9B"/>
    <w:rsid w:val="00041E42"/>
    <w:rsid w:val="000423BF"/>
    <w:rsid w:val="0004278E"/>
    <w:rsid w:val="000438F5"/>
    <w:rsid w:val="00043F9F"/>
    <w:rsid w:val="00046B63"/>
    <w:rsid w:val="00050B5D"/>
    <w:rsid w:val="00053E25"/>
    <w:rsid w:val="00055BC2"/>
    <w:rsid w:val="00056417"/>
    <w:rsid w:val="0005775F"/>
    <w:rsid w:val="00060A36"/>
    <w:rsid w:val="0006431F"/>
    <w:rsid w:val="000650A8"/>
    <w:rsid w:val="00065F07"/>
    <w:rsid w:val="0007005A"/>
    <w:rsid w:val="00070487"/>
    <w:rsid w:val="00071273"/>
    <w:rsid w:val="00075740"/>
    <w:rsid w:val="000760C3"/>
    <w:rsid w:val="00082D2A"/>
    <w:rsid w:val="00083FEA"/>
    <w:rsid w:val="000848B0"/>
    <w:rsid w:val="0008709B"/>
    <w:rsid w:val="0009293F"/>
    <w:rsid w:val="00093AA6"/>
    <w:rsid w:val="00095266"/>
    <w:rsid w:val="00096A4E"/>
    <w:rsid w:val="00097AD8"/>
    <w:rsid w:val="000A0169"/>
    <w:rsid w:val="000A0ED7"/>
    <w:rsid w:val="000A1021"/>
    <w:rsid w:val="000A12D2"/>
    <w:rsid w:val="000A4945"/>
    <w:rsid w:val="000A68EB"/>
    <w:rsid w:val="000A6BE5"/>
    <w:rsid w:val="000A7A1C"/>
    <w:rsid w:val="000B31E1"/>
    <w:rsid w:val="000B32FA"/>
    <w:rsid w:val="000B4F68"/>
    <w:rsid w:val="000C0230"/>
    <w:rsid w:val="000C2EA9"/>
    <w:rsid w:val="000C359E"/>
    <w:rsid w:val="000C39B9"/>
    <w:rsid w:val="000C4A59"/>
    <w:rsid w:val="000C69BA"/>
    <w:rsid w:val="000D1828"/>
    <w:rsid w:val="000D25BD"/>
    <w:rsid w:val="000D269A"/>
    <w:rsid w:val="000D2A28"/>
    <w:rsid w:val="000D6CD6"/>
    <w:rsid w:val="000D75FC"/>
    <w:rsid w:val="000D7A28"/>
    <w:rsid w:val="000E0454"/>
    <w:rsid w:val="000E29F3"/>
    <w:rsid w:val="000E2C0C"/>
    <w:rsid w:val="000E5E36"/>
    <w:rsid w:val="000E7980"/>
    <w:rsid w:val="000F52C5"/>
    <w:rsid w:val="000F5484"/>
    <w:rsid w:val="000F6206"/>
    <w:rsid w:val="000F7950"/>
    <w:rsid w:val="00103E1D"/>
    <w:rsid w:val="00104D5D"/>
    <w:rsid w:val="00105395"/>
    <w:rsid w:val="001053C3"/>
    <w:rsid w:val="00105725"/>
    <w:rsid w:val="00106256"/>
    <w:rsid w:val="001064F4"/>
    <w:rsid w:val="0011062A"/>
    <w:rsid w:val="00112650"/>
    <w:rsid w:val="00112A0B"/>
    <w:rsid w:val="0011356B"/>
    <w:rsid w:val="001136A1"/>
    <w:rsid w:val="00115092"/>
    <w:rsid w:val="001173A4"/>
    <w:rsid w:val="00117E79"/>
    <w:rsid w:val="001218EE"/>
    <w:rsid w:val="00122D61"/>
    <w:rsid w:val="00123B1E"/>
    <w:rsid w:val="00123F68"/>
    <w:rsid w:val="00123FC6"/>
    <w:rsid w:val="001245C5"/>
    <w:rsid w:val="00126724"/>
    <w:rsid w:val="0012703D"/>
    <w:rsid w:val="00127430"/>
    <w:rsid w:val="001303AF"/>
    <w:rsid w:val="001309EC"/>
    <w:rsid w:val="00130B91"/>
    <w:rsid w:val="00132B3B"/>
    <w:rsid w:val="0013337F"/>
    <w:rsid w:val="00134207"/>
    <w:rsid w:val="001355D9"/>
    <w:rsid w:val="001361C6"/>
    <w:rsid w:val="00136A8A"/>
    <w:rsid w:val="001378DA"/>
    <w:rsid w:val="00137E5D"/>
    <w:rsid w:val="0014056A"/>
    <w:rsid w:val="001409CE"/>
    <w:rsid w:val="00141508"/>
    <w:rsid w:val="001428BE"/>
    <w:rsid w:val="0014433A"/>
    <w:rsid w:val="0014701B"/>
    <w:rsid w:val="001508F7"/>
    <w:rsid w:val="0015332B"/>
    <w:rsid w:val="001534DD"/>
    <w:rsid w:val="00154A47"/>
    <w:rsid w:val="0016502E"/>
    <w:rsid w:val="001657A9"/>
    <w:rsid w:val="00166D6A"/>
    <w:rsid w:val="00167E47"/>
    <w:rsid w:val="00167F4D"/>
    <w:rsid w:val="00170D10"/>
    <w:rsid w:val="00172D31"/>
    <w:rsid w:val="00172ECC"/>
    <w:rsid w:val="00173C08"/>
    <w:rsid w:val="001745CB"/>
    <w:rsid w:val="00175A02"/>
    <w:rsid w:val="00175DC0"/>
    <w:rsid w:val="0018184E"/>
    <w:rsid w:val="00181A1C"/>
    <w:rsid w:val="001822D5"/>
    <w:rsid w:val="00182B84"/>
    <w:rsid w:val="00184CD2"/>
    <w:rsid w:val="0018541D"/>
    <w:rsid w:val="00185A94"/>
    <w:rsid w:val="001918AD"/>
    <w:rsid w:val="00192B60"/>
    <w:rsid w:val="00195F58"/>
    <w:rsid w:val="00196F84"/>
    <w:rsid w:val="001A1B5C"/>
    <w:rsid w:val="001A31FC"/>
    <w:rsid w:val="001A4CF5"/>
    <w:rsid w:val="001A5687"/>
    <w:rsid w:val="001A5E77"/>
    <w:rsid w:val="001A79F8"/>
    <w:rsid w:val="001B148C"/>
    <w:rsid w:val="001B4182"/>
    <w:rsid w:val="001B487B"/>
    <w:rsid w:val="001B7A31"/>
    <w:rsid w:val="001C03E4"/>
    <w:rsid w:val="001C0AC4"/>
    <w:rsid w:val="001C24F8"/>
    <w:rsid w:val="001C40FC"/>
    <w:rsid w:val="001C46BA"/>
    <w:rsid w:val="001C6525"/>
    <w:rsid w:val="001C68AA"/>
    <w:rsid w:val="001C7417"/>
    <w:rsid w:val="001C7773"/>
    <w:rsid w:val="001D0643"/>
    <w:rsid w:val="001D17D8"/>
    <w:rsid w:val="001D37AE"/>
    <w:rsid w:val="001D4FE7"/>
    <w:rsid w:val="001D542B"/>
    <w:rsid w:val="001D6444"/>
    <w:rsid w:val="001E0904"/>
    <w:rsid w:val="001E2603"/>
    <w:rsid w:val="001E291F"/>
    <w:rsid w:val="001E2C2E"/>
    <w:rsid w:val="001E3028"/>
    <w:rsid w:val="001E3C1D"/>
    <w:rsid w:val="001E4F62"/>
    <w:rsid w:val="001E6A32"/>
    <w:rsid w:val="001E7B8E"/>
    <w:rsid w:val="001F04B0"/>
    <w:rsid w:val="001F160D"/>
    <w:rsid w:val="001F1BA1"/>
    <w:rsid w:val="001F254B"/>
    <w:rsid w:val="001F36E2"/>
    <w:rsid w:val="001F370E"/>
    <w:rsid w:val="001F4F77"/>
    <w:rsid w:val="001F531F"/>
    <w:rsid w:val="0020019E"/>
    <w:rsid w:val="00202A28"/>
    <w:rsid w:val="002056C6"/>
    <w:rsid w:val="00205D7A"/>
    <w:rsid w:val="00207653"/>
    <w:rsid w:val="002101B8"/>
    <w:rsid w:val="00212D79"/>
    <w:rsid w:val="00214A42"/>
    <w:rsid w:val="00214BD9"/>
    <w:rsid w:val="00215032"/>
    <w:rsid w:val="002163C5"/>
    <w:rsid w:val="0021767B"/>
    <w:rsid w:val="00221F15"/>
    <w:rsid w:val="00223E25"/>
    <w:rsid w:val="00223E7C"/>
    <w:rsid w:val="0022508A"/>
    <w:rsid w:val="002333EF"/>
    <w:rsid w:val="00233408"/>
    <w:rsid w:val="00234AD2"/>
    <w:rsid w:val="00236374"/>
    <w:rsid w:val="00241723"/>
    <w:rsid w:val="00241F3A"/>
    <w:rsid w:val="00241F3E"/>
    <w:rsid w:val="0024265F"/>
    <w:rsid w:val="002438F0"/>
    <w:rsid w:val="0024418A"/>
    <w:rsid w:val="00245756"/>
    <w:rsid w:val="00245B92"/>
    <w:rsid w:val="00247C06"/>
    <w:rsid w:val="002538CD"/>
    <w:rsid w:val="002541DF"/>
    <w:rsid w:val="00254C9F"/>
    <w:rsid w:val="00256899"/>
    <w:rsid w:val="00256929"/>
    <w:rsid w:val="00257FCC"/>
    <w:rsid w:val="00261D25"/>
    <w:rsid w:val="00261D33"/>
    <w:rsid w:val="00265FDA"/>
    <w:rsid w:val="0027067B"/>
    <w:rsid w:val="00273EC4"/>
    <w:rsid w:val="002744A8"/>
    <w:rsid w:val="002752B9"/>
    <w:rsid w:val="0027537D"/>
    <w:rsid w:val="002771A1"/>
    <w:rsid w:val="002819B4"/>
    <w:rsid w:val="00283447"/>
    <w:rsid w:val="00287CE7"/>
    <w:rsid w:val="00290ACE"/>
    <w:rsid w:val="002911E5"/>
    <w:rsid w:val="002914B0"/>
    <w:rsid w:val="00292870"/>
    <w:rsid w:val="00292DAB"/>
    <w:rsid w:val="002937EC"/>
    <w:rsid w:val="00296792"/>
    <w:rsid w:val="002A02A8"/>
    <w:rsid w:val="002A0496"/>
    <w:rsid w:val="002A04A8"/>
    <w:rsid w:val="002A10DF"/>
    <w:rsid w:val="002A1562"/>
    <w:rsid w:val="002A3EB3"/>
    <w:rsid w:val="002A6370"/>
    <w:rsid w:val="002A7649"/>
    <w:rsid w:val="002B08E4"/>
    <w:rsid w:val="002B1F9A"/>
    <w:rsid w:val="002B34DB"/>
    <w:rsid w:val="002B4037"/>
    <w:rsid w:val="002B475D"/>
    <w:rsid w:val="002B6103"/>
    <w:rsid w:val="002B765D"/>
    <w:rsid w:val="002C1B7F"/>
    <w:rsid w:val="002C1C68"/>
    <w:rsid w:val="002C1D3D"/>
    <w:rsid w:val="002C256B"/>
    <w:rsid w:val="002C2D62"/>
    <w:rsid w:val="002C67C6"/>
    <w:rsid w:val="002D36E9"/>
    <w:rsid w:val="002D4417"/>
    <w:rsid w:val="002D6F39"/>
    <w:rsid w:val="002D7322"/>
    <w:rsid w:val="002D7D25"/>
    <w:rsid w:val="002E06E2"/>
    <w:rsid w:val="002E079F"/>
    <w:rsid w:val="002E15F1"/>
    <w:rsid w:val="002E263B"/>
    <w:rsid w:val="002E3C41"/>
    <w:rsid w:val="002F05F3"/>
    <w:rsid w:val="002F3BFC"/>
    <w:rsid w:val="002F6FC8"/>
    <w:rsid w:val="002F79AF"/>
    <w:rsid w:val="002F7F83"/>
    <w:rsid w:val="00301D48"/>
    <w:rsid w:val="00303816"/>
    <w:rsid w:val="003053FF"/>
    <w:rsid w:val="00307F21"/>
    <w:rsid w:val="00310ABD"/>
    <w:rsid w:val="00310FDD"/>
    <w:rsid w:val="00311BB1"/>
    <w:rsid w:val="00313F67"/>
    <w:rsid w:val="0031420B"/>
    <w:rsid w:val="00314662"/>
    <w:rsid w:val="00314841"/>
    <w:rsid w:val="0031562F"/>
    <w:rsid w:val="003156C6"/>
    <w:rsid w:val="0031703C"/>
    <w:rsid w:val="00320929"/>
    <w:rsid w:val="00321E98"/>
    <w:rsid w:val="003229C4"/>
    <w:rsid w:val="00324CF1"/>
    <w:rsid w:val="003255C5"/>
    <w:rsid w:val="00326087"/>
    <w:rsid w:val="003261E0"/>
    <w:rsid w:val="00331818"/>
    <w:rsid w:val="00332150"/>
    <w:rsid w:val="003322DC"/>
    <w:rsid w:val="003323BD"/>
    <w:rsid w:val="00332469"/>
    <w:rsid w:val="00333230"/>
    <w:rsid w:val="00334CA2"/>
    <w:rsid w:val="00335305"/>
    <w:rsid w:val="00340B16"/>
    <w:rsid w:val="00341B90"/>
    <w:rsid w:val="00341CEF"/>
    <w:rsid w:val="0034326B"/>
    <w:rsid w:val="00343285"/>
    <w:rsid w:val="00343608"/>
    <w:rsid w:val="00344747"/>
    <w:rsid w:val="0034510D"/>
    <w:rsid w:val="0034599C"/>
    <w:rsid w:val="003467F2"/>
    <w:rsid w:val="0035059B"/>
    <w:rsid w:val="00353C70"/>
    <w:rsid w:val="00354125"/>
    <w:rsid w:val="003545CB"/>
    <w:rsid w:val="003572B4"/>
    <w:rsid w:val="00357876"/>
    <w:rsid w:val="003627C1"/>
    <w:rsid w:val="003643E5"/>
    <w:rsid w:val="00365A57"/>
    <w:rsid w:val="00371234"/>
    <w:rsid w:val="00371AD7"/>
    <w:rsid w:val="00371CEB"/>
    <w:rsid w:val="003761B2"/>
    <w:rsid w:val="00377824"/>
    <w:rsid w:val="003812A8"/>
    <w:rsid w:val="00383D0E"/>
    <w:rsid w:val="00384144"/>
    <w:rsid w:val="00385557"/>
    <w:rsid w:val="00386711"/>
    <w:rsid w:val="00387030"/>
    <w:rsid w:val="00390081"/>
    <w:rsid w:val="00390567"/>
    <w:rsid w:val="00390636"/>
    <w:rsid w:val="0039176C"/>
    <w:rsid w:val="00391F68"/>
    <w:rsid w:val="003933C5"/>
    <w:rsid w:val="003958C9"/>
    <w:rsid w:val="00396EA4"/>
    <w:rsid w:val="003A617D"/>
    <w:rsid w:val="003A7ABF"/>
    <w:rsid w:val="003B029F"/>
    <w:rsid w:val="003B0B24"/>
    <w:rsid w:val="003B21BB"/>
    <w:rsid w:val="003B3FAB"/>
    <w:rsid w:val="003B5F10"/>
    <w:rsid w:val="003B6E9C"/>
    <w:rsid w:val="003B6FD3"/>
    <w:rsid w:val="003B7B33"/>
    <w:rsid w:val="003C0ED8"/>
    <w:rsid w:val="003C1867"/>
    <w:rsid w:val="003C2128"/>
    <w:rsid w:val="003C3374"/>
    <w:rsid w:val="003C3843"/>
    <w:rsid w:val="003C5CFB"/>
    <w:rsid w:val="003C74DD"/>
    <w:rsid w:val="003C7E1D"/>
    <w:rsid w:val="003D2A1C"/>
    <w:rsid w:val="003D2EF5"/>
    <w:rsid w:val="003D398D"/>
    <w:rsid w:val="003D3DEA"/>
    <w:rsid w:val="003D6DA8"/>
    <w:rsid w:val="003E21C5"/>
    <w:rsid w:val="003E285D"/>
    <w:rsid w:val="003E3160"/>
    <w:rsid w:val="003E39AE"/>
    <w:rsid w:val="003F2F15"/>
    <w:rsid w:val="003F3CAB"/>
    <w:rsid w:val="003F427A"/>
    <w:rsid w:val="003F48B4"/>
    <w:rsid w:val="003F744F"/>
    <w:rsid w:val="003F77F4"/>
    <w:rsid w:val="004002E8"/>
    <w:rsid w:val="00402993"/>
    <w:rsid w:val="00403631"/>
    <w:rsid w:val="004048F6"/>
    <w:rsid w:val="004065F7"/>
    <w:rsid w:val="00410466"/>
    <w:rsid w:val="00410A4E"/>
    <w:rsid w:val="004111B8"/>
    <w:rsid w:val="00414374"/>
    <w:rsid w:val="00415222"/>
    <w:rsid w:val="00415A8D"/>
    <w:rsid w:val="00415CF5"/>
    <w:rsid w:val="004167BF"/>
    <w:rsid w:val="004212DE"/>
    <w:rsid w:val="00423035"/>
    <w:rsid w:val="004263B3"/>
    <w:rsid w:val="0043042E"/>
    <w:rsid w:val="0043193E"/>
    <w:rsid w:val="004336D3"/>
    <w:rsid w:val="00433890"/>
    <w:rsid w:val="00433D33"/>
    <w:rsid w:val="00435361"/>
    <w:rsid w:val="004357BB"/>
    <w:rsid w:val="00435DA2"/>
    <w:rsid w:val="00436072"/>
    <w:rsid w:val="00443022"/>
    <w:rsid w:val="0044395C"/>
    <w:rsid w:val="00444BF5"/>
    <w:rsid w:val="00445CA9"/>
    <w:rsid w:val="00445FE1"/>
    <w:rsid w:val="00447401"/>
    <w:rsid w:val="004507A7"/>
    <w:rsid w:val="00450C50"/>
    <w:rsid w:val="00450F81"/>
    <w:rsid w:val="00452AB5"/>
    <w:rsid w:val="00455E4D"/>
    <w:rsid w:val="00457F85"/>
    <w:rsid w:val="0046017F"/>
    <w:rsid w:val="00464378"/>
    <w:rsid w:val="00466720"/>
    <w:rsid w:val="00467032"/>
    <w:rsid w:val="0046754A"/>
    <w:rsid w:val="00470529"/>
    <w:rsid w:val="00471192"/>
    <w:rsid w:val="00471BA2"/>
    <w:rsid w:val="00473C07"/>
    <w:rsid w:val="00474130"/>
    <w:rsid w:val="00474433"/>
    <w:rsid w:val="0047504C"/>
    <w:rsid w:val="00475274"/>
    <w:rsid w:val="004801CE"/>
    <w:rsid w:val="00480C61"/>
    <w:rsid w:val="0048166C"/>
    <w:rsid w:val="00482098"/>
    <w:rsid w:val="00483303"/>
    <w:rsid w:val="00486C42"/>
    <w:rsid w:val="0049089B"/>
    <w:rsid w:val="0049149A"/>
    <w:rsid w:val="00491A45"/>
    <w:rsid w:val="00492778"/>
    <w:rsid w:val="00492B6F"/>
    <w:rsid w:val="004A1632"/>
    <w:rsid w:val="004A1BF9"/>
    <w:rsid w:val="004A3C73"/>
    <w:rsid w:val="004A5E83"/>
    <w:rsid w:val="004A624E"/>
    <w:rsid w:val="004A6EFD"/>
    <w:rsid w:val="004A7CFA"/>
    <w:rsid w:val="004B24BE"/>
    <w:rsid w:val="004B2D33"/>
    <w:rsid w:val="004B2F05"/>
    <w:rsid w:val="004B38FE"/>
    <w:rsid w:val="004B45DF"/>
    <w:rsid w:val="004B5B9F"/>
    <w:rsid w:val="004B7D2C"/>
    <w:rsid w:val="004C0DFF"/>
    <w:rsid w:val="004C1097"/>
    <w:rsid w:val="004C2F0A"/>
    <w:rsid w:val="004C301F"/>
    <w:rsid w:val="004C3720"/>
    <w:rsid w:val="004C592C"/>
    <w:rsid w:val="004C5C7C"/>
    <w:rsid w:val="004C67F4"/>
    <w:rsid w:val="004D139A"/>
    <w:rsid w:val="004D26EF"/>
    <w:rsid w:val="004D2B96"/>
    <w:rsid w:val="004D3259"/>
    <w:rsid w:val="004D3606"/>
    <w:rsid w:val="004D3A8A"/>
    <w:rsid w:val="004D60C8"/>
    <w:rsid w:val="004D6383"/>
    <w:rsid w:val="004D6DD4"/>
    <w:rsid w:val="004E0F63"/>
    <w:rsid w:val="004E2364"/>
    <w:rsid w:val="004E598B"/>
    <w:rsid w:val="004F0137"/>
    <w:rsid w:val="004F0C50"/>
    <w:rsid w:val="004F203A"/>
    <w:rsid w:val="004F4347"/>
    <w:rsid w:val="005054CA"/>
    <w:rsid w:val="005063FB"/>
    <w:rsid w:val="00507AA5"/>
    <w:rsid w:val="00507EF2"/>
    <w:rsid w:val="0051027C"/>
    <w:rsid w:val="00513B6A"/>
    <w:rsid w:val="00514C87"/>
    <w:rsid w:val="00515C41"/>
    <w:rsid w:val="00515FDC"/>
    <w:rsid w:val="005244A3"/>
    <w:rsid w:val="005330B9"/>
    <w:rsid w:val="005336B8"/>
    <w:rsid w:val="005341B2"/>
    <w:rsid w:val="00535FD1"/>
    <w:rsid w:val="00541E96"/>
    <w:rsid w:val="00543889"/>
    <w:rsid w:val="00544326"/>
    <w:rsid w:val="005455FE"/>
    <w:rsid w:val="00545F3F"/>
    <w:rsid w:val="0054640D"/>
    <w:rsid w:val="00547B5F"/>
    <w:rsid w:val="00550B24"/>
    <w:rsid w:val="00551774"/>
    <w:rsid w:val="00552C05"/>
    <w:rsid w:val="00556715"/>
    <w:rsid w:val="00556E40"/>
    <w:rsid w:val="00564BED"/>
    <w:rsid w:val="00565561"/>
    <w:rsid w:val="0056783E"/>
    <w:rsid w:val="00570AE8"/>
    <w:rsid w:val="00572B49"/>
    <w:rsid w:val="00572E65"/>
    <w:rsid w:val="00574A21"/>
    <w:rsid w:val="00574AFA"/>
    <w:rsid w:val="005755B3"/>
    <w:rsid w:val="0057569A"/>
    <w:rsid w:val="00576C92"/>
    <w:rsid w:val="00577277"/>
    <w:rsid w:val="00582C0A"/>
    <w:rsid w:val="00584700"/>
    <w:rsid w:val="00584C28"/>
    <w:rsid w:val="005855D0"/>
    <w:rsid w:val="00586552"/>
    <w:rsid w:val="0059068A"/>
    <w:rsid w:val="00591745"/>
    <w:rsid w:val="005927A8"/>
    <w:rsid w:val="005935B4"/>
    <w:rsid w:val="0059591B"/>
    <w:rsid w:val="005A143E"/>
    <w:rsid w:val="005A1B60"/>
    <w:rsid w:val="005A2FCD"/>
    <w:rsid w:val="005A48C4"/>
    <w:rsid w:val="005B04B9"/>
    <w:rsid w:val="005B3A2C"/>
    <w:rsid w:val="005B68C7"/>
    <w:rsid w:val="005B6CBA"/>
    <w:rsid w:val="005B7054"/>
    <w:rsid w:val="005B7EB3"/>
    <w:rsid w:val="005C0601"/>
    <w:rsid w:val="005C2A5D"/>
    <w:rsid w:val="005C2C68"/>
    <w:rsid w:val="005C3783"/>
    <w:rsid w:val="005C4109"/>
    <w:rsid w:val="005C610B"/>
    <w:rsid w:val="005C66C9"/>
    <w:rsid w:val="005D1E1A"/>
    <w:rsid w:val="005D3ED9"/>
    <w:rsid w:val="005D4B8D"/>
    <w:rsid w:val="005D511E"/>
    <w:rsid w:val="005D5981"/>
    <w:rsid w:val="005D642F"/>
    <w:rsid w:val="005D6C29"/>
    <w:rsid w:val="005E3CAD"/>
    <w:rsid w:val="005E3FAB"/>
    <w:rsid w:val="005E78A3"/>
    <w:rsid w:val="005F1CBB"/>
    <w:rsid w:val="005F30CB"/>
    <w:rsid w:val="005F363E"/>
    <w:rsid w:val="005F4124"/>
    <w:rsid w:val="005F45DB"/>
    <w:rsid w:val="005F7A12"/>
    <w:rsid w:val="00600C21"/>
    <w:rsid w:val="00602D85"/>
    <w:rsid w:val="006035CB"/>
    <w:rsid w:val="0060523E"/>
    <w:rsid w:val="00607C61"/>
    <w:rsid w:val="00610188"/>
    <w:rsid w:val="00610450"/>
    <w:rsid w:val="00612644"/>
    <w:rsid w:val="0061363C"/>
    <w:rsid w:val="00614751"/>
    <w:rsid w:val="00616189"/>
    <w:rsid w:val="0061650D"/>
    <w:rsid w:val="00617744"/>
    <w:rsid w:val="006201DA"/>
    <w:rsid w:val="00620EB7"/>
    <w:rsid w:val="0062108F"/>
    <w:rsid w:val="00621BD1"/>
    <w:rsid w:val="0062351E"/>
    <w:rsid w:val="0062449B"/>
    <w:rsid w:val="006248AF"/>
    <w:rsid w:val="00632B21"/>
    <w:rsid w:val="00635B1B"/>
    <w:rsid w:val="00636E57"/>
    <w:rsid w:val="0063787A"/>
    <w:rsid w:val="00640557"/>
    <w:rsid w:val="00641CB5"/>
    <w:rsid w:val="0064503C"/>
    <w:rsid w:val="00646308"/>
    <w:rsid w:val="00646CD2"/>
    <w:rsid w:val="006477FA"/>
    <w:rsid w:val="00652DB2"/>
    <w:rsid w:val="0065365E"/>
    <w:rsid w:val="006537DE"/>
    <w:rsid w:val="0065380A"/>
    <w:rsid w:val="00653D81"/>
    <w:rsid w:val="006547B6"/>
    <w:rsid w:val="00655B36"/>
    <w:rsid w:val="006576B8"/>
    <w:rsid w:val="00657A27"/>
    <w:rsid w:val="00661576"/>
    <w:rsid w:val="00661DC1"/>
    <w:rsid w:val="00664771"/>
    <w:rsid w:val="00664CA5"/>
    <w:rsid w:val="006652C8"/>
    <w:rsid w:val="00666B4F"/>
    <w:rsid w:val="00667BD0"/>
    <w:rsid w:val="00673F64"/>
    <w:rsid w:val="00674CCD"/>
    <w:rsid w:val="006760AD"/>
    <w:rsid w:val="006835D0"/>
    <w:rsid w:val="00686F65"/>
    <w:rsid w:val="00687DC3"/>
    <w:rsid w:val="00691941"/>
    <w:rsid w:val="0069429A"/>
    <w:rsid w:val="006957D7"/>
    <w:rsid w:val="006961B4"/>
    <w:rsid w:val="006962EC"/>
    <w:rsid w:val="00696E72"/>
    <w:rsid w:val="006A0282"/>
    <w:rsid w:val="006A0DD0"/>
    <w:rsid w:val="006A40F9"/>
    <w:rsid w:val="006A5686"/>
    <w:rsid w:val="006B057F"/>
    <w:rsid w:val="006B0897"/>
    <w:rsid w:val="006B0AA2"/>
    <w:rsid w:val="006B1B2E"/>
    <w:rsid w:val="006B380A"/>
    <w:rsid w:val="006B3A29"/>
    <w:rsid w:val="006C129B"/>
    <w:rsid w:val="006C2D7F"/>
    <w:rsid w:val="006C4137"/>
    <w:rsid w:val="006C42F7"/>
    <w:rsid w:val="006C72A4"/>
    <w:rsid w:val="006D034F"/>
    <w:rsid w:val="006D30E1"/>
    <w:rsid w:val="006D3326"/>
    <w:rsid w:val="006F019A"/>
    <w:rsid w:val="006F07E7"/>
    <w:rsid w:val="006F1943"/>
    <w:rsid w:val="006F247B"/>
    <w:rsid w:val="006F2D28"/>
    <w:rsid w:val="006F3ADC"/>
    <w:rsid w:val="006F4D1A"/>
    <w:rsid w:val="006F4F21"/>
    <w:rsid w:val="006F5712"/>
    <w:rsid w:val="006F5826"/>
    <w:rsid w:val="006F5B81"/>
    <w:rsid w:val="00700181"/>
    <w:rsid w:val="00700E52"/>
    <w:rsid w:val="00701968"/>
    <w:rsid w:val="00702719"/>
    <w:rsid w:val="00702EB6"/>
    <w:rsid w:val="00703DD6"/>
    <w:rsid w:val="007050B1"/>
    <w:rsid w:val="007114AC"/>
    <w:rsid w:val="007141CF"/>
    <w:rsid w:val="00715883"/>
    <w:rsid w:val="00717565"/>
    <w:rsid w:val="007249D8"/>
    <w:rsid w:val="00724BF5"/>
    <w:rsid w:val="007260F6"/>
    <w:rsid w:val="0072734F"/>
    <w:rsid w:val="00730126"/>
    <w:rsid w:val="00730879"/>
    <w:rsid w:val="00731052"/>
    <w:rsid w:val="00733130"/>
    <w:rsid w:val="00736992"/>
    <w:rsid w:val="00737DA7"/>
    <w:rsid w:val="00740BF0"/>
    <w:rsid w:val="00741557"/>
    <w:rsid w:val="00742597"/>
    <w:rsid w:val="00742788"/>
    <w:rsid w:val="00744886"/>
    <w:rsid w:val="00745146"/>
    <w:rsid w:val="007528FB"/>
    <w:rsid w:val="00753887"/>
    <w:rsid w:val="00754B3D"/>
    <w:rsid w:val="007577E3"/>
    <w:rsid w:val="00760DB3"/>
    <w:rsid w:val="00761C5A"/>
    <w:rsid w:val="007624AA"/>
    <w:rsid w:val="0076313F"/>
    <w:rsid w:val="007639AC"/>
    <w:rsid w:val="00764219"/>
    <w:rsid w:val="00767CDE"/>
    <w:rsid w:val="00770CEA"/>
    <w:rsid w:val="00771FDC"/>
    <w:rsid w:val="007751EE"/>
    <w:rsid w:val="00775F30"/>
    <w:rsid w:val="00776B5A"/>
    <w:rsid w:val="00777926"/>
    <w:rsid w:val="0078202C"/>
    <w:rsid w:val="00785621"/>
    <w:rsid w:val="00785774"/>
    <w:rsid w:val="007857D2"/>
    <w:rsid w:val="007858B3"/>
    <w:rsid w:val="00786518"/>
    <w:rsid w:val="00787F7D"/>
    <w:rsid w:val="00792A53"/>
    <w:rsid w:val="00793E82"/>
    <w:rsid w:val="00794C74"/>
    <w:rsid w:val="007968EF"/>
    <w:rsid w:val="00796A0E"/>
    <w:rsid w:val="007A0D60"/>
    <w:rsid w:val="007A3AE6"/>
    <w:rsid w:val="007A50C2"/>
    <w:rsid w:val="007A580E"/>
    <w:rsid w:val="007A6AA9"/>
    <w:rsid w:val="007B0CB2"/>
    <w:rsid w:val="007B27ED"/>
    <w:rsid w:val="007B30C4"/>
    <w:rsid w:val="007B33F6"/>
    <w:rsid w:val="007B3DED"/>
    <w:rsid w:val="007B5AA9"/>
    <w:rsid w:val="007B5D2F"/>
    <w:rsid w:val="007C1FAF"/>
    <w:rsid w:val="007C5257"/>
    <w:rsid w:val="007C59F8"/>
    <w:rsid w:val="007C61FE"/>
    <w:rsid w:val="007C6D5E"/>
    <w:rsid w:val="007C72F3"/>
    <w:rsid w:val="007C7E52"/>
    <w:rsid w:val="007D39C0"/>
    <w:rsid w:val="007D5212"/>
    <w:rsid w:val="007E57E6"/>
    <w:rsid w:val="007E58FC"/>
    <w:rsid w:val="007E5FC6"/>
    <w:rsid w:val="007E6507"/>
    <w:rsid w:val="007E792B"/>
    <w:rsid w:val="007F279A"/>
    <w:rsid w:val="007F2B8E"/>
    <w:rsid w:val="007F42F9"/>
    <w:rsid w:val="007F4E65"/>
    <w:rsid w:val="007F5FCA"/>
    <w:rsid w:val="007F6CCF"/>
    <w:rsid w:val="007F730B"/>
    <w:rsid w:val="007F78D3"/>
    <w:rsid w:val="00802734"/>
    <w:rsid w:val="00802EA7"/>
    <w:rsid w:val="00802F31"/>
    <w:rsid w:val="008036D4"/>
    <w:rsid w:val="00806D4B"/>
    <w:rsid w:val="00807247"/>
    <w:rsid w:val="0080771B"/>
    <w:rsid w:val="008077D2"/>
    <w:rsid w:val="00807A1F"/>
    <w:rsid w:val="008103FB"/>
    <w:rsid w:val="00810B5A"/>
    <w:rsid w:val="00813A16"/>
    <w:rsid w:val="00814275"/>
    <w:rsid w:val="00817AA7"/>
    <w:rsid w:val="00821000"/>
    <w:rsid w:val="00821738"/>
    <w:rsid w:val="00822EC0"/>
    <w:rsid w:val="008327A3"/>
    <w:rsid w:val="00834586"/>
    <w:rsid w:val="00835B2B"/>
    <w:rsid w:val="0084023D"/>
    <w:rsid w:val="00840C2B"/>
    <w:rsid w:val="00841341"/>
    <w:rsid w:val="00841974"/>
    <w:rsid w:val="00843B91"/>
    <w:rsid w:val="008509F5"/>
    <w:rsid w:val="00851B7A"/>
    <w:rsid w:val="00851F87"/>
    <w:rsid w:val="00860710"/>
    <w:rsid w:val="00860751"/>
    <w:rsid w:val="00860CA3"/>
    <w:rsid w:val="008622E8"/>
    <w:rsid w:val="0086273D"/>
    <w:rsid w:val="00866F83"/>
    <w:rsid w:val="00870F54"/>
    <w:rsid w:val="008739FD"/>
    <w:rsid w:val="00874441"/>
    <w:rsid w:val="0087453B"/>
    <w:rsid w:val="00875EF7"/>
    <w:rsid w:val="00877709"/>
    <w:rsid w:val="00880406"/>
    <w:rsid w:val="00880984"/>
    <w:rsid w:val="00882053"/>
    <w:rsid w:val="0088350E"/>
    <w:rsid w:val="0088437A"/>
    <w:rsid w:val="00890BEA"/>
    <w:rsid w:val="00891780"/>
    <w:rsid w:val="00891D79"/>
    <w:rsid w:val="00891EE0"/>
    <w:rsid w:val="00893E85"/>
    <w:rsid w:val="00894F3D"/>
    <w:rsid w:val="0089523B"/>
    <w:rsid w:val="00897565"/>
    <w:rsid w:val="008A45DA"/>
    <w:rsid w:val="008A4AFC"/>
    <w:rsid w:val="008A562B"/>
    <w:rsid w:val="008A79E7"/>
    <w:rsid w:val="008A7FE2"/>
    <w:rsid w:val="008B04D4"/>
    <w:rsid w:val="008B17E1"/>
    <w:rsid w:val="008B2051"/>
    <w:rsid w:val="008B2B1E"/>
    <w:rsid w:val="008B3416"/>
    <w:rsid w:val="008B4A48"/>
    <w:rsid w:val="008C0332"/>
    <w:rsid w:val="008C05DD"/>
    <w:rsid w:val="008C2363"/>
    <w:rsid w:val="008C2388"/>
    <w:rsid w:val="008C2C6E"/>
    <w:rsid w:val="008C3286"/>
    <w:rsid w:val="008C3D05"/>
    <w:rsid w:val="008C4DD6"/>
    <w:rsid w:val="008C55CD"/>
    <w:rsid w:val="008C6F99"/>
    <w:rsid w:val="008D1380"/>
    <w:rsid w:val="008D32E2"/>
    <w:rsid w:val="008D3ED8"/>
    <w:rsid w:val="008D4398"/>
    <w:rsid w:val="008D4AA7"/>
    <w:rsid w:val="008D4EFD"/>
    <w:rsid w:val="008D6201"/>
    <w:rsid w:val="008D6C8D"/>
    <w:rsid w:val="008E0AC3"/>
    <w:rsid w:val="008E1805"/>
    <w:rsid w:val="008E31CB"/>
    <w:rsid w:val="008E372C"/>
    <w:rsid w:val="008E5B39"/>
    <w:rsid w:val="008E724C"/>
    <w:rsid w:val="008E7E24"/>
    <w:rsid w:val="008F3B71"/>
    <w:rsid w:val="009008FE"/>
    <w:rsid w:val="00900973"/>
    <w:rsid w:val="00901BEF"/>
    <w:rsid w:val="0090284F"/>
    <w:rsid w:val="00906669"/>
    <w:rsid w:val="00907CE0"/>
    <w:rsid w:val="00907DEB"/>
    <w:rsid w:val="00912B23"/>
    <w:rsid w:val="009131E1"/>
    <w:rsid w:val="00915834"/>
    <w:rsid w:val="00920618"/>
    <w:rsid w:val="009210E8"/>
    <w:rsid w:val="00923497"/>
    <w:rsid w:val="00927227"/>
    <w:rsid w:val="00927A37"/>
    <w:rsid w:val="009313EA"/>
    <w:rsid w:val="00931560"/>
    <w:rsid w:val="0093236A"/>
    <w:rsid w:val="00933B96"/>
    <w:rsid w:val="00937CD7"/>
    <w:rsid w:val="009418B9"/>
    <w:rsid w:val="009451E3"/>
    <w:rsid w:val="00945EEF"/>
    <w:rsid w:val="0094641D"/>
    <w:rsid w:val="009505DE"/>
    <w:rsid w:val="00953058"/>
    <w:rsid w:val="0095318C"/>
    <w:rsid w:val="00954965"/>
    <w:rsid w:val="00954B91"/>
    <w:rsid w:val="00955ABF"/>
    <w:rsid w:val="009560B4"/>
    <w:rsid w:val="00957FF5"/>
    <w:rsid w:val="00961709"/>
    <w:rsid w:val="00963524"/>
    <w:rsid w:val="00965151"/>
    <w:rsid w:val="00966B45"/>
    <w:rsid w:val="00966D50"/>
    <w:rsid w:val="009727AF"/>
    <w:rsid w:val="00973C05"/>
    <w:rsid w:val="00973E7F"/>
    <w:rsid w:val="00973EEE"/>
    <w:rsid w:val="009744FF"/>
    <w:rsid w:val="00975CAE"/>
    <w:rsid w:val="00986520"/>
    <w:rsid w:val="009941C0"/>
    <w:rsid w:val="00994446"/>
    <w:rsid w:val="0099765D"/>
    <w:rsid w:val="009A3154"/>
    <w:rsid w:val="009A341E"/>
    <w:rsid w:val="009A4C8B"/>
    <w:rsid w:val="009A6F54"/>
    <w:rsid w:val="009A7EFC"/>
    <w:rsid w:val="009B37B0"/>
    <w:rsid w:val="009B6720"/>
    <w:rsid w:val="009C0F52"/>
    <w:rsid w:val="009C2F9D"/>
    <w:rsid w:val="009C5EE4"/>
    <w:rsid w:val="009C7E51"/>
    <w:rsid w:val="009D0AE4"/>
    <w:rsid w:val="009E0DFB"/>
    <w:rsid w:val="009E22B5"/>
    <w:rsid w:val="009E23D6"/>
    <w:rsid w:val="009E5261"/>
    <w:rsid w:val="009E5674"/>
    <w:rsid w:val="009E5DED"/>
    <w:rsid w:val="009E7038"/>
    <w:rsid w:val="009E7D05"/>
    <w:rsid w:val="009F0CBD"/>
    <w:rsid w:val="009F2677"/>
    <w:rsid w:val="009F4241"/>
    <w:rsid w:val="009F483E"/>
    <w:rsid w:val="009F52D3"/>
    <w:rsid w:val="009F7172"/>
    <w:rsid w:val="009F7381"/>
    <w:rsid w:val="00A00163"/>
    <w:rsid w:val="00A02C01"/>
    <w:rsid w:val="00A03084"/>
    <w:rsid w:val="00A032DE"/>
    <w:rsid w:val="00A038BE"/>
    <w:rsid w:val="00A040A3"/>
    <w:rsid w:val="00A04AC7"/>
    <w:rsid w:val="00A052AA"/>
    <w:rsid w:val="00A07AE9"/>
    <w:rsid w:val="00A10F8A"/>
    <w:rsid w:val="00A113C1"/>
    <w:rsid w:val="00A11CF3"/>
    <w:rsid w:val="00A1209E"/>
    <w:rsid w:val="00A147D5"/>
    <w:rsid w:val="00A1515F"/>
    <w:rsid w:val="00A155A1"/>
    <w:rsid w:val="00A15C10"/>
    <w:rsid w:val="00A23D7C"/>
    <w:rsid w:val="00A3080D"/>
    <w:rsid w:val="00A3263B"/>
    <w:rsid w:val="00A333DC"/>
    <w:rsid w:val="00A34CCD"/>
    <w:rsid w:val="00A35826"/>
    <w:rsid w:val="00A37F04"/>
    <w:rsid w:val="00A42094"/>
    <w:rsid w:val="00A42807"/>
    <w:rsid w:val="00A43FB2"/>
    <w:rsid w:val="00A4511C"/>
    <w:rsid w:val="00A46243"/>
    <w:rsid w:val="00A464F4"/>
    <w:rsid w:val="00A47D35"/>
    <w:rsid w:val="00A504C4"/>
    <w:rsid w:val="00A5270E"/>
    <w:rsid w:val="00A552F5"/>
    <w:rsid w:val="00A5645E"/>
    <w:rsid w:val="00A56F28"/>
    <w:rsid w:val="00A578E1"/>
    <w:rsid w:val="00A57BF9"/>
    <w:rsid w:val="00A6057A"/>
    <w:rsid w:val="00A62269"/>
    <w:rsid w:val="00A65E54"/>
    <w:rsid w:val="00A6749C"/>
    <w:rsid w:val="00A704A0"/>
    <w:rsid w:val="00A704F9"/>
    <w:rsid w:val="00A70D38"/>
    <w:rsid w:val="00A72718"/>
    <w:rsid w:val="00A73639"/>
    <w:rsid w:val="00A73D1A"/>
    <w:rsid w:val="00A74017"/>
    <w:rsid w:val="00A80828"/>
    <w:rsid w:val="00A80E93"/>
    <w:rsid w:val="00A82255"/>
    <w:rsid w:val="00A828C8"/>
    <w:rsid w:val="00A83E00"/>
    <w:rsid w:val="00A83F0B"/>
    <w:rsid w:val="00A84858"/>
    <w:rsid w:val="00A91AE1"/>
    <w:rsid w:val="00A92FB0"/>
    <w:rsid w:val="00A9389C"/>
    <w:rsid w:val="00A93EB7"/>
    <w:rsid w:val="00A946C0"/>
    <w:rsid w:val="00A952AA"/>
    <w:rsid w:val="00A966BB"/>
    <w:rsid w:val="00A9778B"/>
    <w:rsid w:val="00A97E5A"/>
    <w:rsid w:val="00A97E81"/>
    <w:rsid w:val="00AA0F2F"/>
    <w:rsid w:val="00AA12CB"/>
    <w:rsid w:val="00AA2216"/>
    <w:rsid w:val="00AA277C"/>
    <w:rsid w:val="00AA32CC"/>
    <w:rsid w:val="00AA332C"/>
    <w:rsid w:val="00AA3369"/>
    <w:rsid w:val="00AA503D"/>
    <w:rsid w:val="00AA741F"/>
    <w:rsid w:val="00AB27C9"/>
    <w:rsid w:val="00AB288D"/>
    <w:rsid w:val="00AB288F"/>
    <w:rsid w:val="00AB4365"/>
    <w:rsid w:val="00AB62B1"/>
    <w:rsid w:val="00AC2250"/>
    <w:rsid w:val="00AC27F8"/>
    <w:rsid w:val="00AC2E43"/>
    <w:rsid w:val="00AC3215"/>
    <w:rsid w:val="00AC4973"/>
    <w:rsid w:val="00AC7189"/>
    <w:rsid w:val="00AC7887"/>
    <w:rsid w:val="00AC7CEC"/>
    <w:rsid w:val="00AD0119"/>
    <w:rsid w:val="00AD118E"/>
    <w:rsid w:val="00AD16C7"/>
    <w:rsid w:val="00AD429E"/>
    <w:rsid w:val="00AD4339"/>
    <w:rsid w:val="00AD4C72"/>
    <w:rsid w:val="00AD5DD5"/>
    <w:rsid w:val="00AD602B"/>
    <w:rsid w:val="00AE0B00"/>
    <w:rsid w:val="00AE2AEE"/>
    <w:rsid w:val="00AE2F46"/>
    <w:rsid w:val="00AE34A6"/>
    <w:rsid w:val="00AE6468"/>
    <w:rsid w:val="00AF00EA"/>
    <w:rsid w:val="00AF039C"/>
    <w:rsid w:val="00AF1895"/>
    <w:rsid w:val="00AF5943"/>
    <w:rsid w:val="00B00276"/>
    <w:rsid w:val="00B04491"/>
    <w:rsid w:val="00B132DB"/>
    <w:rsid w:val="00B14C9E"/>
    <w:rsid w:val="00B167C6"/>
    <w:rsid w:val="00B17A1D"/>
    <w:rsid w:val="00B229CC"/>
    <w:rsid w:val="00B22A0F"/>
    <w:rsid w:val="00B230EC"/>
    <w:rsid w:val="00B24DED"/>
    <w:rsid w:val="00B2525D"/>
    <w:rsid w:val="00B32DFD"/>
    <w:rsid w:val="00B32FE9"/>
    <w:rsid w:val="00B34264"/>
    <w:rsid w:val="00B34788"/>
    <w:rsid w:val="00B35238"/>
    <w:rsid w:val="00B355B7"/>
    <w:rsid w:val="00B356C7"/>
    <w:rsid w:val="00B35A52"/>
    <w:rsid w:val="00B35E8B"/>
    <w:rsid w:val="00B363BC"/>
    <w:rsid w:val="00B40F7A"/>
    <w:rsid w:val="00B42C6B"/>
    <w:rsid w:val="00B43A86"/>
    <w:rsid w:val="00B447D5"/>
    <w:rsid w:val="00B4727F"/>
    <w:rsid w:val="00B52738"/>
    <w:rsid w:val="00B52A2E"/>
    <w:rsid w:val="00B52EC2"/>
    <w:rsid w:val="00B54649"/>
    <w:rsid w:val="00B56B6A"/>
    <w:rsid w:val="00B56EDC"/>
    <w:rsid w:val="00B5738A"/>
    <w:rsid w:val="00B615A1"/>
    <w:rsid w:val="00B66815"/>
    <w:rsid w:val="00B72210"/>
    <w:rsid w:val="00B76168"/>
    <w:rsid w:val="00B77F07"/>
    <w:rsid w:val="00B80812"/>
    <w:rsid w:val="00B81760"/>
    <w:rsid w:val="00B8239F"/>
    <w:rsid w:val="00B86989"/>
    <w:rsid w:val="00B86C44"/>
    <w:rsid w:val="00B86E84"/>
    <w:rsid w:val="00B90263"/>
    <w:rsid w:val="00B90318"/>
    <w:rsid w:val="00B90759"/>
    <w:rsid w:val="00B90E07"/>
    <w:rsid w:val="00B9381F"/>
    <w:rsid w:val="00B952D9"/>
    <w:rsid w:val="00B97103"/>
    <w:rsid w:val="00B97455"/>
    <w:rsid w:val="00B9788C"/>
    <w:rsid w:val="00BA334E"/>
    <w:rsid w:val="00BA3F89"/>
    <w:rsid w:val="00BA7064"/>
    <w:rsid w:val="00BA73AC"/>
    <w:rsid w:val="00BB15AF"/>
    <w:rsid w:val="00BB180F"/>
    <w:rsid w:val="00BB1F84"/>
    <w:rsid w:val="00BC1191"/>
    <w:rsid w:val="00BC125F"/>
    <w:rsid w:val="00BC2587"/>
    <w:rsid w:val="00BC3711"/>
    <w:rsid w:val="00BC5E5E"/>
    <w:rsid w:val="00BC6649"/>
    <w:rsid w:val="00BC6E6B"/>
    <w:rsid w:val="00BD1F56"/>
    <w:rsid w:val="00BD5A04"/>
    <w:rsid w:val="00BD5E16"/>
    <w:rsid w:val="00BD6F8E"/>
    <w:rsid w:val="00BD7ADE"/>
    <w:rsid w:val="00BD7E2A"/>
    <w:rsid w:val="00BE0572"/>
    <w:rsid w:val="00BE0E46"/>
    <w:rsid w:val="00BE2EB0"/>
    <w:rsid w:val="00BE5468"/>
    <w:rsid w:val="00BF1308"/>
    <w:rsid w:val="00BF1F93"/>
    <w:rsid w:val="00BF53FC"/>
    <w:rsid w:val="00BF749B"/>
    <w:rsid w:val="00C024C5"/>
    <w:rsid w:val="00C04252"/>
    <w:rsid w:val="00C0502A"/>
    <w:rsid w:val="00C07C12"/>
    <w:rsid w:val="00C11EAC"/>
    <w:rsid w:val="00C15F6D"/>
    <w:rsid w:val="00C169DC"/>
    <w:rsid w:val="00C17E3A"/>
    <w:rsid w:val="00C248C3"/>
    <w:rsid w:val="00C25752"/>
    <w:rsid w:val="00C276F6"/>
    <w:rsid w:val="00C27F24"/>
    <w:rsid w:val="00C305D7"/>
    <w:rsid w:val="00C30F2A"/>
    <w:rsid w:val="00C31DD2"/>
    <w:rsid w:val="00C33B72"/>
    <w:rsid w:val="00C34C44"/>
    <w:rsid w:val="00C41FAA"/>
    <w:rsid w:val="00C422D7"/>
    <w:rsid w:val="00C43456"/>
    <w:rsid w:val="00C43692"/>
    <w:rsid w:val="00C47296"/>
    <w:rsid w:val="00C4735A"/>
    <w:rsid w:val="00C50C1D"/>
    <w:rsid w:val="00C545F4"/>
    <w:rsid w:val="00C55421"/>
    <w:rsid w:val="00C57FC7"/>
    <w:rsid w:val="00C61C3E"/>
    <w:rsid w:val="00C621D2"/>
    <w:rsid w:val="00C62D7A"/>
    <w:rsid w:val="00C630BA"/>
    <w:rsid w:val="00C65A38"/>
    <w:rsid w:val="00C65C0C"/>
    <w:rsid w:val="00C70460"/>
    <w:rsid w:val="00C7109E"/>
    <w:rsid w:val="00C737F6"/>
    <w:rsid w:val="00C73EEC"/>
    <w:rsid w:val="00C75B89"/>
    <w:rsid w:val="00C779E7"/>
    <w:rsid w:val="00C808FC"/>
    <w:rsid w:val="00C81C2D"/>
    <w:rsid w:val="00C83D90"/>
    <w:rsid w:val="00C870D6"/>
    <w:rsid w:val="00C90C8F"/>
    <w:rsid w:val="00C9199B"/>
    <w:rsid w:val="00C93D0E"/>
    <w:rsid w:val="00C95036"/>
    <w:rsid w:val="00C9540C"/>
    <w:rsid w:val="00CA0D1E"/>
    <w:rsid w:val="00CA59BE"/>
    <w:rsid w:val="00CA6A41"/>
    <w:rsid w:val="00CB7386"/>
    <w:rsid w:val="00CC262C"/>
    <w:rsid w:val="00CC69E8"/>
    <w:rsid w:val="00CC7DDE"/>
    <w:rsid w:val="00CD0507"/>
    <w:rsid w:val="00CD129F"/>
    <w:rsid w:val="00CD368F"/>
    <w:rsid w:val="00CD45E4"/>
    <w:rsid w:val="00CD48D2"/>
    <w:rsid w:val="00CD4BD8"/>
    <w:rsid w:val="00CD7D97"/>
    <w:rsid w:val="00CE1170"/>
    <w:rsid w:val="00CE12E0"/>
    <w:rsid w:val="00CE13DC"/>
    <w:rsid w:val="00CE15A5"/>
    <w:rsid w:val="00CE15D5"/>
    <w:rsid w:val="00CE3EE6"/>
    <w:rsid w:val="00CE4BA1"/>
    <w:rsid w:val="00CF0FF0"/>
    <w:rsid w:val="00CF70CE"/>
    <w:rsid w:val="00CF7727"/>
    <w:rsid w:val="00CF7977"/>
    <w:rsid w:val="00CF7DBC"/>
    <w:rsid w:val="00D000C7"/>
    <w:rsid w:val="00D00D43"/>
    <w:rsid w:val="00D06615"/>
    <w:rsid w:val="00D1047D"/>
    <w:rsid w:val="00D12336"/>
    <w:rsid w:val="00D12975"/>
    <w:rsid w:val="00D12DDD"/>
    <w:rsid w:val="00D14603"/>
    <w:rsid w:val="00D14784"/>
    <w:rsid w:val="00D162E9"/>
    <w:rsid w:val="00D16592"/>
    <w:rsid w:val="00D221B8"/>
    <w:rsid w:val="00D225CE"/>
    <w:rsid w:val="00D255F4"/>
    <w:rsid w:val="00D3088F"/>
    <w:rsid w:val="00D36948"/>
    <w:rsid w:val="00D42B2A"/>
    <w:rsid w:val="00D43971"/>
    <w:rsid w:val="00D446B9"/>
    <w:rsid w:val="00D4498C"/>
    <w:rsid w:val="00D44BAF"/>
    <w:rsid w:val="00D45AD5"/>
    <w:rsid w:val="00D45C32"/>
    <w:rsid w:val="00D46DD2"/>
    <w:rsid w:val="00D50178"/>
    <w:rsid w:val="00D5117E"/>
    <w:rsid w:val="00D512CA"/>
    <w:rsid w:val="00D52A9D"/>
    <w:rsid w:val="00D548EC"/>
    <w:rsid w:val="00D552A6"/>
    <w:rsid w:val="00D55AAD"/>
    <w:rsid w:val="00D565BF"/>
    <w:rsid w:val="00D57E4B"/>
    <w:rsid w:val="00D62678"/>
    <w:rsid w:val="00D634A9"/>
    <w:rsid w:val="00D63A38"/>
    <w:rsid w:val="00D6530D"/>
    <w:rsid w:val="00D65D00"/>
    <w:rsid w:val="00D66526"/>
    <w:rsid w:val="00D73D58"/>
    <w:rsid w:val="00D746A4"/>
    <w:rsid w:val="00D747AE"/>
    <w:rsid w:val="00D751D9"/>
    <w:rsid w:val="00D756E8"/>
    <w:rsid w:val="00D758CC"/>
    <w:rsid w:val="00D76D1F"/>
    <w:rsid w:val="00D80015"/>
    <w:rsid w:val="00D8087D"/>
    <w:rsid w:val="00D81A42"/>
    <w:rsid w:val="00D81CA3"/>
    <w:rsid w:val="00D82292"/>
    <w:rsid w:val="00D82E5C"/>
    <w:rsid w:val="00D85674"/>
    <w:rsid w:val="00D8781A"/>
    <w:rsid w:val="00D90A25"/>
    <w:rsid w:val="00D919B3"/>
    <w:rsid w:val="00D9226C"/>
    <w:rsid w:val="00D9252A"/>
    <w:rsid w:val="00D92ACA"/>
    <w:rsid w:val="00D9405C"/>
    <w:rsid w:val="00D94241"/>
    <w:rsid w:val="00D9787F"/>
    <w:rsid w:val="00DA0973"/>
    <w:rsid w:val="00DA18B3"/>
    <w:rsid w:val="00DA1A93"/>
    <w:rsid w:val="00DA20BD"/>
    <w:rsid w:val="00DA40B6"/>
    <w:rsid w:val="00DA5F32"/>
    <w:rsid w:val="00DA69C5"/>
    <w:rsid w:val="00DB0C96"/>
    <w:rsid w:val="00DB3156"/>
    <w:rsid w:val="00DB41A2"/>
    <w:rsid w:val="00DB6D54"/>
    <w:rsid w:val="00DC0382"/>
    <w:rsid w:val="00DC14A1"/>
    <w:rsid w:val="00DC233B"/>
    <w:rsid w:val="00DC2F1E"/>
    <w:rsid w:val="00DC4BD3"/>
    <w:rsid w:val="00DC556E"/>
    <w:rsid w:val="00DD1887"/>
    <w:rsid w:val="00DD221E"/>
    <w:rsid w:val="00DD28EE"/>
    <w:rsid w:val="00DD7EEA"/>
    <w:rsid w:val="00DE00A5"/>
    <w:rsid w:val="00DE0BDD"/>
    <w:rsid w:val="00DE2F96"/>
    <w:rsid w:val="00DE35AF"/>
    <w:rsid w:val="00DE50DB"/>
    <w:rsid w:val="00DE6AB1"/>
    <w:rsid w:val="00DF04CE"/>
    <w:rsid w:val="00DF0E5E"/>
    <w:rsid w:val="00DF282D"/>
    <w:rsid w:val="00DF44E5"/>
    <w:rsid w:val="00DF4CD6"/>
    <w:rsid w:val="00DF554E"/>
    <w:rsid w:val="00DF6AE1"/>
    <w:rsid w:val="00E00A2E"/>
    <w:rsid w:val="00E0114A"/>
    <w:rsid w:val="00E04278"/>
    <w:rsid w:val="00E045A4"/>
    <w:rsid w:val="00E0738F"/>
    <w:rsid w:val="00E07FDE"/>
    <w:rsid w:val="00E13C4E"/>
    <w:rsid w:val="00E15548"/>
    <w:rsid w:val="00E17144"/>
    <w:rsid w:val="00E2083A"/>
    <w:rsid w:val="00E26F7F"/>
    <w:rsid w:val="00E303E0"/>
    <w:rsid w:val="00E30529"/>
    <w:rsid w:val="00E31092"/>
    <w:rsid w:val="00E35E46"/>
    <w:rsid w:val="00E365B9"/>
    <w:rsid w:val="00E370AE"/>
    <w:rsid w:val="00E40131"/>
    <w:rsid w:val="00E4121E"/>
    <w:rsid w:val="00E41A85"/>
    <w:rsid w:val="00E44073"/>
    <w:rsid w:val="00E44268"/>
    <w:rsid w:val="00E45E2B"/>
    <w:rsid w:val="00E46784"/>
    <w:rsid w:val="00E46FD5"/>
    <w:rsid w:val="00E475E7"/>
    <w:rsid w:val="00E544BB"/>
    <w:rsid w:val="00E562E3"/>
    <w:rsid w:val="00E56545"/>
    <w:rsid w:val="00E56A3D"/>
    <w:rsid w:val="00E572A4"/>
    <w:rsid w:val="00E605F7"/>
    <w:rsid w:val="00E6184A"/>
    <w:rsid w:val="00E61C6E"/>
    <w:rsid w:val="00E62A80"/>
    <w:rsid w:val="00E631B6"/>
    <w:rsid w:val="00E633D8"/>
    <w:rsid w:val="00E63602"/>
    <w:rsid w:val="00E63B08"/>
    <w:rsid w:val="00E63FC0"/>
    <w:rsid w:val="00E6515C"/>
    <w:rsid w:val="00E66A80"/>
    <w:rsid w:val="00E66EF7"/>
    <w:rsid w:val="00E7100D"/>
    <w:rsid w:val="00E71B75"/>
    <w:rsid w:val="00E742BF"/>
    <w:rsid w:val="00E817AB"/>
    <w:rsid w:val="00E8272C"/>
    <w:rsid w:val="00E8347E"/>
    <w:rsid w:val="00E85663"/>
    <w:rsid w:val="00E85F71"/>
    <w:rsid w:val="00E860E9"/>
    <w:rsid w:val="00E8625F"/>
    <w:rsid w:val="00E86362"/>
    <w:rsid w:val="00E870ED"/>
    <w:rsid w:val="00E87772"/>
    <w:rsid w:val="00E96C44"/>
    <w:rsid w:val="00E97B63"/>
    <w:rsid w:val="00EA03D6"/>
    <w:rsid w:val="00EA06FE"/>
    <w:rsid w:val="00EA08F0"/>
    <w:rsid w:val="00EA4018"/>
    <w:rsid w:val="00EA5531"/>
    <w:rsid w:val="00EA5D4F"/>
    <w:rsid w:val="00EA7AF9"/>
    <w:rsid w:val="00EB0816"/>
    <w:rsid w:val="00EB12A3"/>
    <w:rsid w:val="00EB17B2"/>
    <w:rsid w:val="00EB2507"/>
    <w:rsid w:val="00EB3D52"/>
    <w:rsid w:val="00EB4EE2"/>
    <w:rsid w:val="00EB6B53"/>
    <w:rsid w:val="00EB6C56"/>
    <w:rsid w:val="00EC0B5D"/>
    <w:rsid w:val="00EC6130"/>
    <w:rsid w:val="00EC6E6C"/>
    <w:rsid w:val="00EC7895"/>
    <w:rsid w:val="00EC7D7C"/>
    <w:rsid w:val="00ED384B"/>
    <w:rsid w:val="00ED54E0"/>
    <w:rsid w:val="00ED5FFF"/>
    <w:rsid w:val="00ED6A51"/>
    <w:rsid w:val="00EE0739"/>
    <w:rsid w:val="00EE7901"/>
    <w:rsid w:val="00EF358B"/>
    <w:rsid w:val="00EF35A7"/>
    <w:rsid w:val="00EF4D59"/>
    <w:rsid w:val="00EF4DC7"/>
    <w:rsid w:val="00F00953"/>
    <w:rsid w:val="00F02703"/>
    <w:rsid w:val="00F03628"/>
    <w:rsid w:val="00F04998"/>
    <w:rsid w:val="00F0597D"/>
    <w:rsid w:val="00F07445"/>
    <w:rsid w:val="00F07F9A"/>
    <w:rsid w:val="00F1019F"/>
    <w:rsid w:val="00F10A06"/>
    <w:rsid w:val="00F1379D"/>
    <w:rsid w:val="00F13979"/>
    <w:rsid w:val="00F14862"/>
    <w:rsid w:val="00F15A44"/>
    <w:rsid w:val="00F15F39"/>
    <w:rsid w:val="00F17E09"/>
    <w:rsid w:val="00F218D1"/>
    <w:rsid w:val="00F21C38"/>
    <w:rsid w:val="00F22BB3"/>
    <w:rsid w:val="00F2723D"/>
    <w:rsid w:val="00F32397"/>
    <w:rsid w:val="00F37D57"/>
    <w:rsid w:val="00F40595"/>
    <w:rsid w:val="00F425CC"/>
    <w:rsid w:val="00F426F4"/>
    <w:rsid w:val="00F42E7F"/>
    <w:rsid w:val="00F42F00"/>
    <w:rsid w:val="00F450A7"/>
    <w:rsid w:val="00F470AF"/>
    <w:rsid w:val="00F470C3"/>
    <w:rsid w:val="00F479CE"/>
    <w:rsid w:val="00F47A77"/>
    <w:rsid w:val="00F50EA3"/>
    <w:rsid w:val="00F51A5C"/>
    <w:rsid w:val="00F538D4"/>
    <w:rsid w:val="00F5424C"/>
    <w:rsid w:val="00F5425B"/>
    <w:rsid w:val="00F61762"/>
    <w:rsid w:val="00F621E9"/>
    <w:rsid w:val="00F6385F"/>
    <w:rsid w:val="00F64EB2"/>
    <w:rsid w:val="00F652E7"/>
    <w:rsid w:val="00F6541A"/>
    <w:rsid w:val="00F65A7A"/>
    <w:rsid w:val="00F66089"/>
    <w:rsid w:val="00F7226E"/>
    <w:rsid w:val="00F72562"/>
    <w:rsid w:val="00F7292A"/>
    <w:rsid w:val="00F74157"/>
    <w:rsid w:val="00F77B28"/>
    <w:rsid w:val="00F80B4C"/>
    <w:rsid w:val="00F84F43"/>
    <w:rsid w:val="00F85C5A"/>
    <w:rsid w:val="00F92559"/>
    <w:rsid w:val="00F92F07"/>
    <w:rsid w:val="00F93262"/>
    <w:rsid w:val="00F96807"/>
    <w:rsid w:val="00F96A32"/>
    <w:rsid w:val="00F978D6"/>
    <w:rsid w:val="00FA0D1C"/>
    <w:rsid w:val="00FA5EBC"/>
    <w:rsid w:val="00FA5FE0"/>
    <w:rsid w:val="00FA72B8"/>
    <w:rsid w:val="00FB2663"/>
    <w:rsid w:val="00FB36B3"/>
    <w:rsid w:val="00FB3B9F"/>
    <w:rsid w:val="00FB4874"/>
    <w:rsid w:val="00FC0588"/>
    <w:rsid w:val="00FC0919"/>
    <w:rsid w:val="00FC13D3"/>
    <w:rsid w:val="00FC36F6"/>
    <w:rsid w:val="00FC4299"/>
    <w:rsid w:val="00FC46B9"/>
    <w:rsid w:val="00FD0AC3"/>
    <w:rsid w:val="00FD10CA"/>
    <w:rsid w:val="00FD224A"/>
    <w:rsid w:val="00FD3F59"/>
    <w:rsid w:val="00FD40B9"/>
    <w:rsid w:val="00FD5391"/>
    <w:rsid w:val="00FD71CE"/>
    <w:rsid w:val="00FD790B"/>
    <w:rsid w:val="00FE13F3"/>
    <w:rsid w:val="00FE25EA"/>
    <w:rsid w:val="00FE28F4"/>
    <w:rsid w:val="00FE354A"/>
    <w:rsid w:val="00FE64A7"/>
    <w:rsid w:val="00FF3910"/>
    <w:rsid w:val="00FF3F91"/>
    <w:rsid w:val="00FF4616"/>
    <w:rsid w:val="00FF5089"/>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48BE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6A4"/>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D746A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746A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746A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746A4"/>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746A4"/>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746A4"/>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746A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746A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746A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D746A4"/>
    <w:rPr>
      <w:rFonts w:ascii="Verdana" w:hAnsi="Verdana"/>
      <w:sz w:val="18"/>
      <w:szCs w:val="22"/>
      <w:lang w:val="en-GB"/>
    </w:rPr>
  </w:style>
  <w:style w:type="character" w:customStyle="1" w:styleId="BalloonTextChar">
    <w:name w:val="Balloon Text Char"/>
    <w:basedOn w:val="DefaultParagraphFont"/>
    <w:link w:val="BalloonText"/>
    <w:uiPriority w:val="99"/>
    <w:semiHidden/>
    <w:rsid w:val="00D746A4"/>
    <w:rPr>
      <w:rFonts w:ascii="Tahoma" w:eastAsiaTheme="minorHAnsi" w:hAnsi="Tahoma" w:cs="Tahoma"/>
      <w:sz w:val="16"/>
      <w:szCs w:val="16"/>
      <w:lang w:val="en-GB"/>
    </w:rPr>
  </w:style>
  <w:style w:type="character" w:customStyle="1" w:styleId="BodyTextChar">
    <w:name w:val="Body Text Char"/>
    <w:basedOn w:val="DefaultParagraphFont"/>
    <w:link w:val="BodyText"/>
    <w:uiPriority w:val="1"/>
    <w:rsid w:val="00D746A4"/>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rsid w:val="00D746A4"/>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D746A4"/>
    <w:rPr>
      <w:rFonts w:ascii="Verdana" w:eastAsiaTheme="minorHAnsi" w:hAnsi="Verdana" w:cstheme="minorBidi"/>
      <w:sz w:val="18"/>
      <w:szCs w:val="16"/>
      <w:lang w:val="en-GB"/>
    </w:rPr>
  </w:style>
  <w:style w:type="character" w:customStyle="1" w:styleId="BodyTextFirstIndentChar">
    <w:name w:val="Body Text First Indent Char"/>
    <w:basedOn w:val="BodyTextChar"/>
    <w:link w:val="BodyTextFirstIndent"/>
    <w:uiPriority w:val="99"/>
    <w:semiHidden/>
    <w:rsid w:val="00D746A4"/>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rsid w:val="00D746A4"/>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rsid w:val="00D746A4"/>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rsid w:val="00D746A4"/>
    <w:rPr>
      <w:rFonts w:ascii="Verdana" w:eastAsiaTheme="minorHAnsi" w:hAnsi="Verdana" w:cstheme="minorBidi"/>
      <w:sz w:val="18"/>
      <w:szCs w:val="22"/>
      <w:lang w:val="en-GB"/>
    </w:rPr>
  </w:style>
  <w:style w:type="paragraph" w:styleId="Title">
    <w:name w:val="Title"/>
    <w:basedOn w:val="Normal"/>
    <w:next w:val="Normal"/>
    <w:link w:val="TitleChar"/>
    <w:uiPriority w:val="5"/>
    <w:qFormat/>
    <w:rsid w:val="00D746A4"/>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D746A4"/>
    <w:rPr>
      <w:rFonts w:ascii="Verdana" w:eastAsiaTheme="minorHAnsi" w:hAnsi="Verdana" w:cstheme="minorBidi"/>
      <w:sz w:val="16"/>
      <w:szCs w:val="16"/>
      <w:lang w:val="en-GB"/>
    </w:rPr>
  </w:style>
  <w:style w:type="paragraph" w:styleId="BodyText">
    <w:name w:val="Body Text"/>
    <w:basedOn w:val="Normal"/>
    <w:link w:val="BodyTextChar"/>
    <w:uiPriority w:val="1"/>
    <w:qFormat/>
    <w:rsid w:val="00D746A4"/>
    <w:pPr>
      <w:numPr>
        <w:ilvl w:val="6"/>
        <w:numId w:val="3"/>
      </w:numPr>
      <w:spacing w:after="240"/>
    </w:pPr>
  </w:style>
  <w:style w:type="character" w:customStyle="1" w:styleId="ClosingChar">
    <w:name w:val="Closing Char"/>
    <w:basedOn w:val="DefaultParagraphFont"/>
    <w:link w:val="Closing"/>
    <w:uiPriority w:val="99"/>
    <w:semiHidden/>
    <w:rsid w:val="00D746A4"/>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D746A4"/>
    <w:pPr>
      <w:numPr>
        <w:ilvl w:val="7"/>
        <w:numId w:val="3"/>
      </w:numPr>
      <w:spacing w:after="240"/>
    </w:pPr>
  </w:style>
  <w:style w:type="character" w:customStyle="1" w:styleId="CommentSubjectChar">
    <w:name w:val="Comment Subject Char"/>
    <w:basedOn w:val="CommentTextChar"/>
    <w:link w:val="CommentSubject"/>
    <w:uiPriority w:val="99"/>
    <w:rsid w:val="00D746A4"/>
    <w:rPr>
      <w:rFonts w:ascii="Verdana" w:eastAsiaTheme="minorHAnsi" w:hAnsi="Verdana" w:cstheme="minorBidi"/>
      <w:b/>
      <w:bCs/>
      <w:lang w:val="en-GB"/>
    </w:rPr>
  </w:style>
  <w:style w:type="paragraph" w:styleId="BodyText3">
    <w:name w:val="Body Text 3"/>
    <w:basedOn w:val="Normal"/>
    <w:link w:val="BodyText3Char"/>
    <w:uiPriority w:val="1"/>
    <w:qFormat/>
    <w:rsid w:val="00D746A4"/>
    <w:pPr>
      <w:numPr>
        <w:ilvl w:val="8"/>
        <w:numId w:val="3"/>
      </w:numPr>
      <w:spacing w:after="240"/>
    </w:pPr>
    <w:rPr>
      <w:szCs w:val="16"/>
    </w:rPr>
  </w:style>
  <w:style w:type="character" w:customStyle="1" w:styleId="CommentTextChar">
    <w:name w:val="Comment Text Char"/>
    <w:basedOn w:val="DefaultParagraphFont"/>
    <w:link w:val="CommentText"/>
    <w:uiPriority w:val="99"/>
    <w:rsid w:val="00D746A4"/>
    <w:rPr>
      <w:rFonts w:ascii="Verdana" w:eastAsiaTheme="minorHAnsi" w:hAnsi="Verdana" w:cstheme="minorBidi"/>
      <w:lang w:val="en-GB"/>
    </w:rPr>
  </w:style>
  <w:style w:type="numbering" w:customStyle="1" w:styleId="LegalHeadings">
    <w:name w:val="LegalHeadings"/>
    <w:uiPriority w:val="99"/>
    <w:rsid w:val="00D746A4"/>
    <w:pPr>
      <w:numPr>
        <w:numId w:val="12"/>
      </w:numPr>
    </w:pPr>
  </w:style>
  <w:style w:type="paragraph" w:styleId="ListBullet">
    <w:name w:val="List Bullet"/>
    <w:basedOn w:val="Normal"/>
    <w:uiPriority w:val="1"/>
    <w:rsid w:val="00D746A4"/>
    <w:pPr>
      <w:numPr>
        <w:numId w:val="9"/>
      </w:numPr>
      <w:spacing w:after="240"/>
    </w:pPr>
  </w:style>
  <w:style w:type="paragraph" w:styleId="ListBullet2">
    <w:name w:val="List Bullet 2"/>
    <w:basedOn w:val="Normal"/>
    <w:uiPriority w:val="1"/>
    <w:rsid w:val="00D746A4"/>
    <w:pPr>
      <w:numPr>
        <w:ilvl w:val="1"/>
        <w:numId w:val="9"/>
      </w:numPr>
      <w:spacing w:after="240"/>
    </w:pPr>
  </w:style>
  <w:style w:type="paragraph" w:styleId="ListBullet3">
    <w:name w:val="List Bullet 3"/>
    <w:basedOn w:val="Normal"/>
    <w:uiPriority w:val="1"/>
    <w:rsid w:val="00D746A4"/>
    <w:pPr>
      <w:numPr>
        <w:ilvl w:val="2"/>
        <w:numId w:val="9"/>
      </w:numPr>
      <w:spacing w:after="240"/>
    </w:pPr>
  </w:style>
  <w:style w:type="paragraph" w:styleId="ListBullet4">
    <w:name w:val="List Bullet 4"/>
    <w:basedOn w:val="Normal"/>
    <w:uiPriority w:val="1"/>
    <w:rsid w:val="00D746A4"/>
    <w:pPr>
      <w:numPr>
        <w:ilvl w:val="3"/>
        <w:numId w:val="9"/>
      </w:numPr>
      <w:spacing w:after="240"/>
    </w:pPr>
  </w:style>
  <w:style w:type="paragraph" w:styleId="ListBullet5">
    <w:name w:val="List Bullet 5"/>
    <w:basedOn w:val="Normal"/>
    <w:uiPriority w:val="1"/>
    <w:rsid w:val="00D746A4"/>
    <w:pPr>
      <w:numPr>
        <w:ilvl w:val="4"/>
        <w:numId w:val="9"/>
      </w:numPr>
      <w:spacing w:after="240"/>
    </w:pPr>
  </w:style>
  <w:style w:type="numbering" w:customStyle="1" w:styleId="ListBullets">
    <w:name w:val="ListBullets"/>
    <w:uiPriority w:val="99"/>
    <w:rsid w:val="00D746A4"/>
    <w:pPr>
      <w:numPr>
        <w:numId w:val="9"/>
      </w:numPr>
    </w:pPr>
  </w:style>
  <w:style w:type="paragraph" w:customStyle="1" w:styleId="Answer">
    <w:name w:val="Answer"/>
    <w:basedOn w:val="Normal"/>
    <w:link w:val="AnswerChar"/>
    <w:uiPriority w:val="6"/>
    <w:qFormat/>
    <w:rsid w:val="00D746A4"/>
    <w:pPr>
      <w:spacing w:after="240"/>
      <w:ind w:left="1077"/>
    </w:pPr>
    <w:rPr>
      <w:rFonts w:eastAsia="Calibri" w:cs="Times New Roman"/>
    </w:rPr>
  </w:style>
  <w:style w:type="character" w:customStyle="1" w:styleId="DateChar">
    <w:name w:val="Date Char"/>
    <w:basedOn w:val="DefaultParagraphFont"/>
    <w:link w:val="Date"/>
    <w:uiPriority w:val="99"/>
    <w:semiHidden/>
    <w:rsid w:val="00D746A4"/>
    <w:rPr>
      <w:rFonts w:ascii="Verdana" w:eastAsiaTheme="minorHAnsi" w:hAnsi="Verdana" w:cstheme="minorBidi"/>
      <w:sz w:val="18"/>
      <w:szCs w:val="22"/>
      <w:lang w:val="en-GB"/>
    </w:rPr>
  </w:style>
  <w:style w:type="paragraph" w:styleId="Caption">
    <w:name w:val="caption"/>
    <w:basedOn w:val="Normal"/>
    <w:next w:val="Normal"/>
    <w:uiPriority w:val="6"/>
    <w:qFormat/>
    <w:rsid w:val="00D746A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746A4"/>
    <w:rPr>
      <w:vertAlign w:val="superscript"/>
    </w:rPr>
  </w:style>
  <w:style w:type="paragraph" w:styleId="FootnoteText">
    <w:name w:val="footnote text"/>
    <w:basedOn w:val="Normal"/>
    <w:link w:val="FootnoteTextChar"/>
    <w:uiPriority w:val="5"/>
    <w:rsid w:val="00D746A4"/>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D746A4"/>
    <w:rPr>
      <w:rFonts w:ascii="Tahoma" w:eastAsiaTheme="minorHAnsi" w:hAnsi="Tahoma" w:cs="Tahoma"/>
      <w:sz w:val="16"/>
      <w:szCs w:val="16"/>
      <w:lang w:val="en-GB"/>
    </w:rPr>
  </w:style>
  <w:style w:type="paragraph" w:styleId="EndnoteText">
    <w:name w:val="endnote text"/>
    <w:basedOn w:val="FootnoteText"/>
    <w:link w:val="EndnoteTextChar"/>
    <w:uiPriority w:val="49"/>
    <w:rsid w:val="00D746A4"/>
    <w:rPr>
      <w:szCs w:val="20"/>
    </w:rPr>
  </w:style>
  <w:style w:type="character" w:customStyle="1" w:styleId="E-mailSignatureChar">
    <w:name w:val="E-mail Signature Char"/>
    <w:basedOn w:val="DefaultParagraphFont"/>
    <w:link w:val="E-mailSignature"/>
    <w:uiPriority w:val="99"/>
    <w:semiHidden/>
    <w:rsid w:val="00D746A4"/>
    <w:rPr>
      <w:rFonts w:ascii="Verdana" w:eastAsiaTheme="minorHAnsi" w:hAnsi="Verdana" w:cstheme="minorBidi"/>
      <w:sz w:val="18"/>
      <w:szCs w:val="22"/>
      <w:lang w:val="en-GB"/>
    </w:rPr>
  </w:style>
  <w:style w:type="paragraph" w:customStyle="1" w:styleId="FollowUp">
    <w:name w:val="FollowUp"/>
    <w:basedOn w:val="Normal"/>
    <w:link w:val="FollowUpChar"/>
    <w:uiPriority w:val="6"/>
    <w:qFormat/>
    <w:rsid w:val="00D746A4"/>
    <w:pPr>
      <w:spacing w:after="240"/>
      <w:ind w:left="720"/>
    </w:pPr>
    <w:rPr>
      <w:rFonts w:eastAsia="Calibri" w:cs="Times New Roman"/>
      <w:i/>
    </w:rPr>
  </w:style>
  <w:style w:type="character" w:customStyle="1" w:styleId="EndnoteTextChar">
    <w:name w:val="Endnote Text Char"/>
    <w:link w:val="EndnoteText"/>
    <w:uiPriority w:val="49"/>
    <w:rsid w:val="00D746A4"/>
    <w:rPr>
      <w:rFonts w:ascii="Verdana" w:hAnsi="Verdana"/>
      <w:sz w:val="16"/>
      <w:lang w:val="en-GB" w:eastAsia="en-GB"/>
    </w:rPr>
  </w:style>
  <w:style w:type="paragraph" w:styleId="Footer">
    <w:name w:val="footer"/>
    <w:basedOn w:val="Normal"/>
    <w:link w:val="FooterChar"/>
    <w:uiPriority w:val="3"/>
    <w:rsid w:val="00D746A4"/>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D746A4"/>
    <w:rPr>
      <w:rFonts w:ascii="Verdana" w:hAnsi="Verdana"/>
      <w:i/>
      <w:sz w:val="18"/>
      <w:szCs w:val="22"/>
      <w:lang w:val="en-GB"/>
    </w:rPr>
  </w:style>
  <w:style w:type="paragraph" w:customStyle="1" w:styleId="FootnoteQuotation">
    <w:name w:val="Footnote Quotation"/>
    <w:basedOn w:val="FootnoteText"/>
    <w:uiPriority w:val="5"/>
    <w:rsid w:val="00D746A4"/>
    <w:pPr>
      <w:ind w:left="567" w:right="567" w:firstLine="0"/>
    </w:pPr>
  </w:style>
  <w:style w:type="character" w:styleId="FootnoteReference">
    <w:name w:val="footnote reference"/>
    <w:uiPriority w:val="5"/>
    <w:rsid w:val="00D746A4"/>
    <w:rPr>
      <w:vertAlign w:val="superscript"/>
    </w:rPr>
  </w:style>
  <w:style w:type="paragraph" w:styleId="Header">
    <w:name w:val="header"/>
    <w:basedOn w:val="Normal"/>
    <w:link w:val="HeaderChar"/>
    <w:uiPriority w:val="3"/>
    <w:rsid w:val="00D746A4"/>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D746A4"/>
    <w:rPr>
      <w:rFonts w:ascii="Verdana" w:hAnsi="Verdana"/>
      <w:sz w:val="18"/>
      <w:szCs w:val="18"/>
      <w:lang w:val="en-GB" w:eastAsia="en-GB"/>
    </w:rPr>
  </w:style>
  <w:style w:type="paragraph" w:customStyle="1" w:styleId="Quotation">
    <w:name w:val="Quotation"/>
    <w:basedOn w:val="Normal"/>
    <w:uiPriority w:val="5"/>
    <w:qFormat/>
    <w:rsid w:val="00D746A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746A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746A4"/>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D746A4"/>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D746A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746A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746A4"/>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54965"/>
    <w:pPr>
      <w:tabs>
        <w:tab w:val="right" w:leader="dot" w:pos="9027"/>
      </w:tabs>
      <w:spacing w:before="120" w:after="120"/>
      <w:ind w:right="1607"/>
      <w:jc w:val="left"/>
    </w:pPr>
    <w:rPr>
      <w:rFonts w:eastAsia="Calibri" w:cs="Times New Roman"/>
      <w:b/>
      <w:caps/>
      <w:szCs w:val="18"/>
      <w:lang w:eastAsia="en-GB"/>
    </w:rPr>
  </w:style>
  <w:style w:type="paragraph" w:styleId="TOC2">
    <w:name w:val="toc 2"/>
    <w:basedOn w:val="Normal"/>
    <w:next w:val="Normal"/>
    <w:autoRedefine/>
    <w:uiPriority w:val="39"/>
    <w:rsid w:val="00D746A4"/>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D746A4"/>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D746A4"/>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D746A4"/>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D746A4"/>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D746A4"/>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D746A4"/>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D746A4"/>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D746A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746A4"/>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746A4"/>
    <w:rPr>
      <w:rFonts w:ascii="Tahoma" w:hAnsi="Tahoma" w:cs="Tahoma"/>
      <w:sz w:val="16"/>
      <w:szCs w:val="16"/>
    </w:rPr>
  </w:style>
  <w:style w:type="character" w:customStyle="1" w:styleId="FootnoteTextChar">
    <w:name w:val="Footnote Text Char"/>
    <w:link w:val="FootnoteText"/>
    <w:uiPriority w:val="5"/>
    <w:rsid w:val="00D746A4"/>
    <w:rPr>
      <w:rFonts w:ascii="Verdana" w:hAnsi="Verdana"/>
      <w:sz w:val="16"/>
      <w:szCs w:val="18"/>
      <w:lang w:val="en-GB" w:eastAsia="en-GB"/>
    </w:rPr>
  </w:style>
  <w:style w:type="paragraph" w:styleId="Subtitle">
    <w:name w:val="Subtitle"/>
    <w:basedOn w:val="Normal"/>
    <w:next w:val="Normal"/>
    <w:link w:val="SubtitleChar"/>
    <w:uiPriority w:val="6"/>
    <w:qFormat/>
    <w:rsid w:val="00D746A4"/>
    <w:pPr>
      <w:numPr>
        <w:ilvl w:val="1"/>
      </w:numPr>
    </w:pPr>
    <w:rPr>
      <w:rFonts w:eastAsiaTheme="majorEastAsia" w:cstheme="majorBidi"/>
      <w:b/>
      <w:iCs/>
      <w:szCs w:val="24"/>
    </w:rPr>
  </w:style>
  <w:style w:type="character" w:customStyle="1" w:styleId="HeaderChar">
    <w:name w:val="Header Char"/>
    <w:link w:val="Header"/>
    <w:uiPriority w:val="3"/>
    <w:rsid w:val="00D746A4"/>
    <w:rPr>
      <w:rFonts w:ascii="Verdana" w:hAnsi="Verdana"/>
      <w:sz w:val="18"/>
      <w:szCs w:val="18"/>
      <w:lang w:val="en-GB" w:eastAsia="en-GB"/>
    </w:rPr>
  </w:style>
  <w:style w:type="paragraph" w:customStyle="1" w:styleId="SummaryHeader">
    <w:name w:val="SummaryHeader"/>
    <w:basedOn w:val="Normal"/>
    <w:uiPriority w:val="4"/>
    <w:qFormat/>
    <w:rsid w:val="00D746A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746A4"/>
    <w:pPr>
      <w:spacing w:after="240"/>
      <w:outlineLvl w:val="1"/>
    </w:pPr>
    <w:rPr>
      <w:b/>
      <w:color w:val="006283"/>
    </w:rPr>
  </w:style>
  <w:style w:type="paragraph" w:customStyle="1" w:styleId="SummaryText">
    <w:name w:val="SummaryText"/>
    <w:basedOn w:val="Normal"/>
    <w:uiPriority w:val="4"/>
    <w:qFormat/>
    <w:rsid w:val="00D746A4"/>
    <w:pPr>
      <w:numPr>
        <w:numId w:val="10"/>
      </w:numPr>
      <w:spacing w:after="240"/>
    </w:pPr>
    <w:rPr>
      <w:rFonts w:eastAsia="Calibri" w:cs="Times New Roman"/>
    </w:rPr>
  </w:style>
  <w:style w:type="paragraph" w:styleId="ListParagraph">
    <w:name w:val="List Paragraph"/>
    <w:basedOn w:val="Normal"/>
    <w:uiPriority w:val="59"/>
    <w:semiHidden/>
    <w:qFormat/>
    <w:rsid w:val="00D746A4"/>
    <w:pPr>
      <w:ind w:left="720"/>
      <w:contextualSpacing/>
    </w:pPr>
  </w:style>
  <w:style w:type="table" w:customStyle="1" w:styleId="WTOBox1">
    <w:name w:val="WTOBox1"/>
    <w:basedOn w:val="TableNormal"/>
    <w:uiPriority w:val="99"/>
    <w:rsid w:val="00D746A4"/>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746A4"/>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746A4"/>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D746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746A4"/>
    <w:pPr>
      <w:tabs>
        <w:tab w:val="left" w:pos="851"/>
      </w:tabs>
      <w:ind w:left="851" w:hanging="851"/>
      <w:jc w:val="left"/>
    </w:pPr>
    <w:rPr>
      <w:sz w:val="16"/>
    </w:rPr>
  </w:style>
  <w:style w:type="character" w:styleId="Hyperlink">
    <w:name w:val="Hyperlink"/>
    <w:basedOn w:val="DefaultParagraphFont"/>
    <w:uiPriority w:val="99"/>
    <w:unhideWhenUsed/>
    <w:rsid w:val="00D746A4"/>
    <w:rPr>
      <w:color w:val="0000FF" w:themeColor="hyperlink"/>
      <w:u w:val="single"/>
    </w:rPr>
  </w:style>
  <w:style w:type="paragraph" w:styleId="Bibliography">
    <w:name w:val="Bibliography"/>
    <w:basedOn w:val="Normal"/>
    <w:next w:val="Normal"/>
    <w:uiPriority w:val="49"/>
    <w:semiHidden/>
    <w:unhideWhenUsed/>
    <w:rsid w:val="00D746A4"/>
  </w:style>
  <w:style w:type="paragraph" w:styleId="BlockText">
    <w:name w:val="Block Text"/>
    <w:basedOn w:val="Normal"/>
    <w:uiPriority w:val="99"/>
    <w:semiHidden/>
    <w:unhideWhenUsed/>
    <w:rsid w:val="00D746A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746A4"/>
    <w:pPr>
      <w:numPr>
        <w:ilvl w:val="0"/>
        <w:numId w:val="0"/>
      </w:numPr>
      <w:spacing w:after="0"/>
      <w:ind w:firstLine="360"/>
    </w:pPr>
  </w:style>
  <w:style w:type="character" w:customStyle="1" w:styleId="Heading1Char">
    <w:name w:val="Heading 1 Char"/>
    <w:basedOn w:val="DefaultParagraphFont"/>
    <w:link w:val="Heading1"/>
    <w:uiPriority w:val="2"/>
    <w:rsid w:val="00D746A4"/>
    <w:rPr>
      <w:rFonts w:ascii="Verdana" w:eastAsiaTheme="majorEastAsia" w:hAnsi="Verdana" w:cstheme="majorBidi"/>
      <w:b/>
      <w:bCs/>
      <w:caps/>
      <w:color w:val="006283"/>
      <w:sz w:val="18"/>
      <w:szCs w:val="28"/>
      <w:lang w:val="en-GB"/>
    </w:rPr>
  </w:style>
  <w:style w:type="paragraph" w:styleId="BodyTextIndent">
    <w:name w:val="Body Text Indent"/>
    <w:basedOn w:val="Normal"/>
    <w:link w:val="BodyTextIndentChar"/>
    <w:uiPriority w:val="99"/>
    <w:semiHidden/>
    <w:unhideWhenUsed/>
    <w:rsid w:val="00D746A4"/>
    <w:pPr>
      <w:spacing w:after="120"/>
      <w:ind w:left="283"/>
    </w:pPr>
  </w:style>
  <w:style w:type="character" w:customStyle="1" w:styleId="Heading2Char">
    <w:name w:val="Heading 2 Char"/>
    <w:basedOn w:val="DefaultParagraphFont"/>
    <w:link w:val="Heading2"/>
    <w:uiPriority w:val="2"/>
    <w:rsid w:val="00D746A4"/>
    <w:rPr>
      <w:rFonts w:ascii="Verdana" w:eastAsiaTheme="majorEastAsia" w:hAnsi="Verdana" w:cstheme="majorBidi"/>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D746A4"/>
    <w:pPr>
      <w:spacing w:after="0"/>
      <w:ind w:left="360" w:firstLine="360"/>
    </w:pPr>
  </w:style>
  <w:style w:type="character" w:customStyle="1" w:styleId="Heading3Char">
    <w:name w:val="Heading 3 Char"/>
    <w:basedOn w:val="DefaultParagraphFont"/>
    <w:link w:val="Heading3"/>
    <w:uiPriority w:val="2"/>
    <w:rsid w:val="00D746A4"/>
    <w:rPr>
      <w:rFonts w:ascii="Verdana" w:eastAsiaTheme="majorEastAsia" w:hAnsi="Verdana" w:cstheme="majorBidi"/>
      <w:b/>
      <w:bCs/>
      <w:color w:val="006283"/>
      <w:sz w:val="18"/>
      <w:szCs w:val="22"/>
      <w:lang w:val="en-GB"/>
    </w:rPr>
  </w:style>
  <w:style w:type="paragraph" w:styleId="BodyTextIndent2">
    <w:name w:val="Body Text Indent 2"/>
    <w:basedOn w:val="Normal"/>
    <w:link w:val="BodyTextIndent2Char"/>
    <w:uiPriority w:val="99"/>
    <w:semiHidden/>
    <w:unhideWhenUsed/>
    <w:rsid w:val="00D746A4"/>
    <w:pPr>
      <w:spacing w:after="120" w:line="480" w:lineRule="auto"/>
      <w:ind w:left="283"/>
    </w:pPr>
  </w:style>
  <w:style w:type="character" w:customStyle="1" w:styleId="Heading4Char">
    <w:name w:val="Heading 4 Char"/>
    <w:basedOn w:val="DefaultParagraphFont"/>
    <w:link w:val="Heading4"/>
    <w:uiPriority w:val="2"/>
    <w:rsid w:val="00D746A4"/>
    <w:rPr>
      <w:rFonts w:ascii="Verdana" w:eastAsiaTheme="majorEastAsia" w:hAnsi="Verdana" w:cstheme="majorBidi"/>
      <w:b/>
      <w:bCs/>
      <w:iCs/>
      <w:color w:val="006283"/>
      <w:sz w:val="18"/>
      <w:szCs w:val="22"/>
      <w:lang w:val="en-GB"/>
    </w:rPr>
  </w:style>
  <w:style w:type="paragraph" w:styleId="BodyTextIndent3">
    <w:name w:val="Body Text Indent 3"/>
    <w:basedOn w:val="Normal"/>
    <w:link w:val="BodyTextIndent3Char"/>
    <w:uiPriority w:val="99"/>
    <w:semiHidden/>
    <w:unhideWhenUsed/>
    <w:rsid w:val="00D746A4"/>
    <w:pPr>
      <w:spacing w:after="120"/>
      <w:ind w:left="283"/>
    </w:pPr>
    <w:rPr>
      <w:sz w:val="16"/>
      <w:szCs w:val="16"/>
    </w:rPr>
  </w:style>
  <w:style w:type="character" w:customStyle="1" w:styleId="Heading5Char">
    <w:name w:val="Heading 5 Char"/>
    <w:basedOn w:val="DefaultParagraphFont"/>
    <w:link w:val="Heading5"/>
    <w:uiPriority w:val="2"/>
    <w:rsid w:val="00D746A4"/>
    <w:rPr>
      <w:rFonts w:ascii="Verdana" w:eastAsiaTheme="majorEastAsia" w:hAnsi="Verdana" w:cstheme="majorBidi"/>
      <w:b/>
      <w:color w:val="006283"/>
      <w:sz w:val="18"/>
      <w:szCs w:val="22"/>
      <w:lang w:val="en-GB"/>
    </w:rPr>
  </w:style>
  <w:style w:type="character" w:styleId="BookTitle">
    <w:name w:val="Book Title"/>
    <w:basedOn w:val="DefaultParagraphFont"/>
    <w:uiPriority w:val="99"/>
    <w:semiHidden/>
    <w:qFormat/>
    <w:rsid w:val="00D746A4"/>
    <w:rPr>
      <w:b/>
      <w:bCs/>
      <w:smallCaps/>
      <w:spacing w:val="5"/>
    </w:rPr>
  </w:style>
  <w:style w:type="paragraph" w:styleId="Closing">
    <w:name w:val="Closing"/>
    <w:basedOn w:val="Normal"/>
    <w:link w:val="ClosingChar"/>
    <w:uiPriority w:val="99"/>
    <w:semiHidden/>
    <w:unhideWhenUsed/>
    <w:rsid w:val="00D746A4"/>
    <w:pPr>
      <w:ind w:left="4252"/>
    </w:pPr>
  </w:style>
  <w:style w:type="character" w:customStyle="1" w:styleId="Heading6Char">
    <w:name w:val="Heading 6 Char"/>
    <w:basedOn w:val="DefaultParagraphFont"/>
    <w:link w:val="Heading6"/>
    <w:uiPriority w:val="2"/>
    <w:rsid w:val="00D746A4"/>
    <w:rPr>
      <w:rFonts w:ascii="Verdana" w:eastAsiaTheme="majorEastAsia" w:hAnsi="Verdana" w:cstheme="majorBidi"/>
      <w:b/>
      <w:iCs/>
      <w:color w:val="006283"/>
      <w:sz w:val="18"/>
      <w:szCs w:val="22"/>
      <w:lang w:val="en-GB"/>
    </w:rPr>
  </w:style>
  <w:style w:type="character" w:styleId="CommentReference">
    <w:name w:val="annotation reference"/>
    <w:basedOn w:val="DefaultParagraphFont"/>
    <w:uiPriority w:val="99"/>
    <w:semiHidden/>
    <w:unhideWhenUsed/>
    <w:rsid w:val="00D746A4"/>
    <w:rPr>
      <w:sz w:val="16"/>
      <w:szCs w:val="16"/>
    </w:rPr>
  </w:style>
  <w:style w:type="paragraph" w:styleId="CommentText">
    <w:name w:val="annotation text"/>
    <w:basedOn w:val="Normal"/>
    <w:link w:val="CommentTextChar"/>
    <w:uiPriority w:val="99"/>
    <w:unhideWhenUsed/>
    <w:rsid w:val="00D746A4"/>
    <w:rPr>
      <w:sz w:val="20"/>
      <w:szCs w:val="20"/>
    </w:rPr>
  </w:style>
  <w:style w:type="character" w:customStyle="1" w:styleId="Heading7Char">
    <w:name w:val="Heading 7 Char"/>
    <w:basedOn w:val="DefaultParagraphFont"/>
    <w:link w:val="Heading7"/>
    <w:uiPriority w:val="2"/>
    <w:rsid w:val="00D746A4"/>
    <w:rPr>
      <w:rFonts w:ascii="Verdana" w:eastAsiaTheme="majorEastAsia" w:hAnsi="Verdana" w:cstheme="majorBidi"/>
      <w:b/>
      <w:iCs/>
      <w:color w:val="006283"/>
      <w:sz w:val="18"/>
      <w:szCs w:val="22"/>
      <w:lang w:val="en-GB"/>
    </w:rPr>
  </w:style>
  <w:style w:type="paragraph" w:styleId="CommentSubject">
    <w:name w:val="annotation subject"/>
    <w:basedOn w:val="CommentText"/>
    <w:next w:val="CommentText"/>
    <w:link w:val="CommentSubjectChar"/>
    <w:uiPriority w:val="99"/>
    <w:unhideWhenUsed/>
    <w:rsid w:val="00D746A4"/>
    <w:rPr>
      <w:b/>
      <w:bCs/>
    </w:rPr>
  </w:style>
  <w:style w:type="character" w:customStyle="1" w:styleId="Heading8Char">
    <w:name w:val="Heading 8 Char"/>
    <w:basedOn w:val="DefaultParagraphFont"/>
    <w:link w:val="Heading8"/>
    <w:uiPriority w:val="2"/>
    <w:rsid w:val="00D746A4"/>
    <w:rPr>
      <w:rFonts w:ascii="Verdana" w:eastAsiaTheme="majorEastAsia" w:hAnsi="Verdana" w:cstheme="majorBidi"/>
      <w:b/>
      <w:i/>
      <w:color w:val="006283"/>
      <w:sz w:val="18"/>
      <w:lang w:val="en-GB"/>
    </w:rPr>
  </w:style>
  <w:style w:type="paragraph" w:styleId="Date">
    <w:name w:val="Date"/>
    <w:basedOn w:val="Normal"/>
    <w:next w:val="Normal"/>
    <w:link w:val="DateChar"/>
    <w:uiPriority w:val="99"/>
    <w:semiHidden/>
    <w:unhideWhenUsed/>
    <w:rsid w:val="00D746A4"/>
  </w:style>
  <w:style w:type="character" w:customStyle="1" w:styleId="Heading9Char">
    <w:name w:val="Heading 9 Char"/>
    <w:basedOn w:val="DefaultParagraphFont"/>
    <w:link w:val="Heading9"/>
    <w:uiPriority w:val="2"/>
    <w:rsid w:val="00D746A4"/>
    <w:rPr>
      <w:rFonts w:ascii="Verdana" w:eastAsiaTheme="majorEastAsia" w:hAnsi="Verdana" w:cstheme="majorBidi"/>
      <w:b/>
      <w:iCs/>
      <w:color w:val="006283"/>
      <w:sz w:val="18"/>
      <w:u w:val="single"/>
      <w:lang w:val="en-GB"/>
    </w:rPr>
  </w:style>
  <w:style w:type="paragraph" w:styleId="DocumentMap">
    <w:name w:val="Document Map"/>
    <w:basedOn w:val="Normal"/>
    <w:link w:val="DocumentMapChar"/>
    <w:uiPriority w:val="99"/>
    <w:semiHidden/>
    <w:unhideWhenUsed/>
    <w:rsid w:val="00D746A4"/>
    <w:rPr>
      <w:rFonts w:ascii="Tahoma" w:hAnsi="Tahoma" w:cs="Tahoma"/>
      <w:sz w:val="16"/>
      <w:szCs w:val="16"/>
    </w:rPr>
  </w:style>
  <w:style w:type="character" w:customStyle="1" w:styleId="HTMLAddressChar">
    <w:name w:val="HTML Address Char"/>
    <w:basedOn w:val="DefaultParagraphFont"/>
    <w:link w:val="HTMLAddress"/>
    <w:uiPriority w:val="99"/>
    <w:semiHidden/>
    <w:rsid w:val="00D746A4"/>
    <w:rPr>
      <w:rFonts w:ascii="Verdana" w:eastAsiaTheme="minorHAnsi" w:hAnsi="Verdana" w:cstheme="minorBidi"/>
      <w:i/>
      <w:iCs/>
      <w:sz w:val="18"/>
      <w:szCs w:val="22"/>
      <w:lang w:val="en-GB"/>
    </w:rPr>
  </w:style>
  <w:style w:type="paragraph" w:styleId="E-mailSignature">
    <w:name w:val="E-mail Signature"/>
    <w:basedOn w:val="Normal"/>
    <w:link w:val="E-mailSignatureChar"/>
    <w:uiPriority w:val="99"/>
    <w:semiHidden/>
    <w:unhideWhenUsed/>
    <w:rsid w:val="00D746A4"/>
  </w:style>
  <w:style w:type="character" w:customStyle="1" w:styleId="HTMLPreformattedChar">
    <w:name w:val="HTML Preformatted Char"/>
    <w:basedOn w:val="DefaultParagraphFont"/>
    <w:link w:val="HTMLPreformatted"/>
    <w:uiPriority w:val="99"/>
    <w:semiHidden/>
    <w:rsid w:val="00D746A4"/>
    <w:rPr>
      <w:rFonts w:ascii="Consolas" w:eastAsiaTheme="minorHAnsi" w:hAnsi="Consolas" w:cs="Consolas"/>
      <w:lang w:val="en-GB"/>
    </w:rPr>
  </w:style>
  <w:style w:type="character" w:styleId="Emphasis">
    <w:name w:val="Emphasis"/>
    <w:basedOn w:val="DefaultParagraphFont"/>
    <w:uiPriority w:val="99"/>
    <w:semiHidden/>
    <w:qFormat/>
    <w:rsid w:val="00D746A4"/>
    <w:rPr>
      <w:i/>
      <w:iCs/>
    </w:rPr>
  </w:style>
  <w:style w:type="paragraph" w:styleId="EnvelopeAddress">
    <w:name w:val="envelope address"/>
    <w:basedOn w:val="Normal"/>
    <w:uiPriority w:val="99"/>
    <w:semiHidden/>
    <w:unhideWhenUsed/>
    <w:rsid w:val="00D746A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46A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746A4"/>
    <w:rPr>
      <w:color w:val="800080" w:themeColor="followedHyperlink"/>
      <w:u w:val="single"/>
    </w:rPr>
  </w:style>
  <w:style w:type="character" w:styleId="HTMLAcronym">
    <w:name w:val="HTML Acronym"/>
    <w:basedOn w:val="DefaultParagraphFont"/>
    <w:uiPriority w:val="99"/>
    <w:semiHidden/>
    <w:unhideWhenUsed/>
    <w:rsid w:val="00D746A4"/>
  </w:style>
  <w:style w:type="paragraph" w:styleId="HTMLAddress">
    <w:name w:val="HTML Address"/>
    <w:basedOn w:val="Normal"/>
    <w:link w:val="HTMLAddressChar"/>
    <w:uiPriority w:val="99"/>
    <w:semiHidden/>
    <w:unhideWhenUsed/>
    <w:rsid w:val="00D746A4"/>
    <w:rPr>
      <w:i/>
      <w:iCs/>
    </w:rPr>
  </w:style>
  <w:style w:type="character" w:customStyle="1" w:styleId="IntenseQuoteChar">
    <w:name w:val="Intense Quote Char"/>
    <w:basedOn w:val="DefaultParagraphFont"/>
    <w:link w:val="IntenseQuote"/>
    <w:uiPriority w:val="59"/>
    <w:semiHidden/>
    <w:rsid w:val="00D746A4"/>
    <w:rPr>
      <w:rFonts w:ascii="Verdana" w:eastAsiaTheme="minorHAnsi" w:hAnsi="Verdana" w:cstheme="minorBidi"/>
      <w:b/>
      <w:bCs/>
      <w:i/>
      <w:iCs/>
      <w:color w:val="4F81BD" w:themeColor="accent1"/>
      <w:sz w:val="18"/>
      <w:szCs w:val="22"/>
      <w:lang w:val="en-GB"/>
    </w:rPr>
  </w:style>
  <w:style w:type="character" w:styleId="HTMLCite">
    <w:name w:val="HTML Cite"/>
    <w:basedOn w:val="DefaultParagraphFont"/>
    <w:uiPriority w:val="99"/>
    <w:semiHidden/>
    <w:unhideWhenUsed/>
    <w:rsid w:val="00D746A4"/>
    <w:rPr>
      <w:i/>
      <w:iCs/>
    </w:rPr>
  </w:style>
  <w:style w:type="character" w:styleId="HTMLCode">
    <w:name w:val="HTML Code"/>
    <w:basedOn w:val="DefaultParagraphFont"/>
    <w:uiPriority w:val="99"/>
    <w:semiHidden/>
    <w:unhideWhenUsed/>
    <w:rsid w:val="00D746A4"/>
    <w:rPr>
      <w:rFonts w:ascii="Consolas" w:hAnsi="Consolas" w:cs="Consolas"/>
      <w:sz w:val="20"/>
      <w:szCs w:val="20"/>
    </w:rPr>
  </w:style>
  <w:style w:type="character" w:styleId="HTMLDefinition">
    <w:name w:val="HTML Definition"/>
    <w:basedOn w:val="DefaultParagraphFont"/>
    <w:uiPriority w:val="99"/>
    <w:semiHidden/>
    <w:unhideWhenUsed/>
    <w:rsid w:val="00D746A4"/>
    <w:rPr>
      <w:i/>
      <w:iCs/>
    </w:rPr>
  </w:style>
  <w:style w:type="character" w:styleId="HTMLKeyboard">
    <w:name w:val="HTML Keyboard"/>
    <w:basedOn w:val="DefaultParagraphFont"/>
    <w:uiPriority w:val="99"/>
    <w:semiHidden/>
    <w:unhideWhenUsed/>
    <w:rsid w:val="00D746A4"/>
    <w:rPr>
      <w:rFonts w:ascii="Consolas" w:hAnsi="Consolas" w:cs="Consolas"/>
      <w:sz w:val="20"/>
      <w:szCs w:val="20"/>
    </w:rPr>
  </w:style>
  <w:style w:type="paragraph" w:styleId="HTMLPreformatted">
    <w:name w:val="HTML Preformatted"/>
    <w:basedOn w:val="Normal"/>
    <w:link w:val="HTMLPreformattedChar"/>
    <w:uiPriority w:val="99"/>
    <w:semiHidden/>
    <w:unhideWhenUsed/>
    <w:rsid w:val="00D746A4"/>
    <w:rPr>
      <w:rFonts w:ascii="Consolas" w:hAnsi="Consolas" w:cs="Consolas"/>
      <w:sz w:val="20"/>
      <w:szCs w:val="20"/>
    </w:rPr>
  </w:style>
  <w:style w:type="character" w:customStyle="1" w:styleId="MacroTextChar">
    <w:name w:val="Macro Text Char"/>
    <w:basedOn w:val="DefaultParagraphFont"/>
    <w:link w:val="MacroText"/>
    <w:uiPriority w:val="99"/>
    <w:semiHidden/>
    <w:rsid w:val="00D746A4"/>
    <w:rPr>
      <w:rFonts w:ascii="Consolas" w:eastAsiaTheme="minorHAnsi" w:hAnsi="Consolas" w:cs="Consolas"/>
      <w:lang w:val="en-GB"/>
    </w:rPr>
  </w:style>
  <w:style w:type="character" w:styleId="HTMLSample">
    <w:name w:val="HTML Sample"/>
    <w:basedOn w:val="DefaultParagraphFont"/>
    <w:uiPriority w:val="99"/>
    <w:semiHidden/>
    <w:unhideWhenUsed/>
    <w:rsid w:val="00D746A4"/>
    <w:rPr>
      <w:rFonts w:ascii="Consolas" w:hAnsi="Consolas" w:cs="Consolas"/>
      <w:sz w:val="24"/>
      <w:szCs w:val="24"/>
    </w:rPr>
  </w:style>
  <w:style w:type="character" w:styleId="HTMLTypewriter">
    <w:name w:val="HTML Typewriter"/>
    <w:basedOn w:val="DefaultParagraphFont"/>
    <w:uiPriority w:val="99"/>
    <w:semiHidden/>
    <w:unhideWhenUsed/>
    <w:rsid w:val="00D746A4"/>
    <w:rPr>
      <w:rFonts w:ascii="Consolas" w:hAnsi="Consolas" w:cs="Consolas"/>
      <w:sz w:val="20"/>
      <w:szCs w:val="20"/>
    </w:rPr>
  </w:style>
  <w:style w:type="character" w:styleId="HTMLVariable">
    <w:name w:val="HTML Variable"/>
    <w:basedOn w:val="DefaultParagraphFont"/>
    <w:uiPriority w:val="99"/>
    <w:semiHidden/>
    <w:unhideWhenUsed/>
    <w:rsid w:val="00D746A4"/>
    <w:rPr>
      <w:i/>
      <w:iCs/>
    </w:rPr>
  </w:style>
  <w:style w:type="paragraph" w:styleId="Index1">
    <w:name w:val="index 1"/>
    <w:basedOn w:val="Normal"/>
    <w:next w:val="Normal"/>
    <w:autoRedefine/>
    <w:uiPriority w:val="99"/>
    <w:semiHidden/>
    <w:unhideWhenUsed/>
    <w:rsid w:val="00D746A4"/>
    <w:pPr>
      <w:ind w:left="180" w:hanging="180"/>
    </w:pPr>
  </w:style>
  <w:style w:type="paragraph" w:styleId="Index2">
    <w:name w:val="index 2"/>
    <w:basedOn w:val="Normal"/>
    <w:next w:val="Normal"/>
    <w:autoRedefine/>
    <w:uiPriority w:val="99"/>
    <w:semiHidden/>
    <w:unhideWhenUsed/>
    <w:rsid w:val="00D746A4"/>
    <w:pPr>
      <w:ind w:left="360" w:hanging="180"/>
    </w:pPr>
  </w:style>
  <w:style w:type="paragraph" w:styleId="Index3">
    <w:name w:val="index 3"/>
    <w:basedOn w:val="Normal"/>
    <w:next w:val="Normal"/>
    <w:autoRedefine/>
    <w:uiPriority w:val="99"/>
    <w:semiHidden/>
    <w:unhideWhenUsed/>
    <w:rsid w:val="00D746A4"/>
    <w:pPr>
      <w:ind w:left="540" w:hanging="180"/>
    </w:pPr>
  </w:style>
  <w:style w:type="paragraph" w:styleId="Index4">
    <w:name w:val="index 4"/>
    <w:basedOn w:val="Normal"/>
    <w:next w:val="Normal"/>
    <w:autoRedefine/>
    <w:uiPriority w:val="99"/>
    <w:semiHidden/>
    <w:unhideWhenUsed/>
    <w:rsid w:val="00D746A4"/>
    <w:pPr>
      <w:ind w:left="720" w:hanging="180"/>
    </w:pPr>
  </w:style>
  <w:style w:type="paragraph" w:styleId="Index5">
    <w:name w:val="index 5"/>
    <w:basedOn w:val="Normal"/>
    <w:next w:val="Normal"/>
    <w:autoRedefine/>
    <w:uiPriority w:val="99"/>
    <w:semiHidden/>
    <w:unhideWhenUsed/>
    <w:rsid w:val="00D746A4"/>
    <w:pPr>
      <w:ind w:left="900" w:hanging="180"/>
    </w:pPr>
  </w:style>
  <w:style w:type="paragraph" w:styleId="Index6">
    <w:name w:val="index 6"/>
    <w:basedOn w:val="Normal"/>
    <w:next w:val="Normal"/>
    <w:autoRedefine/>
    <w:uiPriority w:val="99"/>
    <w:semiHidden/>
    <w:unhideWhenUsed/>
    <w:rsid w:val="00D746A4"/>
    <w:pPr>
      <w:ind w:left="1080" w:hanging="180"/>
    </w:pPr>
  </w:style>
  <w:style w:type="paragraph" w:styleId="Index7">
    <w:name w:val="index 7"/>
    <w:basedOn w:val="Normal"/>
    <w:next w:val="Normal"/>
    <w:autoRedefine/>
    <w:uiPriority w:val="99"/>
    <w:semiHidden/>
    <w:unhideWhenUsed/>
    <w:rsid w:val="00D746A4"/>
    <w:pPr>
      <w:ind w:left="1260" w:hanging="180"/>
    </w:pPr>
  </w:style>
  <w:style w:type="paragraph" w:styleId="Index8">
    <w:name w:val="index 8"/>
    <w:basedOn w:val="Normal"/>
    <w:next w:val="Normal"/>
    <w:autoRedefine/>
    <w:uiPriority w:val="99"/>
    <w:semiHidden/>
    <w:unhideWhenUsed/>
    <w:rsid w:val="00D746A4"/>
    <w:pPr>
      <w:ind w:left="1440" w:hanging="180"/>
    </w:pPr>
  </w:style>
  <w:style w:type="paragraph" w:styleId="Index9">
    <w:name w:val="index 9"/>
    <w:basedOn w:val="Normal"/>
    <w:next w:val="Normal"/>
    <w:autoRedefine/>
    <w:uiPriority w:val="99"/>
    <w:semiHidden/>
    <w:unhideWhenUsed/>
    <w:rsid w:val="00D746A4"/>
    <w:pPr>
      <w:ind w:left="1620" w:hanging="180"/>
    </w:pPr>
  </w:style>
  <w:style w:type="paragraph" w:styleId="IndexHeading">
    <w:name w:val="index heading"/>
    <w:basedOn w:val="Normal"/>
    <w:next w:val="Index1"/>
    <w:uiPriority w:val="99"/>
    <w:semiHidden/>
    <w:unhideWhenUsed/>
    <w:rsid w:val="00D746A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746A4"/>
    <w:rPr>
      <w:b/>
      <w:bCs/>
      <w:i/>
      <w:iCs/>
      <w:color w:val="4F81BD" w:themeColor="accent1"/>
    </w:rPr>
  </w:style>
  <w:style w:type="paragraph" w:styleId="IntenseQuote">
    <w:name w:val="Intense Quote"/>
    <w:basedOn w:val="Normal"/>
    <w:next w:val="Normal"/>
    <w:link w:val="IntenseQuoteChar"/>
    <w:uiPriority w:val="59"/>
    <w:semiHidden/>
    <w:qFormat/>
    <w:rsid w:val="00D746A4"/>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D746A4"/>
    <w:rPr>
      <w:rFonts w:asciiTheme="majorHAnsi" w:eastAsiaTheme="majorEastAsia" w:hAnsiTheme="majorHAnsi" w:cstheme="majorBidi"/>
      <w:sz w:val="24"/>
      <w:szCs w:val="24"/>
      <w:shd w:val="pct20" w:color="auto" w:fill="auto"/>
      <w:lang w:val="en-GB"/>
    </w:rPr>
  </w:style>
  <w:style w:type="character" w:styleId="IntenseReference">
    <w:name w:val="Intense Reference"/>
    <w:basedOn w:val="DefaultParagraphFont"/>
    <w:uiPriority w:val="99"/>
    <w:semiHidden/>
    <w:qFormat/>
    <w:rsid w:val="00D746A4"/>
    <w:rPr>
      <w:b/>
      <w:bCs/>
      <w:smallCaps/>
      <w:color w:val="C0504D" w:themeColor="accent2"/>
      <w:spacing w:val="5"/>
      <w:u w:val="single"/>
    </w:rPr>
  </w:style>
  <w:style w:type="character" w:styleId="LineNumber">
    <w:name w:val="line number"/>
    <w:basedOn w:val="DefaultParagraphFont"/>
    <w:uiPriority w:val="99"/>
    <w:semiHidden/>
    <w:unhideWhenUsed/>
    <w:rsid w:val="00D746A4"/>
  </w:style>
  <w:style w:type="paragraph" w:styleId="List">
    <w:name w:val="List"/>
    <w:basedOn w:val="Normal"/>
    <w:uiPriority w:val="99"/>
    <w:semiHidden/>
    <w:unhideWhenUsed/>
    <w:rsid w:val="00D746A4"/>
    <w:pPr>
      <w:ind w:left="283" w:hanging="283"/>
      <w:contextualSpacing/>
    </w:pPr>
  </w:style>
  <w:style w:type="paragraph" w:styleId="List2">
    <w:name w:val="List 2"/>
    <w:basedOn w:val="Normal"/>
    <w:uiPriority w:val="99"/>
    <w:semiHidden/>
    <w:unhideWhenUsed/>
    <w:rsid w:val="00D746A4"/>
    <w:pPr>
      <w:ind w:left="566" w:hanging="283"/>
      <w:contextualSpacing/>
    </w:pPr>
  </w:style>
  <w:style w:type="paragraph" w:styleId="List3">
    <w:name w:val="List 3"/>
    <w:basedOn w:val="Normal"/>
    <w:uiPriority w:val="99"/>
    <w:semiHidden/>
    <w:unhideWhenUsed/>
    <w:rsid w:val="00D746A4"/>
    <w:pPr>
      <w:ind w:left="849" w:hanging="283"/>
      <w:contextualSpacing/>
    </w:pPr>
  </w:style>
  <w:style w:type="paragraph" w:styleId="List4">
    <w:name w:val="List 4"/>
    <w:basedOn w:val="Normal"/>
    <w:uiPriority w:val="99"/>
    <w:semiHidden/>
    <w:unhideWhenUsed/>
    <w:rsid w:val="00D746A4"/>
    <w:pPr>
      <w:ind w:left="1132" w:hanging="283"/>
      <w:contextualSpacing/>
    </w:pPr>
  </w:style>
  <w:style w:type="paragraph" w:styleId="List5">
    <w:name w:val="List 5"/>
    <w:basedOn w:val="Normal"/>
    <w:uiPriority w:val="99"/>
    <w:semiHidden/>
    <w:unhideWhenUsed/>
    <w:rsid w:val="00D746A4"/>
    <w:pPr>
      <w:ind w:left="1415" w:hanging="283"/>
      <w:contextualSpacing/>
    </w:pPr>
  </w:style>
  <w:style w:type="paragraph" w:styleId="ListContinue">
    <w:name w:val="List Continue"/>
    <w:basedOn w:val="Normal"/>
    <w:uiPriority w:val="99"/>
    <w:semiHidden/>
    <w:unhideWhenUsed/>
    <w:rsid w:val="00D746A4"/>
    <w:pPr>
      <w:spacing w:after="120"/>
      <w:ind w:left="283"/>
      <w:contextualSpacing/>
    </w:pPr>
  </w:style>
  <w:style w:type="paragraph" w:styleId="ListContinue2">
    <w:name w:val="List Continue 2"/>
    <w:basedOn w:val="Normal"/>
    <w:uiPriority w:val="99"/>
    <w:semiHidden/>
    <w:unhideWhenUsed/>
    <w:rsid w:val="00D746A4"/>
    <w:pPr>
      <w:spacing w:after="120"/>
      <w:ind w:left="566"/>
      <w:contextualSpacing/>
    </w:pPr>
  </w:style>
  <w:style w:type="paragraph" w:styleId="ListContinue3">
    <w:name w:val="List Continue 3"/>
    <w:basedOn w:val="Normal"/>
    <w:uiPriority w:val="99"/>
    <w:semiHidden/>
    <w:unhideWhenUsed/>
    <w:rsid w:val="00D746A4"/>
    <w:pPr>
      <w:spacing w:after="120"/>
      <w:ind w:left="849"/>
      <w:contextualSpacing/>
    </w:pPr>
  </w:style>
  <w:style w:type="paragraph" w:styleId="ListContinue4">
    <w:name w:val="List Continue 4"/>
    <w:basedOn w:val="Normal"/>
    <w:uiPriority w:val="99"/>
    <w:semiHidden/>
    <w:unhideWhenUsed/>
    <w:rsid w:val="00D746A4"/>
    <w:pPr>
      <w:spacing w:after="120"/>
      <w:ind w:left="1132"/>
      <w:contextualSpacing/>
    </w:pPr>
  </w:style>
  <w:style w:type="paragraph" w:styleId="ListContinue5">
    <w:name w:val="List Continue 5"/>
    <w:basedOn w:val="Normal"/>
    <w:uiPriority w:val="99"/>
    <w:semiHidden/>
    <w:unhideWhenUsed/>
    <w:rsid w:val="00D746A4"/>
    <w:pPr>
      <w:spacing w:after="120"/>
      <w:ind w:left="1415"/>
      <w:contextualSpacing/>
    </w:pPr>
  </w:style>
  <w:style w:type="paragraph" w:styleId="ListNumber">
    <w:name w:val="List Number"/>
    <w:basedOn w:val="Normal"/>
    <w:uiPriority w:val="49"/>
    <w:semiHidden/>
    <w:unhideWhenUsed/>
    <w:rsid w:val="00D746A4"/>
    <w:pPr>
      <w:numPr>
        <w:numId w:val="4"/>
      </w:numPr>
      <w:contextualSpacing/>
    </w:pPr>
  </w:style>
  <w:style w:type="paragraph" w:styleId="ListNumber2">
    <w:name w:val="List Number 2"/>
    <w:basedOn w:val="Normal"/>
    <w:uiPriority w:val="49"/>
    <w:semiHidden/>
    <w:unhideWhenUsed/>
    <w:rsid w:val="00D746A4"/>
    <w:pPr>
      <w:numPr>
        <w:numId w:val="5"/>
      </w:numPr>
      <w:contextualSpacing/>
    </w:pPr>
  </w:style>
  <w:style w:type="paragraph" w:styleId="ListNumber3">
    <w:name w:val="List Number 3"/>
    <w:basedOn w:val="Normal"/>
    <w:uiPriority w:val="49"/>
    <w:semiHidden/>
    <w:unhideWhenUsed/>
    <w:rsid w:val="00D746A4"/>
    <w:pPr>
      <w:numPr>
        <w:numId w:val="6"/>
      </w:numPr>
      <w:contextualSpacing/>
    </w:pPr>
  </w:style>
  <w:style w:type="paragraph" w:styleId="ListNumber4">
    <w:name w:val="List Number 4"/>
    <w:basedOn w:val="Normal"/>
    <w:uiPriority w:val="49"/>
    <w:semiHidden/>
    <w:unhideWhenUsed/>
    <w:rsid w:val="00D746A4"/>
    <w:pPr>
      <w:numPr>
        <w:numId w:val="7"/>
      </w:numPr>
      <w:contextualSpacing/>
    </w:pPr>
  </w:style>
  <w:style w:type="paragraph" w:styleId="ListNumber5">
    <w:name w:val="List Number 5"/>
    <w:basedOn w:val="Normal"/>
    <w:uiPriority w:val="49"/>
    <w:semiHidden/>
    <w:unhideWhenUsed/>
    <w:rsid w:val="00D746A4"/>
    <w:pPr>
      <w:numPr>
        <w:numId w:val="8"/>
      </w:numPr>
      <w:contextualSpacing/>
    </w:pPr>
  </w:style>
  <w:style w:type="paragraph" w:styleId="MacroText">
    <w:name w:val="macro"/>
    <w:link w:val="MacroTextChar"/>
    <w:uiPriority w:val="99"/>
    <w:semiHidden/>
    <w:unhideWhenUsed/>
    <w:rsid w:val="00D746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NoteHeadingChar">
    <w:name w:val="Note Heading Char"/>
    <w:basedOn w:val="DefaultParagraphFont"/>
    <w:link w:val="NoteHeading"/>
    <w:uiPriority w:val="99"/>
    <w:semiHidden/>
    <w:rsid w:val="00D746A4"/>
    <w:rPr>
      <w:rFonts w:ascii="Verdana" w:eastAsiaTheme="minorHAnsi" w:hAnsi="Verdana" w:cstheme="minorBidi"/>
      <w:sz w:val="18"/>
      <w:szCs w:val="22"/>
      <w:lang w:val="en-GB"/>
    </w:rPr>
  </w:style>
  <w:style w:type="paragraph" w:styleId="MessageHeader">
    <w:name w:val="Message Header"/>
    <w:basedOn w:val="Normal"/>
    <w:link w:val="MessageHeaderChar"/>
    <w:uiPriority w:val="99"/>
    <w:semiHidden/>
    <w:unhideWhenUsed/>
    <w:rsid w:val="00D746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D746A4"/>
    <w:rPr>
      <w:rFonts w:ascii="Consolas" w:eastAsiaTheme="minorHAnsi" w:hAnsi="Consolas" w:cs="Consolas"/>
      <w:sz w:val="21"/>
      <w:szCs w:val="21"/>
      <w:lang w:val="en-GB"/>
    </w:rPr>
  </w:style>
  <w:style w:type="paragraph" w:styleId="NoSpacing">
    <w:name w:val="No Spacing"/>
    <w:uiPriority w:val="1"/>
    <w:semiHidden/>
    <w:qFormat/>
    <w:rsid w:val="00D746A4"/>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D746A4"/>
    <w:rPr>
      <w:rFonts w:ascii="Times New Roman" w:hAnsi="Times New Roman" w:cs="Times New Roman"/>
      <w:sz w:val="24"/>
      <w:szCs w:val="24"/>
    </w:rPr>
  </w:style>
  <w:style w:type="paragraph" w:styleId="NormalIndent">
    <w:name w:val="Normal Indent"/>
    <w:basedOn w:val="Normal"/>
    <w:uiPriority w:val="99"/>
    <w:semiHidden/>
    <w:unhideWhenUsed/>
    <w:rsid w:val="00D746A4"/>
    <w:pPr>
      <w:ind w:left="567"/>
    </w:pPr>
  </w:style>
  <w:style w:type="paragraph" w:styleId="NoteHeading">
    <w:name w:val="Note Heading"/>
    <w:basedOn w:val="Normal"/>
    <w:next w:val="Normal"/>
    <w:link w:val="NoteHeadingChar"/>
    <w:uiPriority w:val="99"/>
    <w:semiHidden/>
    <w:unhideWhenUsed/>
    <w:rsid w:val="00D746A4"/>
  </w:style>
  <w:style w:type="character" w:customStyle="1" w:styleId="QuoteChar">
    <w:name w:val="Quote Char"/>
    <w:basedOn w:val="DefaultParagraphFont"/>
    <w:link w:val="Quote"/>
    <w:uiPriority w:val="59"/>
    <w:semiHidden/>
    <w:rsid w:val="00D746A4"/>
    <w:rPr>
      <w:rFonts w:ascii="Verdana" w:eastAsiaTheme="minorHAnsi" w:hAnsi="Verdana" w:cstheme="minorBidi"/>
      <w:i/>
      <w:iCs/>
      <w:color w:val="000000" w:themeColor="text1"/>
      <w:sz w:val="18"/>
      <w:szCs w:val="22"/>
      <w:lang w:val="en-GB"/>
    </w:rPr>
  </w:style>
  <w:style w:type="character" w:styleId="PageNumber">
    <w:name w:val="page number"/>
    <w:basedOn w:val="DefaultParagraphFont"/>
    <w:uiPriority w:val="99"/>
    <w:semiHidden/>
    <w:unhideWhenUsed/>
    <w:rsid w:val="00D746A4"/>
  </w:style>
  <w:style w:type="character" w:styleId="PlaceholderText">
    <w:name w:val="Placeholder Text"/>
    <w:basedOn w:val="DefaultParagraphFont"/>
    <w:uiPriority w:val="99"/>
    <w:semiHidden/>
    <w:rsid w:val="00D746A4"/>
    <w:rPr>
      <w:color w:val="808080"/>
    </w:rPr>
  </w:style>
  <w:style w:type="paragraph" w:styleId="PlainText">
    <w:name w:val="Plain Text"/>
    <w:basedOn w:val="Normal"/>
    <w:link w:val="PlainTextChar"/>
    <w:uiPriority w:val="99"/>
    <w:unhideWhenUsed/>
    <w:rsid w:val="00D746A4"/>
    <w:rPr>
      <w:rFonts w:ascii="Consolas" w:hAnsi="Consolas" w:cs="Consolas"/>
      <w:sz w:val="21"/>
      <w:szCs w:val="21"/>
    </w:rPr>
  </w:style>
  <w:style w:type="character" w:customStyle="1" w:styleId="SalutationChar">
    <w:name w:val="Salutation Char"/>
    <w:basedOn w:val="DefaultParagraphFont"/>
    <w:link w:val="Salutation"/>
    <w:uiPriority w:val="99"/>
    <w:semiHidden/>
    <w:rsid w:val="00D746A4"/>
    <w:rPr>
      <w:rFonts w:ascii="Verdana" w:eastAsiaTheme="minorHAnsi" w:hAnsi="Verdana" w:cstheme="minorBidi"/>
      <w:sz w:val="18"/>
      <w:szCs w:val="22"/>
      <w:lang w:val="en-GB"/>
    </w:rPr>
  </w:style>
  <w:style w:type="paragraph" w:styleId="Quote">
    <w:name w:val="Quote"/>
    <w:basedOn w:val="Normal"/>
    <w:next w:val="Normal"/>
    <w:link w:val="QuoteChar"/>
    <w:uiPriority w:val="59"/>
    <w:semiHidden/>
    <w:qFormat/>
    <w:rsid w:val="00D746A4"/>
    <w:rPr>
      <w:i/>
      <w:iCs/>
      <w:color w:val="000000" w:themeColor="text1"/>
    </w:rPr>
  </w:style>
  <w:style w:type="character" w:customStyle="1" w:styleId="SignatureChar">
    <w:name w:val="Signature Char"/>
    <w:basedOn w:val="DefaultParagraphFont"/>
    <w:link w:val="Signature"/>
    <w:uiPriority w:val="99"/>
    <w:semiHidden/>
    <w:rsid w:val="00D746A4"/>
    <w:rPr>
      <w:rFonts w:ascii="Verdana" w:eastAsiaTheme="minorHAnsi" w:hAnsi="Verdana" w:cstheme="minorBidi"/>
      <w:sz w:val="18"/>
      <w:szCs w:val="22"/>
      <w:lang w:val="en-GB"/>
    </w:rPr>
  </w:style>
  <w:style w:type="paragraph" w:styleId="Salutation">
    <w:name w:val="Salutation"/>
    <w:basedOn w:val="Normal"/>
    <w:next w:val="Normal"/>
    <w:link w:val="SalutationChar"/>
    <w:uiPriority w:val="99"/>
    <w:semiHidden/>
    <w:unhideWhenUsed/>
    <w:rsid w:val="00D746A4"/>
  </w:style>
  <w:style w:type="character" w:customStyle="1" w:styleId="SubtitleChar">
    <w:name w:val="Subtitle Char"/>
    <w:basedOn w:val="DefaultParagraphFont"/>
    <w:link w:val="Subtitle"/>
    <w:uiPriority w:val="6"/>
    <w:rsid w:val="00D746A4"/>
    <w:rPr>
      <w:rFonts w:ascii="Verdana" w:eastAsiaTheme="majorEastAsia" w:hAnsi="Verdana" w:cstheme="majorBidi"/>
      <w:b/>
      <w:iCs/>
      <w:sz w:val="18"/>
      <w:szCs w:val="24"/>
      <w:lang w:val="en-GB"/>
    </w:rPr>
  </w:style>
  <w:style w:type="paragraph" w:styleId="Signature">
    <w:name w:val="Signature"/>
    <w:basedOn w:val="Normal"/>
    <w:link w:val="SignatureChar"/>
    <w:uiPriority w:val="99"/>
    <w:semiHidden/>
    <w:unhideWhenUsed/>
    <w:rsid w:val="00D746A4"/>
    <w:pPr>
      <w:ind w:left="4252"/>
    </w:pPr>
  </w:style>
  <w:style w:type="character" w:customStyle="1" w:styleId="TitleChar">
    <w:name w:val="Title Char"/>
    <w:basedOn w:val="DefaultParagraphFont"/>
    <w:link w:val="Title"/>
    <w:uiPriority w:val="5"/>
    <w:rsid w:val="00D746A4"/>
    <w:rPr>
      <w:rFonts w:ascii="Verdana" w:eastAsiaTheme="majorEastAsia" w:hAnsi="Verdana" w:cstheme="majorBidi"/>
      <w:b/>
      <w:caps/>
      <w:color w:val="006283"/>
      <w:kern w:val="28"/>
      <w:sz w:val="18"/>
      <w:szCs w:val="52"/>
      <w:lang w:val="en-GB"/>
    </w:rPr>
  </w:style>
  <w:style w:type="character" w:styleId="Strong">
    <w:name w:val="Strong"/>
    <w:basedOn w:val="DefaultParagraphFont"/>
    <w:uiPriority w:val="99"/>
    <w:semiHidden/>
    <w:qFormat/>
    <w:rsid w:val="00D746A4"/>
    <w:rPr>
      <w:b/>
      <w:bCs/>
    </w:rPr>
  </w:style>
  <w:style w:type="character" w:styleId="SubtleEmphasis">
    <w:name w:val="Subtle Emphasis"/>
    <w:basedOn w:val="DefaultParagraphFont"/>
    <w:uiPriority w:val="99"/>
    <w:semiHidden/>
    <w:qFormat/>
    <w:rsid w:val="00D746A4"/>
    <w:rPr>
      <w:i/>
      <w:iCs/>
      <w:color w:val="808080" w:themeColor="text1" w:themeTint="7F"/>
    </w:rPr>
  </w:style>
  <w:style w:type="character" w:styleId="SubtleReference">
    <w:name w:val="Subtle Reference"/>
    <w:basedOn w:val="DefaultParagraphFont"/>
    <w:uiPriority w:val="99"/>
    <w:semiHidden/>
    <w:qFormat/>
    <w:rsid w:val="00D746A4"/>
    <w:rPr>
      <w:smallCaps/>
      <w:color w:val="C0504D" w:themeColor="accent2"/>
      <w:u w:val="single"/>
    </w:rPr>
  </w:style>
  <w:style w:type="paragraph" w:styleId="TOAHeading">
    <w:name w:val="toa heading"/>
    <w:basedOn w:val="Normal"/>
    <w:next w:val="Normal"/>
    <w:uiPriority w:val="39"/>
    <w:unhideWhenUsed/>
    <w:rsid w:val="00D746A4"/>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C31DD2"/>
    <w:rPr>
      <w:rFonts w:ascii="Verdana" w:hAnsi="Verdana"/>
      <w:sz w:val="18"/>
      <w:szCs w:val="22"/>
      <w:lang w:val="en-GB"/>
    </w:rPr>
  </w:style>
  <w:style w:type="character" w:styleId="UnresolvedMention">
    <w:name w:val="Unresolved Mention"/>
    <w:basedOn w:val="DefaultParagraphFont"/>
    <w:uiPriority w:val="99"/>
    <w:semiHidden/>
    <w:unhideWhenUsed/>
    <w:rsid w:val="008B4A48"/>
    <w:rPr>
      <w:color w:val="808080"/>
      <w:shd w:val="clear" w:color="auto" w:fill="E6E6E6"/>
    </w:rPr>
  </w:style>
  <w:style w:type="paragraph" w:customStyle="1" w:styleId="TitleDate">
    <w:name w:val="Title Date"/>
    <w:basedOn w:val="Normal"/>
    <w:next w:val="Normal"/>
    <w:uiPriority w:val="5"/>
    <w:qFormat/>
    <w:rsid w:val="00D746A4"/>
    <w:pPr>
      <w:spacing w:after="240"/>
      <w:jc w:val="center"/>
    </w:pPr>
    <w:rPr>
      <w:rFonts w:eastAsia="Calibri" w:cs="Times New Roman"/>
      <w:color w:val="006283"/>
    </w:rPr>
  </w:style>
  <w:style w:type="character" w:styleId="Hashtag">
    <w:name w:val="Hashtag"/>
    <w:basedOn w:val="DefaultParagraphFont"/>
    <w:uiPriority w:val="99"/>
    <w:semiHidden/>
    <w:unhideWhenUsed/>
    <w:rsid w:val="00D746A4"/>
    <w:rPr>
      <w:color w:val="2B579A"/>
      <w:shd w:val="clear" w:color="auto" w:fill="E6E6E6"/>
    </w:rPr>
  </w:style>
  <w:style w:type="character" w:styleId="Mention">
    <w:name w:val="Mention"/>
    <w:basedOn w:val="DefaultParagraphFont"/>
    <w:uiPriority w:val="99"/>
    <w:semiHidden/>
    <w:unhideWhenUsed/>
    <w:rsid w:val="00D746A4"/>
    <w:rPr>
      <w:color w:val="2B579A"/>
      <w:shd w:val="clear" w:color="auto" w:fill="E6E6E6"/>
    </w:rPr>
  </w:style>
  <w:style w:type="character" w:styleId="SmartHyperlink">
    <w:name w:val="Smart Hyperlink"/>
    <w:basedOn w:val="DefaultParagraphFont"/>
    <w:uiPriority w:val="99"/>
    <w:semiHidden/>
    <w:unhideWhenUsed/>
    <w:rsid w:val="00D746A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878589431">
      <w:bodyDiv w:val="1"/>
      <w:marLeft w:val="0"/>
      <w:marRight w:val="0"/>
      <w:marTop w:val="0"/>
      <w:marBottom w:val="0"/>
      <w:divBdr>
        <w:top w:val="none" w:sz="0" w:space="0" w:color="auto"/>
        <w:left w:val="none" w:sz="0" w:space="0" w:color="auto"/>
        <w:bottom w:val="none" w:sz="0" w:space="0" w:color="auto"/>
        <w:right w:val="none" w:sz="0" w:space="0" w:color="auto"/>
      </w:divBdr>
    </w:div>
    <w:div w:id="964971718">
      <w:bodyDiv w:val="1"/>
      <w:marLeft w:val="0"/>
      <w:marRight w:val="0"/>
      <w:marTop w:val="0"/>
      <w:marBottom w:val="0"/>
      <w:divBdr>
        <w:top w:val="none" w:sz="0" w:space="0" w:color="auto"/>
        <w:left w:val="none" w:sz="0" w:space="0" w:color="auto"/>
        <w:bottom w:val="none" w:sz="0" w:space="0" w:color="auto"/>
        <w:right w:val="none" w:sz="0" w:space="0" w:color="auto"/>
      </w:divBdr>
    </w:div>
    <w:div w:id="973102467">
      <w:bodyDiv w:val="1"/>
      <w:marLeft w:val="0"/>
      <w:marRight w:val="0"/>
      <w:marTop w:val="0"/>
      <w:marBottom w:val="0"/>
      <w:divBdr>
        <w:top w:val="none" w:sz="0" w:space="0" w:color="auto"/>
        <w:left w:val="none" w:sz="0" w:space="0" w:color="auto"/>
        <w:bottom w:val="none" w:sz="0" w:space="0" w:color="auto"/>
        <w:right w:val="none" w:sz="0" w:space="0" w:color="auto"/>
      </w:divBdr>
    </w:div>
    <w:div w:id="980842364">
      <w:bodyDiv w:val="1"/>
      <w:marLeft w:val="0"/>
      <w:marRight w:val="0"/>
      <w:marTop w:val="0"/>
      <w:marBottom w:val="0"/>
      <w:divBdr>
        <w:top w:val="none" w:sz="0" w:space="0" w:color="auto"/>
        <w:left w:val="none" w:sz="0" w:space="0" w:color="auto"/>
        <w:bottom w:val="none" w:sz="0" w:space="0" w:color="auto"/>
        <w:right w:val="none" w:sz="0" w:space="0" w:color="auto"/>
      </w:divBdr>
    </w:div>
    <w:div w:id="1101485222">
      <w:bodyDiv w:val="1"/>
      <w:marLeft w:val="0"/>
      <w:marRight w:val="0"/>
      <w:marTop w:val="0"/>
      <w:marBottom w:val="0"/>
      <w:divBdr>
        <w:top w:val="none" w:sz="0" w:space="0" w:color="auto"/>
        <w:left w:val="none" w:sz="0" w:space="0" w:color="auto"/>
        <w:bottom w:val="none" w:sz="0" w:space="0" w:color="auto"/>
        <w:right w:val="none" w:sz="0" w:space="0" w:color="auto"/>
      </w:divBdr>
    </w:div>
    <w:div w:id="1131556442">
      <w:bodyDiv w:val="1"/>
      <w:marLeft w:val="0"/>
      <w:marRight w:val="0"/>
      <w:marTop w:val="0"/>
      <w:marBottom w:val="0"/>
      <w:divBdr>
        <w:top w:val="none" w:sz="0" w:space="0" w:color="auto"/>
        <w:left w:val="none" w:sz="0" w:space="0" w:color="auto"/>
        <w:bottom w:val="none" w:sz="0" w:space="0" w:color="auto"/>
        <w:right w:val="none" w:sz="0" w:space="0" w:color="auto"/>
      </w:divBdr>
    </w:div>
    <w:div w:id="1297680128">
      <w:bodyDiv w:val="1"/>
      <w:marLeft w:val="0"/>
      <w:marRight w:val="0"/>
      <w:marTop w:val="0"/>
      <w:marBottom w:val="0"/>
      <w:divBdr>
        <w:top w:val="none" w:sz="0" w:space="0" w:color="auto"/>
        <w:left w:val="none" w:sz="0" w:space="0" w:color="auto"/>
        <w:bottom w:val="none" w:sz="0" w:space="0" w:color="auto"/>
        <w:right w:val="none" w:sz="0" w:space="0" w:color="auto"/>
      </w:divBdr>
    </w:div>
    <w:div w:id="1390111994">
      <w:bodyDiv w:val="1"/>
      <w:marLeft w:val="0"/>
      <w:marRight w:val="0"/>
      <w:marTop w:val="0"/>
      <w:marBottom w:val="0"/>
      <w:divBdr>
        <w:top w:val="none" w:sz="0" w:space="0" w:color="auto"/>
        <w:left w:val="none" w:sz="0" w:space="0" w:color="auto"/>
        <w:bottom w:val="none" w:sz="0" w:space="0" w:color="auto"/>
        <w:right w:val="none" w:sz="0" w:space="0" w:color="auto"/>
      </w:divBdr>
    </w:div>
    <w:div w:id="1646351213">
      <w:bodyDiv w:val="1"/>
      <w:marLeft w:val="0"/>
      <w:marRight w:val="0"/>
      <w:marTop w:val="0"/>
      <w:marBottom w:val="0"/>
      <w:divBdr>
        <w:top w:val="none" w:sz="0" w:space="0" w:color="auto"/>
        <w:left w:val="none" w:sz="0" w:space="0" w:color="auto"/>
        <w:bottom w:val="none" w:sz="0" w:space="0" w:color="auto"/>
        <w:right w:val="none" w:sz="0" w:space="0" w:color="auto"/>
      </w:divBdr>
    </w:div>
    <w:div w:id="201086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tdfsecretariat@wt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to.org/spstransparency" TargetMode="External"/><Relationship Id="rId13" Type="http://schemas.openxmlformats.org/officeDocument/2006/relationships/hyperlink" Target="http://www.standardsfacility.org/PPG-561" TargetMode="External"/><Relationship Id="rId3" Type="http://schemas.openxmlformats.org/officeDocument/2006/relationships/hyperlink" Target="http://www.wto.org/spstransparency" TargetMode="External"/><Relationship Id="rId7" Type="http://schemas.openxmlformats.org/officeDocument/2006/relationships/hyperlink" Target="http://spsims.wto.org" TargetMode="External"/><Relationship Id="rId12" Type="http://schemas.openxmlformats.org/officeDocument/2006/relationships/hyperlink" Target="http://www.standardsfacility.org/PPG-575" TargetMode="External"/><Relationship Id="rId2" Type="http://schemas.openxmlformats.org/officeDocument/2006/relationships/hyperlink" Target="https://nss.wto.org/spsmembers" TargetMode="External"/><Relationship Id="rId1" Type="http://schemas.openxmlformats.org/officeDocument/2006/relationships/hyperlink" Target="http://spsims.wto.org" TargetMode="External"/><Relationship Id="rId6" Type="http://schemas.openxmlformats.org/officeDocument/2006/relationships/hyperlink" Target="mailto:idb@wto.org" TargetMode="External"/><Relationship Id="rId11" Type="http://schemas.openxmlformats.org/officeDocument/2006/relationships/hyperlink" Target="http://www.standardsfacility.org/PG-606" TargetMode="External"/><Relationship Id="rId5" Type="http://schemas.openxmlformats.org/officeDocument/2006/relationships/hyperlink" Target="http://spsims.wto.org/en/EnquiryPointsNotificationAuthorities/Search" TargetMode="External"/><Relationship Id="rId10" Type="http://schemas.openxmlformats.org/officeDocument/2006/relationships/hyperlink" Target="http://www.standardsfacility.org/prioritizing-sps-investments-market-access-p-ima" TargetMode="External"/><Relationship Id="rId4" Type="http://schemas.openxmlformats.org/officeDocument/2006/relationships/hyperlink" Target="mailto:idb@wto.org" TargetMode="External"/><Relationship Id="rId9" Type="http://schemas.openxmlformats.org/officeDocument/2006/relationships/hyperlink" Target="http://www.epingalert.org/" TargetMode="External"/><Relationship Id="rId14" Type="http://schemas.openxmlformats.org/officeDocument/2006/relationships/hyperlink" Target="http://www.standardsfacility.org/sites/default/files/STDF_NationalSPSCoordinationMechanisms_EN_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wr.wto.org\dfsroot\DIV\Agcd\Agcd\Agreements\SPS\Chrono\1018\Secretariat%20Documents\GEN804R11\GEN804REV10%20-data%20cube-Updated_05Sept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r.wto.org\dfsroot\DIV\Agcd\Agcd\Agreements\SPS\Chrono\1018\Secretariat%20Documents\GEN804R11\GEN804REV10%20-data%20cube-Updated_05Sept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[GEN804REV10 -data cube-Updated_05Sept18.xlsx]Chart 5!PivotTable4</c:name>
    <c:fmtId val="17"/>
  </c:pivotSource>
  <c:chart>
    <c:autoTitleDeleted val="1"/>
    <c:pivotFmts>
      <c:pivotFmt>
        <c:idx val="0"/>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
      </c:pivotFmt>
      <c:pivotFmt>
        <c:idx val="3"/>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'Chart 5'!$B$4:$B$6</c:f>
              <c:strCache>
                <c:ptCount val="1"/>
                <c:pt idx="0">
                  <c:v>Regular - Notification Count</c:v>
                </c:pt>
              </c:strCache>
            </c:strRef>
          </c:tx>
          <c:explosion val="5"/>
          <c:dPt>
            <c:idx val="0"/>
            <c:bubble3D val="0"/>
            <c:explosion val="2"/>
            <c:extLst>
              <c:ext xmlns:c16="http://schemas.microsoft.com/office/drawing/2014/chart" uri="{C3380CC4-5D6E-409C-BE32-E72D297353CC}">
                <c16:uniqueId val="{00000001-F0EE-4681-8338-271EF946598B}"/>
              </c:ext>
            </c:extLst>
          </c:dPt>
          <c:dPt>
            <c:idx val="1"/>
            <c:bubble3D val="0"/>
            <c:explosion val="2"/>
            <c:extLst>
              <c:ext xmlns:c16="http://schemas.microsoft.com/office/drawing/2014/chart" uri="{C3380CC4-5D6E-409C-BE32-E72D297353CC}">
                <c16:uniqueId val="{00000003-F0EE-4681-8338-271EF946598B}"/>
              </c:ext>
            </c:extLst>
          </c:dPt>
          <c:dPt>
            <c:idx val="2"/>
            <c:bubble3D val="0"/>
            <c:explosion val="2"/>
            <c:extLst>
              <c:ext xmlns:c16="http://schemas.microsoft.com/office/drawing/2014/chart" uri="{C3380CC4-5D6E-409C-BE32-E72D297353CC}">
                <c16:uniqueId val="{00000005-F0EE-4681-8338-271EF946598B}"/>
              </c:ext>
            </c:extLst>
          </c:dPt>
          <c:dPt>
            <c:idx val="3"/>
            <c:bubble3D val="0"/>
            <c:explosion val="2"/>
            <c:extLst>
              <c:ext xmlns:c16="http://schemas.microsoft.com/office/drawing/2014/chart" uri="{C3380CC4-5D6E-409C-BE32-E72D297353CC}">
                <c16:uniqueId val="{00000007-F0EE-4681-8338-271EF946598B}"/>
              </c:ext>
            </c:extLst>
          </c:dPt>
          <c:dLbls>
            <c:spPr>
              <a:noFill/>
              <a:ln>
                <a:noFill/>
              </a:ln>
              <a:effectLst/>
            </c:spPr>
            <c:txPr>
              <a:bodyPr/>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'Chart 5'!$A$7:$A$11</c:f>
              <c:strCache>
                <c:ptCount val="4"/>
                <c:pt idx="0">
                  <c:v>None</c:v>
                </c:pt>
                <c:pt idx="1">
                  <c:v>Codex</c:v>
                </c:pt>
                <c:pt idx="2">
                  <c:v>IPPC</c:v>
                </c:pt>
                <c:pt idx="3">
                  <c:v>OIE</c:v>
                </c:pt>
              </c:strCache>
            </c:strRef>
          </c:cat>
          <c:val>
            <c:numRef>
              <c:f>'Chart 5'!$B$7:$B$11</c:f>
              <c:numCache>
                <c:formatCode>General</c:formatCode>
                <c:ptCount val="4"/>
                <c:pt idx="0">
                  <c:v>674</c:v>
                </c:pt>
                <c:pt idx="1">
                  <c:v>326</c:v>
                </c:pt>
                <c:pt idx="2">
                  <c:v>141</c:v>
                </c:pt>
                <c:pt idx="3">
                  <c:v>63</c:v>
                </c:pt>
              </c:numCache>
            </c:numRef>
          </c:val>
          <c:extLst>
            <c:ext xmlns:c16="http://schemas.microsoft.com/office/drawing/2014/chart" uri="{C3380CC4-5D6E-409C-BE32-E72D297353CC}">
              <c16:uniqueId val="{00000008-F0EE-4681-8338-271EF946598B}"/>
            </c:ext>
          </c:extLst>
        </c:ser>
        <c:ser>
          <c:idx val="1"/>
          <c:order val="1"/>
          <c:tx>
            <c:strRef>
              <c:f>'Chart 5'!$C$4:$C$6</c:f>
              <c:strCache>
                <c:ptCount val="1"/>
                <c:pt idx="0">
                  <c:v>Regular - Notification Count2</c:v>
                </c:pt>
              </c:strCache>
            </c:strRef>
          </c:tx>
          <c:explosion val="25"/>
          <c:dLbls>
            <c:spPr>
              <a:noFill/>
              <a:ln>
                <a:noFill/>
              </a:ln>
              <a:effectLst/>
            </c:spPr>
            <c:txPr>
              <a:bodyPr/>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'Chart 5'!$A$7:$A$11</c:f>
              <c:strCache>
                <c:ptCount val="4"/>
                <c:pt idx="0">
                  <c:v>None</c:v>
                </c:pt>
                <c:pt idx="1">
                  <c:v>Codex</c:v>
                </c:pt>
                <c:pt idx="2">
                  <c:v>IPPC</c:v>
                </c:pt>
                <c:pt idx="3">
                  <c:v>OIE</c:v>
                </c:pt>
              </c:strCache>
            </c:strRef>
          </c:cat>
          <c:val>
            <c:numRef>
              <c:f>'Chart 5'!$C$7:$C$11</c:f>
              <c:numCache>
                <c:formatCode>0%</c:formatCode>
                <c:ptCount val="4"/>
                <c:pt idx="0">
                  <c:v>0.57215619694397279</c:v>
                </c:pt>
                <c:pt idx="1">
                  <c:v>0.2767402376910017</c:v>
                </c:pt>
                <c:pt idx="2">
                  <c:v>0.11969439728353141</c:v>
                </c:pt>
                <c:pt idx="3">
                  <c:v>5.3480475382003394E-2</c:v>
                </c:pt>
              </c:numCache>
            </c:numRef>
          </c:val>
          <c:extLst>
            <c:ext xmlns:c16="http://schemas.microsoft.com/office/drawing/2014/chart" uri="{C3380CC4-5D6E-409C-BE32-E72D297353CC}">
              <c16:uniqueId val="{00000009-F0EE-4681-8338-271EF946598B}"/>
            </c:ext>
          </c:extLst>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[GEN804REV10 -data cube-Updated_05Sept18.xlsx]Chart 5!PivotTable3</c:name>
    <c:fmtId val="10"/>
  </c:pivotSource>
  <c:chart>
    <c:autoTitleDeleted val="1"/>
    <c:pivotFmts>
      <c:pivotFmt>
        <c:idx val="0"/>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
        <c:dLbl>
          <c:idx val="0"/>
          <c:layout>
            <c:manualLayout>
              <c:x val="5.8700209643605769E-2"/>
              <c:y val="-0.21927503895933198"/>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4"/>
        <c:dLbl>
          <c:idx val="0"/>
          <c:layout>
            <c:manualLayout>
              <c:x val="5.8700209643605769E-2"/>
              <c:y val="-0.21927503895933198"/>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7"/>
        <c:dLbl>
          <c:idx val="0"/>
          <c:layout>
            <c:manualLayout>
              <c:x val="5.8700209643605769E-2"/>
              <c:y val="-0.21927503895933198"/>
            </c:manualLayout>
          </c:layout>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26414460007243895"/>
          <c:y val="0.13323367467537603"/>
          <c:w val="0.48014368714307687"/>
          <c:h val="0.81670742925623041"/>
        </c:manualLayout>
      </c:layout>
      <c:pieChart>
        <c:varyColors val="1"/>
        <c:ser>
          <c:idx val="0"/>
          <c:order val="0"/>
          <c:tx>
            <c:strRef>
              <c:f>'Chart 5'!$G$4:$G$6</c:f>
              <c:strCache>
                <c:ptCount val="1"/>
                <c:pt idx="0">
                  <c:v>Emergency - Notification Count</c:v>
                </c:pt>
              </c:strCache>
            </c:strRef>
          </c:tx>
          <c:dPt>
            <c:idx val="0"/>
            <c:bubble3D val="0"/>
            <c:explosion val="3"/>
            <c:extLst>
              <c:ext xmlns:c16="http://schemas.microsoft.com/office/drawing/2014/chart" uri="{C3380CC4-5D6E-409C-BE32-E72D297353CC}">
                <c16:uniqueId val="{00000001-68E1-49C6-8C9F-26A4877A348A}"/>
              </c:ext>
            </c:extLst>
          </c:dPt>
          <c:dPt>
            <c:idx val="1"/>
            <c:bubble3D val="0"/>
            <c:explosion val="1"/>
            <c:extLst>
              <c:ext xmlns:c16="http://schemas.microsoft.com/office/drawing/2014/chart" uri="{C3380CC4-5D6E-409C-BE32-E72D297353CC}">
                <c16:uniqueId val="{00000003-68E1-49C6-8C9F-26A4877A348A}"/>
              </c:ext>
            </c:extLst>
          </c:dPt>
          <c:dPt>
            <c:idx val="2"/>
            <c:bubble3D val="0"/>
            <c:explosion val="1"/>
            <c:extLst>
              <c:ext xmlns:c16="http://schemas.microsoft.com/office/drawing/2014/chart" uri="{C3380CC4-5D6E-409C-BE32-E72D297353CC}">
                <c16:uniqueId val="{00000005-68E1-49C6-8C9F-26A4877A348A}"/>
              </c:ext>
            </c:extLst>
          </c:dPt>
          <c:dPt>
            <c:idx val="3"/>
            <c:bubble3D val="0"/>
            <c:explosion val="2"/>
            <c:extLst>
              <c:ext xmlns:c16="http://schemas.microsoft.com/office/drawing/2014/chart" uri="{C3380CC4-5D6E-409C-BE32-E72D297353CC}">
                <c16:uniqueId val="{00000007-68E1-49C6-8C9F-26A4877A348A}"/>
              </c:ext>
            </c:extLst>
          </c:dPt>
          <c:dLbls>
            <c:dLbl>
              <c:idx val="0"/>
              <c:layout>
                <c:manualLayout>
                  <c:x val="5.8700231531832001E-2"/>
                  <c:y val="-0.376651951292973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E1-49C6-8C9F-26A4877A348A}"/>
                </c:ext>
              </c:extLst>
            </c:dLbl>
            <c:spPr>
              <a:noFill/>
              <a:ln>
                <a:noFill/>
              </a:ln>
              <a:effectLst/>
            </c:spPr>
            <c:txPr>
              <a:bodyPr/>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'Chart 5'!$F$7:$F$11</c:f>
              <c:strCache>
                <c:ptCount val="4"/>
                <c:pt idx="0">
                  <c:v>OIE</c:v>
                </c:pt>
                <c:pt idx="1">
                  <c:v>None</c:v>
                </c:pt>
                <c:pt idx="2">
                  <c:v>IPPC</c:v>
                </c:pt>
                <c:pt idx="3">
                  <c:v>Codex</c:v>
                </c:pt>
              </c:strCache>
            </c:strRef>
          </c:cat>
          <c:val>
            <c:numRef>
              <c:f>'Chart 5'!$G$7:$G$11</c:f>
              <c:numCache>
                <c:formatCode>General</c:formatCode>
                <c:ptCount val="4"/>
                <c:pt idx="0">
                  <c:v>86</c:v>
                </c:pt>
                <c:pt idx="1">
                  <c:v>17</c:v>
                </c:pt>
                <c:pt idx="2">
                  <c:v>15</c:v>
                </c:pt>
                <c:pt idx="3">
                  <c:v>6</c:v>
                </c:pt>
              </c:numCache>
            </c:numRef>
          </c:val>
          <c:extLst>
            <c:ext xmlns:c16="http://schemas.microsoft.com/office/drawing/2014/chart" uri="{C3380CC4-5D6E-409C-BE32-E72D297353CC}">
              <c16:uniqueId val="{00000008-68E1-49C6-8C9F-26A4877A348A}"/>
            </c:ext>
          </c:extLst>
        </c:ser>
        <c:ser>
          <c:idx val="1"/>
          <c:order val="1"/>
          <c:tx>
            <c:strRef>
              <c:f>'Chart 5'!$H$4:$H$6</c:f>
              <c:strCache>
                <c:ptCount val="1"/>
                <c:pt idx="0">
                  <c:v>Emergency - Notification Count2</c:v>
                </c:pt>
              </c:strCache>
            </c:strRef>
          </c:tx>
          <c:dLbls>
            <c:spPr>
              <a:noFill/>
              <a:ln>
                <a:noFill/>
              </a:ln>
              <a:effectLst/>
            </c:spPr>
            <c:txPr>
              <a:bodyPr/>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'Chart 5'!$F$7:$F$11</c:f>
              <c:strCache>
                <c:ptCount val="4"/>
                <c:pt idx="0">
                  <c:v>OIE</c:v>
                </c:pt>
                <c:pt idx="1">
                  <c:v>None</c:v>
                </c:pt>
                <c:pt idx="2">
                  <c:v>IPPC</c:v>
                </c:pt>
                <c:pt idx="3">
                  <c:v>Codex</c:v>
                </c:pt>
              </c:strCache>
            </c:strRef>
          </c:cat>
          <c:val>
            <c:numRef>
              <c:f>'Chart 5'!$H$7:$H$11</c:f>
              <c:numCache>
                <c:formatCode>0%</c:formatCode>
                <c:ptCount val="4"/>
                <c:pt idx="0">
                  <c:v>0.69918699186991873</c:v>
                </c:pt>
                <c:pt idx="1">
                  <c:v>0.13821138211382114</c:v>
                </c:pt>
                <c:pt idx="2">
                  <c:v>0.12195121951219512</c:v>
                </c:pt>
                <c:pt idx="3">
                  <c:v>4.878048780487805E-2</c:v>
                </c:pt>
              </c:numCache>
            </c:numRef>
          </c:val>
          <c:extLst>
            <c:ext xmlns:c16="http://schemas.microsoft.com/office/drawing/2014/chart" uri="{C3380CC4-5D6E-409C-BE32-E72D297353CC}">
              <c16:uniqueId val="{00000009-68E1-49C6-8C9F-26A4877A348A}"/>
            </c:ext>
          </c:extLst>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F275-4A09-4F9F-A4E0-1AC9CE29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15</Pages>
  <Words>5851</Words>
  <Characters>32074</Characters>
  <Application>Microsoft Office Word</Application>
  <DocSecurity>0</DocSecurity>
  <Lines>867</Lines>
  <Paragraphs>477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37641</CharactersWithSpaces>
  <SharedDoc>false</SharedDoc>
  <HLinks>
    <vt:vector size="138" baseType="variant">
      <vt:variant>
        <vt:i4>1572912</vt:i4>
      </vt:variant>
      <vt:variant>
        <vt:i4>86</vt:i4>
      </vt:variant>
      <vt:variant>
        <vt:i4>0</vt:i4>
      </vt:variant>
      <vt:variant>
        <vt:i4>5</vt:i4>
      </vt:variant>
      <vt:variant>
        <vt:lpwstr/>
      </vt:variant>
      <vt:variant>
        <vt:lpwstr>_Toc463874051</vt:lpwstr>
      </vt:variant>
      <vt:variant>
        <vt:i4>1572912</vt:i4>
      </vt:variant>
      <vt:variant>
        <vt:i4>80</vt:i4>
      </vt:variant>
      <vt:variant>
        <vt:i4>0</vt:i4>
      </vt:variant>
      <vt:variant>
        <vt:i4>5</vt:i4>
      </vt:variant>
      <vt:variant>
        <vt:lpwstr/>
      </vt:variant>
      <vt:variant>
        <vt:lpwstr>_Toc463874050</vt:lpwstr>
      </vt:variant>
      <vt:variant>
        <vt:i4>1638448</vt:i4>
      </vt:variant>
      <vt:variant>
        <vt:i4>74</vt:i4>
      </vt:variant>
      <vt:variant>
        <vt:i4>0</vt:i4>
      </vt:variant>
      <vt:variant>
        <vt:i4>5</vt:i4>
      </vt:variant>
      <vt:variant>
        <vt:lpwstr/>
      </vt:variant>
      <vt:variant>
        <vt:lpwstr>_Toc463874049</vt:lpwstr>
      </vt:variant>
      <vt:variant>
        <vt:i4>1638448</vt:i4>
      </vt:variant>
      <vt:variant>
        <vt:i4>68</vt:i4>
      </vt:variant>
      <vt:variant>
        <vt:i4>0</vt:i4>
      </vt:variant>
      <vt:variant>
        <vt:i4>5</vt:i4>
      </vt:variant>
      <vt:variant>
        <vt:lpwstr/>
      </vt:variant>
      <vt:variant>
        <vt:lpwstr>_Toc463874048</vt:lpwstr>
      </vt:variant>
      <vt:variant>
        <vt:i4>1638448</vt:i4>
      </vt:variant>
      <vt:variant>
        <vt:i4>62</vt:i4>
      </vt:variant>
      <vt:variant>
        <vt:i4>0</vt:i4>
      </vt:variant>
      <vt:variant>
        <vt:i4>5</vt:i4>
      </vt:variant>
      <vt:variant>
        <vt:lpwstr/>
      </vt:variant>
      <vt:variant>
        <vt:lpwstr>_Toc463874047</vt:lpwstr>
      </vt:variant>
      <vt:variant>
        <vt:i4>1638448</vt:i4>
      </vt:variant>
      <vt:variant>
        <vt:i4>56</vt:i4>
      </vt:variant>
      <vt:variant>
        <vt:i4>0</vt:i4>
      </vt:variant>
      <vt:variant>
        <vt:i4>5</vt:i4>
      </vt:variant>
      <vt:variant>
        <vt:lpwstr/>
      </vt:variant>
      <vt:variant>
        <vt:lpwstr>_Toc463874046</vt:lpwstr>
      </vt:variant>
      <vt:variant>
        <vt:i4>1638448</vt:i4>
      </vt:variant>
      <vt:variant>
        <vt:i4>50</vt:i4>
      </vt:variant>
      <vt:variant>
        <vt:i4>0</vt:i4>
      </vt:variant>
      <vt:variant>
        <vt:i4>5</vt:i4>
      </vt:variant>
      <vt:variant>
        <vt:lpwstr/>
      </vt:variant>
      <vt:variant>
        <vt:lpwstr>_Toc463874045</vt:lpwstr>
      </vt:variant>
      <vt:variant>
        <vt:i4>1638448</vt:i4>
      </vt:variant>
      <vt:variant>
        <vt:i4>44</vt:i4>
      </vt:variant>
      <vt:variant>
        <vt:i4>0</vt:i4>
      </vt:variant>
      <vt:variant>
        <vt:i4>5</vt:i4>
      </vt:variant>
      <vt:variant>
        <vt:lpwstr/>
      </vt:variant>
      <vt:variant>
        <vt:lpwstr>_Toc463874044</vt:lpwstr>
      </vt:variant>
      <vt:variant>
        <vt:i4>1638448</vt:i4>
      </vt:variant>
      <vt:variant>
        <vt:i4>38</vt:i4>
      </vt:variant>
      <vt:variant>
        <vt:i4>0</vt:i4>
      </vt:variant>
      <vt:variant>
        <vt:i4>5</vt:i4>
      </vt:variant>
      <vt:variant>
        <vt:lpwstr/>
      </vt:variant>
      <vt:variant>
        <vt:lpwstr>_Toc463874043</vt:lpwstr>
      </vt:variant>
      <vt:variant>
        <vt:i4>1638448</vt:i4>
      </vt:variant>
      <vt:variant>
        <vt:i4>32</vt:i4>
      </vt:variant>
      <vt:variant>
        <vt:i4>0</vt:i4>
      </vt:variant>
      <vt:variant>
        <vt:i4>5</vt:i4>
      </vt:variant>
      <vt:variant>
        <vt:lpwstr/>
      </vt:variant>
      <vt:variant>
        <vt:lpwstr>_Toc463874042</vt:lpwstr>
      </vt:variant>
      <vt:variant>
        <vt:i4>1638448</vt:i4>
      </vt:variant>
      <vt:variant>
        <vt:i4>26</vt:i4>
      </vt:variant>
      <vt:variant>
        <vt:i4>0</vt:i4>
      </vt:variant>
      <vt:variant>
        <vt:i4>5</vt:i4>
      </vt:variant>
      <vt:variant>
        <vt:lpwstr/>
      </vt:variant>
      <vt:variant>
        <vt:lpwstr>_Toc463874041</vt:lpwstr>
      </vt:variant>
      <vt:variant>
        <vt:i4>1638448</vt:i4>
      </vt:variant>
      <vt:variant>
        <vt:i4>20</vt:i4>
      </vt:variant>
      <vt:variant>
        <vt:i4>0</vt:i4>
      </vt:variant>
      <vt:variant>
        <vt:i4>5</vt:i4>
      </vt:variant>
      <vt:variant>
        <vt:lpwstr/>
      </vt:variant>
      <vt:variant>
        <vt:lpwstr>_Toc463874040</vt:lpwstr>
      </vt:variant>
      <vt:variant>
        <vt:i4>1966128</vt:i4>
      </vt:variant>
      <vt:variant>
        <vt:i4>14</vt:i4>
      </vt:variant>
      <vt:variant>
        <vt:i4>0</vt:i4>
      </vt:variant>
      <vt:variant>
        <vt:i4>5</vt:i4>
      </vt:variant>
      <vt:variant>
        <vt:lpwstr/>
      </vt:variant>
      <vt:variant>
        <vt:lpwstr>_Toc463874039</vt:lpwstr>
      </vt:variant>
      <vt:variant>
        <vt:i4>1966128</vt:i4>
      </vt:variant>
      <vt:variant>
        <vt:i4>8</vt:i4>
      </vt:variant>
      <vt:variant>
        <vt:i4>0</vt:i4>
      </vt:variant>
      <vt:variant>
        <vt:i4>5</vt:i4>
      </vt:variant>
      <vt:variant>
        <vt:lpwstr/>
      </vt:variant>
      <vt:variant>
        <vt:lpwstr>_Toc463874038</vt:lpwstr>
      </vt:variant>
      <vt:variant>
        <vt:i4>1966128</vt:i4>
      </vt:variant>
      <vt:variant>
        <vt:i4>2</vt:i4>
      </vt:variant>
      <vt:variant>
        <vt:i4>0</vt:i4>
      </vt:variant>
      <vt:variant>
        <vt:i4>5</vt:i4>
      </vt:variant>
      <vt:variant>
        <vt:lpwstr/>
      </vt:variant>
      <vt:variant>
        <vt:lpwstr>_Toc463874037</vt:lpwstr>
      </vt:variant>
      <vt:variant>
        <vt:i4>7077952</vt:i4>
      </vt:variant>
      <vt:variant>
        <vt:i4>21</vt:i4>
      </vt:variant>
      <vt:variant>
        <vt:i4>0</vt:i4>
      </vt:variant>
      <vt:variant>
        <vt:i4>5</vt:i4>
      </vt:variant>
      <vt:variant>
        <vt:lpwstr>mailto:stdfsecretariat@wto.org</vt:lpwstr>
      </vt:variant>
      <vt:variant>
        <vt:lpwstr/>
      </vt:variant>
      <vt:variant>
        <vt:i4>1114209</vt:i4>
      </vt:variant>
      <vt:variant>
        <vt:i4>18</vt:i4>
      </vt:variant>
      <vt:variant>
        <vt:i4>0</vt:i4>
      </vt:variant>
      <vt:variant>
        <vt:i4>5</vt:i4>
      </vt:variant>
      <vt:variant>
        <vt:lpwstr>http://www.standardsfacility.org/sites/default/files/STDF_NationalSPSCoordinationMechanisms_EN_0.pdf</vt:lpwstr>
      </vt:variant>
      <vt:variant>
        <vt:lpwstr/>
      </vt:variant>
      <vt:variant>
        <vt:i4>1441813</vt:i4>
      </vt:variant>
      <vt:variant>
        <vt:i4>15</vt:i4>
      </vt:variant>
      <vt:variant>
        <vt:i4>0</vt:i4>
      </vt:variant>
      <vt:variant>
        <vt:i4>5</vt:i4>
      </vt:variant>
      <vt:variant>
        <vt:lpwstr>http://www.standardsfacility.org/prioritizing-sps-investments-market-access-p-ima</vt:lpwstr>
      </vt:variant>
      <vt:variant>
        <vt:lpwstr/>
      </vt:variant>
      <vt:variant>
        <vt:i4>6225998</vt:i4>
      </vt:variant>
      <vt:variant>
        <vt:i4>12</vt:i4>
      </vt:variant>
      <vt:variant>
        <vt:i4>0</vt:i4>
      </vt:variant>
      <vt:variant>
        <vt:i4>5</vt:i4>
      </vt:variant>
      <vt:variant>
        <vt:lpwstr>http://www.wto.org/english/tratop_e/sps_e/transparency_toolkit_e.htm</vt:lpwstr>
      </vt:variant>
      <vt:variant>
        <vt:lpwstr/>
      </vt:variant>
      <vt:variant>
        <vt:i4>7929926</vt:i4>
      </vt:variant>
      <vt:variant>
        <vt:i4>9</vt:i4>
      </vt:variant>
      <vt:variant>
        <vt:i4>0</vt:i4>
      </vt:variant>
      <vt:variant>
        <vt:i4>5</vt:i4>
      </vt:variant>
      <vt:variant>
        <vt:lpwstr>mailto:idb@wto.org</vt:lpwstr>
      </vt:variant>
      <vt:variant>
        <vt:lpwstr/>
      </vt:variant>
      <vt:variant>
        <vt:i4>7929926</vt:i4>
      </vt:variant>
      <vt:variant>
        <vt:i4>6</vt:i4>
      </vt:variant>
      <vt:variant>
        <vt:i4>0</vt:i4>
      </vt:variant>
      <vt:variant>
        <vt:i4>5</vt:i4>
      </vt:variant>
      <vt:variant>
        <vt:lpwstr>mailto:idb@wto.org</vt:lpwstr>
      </vt:variant>
      <vt:variant>
        <vt:lpwstr/>
      </vt:variant>
      <vt:variant>
        <vt:i4>6225998</vt:i4>
      </vt:variant>
      <vt:variant>
        <vt:i4>3</vt:i4>
      </vt:variant>
      <vt:variant>
        <vt:i4>0</vt:i4>
      </vt:variant>
      <vt:variant>
        <vt:i4>5</vt:i4>
      </vt:variant>
      <vt:variant>
        <vt:lpwstr>http://www.wto.org/english/tratop_e/sps_e/transparency_toolkit_e.htm</vt:lpwstr>
      </vt:variant>
      <vt:variant>
        <vt:lpwstr/>
      </vt:variant>
      <vt:variant>
        <vt:i4>7274611</vt:i4>
      </vt:variant>
      <vt:variant>
        <vt:i4>0</vt:i4>
      </vt:variant>
      <vt:variant>
        <vt:i4>0</vt:i4>
      </vt:variant>
      <vt:variant>
        <vt:i4>5</vt:i4>
      </vt:variant>
      <vt:variant>
        <vt:lpwstr>http://spsims.wto.org/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2014-10-02T09:56:00Z</cp:lastPrinted>
  <dcterms:created xsi:type="dcterms:W3CDTF">2018-10-10T06:29:00Z</dcterms:created>
  <dcterms:modified xsi:type="dcterms:W3CDTF">2018-10-11T13:54:00Z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G/SPS/GEN/804/Rev.11</vt:lpwstr>
  </property>
</Properties>
</file>