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6FE5" w14:textId="43EAACAE" w:rsidR="00DB0596" w:rsidRPr="002352B3" w:rsidRDefault="00DB0596" w:rsidP="0021098F">
      <w:pPr>
        <w:pStyle w:val="Title"/>
      </w:pPr>
      <w:r w:rsidRPr="002352B3">
        <w:t>INFORMAL WORKING GROUP ON MSMES</w:t>
      </w:r>
      <w:r w:rsidR="00EC5260">
        <w:rPr>
          <w:rStyle w:val="FootnoteReference"/>
        </w:rPr>
        <w:footnoteReference w:id="2"/>
      </w:r>
    </w:p>
    <w:p w14:paraId="744D8200" w14:textId="7D780603" w:rsidR="00DB0596" w:rsidRPr="004C42A3" w:rsidRDefault="00DB0596" w:rsidP="00DB0596">
      <w:pPr>
        <w:pStyle w:val="Title2"/>
      </w:pPr>
      <w:bookmarkStart w:id="0" w:name="_Hlk119409323"/>
      <w:bookmarkStart w:id="1" w:name="_Hlk90630035"/>
      <w:r w:rsidRPr="00D345EB">
        <w:t>202</w:t>
      </w:r>
      <w:r w:rsidR="00D66343" w:rsidRPr="00D345EB">
        <w:t>2</w:t>
      </w:r>
      <w:r w:rsidRPr="00D345EB">
        <w:t xml:space="preserve"> </w:t>
      </w:r>
      <w:r w:rsidR="00D345EB" w:rsidRPr="00D345EB">
        <w:t xml:space="preserve">DRAFT </w:t>
      </w:r>
      <w:r w:rsidRPr="00D345EB">
        <w:t>ANNUAL REPORT</w:t>
      </w:r>
    </w:p>
    <w:p w14:paraId="5C8123B9" w14:textId="77777777" w:rsidR="00DB0596" w:rsidRDefault="00DB0596" w:rsidP="00DB0596">
      <w:pPr>
        <w:pStyle w:val="Heading1"/>
      </w:pPr>
      <w:bookmarkStart w:id="2" w:name="_Hlk90629978"/>
      <w:bookmarkEnd w:id="0"/>
      <w:r>
        <w:t>Introduction</w:t>
      </w:r>
    </w:p>
    <w:bookmarkEnd w:id="1"/>
    <w:bookmarkEnd w:id="2"/>
    <w:p w14:paraId="7E618767" w14:textId="492C1533" w:rsidR="00F17149" w:rsidRDefault="00DB0596" w:rsidP="00E0668E">
      <w:pPr>
        <w:pStyle w:val="BodyText"/>
      </w:pPr>
      <w:r w:rsidRPr="008A1A5B">
        <w:t xml:space="preserve">On 13 December 2017, </w:t>
      </w:r>
      <w:r w:rsidR="00F17149">
        <w:t xml:space="preserve">at </w:t>
      </w:r>
      <w:r w:rsidR="00F17149" w:rsidRPr="008A1A5B">
        <w:t>the 11</w:t>
      </w:r>
      <w:r w:rsidR="00F17149" w:rsidRPr="00F17149">
        <w:rPr>
          <w:vertAlign w:val="superscript"/>
        </w:rPr>
        <w:t>th</w:t>
      </w:r>
      <w:r w:rsidR="00F17149" w:rsidRPr="008A1A5B">
        <w:t xml:space="preserve"> Ministerial Conference (MC11), </w:t>
      </w:r>
      <w:bookmarkStart w:id="3" w:name="_Hlk56173204"/>
      <w:r w:rsidR="00F17149" w:rsidRPr="008A1A5B">
        <w:t xml:space="preserve">88 WTO Members </w:t>
      </w:r>
      <w:bookmarkEnd w:id="3"/>
      <w:r w:rsidR="00F17149" w:rsidRPr="008A1A5B">
        <w:t xml:space="preserve">representing all major regions and levels of development </w:t>
      </w:r>
      <w:bookmarkStart w:id="4" w:name="_Hlk56173257"/>
      <w:r w:rsidR="00F17149" w:rsidRPr="008A1A5B">
        <w:t xml:space="preserve">established the Informal Working Group on </w:t>
      </w:r>
      <w:r w:rsidR="00F17149" w:rsidRPr="0093462B">
        <w:t>MSMEs</w:t>
      </w:r>
      <w:bookmarkEnd w:id="4"/>
      <w:r w:rsidR="00F17149" w:rsidRPr="0093462B">
        <w:t xml:space="preserve"> (</w:t>
      </w:r>
      <w:bookmarkStart w:id="5" w:name="_Hlk56172037"/>
      <w:r w:rsidR="00F17149" w:rsidRPr="0093462B">
        <w:t>WT/MIN(17)/58/Rev.1</w:t>
      </w:r>
      <w:bookmarkEnd w:id="5"/>
      <w:r w:rsidR="00F17149" w:rsidRPr="0093462B">
        <w:t>). In their Joint</w:t>
      </w:r>
      <w:r w:rsidR="00F17149" w:rsidRPr="008A1A5B">
        <w:t xml:space="preserve"> </w:t>
      </w:r>
      <w:r w:rsidR="00F17149">
        <w:t xml:space="preserve">Ministerial </w:t>
      </w:r>
      <w:r w:rsidR="00F17149" w:rsidRPr="008A1A5B">
        <w:t>Statement, the "Friends of MSMEs" committed to discu</w:t>
      </w:r>
      <w:r w:rsidR="00F17149">
        <w:t>ssing and identifying "</w:t>
      </w:r>
      <w:r w:rsidR="00F17149" w:rsidRPr="00807249">
        <w:t>horizontal a</w:t>
      </w:r>
      <w:r w:rsidR="00F17149">
        <w:t>nd non-discriminatory solutions"</w:t>
      </w:r>
      <w:r w:rsidR="00F17149" w:rsidRPr="00807249">
        <w:t xml:space="preserve"> to improve the participation of MSMEs in international trade while </w:t>
      </w:r>
      <w:r w:rsidR="007E3A55" w:rsidRPr="00807249">
        <w:t>considering</w:t>
      </w:r>
      <w:r w:rsidR="00F17149" w:rsidRPr="00807249">
        <w:t xml:space="preserve"> the specific needs of developing </w:t>
      </w:r>
      <w:r w:rsidR="007E3A55">
        <w:t>economies</w:t>
      </w:r>
      <w:r w:rsidR="00F17149" w:rsidRPr="00807249">
        <w:t>.</w:t>
      </w:r>
    </w:p>
    <w:p w14:paraId="1F3FADF6" w14:textId="575A823C" w:rsidR="00F17149" w:rsidRDefault="00F17149" w:rsidP="00F17149">
      <w:pPr>
        <w:pStyle w:val="BodyText"/>
      </w:pPr>
      <w:r>
        <w:t xml:space="preserve">The following </w:t>
      </w:r>
      <w:r w:rsidR="00E1718E">
        <w:t>A</w:t>
      </w:r>
      <w:r>
        <w:t xml:space="preserve">nnual </w:t>
      </w:r>
      <w:r w:rsidR="00E1718E">
        <w:t>R</w:t>
      </w:r>
      <w:r>
        <w:t xml:space="preserve">eport describes the activities of the </w:t>
      </w:r>
      <w:r w:rsidR="00D66343">
        <w:t xml:space="preserve">MSME </w:t>
      </w:r>
      <w:r>
        <w:t>Group in 202</w:t>
      </w:r>
      <w:r w:rsidR="006319D1">
        <w:t>2</w:t>
      </w:r>
      <w:r>
        <w:t>. The</w:t>
      </w:r>
      <w:r w:rsidR="00BF18D3">
        <w:t> </w:t>
      </w:r>
      <w:r w:rsidR="006319D1">
        <w:t>MSME</w:t>
      </w:r>
      <w:r w:rsidR="00BF18D3">
        <w:t> </w:t>
      </w:r>
      <w:r>
        <w:t>Group is c</w:t>
      </w:r>
      <w:r w:rsidR="007E3A55">
        <w:t>oordinated</w:t>
      </w:r>
      <w:r>
        <w:t xml:space="preserve"> by </w:t>
      </w:r>
      <w:r w:rsidRPr="00915B19">
        <w:t>H.E. Mr José Lu</w:t>
      </w:r>
      <w:r>
        <w:t>í</w:t>
      </w:r>
      <w:r w:rsidRPr="00915B19">
        <w:t>s Cancela</w:t>
      </w:r>
      <w:r>
        <w:t xml:space="preserve"> Gómez</w:t>
      </w:r>
      <w:r w:rsidRPr="00915B19">
        <w:t xml:space="preserve">, Ambassador of </w:t>
      </w:r>
      <w:r w:rsidR="00E81E6F">
        <w:t>Uruguay</w:t>
      </w:r>
      <w:r w:rsidR="0077446F">
        <w:t>. F</w:t>
      </w:r>
      <w:r w:rsidR="00E81E6F">
        <w:t>ollowing Tajikistan's announcement to join in May 2022, the MSME Group counts 95 members.</w:t>
      </w:r>
      <w:r w:rsidR="00E81E6F">
        <w:rPr>
          <w:rStyle w:val="FootnoteReference"/>
        </w:rPr>
        <w:footnoteReference w:id="3"/>
      </w:r>
    </w:p>
    <w:p w14:paraId="7A0A93BF" w14:textId="69057B6E" w:rsidR="007E3A55" w:rsidRDefault="005B60B5" w:rsidP="00F17149">
      <w:pPr>
        <w:pStyle w:val="BodyText"/>
      </w:pPr>
      <w:r>
        <w:t xml:space="preserve">Although a </w:t>
      </w:r>
      <w:r w:rsidR="00FB110A">
        <w:t>D</w:t>
      </w:r>
      <w:r>
        <w:t xml:space="preserve">raft </w:t>
      </w:r>
      <w:r w:rsidR="00393CD2">
        <w:t>M</w:t>
      </w:r>
      <w:r>
        <w:t xml:space="preserve">inisterial </w:t>
      </w:r>
      <w:r w:rsidR="00393CD2">
        <w:t>D</w:t>
      </w:r>
      <w:r>
        <w:t>eclaration</w:t>
      </w:r>
      <w:r>
        <w:rPr>
          <w:rStyle w:val="FootnoteReference"/>
        </w:rPr>
        <w:footnoteReference w:id="4"/>
      </w:r>
      <w:r>
        <w:t xml:space="preserve"> was finalized by the Group in September 2021, changed circumstances prevented the Group from endorsing the document at MC12. Instead, the Group's Coordinator </w:t>
      </w:r>
      <w:r w:rsidR="005E113D">
        <w:t xml:space="preserve">circulated </w:t>
      </w:r>
      <w:r>
        <w:t>a report on the progress the Group has achieved</w:t>
      </w:r>
      <w:r w:rsidR="005E113D">
        <w:t xml:space="preserve"> (WT/MIN(22)/4)</w:t>
      </w:r>
      <w:r>
        <w:t xml:space="preserve"> </w:t>
      </w:r>
      <w:r w:rsidR="005E113D">
        <w:t>and held</w:t>
      </w:r>
      <w:r>
        <w:t xml:space="preserve"> a press conference on the side-lines of the conference.</w:t>
      </w:r>
    </w:p>
    <w:p w14:paraId="69016771" w14:textId="260A9CBA" w:rsidR="00F17149" w:rsidRPr="0043601A" w:rsidRDefault="00F17149" w:rsidP="00F17149">
      <w:pPr>
        <w:pStyle w:val="Heading1"/>
      </w:pPr>
      <w:r>
        <w:t xml:space="preserve">open-ended meetings held by the informal working group </w:t>
      </w:r>
      <w:r w:rsidR="0077446F">
        <w:t xml:space="preserve">on MSMEs </w:t>
      </w:r>
      <w:r>
        <w:t>during</w:t>
      </w:r>
      <w:r w:rsidR="00CA5F46">
        <w:t> </w:t>
      </w:r>
      <w:r w:rsidRPr="0043601A">
        <w:t>202</w:t>
      </w:r>
      <w:r w:rsidR="00CA5F46">
        <w:t>2</w:t>
      </w:r>
    </w:p>
    <w:p w14:paraId="2A55498B" w14:textId="23F57225" w:rsidR="006319D1" w:rsidRDefault="00F17149" w:rsidP="006319D1">
      <w:pPr>
        <w:pStyle w:val="BodyText"/>
      </w:pPr>
      <w:r>
        <w:t xml:space="preserve">The </w:t>
      </w:r>
      <w:r w:rsidR="006319D1">
        <w:t xml:space="preserve">MSME </w:t>
      </w:r>
      <w:r>
        <w:t xml:space="preserve">Group held </w:t>
      </w:r>
      <w:r w:rsidR="0037724C">
        <w:t>five</w:t>
      </w:r>
      <w:r>
        <w:t xml:space="preserve"> open-ended meetings during 202</w:t>
      </w:r>
      <w:r w:rsidR="006319D1">
        <w:t>2</w:t>
      </w:r>
      <w:r>
        <w:t xml:space="preserve">, the first on 8 February, followed by </w:t>
      </w:r>
      <w:r w:rsidR="006319D1">
        <w:t>7 April</w:t>
      </w:r>
      <w:r>
        <w:t xml:space="preserve">, </w:t>
      </w:r>
      <w:r w:rsidR="00BF1CE0">
        <w:t>19</w:t>
      </w:r>
      <w:r w:rsidR="006319D1">
        <w:t xml:space="preserve"> May</w:t>
      </w:r>
      <w:r>
        <w:t xml:space="preserve">, </w:t>
      </w:r>
      <w:r w:rsidR="006319D1">
        <w:t>15</w:t>
      </w:r>
      <w:r>
        <w:t xml:space="preserve"> July, </w:t>
      </w:r>
      <w:r w:rsidR="006319D1">
        <w:t>and 12 October</w:t>
      </w:r>
      <w:r>
        <w:t xml:space="preserve">. </w:t>
      </w:r>
    </w:p>
    <w:p w14:paraId="3A6FE2F8" w14:textId="229BD4C3" w:rsidR="00F17149" w:rsidRDefault="00F17149" w:rsidP="00643769">
      <w:pPr>
        <w:pStyle w:val="BodyText"/>
        <w:widowControl w:val="0"/>
      </w:pPr>
      <w:r w:rsidRPr="00915B19">
        <w:t xml:space="preserve">On </w:t>
      </w:r>
      <w:r>
        <w:t>8</w:t>
      </w:r>
      <w:r w:rsidRPr="00915B19">
        <w:t xml:space="preserve"> February, the Group held its first open-</w:t>
      </w:r>
      <w:r>
        <w:t>ended meeting of 202</w:t>
      </w:r>
      <w:r w:rsidR="00501171">
        <w:t>2</w:t>
      </w:r>
      <w:r>
        <w:t xml:space="preserve"> to discuss regular work for the year ahead (INF/MSME/CN/</w:t>
      </w:r>
      <w:r w:rsidR="006319D1">
        <w:t>15</w:t>
      </w:r>
      <w:r>
        <w:t xml:space="preserve">). </w:t>
      </w:r>
      <w:r w:rsidR="006319D1" w:rsidRPr="00287DAE">
        <w:t>The MSME Group welcomed three new members (The</w:t>
      </w:r>
      <w:r w:rsidR="00CA5F46">
        <w:t> </w:t>
      </w:r>
      <w:r w:rsidR="006319D1" w:rsidRPr="00287DAE">
        <w:t>Gambia</w:t>
      </w:r>
      <w:r w:rsidR="00CA5F46">
        <w:t>;</w:t>
      </w:r>
      <w:r w:rsidR="006319D1" w:rsidRPr="00287DAE">
        <w:t xml:space="preserve"> Georgia</w:t>
      </w:r>
      <w:r w:rsidR="00CA5F46">
        <w:t>;</w:t>
      </w:r>
      <w:r w:rsidR="006319D1" w:rsidRPr="00287DAE">
        <w:t xml:space="preserve"> and Macao, China</w:t>
      </w:r>
      <w:r w:rsidR="006319D1" w:rsidRPr="00AC1115">
        <w:t>)</w:t>
      </w:r>
      <w:r w:rsidR="005E113D">
        <w:t xml:space="preserve"> who joined in late 2021</w:t>
      </w:r>
      <w:r w:rsidR="00E81E6F">
        <w:t xml:space="preserve">. At the beginning of the meeting, </w:t>
      </w:r>
      <w:r w:rsidR="004E7B1D" w:rsidRPr="00CF1213">
        <w:t>the</w:t>
      </w:r>
      <w:r w:rsidR="004E7B1D">
        <w:t xml:space="preserve"> </w:t>
      </w:r>
      <w:r w:rsidR="006319D1" w:rsidRPr="004E7B1D">
        <w:t>Vice-</w:t>
      </w:r>
      <w:r w:rsidR="006319D1" w:rsidRPr="00AC1115">
        <w:t>Minister for Promotion of MSMEs of the Dominican Republic, Dr Jorge Morales Paulino, addressed the Group</w:t>
      </w:r>
      <w:r w:rsidR="00E81E6F">
        <w:t xml:space="preserve"> and </w:t>
      </w:r>
      <w:r w:rsidR="006319D1" w:rsidRPr="00AC1115">
        <w:t xml:space="preserve">stressed the need for international organizations to help MSMEs </w:t>
      </w:r>
      <w:r w:rsidR="00E81E6F">
        <w:t xml:space="preserve">to </w:t>
      </w:r>
      <w:r w:rsidR="006319D1" w:rsidRPr="00AC1115">
        <w:t>access finance.</w:t>
      </w:r>
      <w:r w:rsidR="006319D1">
        <w:t xml:space="preserve"> </w:t>
      </w:r>
      <w:r w:rsidR="00E81E6F">
        <w:t>During the working part of the meeting,</w:t>
      </w:r>
      <w:r w:rsidR="006319D1">
        <w:t xml:space="preserve"> t</w:t>
      </w:r>
      <w:r w:rsidR="006319D1" w:rsidRPr="00AC1115">
        <w:t xml:space="preserve">he Group designated Mexico as </w:t>
      </w:r>
      <w:r w:rsidR="006319D1" w:rsidRPr="00CF1213">
        <w:t>the coordinator</w:t>
      </w:r>
      <w:r w:rsidR="006319D1" w:rsidRPr="00AC1115">
        <w:t xml:space="preserve"> of the Trade4MSMEs </w:t>
      </w:r>
      <w:r w:rsidR="00F54714">
        <w:t xml:space="preserve">web </w:t>
      </w:r>
      <w:r w:rsidR="006319D1" w:rsidRPr="00AC1115">
        <w:t>platform and established a new taskforce to lead work on the platform.</w:t>
      </w:r>
      <w:r w:rsidR="00AC1115">
        <w:t xml:space="preserve"> It was agreed that </w:t>
      </w:r>
      <w:r w:rsidR="006319D1" w:rsidRPr="00AC1115">
        <w:t>2022 work w</w:t>
      </w:r>
      <w:r w:rsidR="00AC1115">
        <w:t>ould</w:t>
      </w:r>
      <w:r w:rsidR="006319D1" w:rsidRPr="00AC1115">
        <w:t xml:space="preserve"> focus on cyber readiness, low-value shipments, the green economy, and MSME references in regional trade agreements. Canada also suggested upgrading the MSME</w:t>
      </w:r>
      <w:r w:rsidR="0019326C">
        <w:t> </w:t>
      </w:r>
      <w:r w:rsidR="006319D1" w:rsidRPr="00AC1115">
        <w:t>TPR</w:t>
      </w:r>
      <w:r w:rsidR="0019326C">
        <w:t> </w:t>
      </w:r>
      <w:r w:rsidR="006319D1" w:rsidRPr="00AC1115">
        <w:t>database launched last year to include Q&amp;As</w:t>
      </w:r>
      <w:r w:rsidR="00AC1115">
        <w:t xml:space="preserve">. </w:t>
      </w:r>
      <w:r w:rsidR="00AC1115" w:rsidRPr="00782079">
        <w:t xml:space="preserve">Related to implementation of the package, </w:t>
      </w:r>
      <w:r w:rsidR="00AC1115" w:rsidRPr="00782079">
        <w:lastRenderedPageBreak/>
        <w:t>the ITC gave a presentation on the Global Trade Helpdesk's plans for 2022</w:t>
      </w:r>
      <w:r w:rsidR="000A52C5">
        <w:t xml:space="preserve">; </w:t>
      </w:r>
      <w:r w:rsidR="000A52C5" w:rsidRPr="00782079">
        <w:t>C</w:t>
      </w:r>
      <w:r w:rsidR="000A52C5">
        <w:t>ô</w:t>
      </w:r>
      <w:r w:rsidR="000A52C5" w:rsidRPr="00782079">
        <w:t xml:space="preserve">te d'Ivoire invited the Global Legal Entity Identifier </w:t>
      </w:r>
      <w:r w:rsidR="00001C2E">
        <w:t xml:space="preserve">Foundation </w:t>
      </w:r>
      <w:r w:rsidR="000A52C5" w:rsidRPr="00782079">
        <w:t xml:space="preserve">(GLEIF) to give a presentation on the </w:t>
      </w:r>
      <w:bookmarkStart w:id="7" w:name="_Hlk95468456"/>
      <w:r w:rsidR="000A52C5" w:rsidRPr="00782079">
        <w:t>Legal Entity Identifier</w:t>
      </w:r>
      <w:r w:rsidR="00001C2E">
        <w:t> </w:t>
      </w:r>
      <w:r w:rsidR="000A52C5">
        <w:t>(LEI)</w:t>
      </w:r>
      <w:r w:rsidR="000A52C5" w:rsidRPr="00782079">
        <w:t xml:space="preserve"> </w:t>
      </w:r>
      <w:bookmarkEnd w:id="7"/>
      <w:r w:rsidR="000A52C5" w:rsidRPr="00782079">
        <w:t>in support of Annex 6</w:t>
      </w:r>
      <w:r w:rsidR="000A52C5">
        <w:t>;</w:t>
      </w:r>
      <w:r w:rsidR="00AC1115">
        <w:t xml:space="preserve"> and </w:t>
      </w:r>
      <w:r w:rsidR="000A52C5">
        <w:rPr>
          <w:szCs w:val="18"/>
        </w:rPr>
        <w:t>t</w:t>
      </w:r>
      <w:r w:rsidR="00AC1115">
        <w:rPr>
          <w:szCs w:val="18"/>
        </w:rPr>
        <w:t>he</w:t>
      </w:r>
      <w:r w:rsidR="00AC1115" w:rsidRPr="009731DA">
        <w:rPr>
          <w:szCs w:val="18"/>
        </w:rPr>
        <w:t xml:space="preserve"> </w:t>
      </w:r>
      <w:r w:rsidR="00001C2E" w:rsidRPr="00001C2E">
        <w:rPr>
          <w:szCs w:val="18"/>
        </w:rPr>
        <w:t xml:space="preserve">Standards and Trade Development Facility </w:t>
      </w:r>
      <w:r w:rsidR="00001C2E">
        <w:rPr>
          <w:szCs w:val="18"/>
        </w:rPr>
        <w:t>(</w:t>
      </w:r>
      <w:r w:rsidR="00AC1115" w:rsidRPr="009731DA">
        <w:rPr>
          <w:szCs w:val="18"/>
        </w:rPr>
        <w:t>STDF</w:t>
      </w:r>
      <w:r w:rsidR="00001C2E">
        <w:rPr>
          <w:szCs w:val="18"/>
        </w:rPr>
        <w:t xml:space="preserve">) </w:t>
      </w:r>
      <w:r w:rsidR="00AC1115" w:rsidRPr="009731DA">
        <w:rPr>
          <w:szCs w:val="18"/>
        </w:rPr>
        <w:t>presented their new report on Good Regulatory Practices in the context of SPS measures</w:t>
      </w:r>
      <w:r w:rsidR="000A52C5">
        <w:rPr>
          <w:szCs w:val="18"/>
        </w:rPr>
        <w:t>. Four external presentations were received</w:t>
      </w:r>
      <w:r w:rsidR="00E81E6F">
        <w:rPr>
          <w:szCs w:val="18"/>
        </w:rPr>
        <w:t>, the first</w:t>
      </w:r>
      <w:r w:rsidR="000A52C5">
        <w:rPr>
          <w:szCs w:val="18"/>
        </w:rPr>
        <w:t xml:space="preserve"> from the Philippines on the Boracay Action Agenda</w:t>
      </w:r>
      <w:r w:rsidR="00E81E6F">
        <w:rPr>
          <w:szCs w:val="18"/>
        </w:rPr>
        <w:t xml:space="preserve"> followed by</w:t>
      </w:r>
      <w:r w:rsidR="000A52C5">
        <w:rPr>
          <w:szCs w:val="18"/>
        </w:rPr>
        <w:t xml:space="preserve"> </w:t>
      </w:r>
      <w:r w:rsidR="000A52C5" w:rsidRPr="009731DA">
        <w:rPr>
          <w:szCs w:val="18"/>
        </w:rPr>
        <w:t>the ITC on their Green</w:t>
      </w:r>
      <w:r w:rsidR="000A52C5">
        <w:rPr>
          <w:szCs w:val="18"/>
        </w:rPr>
        <w:t>T</w:t>
      </w:r>
      <w:r w:rsidR="000A52C5" w:rsidRPr="009731DA">
        <w:rPr>
          <w:szCs w:val="18"/>
        </w:rPr>
        <w:t>oCompete initiative</w:t>
      </w:r>
      <w:r w:rsidR="00E81E6F">
        <w:rPr>
          <w:szCs w:val="18"/>
        </w:rPr>
        <w:t>,</w:t>
      </w:r>
      <w:r w:rsidR="000A52C5">
        <w:rPr>
          <w:szCs w:val="18"/>
        </w:rPr>
        <w:t xml:space="preserve"> </w:t>
      </w:r>
      <w:r w:rsidR="000A52C5" w:rsidRPr="009731DA">
        <w:rPr>
          <w:szCs w:val="18"/>
        </w:rPr>
        <w:t xml:space="preserve">UNCTAD on the development of </w:t>
      </w:r>
      <w:r w:rsidR="000A52C5">
        <w:rPr>
          <w:szCs w:val="18"/>
        </w:rPr>
        <w:t xml:space="preserve">the </w:t>
      </w:r>
      <w:r w:rsidR="00D345EB">
        <w:rPr>
          <w:szCs w:val="18"/>
        </w:rPr>
        <w:t xml:space="preserve">G20's </w:t>
      </w:r>
      <w:r w:rsidR="000A52C5" w:rsidRPr="009731DA">
        <w:rPr>
          <w:szCs w:val="18"/>
        </w:rPr>
        <w:t>"Born Green via Digital Toolkit"</w:t>
      </w:r>
      <w:r w:rsidR="000A52C5">
        <w:rPr>
          <w:szCs w:val="18"/>
        </w:rPr>
        <w:t xml:space="preserve"> and </w:t>
      </w:r>
      <w:r w:rsidR="00E81E6F">
        <w:rPr>
          <w:szCs w:val="18"/>
        </w:rPr>
        <w:t xml:space="preserve">lastly </w:t>
      </w:r>
      <w:r w:rsidR="000A52C5">
        <w:rPr>
          <w:szCs w:val="18"/>
        </w:rPr>
        <w:t>UNCTAD again on</w:t>
      </w:r>
      <w:r w:rsidR="000A52C5" w:rsidRPr="009731DA">
        <w:rPr>
          <w:szCs w:val="18"/>
        </w:rPr>
        <w:t xml:space="preserve"> International Standards of Accounting and Reporting (ISAR)</w:t>
      </w:r>
      <w:r w:rsidR="000A52C5">
        <w:rPr>
          <w:szCs w:val="18"/>
        </w:rPr>
        <w:t>.</w:t>
      </w:r>
      <w:r w:rsidR="00AC1115" w:rsidRPr="00AC1115">
        <w:rPr>
          <w:lang w:val="en-US"/>
        </w:rPr>
        <w:t xml:space="preserve"> </w:t>
      </w:r>
      <w:r w:rsidR="00C8552C">
        <w:rPr>
          <w:lang w:val="en-US"/>
        </w:rPr>
        <w:t>In discussions on the work program for 2022</w:t>
      </w:r>
      <w:r w:rsidR="00A71A4C">
        <w:rPr>
          <w:lang w:val="en-US"/>
        </w:rPr>
        <w:t>,</w:t>
      </w:r>
      <w:r w:rsidR="00C8552C">
        <w:rPr>
          <w:lang w:val="en-US"/>
        </w:rPr>
        <w:t xml:space="preserve"> members expressed interest in continuing to explore the issues presented</w:t>
      </w:r>
      <w:r w:rsidR="00A71A4C">
        <w:rPr>
          <w:lang w:val="en-US"/>
        </w:rPr>
        <w:t xml:space="preserve">. </w:t>
      </w:r>
      <w:r w:rsidR="00A71A4C">
        <w:rPr>
          <w:szCs w:val="18"/>
        </w:rPr>
        <w:t>T</w:t>
      </w:r>
      <w:r w:rsidR="00C8552C">
        <w:rPr>
          <w:szCs w:val="18"/>
        </w:rPr>
        <w:t xml:space="preserve">he European Union suggested that the 2019 note on MSME provisions </w:t>
      </w:r>
      <w:r w:rsidR="00C8552C" w:rsidRPr="00001C2E">
        <w:rPr>
          <w:szCs w:val="18"/>
        </w:rPr>
        <w:t>in Regional Trade Agreements</w:t>
      </w:r>
      <w:r w:rsidR="00C8552C">
        <w:rPr>
          <w:szCs w:val="18"/>
        </w:rPr>
        <w:t xml:space="preserve"> (RTAs) be updated and that members share their experiences on MSME provisions in RTAs. Tofara Online, one of the four winners of the 2021 Digital Champions for Small Business</w:t>
      </w:r>
      <w:r w:rsidR="00702853">
        <w:rPr>
          <w:szCs w:val="18"/>
        </w:rPr>
        <w:t xml:space="preserve"> </w:t>
      </w:r>
      <w:r w:rsidR="00702853" w:rsidRPr="00702853">
        <w:rPr>
          <w:szCs w:val="18"/>
        </w:rPr>
        <w:t>Initiative</w:t>
      </w:r>
      <w:r w:rsidR="00C8552C">
        <w:rPr>
          <w:szCs w:val="18"/>
        </w:rPr>
        <w:t xml:space="preserve">, also joined the meeting. </w:t>
      </w:r>
      <w:r>
        <w:t xml:space="preserve">A full summary of the meeting and of presentations received is available in document </w:t>
      </w:r>
      <w:bookmarkStart w:id="8" w:name="_Hlk119416618"/>
      <w:r>
        <w:t>INF/MSME/R/</w:t>
      </w:r>
      <w:r w:rsidR="005B60B5">
        <w:t>31</w:t>
      </w:r>
      <w:bookmarkEnd w:id="8"/>
      <w:r>
        <w:t>.</w:t>
      </w:r>
    </w:p>
    <w:p w14:paraId="71630667" w14:textId="2752A19B" w:rsidR="00F17149" w:rsidRDefault="00F17149" w:rsidP="00F17149">
      <w:pPr>
        <w:pStyle w:val="BodyText"/>
      </w:pPr>
      <w:r>
        <w:t xml:space="preserve">The MSME Group held its second open-ended meeting of the year on </w:t>
      </w:r>
      <w:r w:rsidR="005B60B5">
        <w:t>7 April</w:t>
      </w:r>
      <w:r>
        <w:t xml:space="preserve"> 202</w:t>
      </w:r>
      <w:r w:rsidR="005B60B5">
        <w:t>2</w:t>
      </w:r>
      <w:r>
        <w:t xml:space="preserve"> (INF/MSME/CN/</w:t>
      </w:r>
      <w:r w:rsidR="00C8552C">
        <w:t>16</w:t>
      </w:r>
      <w:r>
        <w:t xml:space="preserve">). </w:t>
      </w:r>
      <w:r w:rsidR="00B94786">
        <w:t xml:space="preserve">The international crisis in Ukraine was highlighted </w:t>
      </w:r>
      <w:r w:rsidR="00A71A4C">
        <w:t xml:space="preserve">by members in their opening remarks, </w:t>
      </w:r>
      <w:r w:rsidR="00B94786">
        <w:t>including the challenges an</w:t>
      </w:r>
      <w:r w:rsidR="00A71A4C">
        <w:t>d</w:t>
      </w:r>
      <w:r w:rsidR="00B94786">
        <w:t xml:space="preserve"> trade disruptions</w:t>
      </w:r>
      <w:r w:rsidR="00A71A4C">
        <w:t xml:space="preserve"> to MSMEs</w:t>
      </w:r>
      <w:r w:rsidR="00B94786">
        <w:t xml:space="preserve"> created by the conflict. </w:t>
      </w:r>
      <w:r w:rsidR="003D6A97">
        <w:t xml:space="preserve">In terms of the Group's ongoing work, </w:t>
      </w:r>
      <w:r w:rsidR="00B94786">
        <w:t xml:space="preserve">Mexico, as the coordinator of the Trade4MSMEs </w:t>
      </w:r>
      <w:r w:rsidR="00F54714">
        <w:t xml:space="preserve">web </w:t>
      </w:r>
      <w:r w:rsidR="00B94786">
        <w:t xml:space="preserve">platform, noted that translation of the website into both French and Spanish had been completed and that invitations were </w:t>
      </w:r>
      <w:r w:rsidR="00DA154B">
        <w:t>sent to</w:t>
      </w:r>
      <w:r w:rsidR="00B94786">
        <w:t xml:space="preserve"> international organizations doing work related to MSME trade </w:t>
      </w:r>
      <w:r w:rsidR="00A71A4C">
        <w:t>asking that they</w:t>
      </w:r>
      <w:r w:rsidR="00B94786">
        <w:t xml:space="preserve"> join a Trade4MSMEs Network and become partners of the platform. </w:t>
      </w:r>
      <w:r w:rsidR="003D6A97">
        <w:t xml:space="preserve">Following the successful 2021 Digital Champions for Small Business Initiative held together with the ICC and the ITC, the MSME Group agreed to make the </w:t>
      </w:r>
      <w:r w:rsidR="00D4224C">
        <w:t>championship an annual event with the two partners. The chosen theme for 2022 was decided to tie</w:t>
      </w:r>
      <w:r w:rsidR="00CE0A03">
        <w:t xml:space="preserve"> </w:t>
      </w:r>
      <w:r w:rsidR="00D4224C">
        <w:t xml:space="preserve">in with helping MSMEs go green. Related to implementation of the package, the ITC gave an update presentation on the Global Trade Helpdesk (GTH) </w:t>
      </w:r>
      <w:r w:rsidR="00CE0A03">
        <w:t>and thanked</w:t>
      </w:r>
      <w:r w:rsidR="00D4224C">
        <w:t xml:space="preserve"> the 39</w:t>
      </w:r>
      <w:r w:rsidR="00702853">
        <w:t> </w:t>
      </w:r>
      <w:r w:rsidR="00D4224C">
        <w:t>Members who had verified their national information as per Annex 2 of the package</w:t>
      </w:r>
      <w:r w:rsidR="00CE0A03">
        <w:t xml:space="preserve">. </w:t>
      </w:r>
      <w:r w:rsidR="00D4224C">
        <w:t xml:space="preserve">The second presentation </w:t>
      </w:r>
      <w:r w:rsidR="00085B73">
        <w:t>was by the Secretariat on the first five-year review of the</w:t>
      </w:r>
      <w:r w:rsidR="00D4224C">
        <w:t xml:space="preserve"> TFA </w:t>
      </w:r>
      <w:r w:rsidR="00CB66FC">
        <w:t xml:space="preserve">as it </w:t>
      </w:r>
      <w:r w:rsidR="00D4224C">
        <w:t>related to Annex 3 of the package</w:t>
      </w:r>
      <w:r w:rsidR="00085B73">
        <w:t>. It was noted that the TFA provides predictability and uniformity in trade standards</w:t>
      </w:r>
      <w:r w:rsidR="006C105E">
        <w:t>,</w:t>
      </w:r>
      <w:r w:rsidR="00085B73">
        <w:t xml:space="preserve"> which benefit MSMEs substantially more</w:t>
      </w:r>
      <w:r w:rsidR="00CB66FC">
        <w:t>.</w:t>
      </w:r>
      <w:r w:rsidR="00D4224C">
        <w:t xml:space="preserve"> </w:t>
      </w:r>
      <w:r w:rsidR="00CB66FC">
        <w:t>P</w:t>
      </w:r>
      <w:r w:rsidR="00D4224C">
        <w:t xml:space="preserve">ertaining to Annex 5 the Group received a presentation on the implementation of the 2019 IDB </w:t>
      </w:r>
      <w:r w:rsidR="00F54714">
        <w:t>D</w:t>
      </w:r>
      <w:r w:rsidR="00D4224C">
        <w:t xml:space="preserve">ecision that streamlines processes and allows integration of additional data elements.  </w:t>
      </w:r>
      <w:r w:rsidR="00D4224C">
        <w:rPr>
          <w:lang w:val="en-US"/>
        </w:rPr>
        <w:t>Regarding MSME-related work in ot</w:t>
      </w:r>
      <w:r w:rsidR="00D4224C" w:rsidRPr="006C5F98">
        <w:rPr>
          <w:lang w:val="en-US"/>
        </w:rPr>
        <w:t>he</w:t>
      </w:r>
      <w:r w:rsidR="00D4224C">
        <w:rPr>
          <w:lang w:val="en-US"/>
        </w:rPr>
        <w:t xml:space="preserve">r WTO </w:t>
      </w:r>
      <w:r w:rsidR="006C573F">
        <w:rPr>
          <w:lang w:val="en-US"/>
        </w:rPr>
        <w:t>B</w:t>
      </w:r>
      <w:r w:rsidR="00D4224C">
        <w:rPr>
          <w:lang w:val="en-US"/>
        </w:rPr>
        <w:t>odies, the</w:t>
      </w:r>
      <w:r w:rsidR="00D4224C" w:rsidRPr="006C5F98">
        <w:rPr>
          <w:lang w:val="en-US"/>
        </w:rPr>
        <w:t xml:space="preserve"> </w:t>
      </w:r>
      <w:r w:rsidR="00D4224C">
        <w:rPr>
          <w:lang w:val="en-US"/>
        </w:rPr>
        <w:t xml:space="preserve">Secretariat of the TBT Committee briefed the MSME Group on their work assessing conformity procedures, increasing transparency through ePing, and good regulatory practices. </w:t>
      </w:r>
      <w:r w:rsidR="00D4224C">
        <w:t xml:space="preserve">The MSME Group </w:t>
      </w:r>
      <w:r w:rsidR="006C573F">
        <w:t>S</w:t>
      </w:r>
      <w:r w:rsidR="00D4224C">
        <w:t xml:space="preserve">ecretariat also presented on the updated </w:t>
      </w:r>
      <w:r w:rsidR="00E23B43">
        <w:t>R</w:t>
      </w:r>
      <w:r w:rsidR="00D4224C">
        <w:t xml:space="preserve">eport regarding MSME references in </w:t>
      </w:r>
      <w:r w:rsidR="00393CD2">
        <w:t>RTAs</w:t>
      </w:r>
      <w:r w:rsidR="00D4224C">
        <w:t xml:space="preserve"> (INF/MSME/W/6/Rev.3) and the associated </w:t>
      </w:r>
      <w:r w:rsidR="00E23B43">
        <w:t>d</w:t>
      </w:r>
      <w:r w:rsidR="00D4224C">
        <w:t xml:space="preserve">atabase. One external presentation was received from the Global Cyber Alliance (GCA) </w:t>
      </w:r>
      <w:r w:rsidR="00085B73">
        <w:t>about</w:t>
      </w:r>
      <w:r w:rsidR="00D4224C">
        <w:t xml:space="preserve"> the</w:t>
      </w:r>
      <w:r w:rsidR="00085B73">
        <w:t>ir</w:t>
      </w:r>
      <w:r w:rsidR="00D4224C">
        <w:t xml:space="preserve"> free</w:t>
      </w:r>
      <w:r w:rsidR="00085B73">
        <w:t>-</w:t>
      </w:r>
      <w:r w:rsidR="00D4224C">
        <w:t>to</w:t>
      </w:r>
      <w:r w:rsidR="00085B73">
        <w:t>-</w:t>
      </w:r>
      <w:r w:rsidR="00D4224C">
        <w:t xml:space="preserve">use toolkit of MSME resources </w:t>
      </w:r>
      <w:r w:rsidR="00085B73">
        <w:t xml:space="preserve">that </w:t>
      </w:r>
      <w:r w:rsidR="00D4224C">
        <w:t>they have developed</w:t>
      </w:r>
      <w:r w:rsidR="00085B73">
        <w:t xml:space="preserve"> for small businesses.</w:t>
      </w:r>
      <w:r w:rsidR="00D4224C">
        <w:t xml:space="preserve"> </w:t>
      </w:r>
      <w:r>
        <w:t>A full summary of the meeting and of presentations received is available in document INF/MSME/R/</w:t>
      </w:r>
      <w:r w:rsidR="00C8552C">
        <w:t>32</w:t>
      </w:r>
      <w:r>
        <w:t>.</w:t>
      </w:r>
    </w:p>
    <w:p w14:paraId="7EF9941A" w14:textId="03B87FA5" w:rsidR="00F17149" w:rsidRDefault="00F17149" w:rsidP="00F17149">
      <w:pPr>
        <w:pStyle w:val="BodyText"/>
      </w:pPr>
      <w:r>
        <w:t xml:space="preserve">On </w:t>
      </w:r>
      <w:r w:rsidR="00BF1CE0">
        <w:t>19</w:t>
      </w:r>
      <w:r>
        <w:t xml:space="preserve"> </w:t>
      </w:r>
      <w:r w:rsidR="005B60B5">
        <w:t>May 2022</w:t>
      </w:r>
      <w:r w:rsidR="00BF1CE0">
        <w:t xml:space="preserve">, directly </w:t>
      </w:r>
      <w:r w:rsidR="005B60B5">
        <w:t>before MC12,</w:t>
      </w:r>
      <w:r>
        <w:t xml:space="preserve"> the MSME Group met for </w:t>
      </w:r>
      <w:r w:rsidR="005B60B5">
        <w:t xml:space="preserve">a brief </w:t>
      </w:r>
      <w:r>
        <w:t xml:space="preserve">third </w:t>
      </w:r>
      <w:r w:rsidR="005B60B5">
        <w:t xml:space="preserve">meeting to review the planned actions for the </w:t>
      </w:r>
      <w:r w:rsidR="0038090A">
        <w:t>M</w:t>
      </w:r>
      <w:r w:rsidR="00BF1CE0">
        <w:t xml:space="preserve">inisterial </w:t>
      </w:r>
      <w:r w:rsidR="0038090A">
        <w:t>C</w:t>
      </w:r>
      <w:r w:rsidR="005B60B5">
        <w:t>onference</w:t>
      </w:r>
      <w:r w:rsidR="00085B73">
        <w:t xml:space="preserve"> (INF/MSME/CN/17)</w:t>
      </w:r>
      <w:r w:rsidR="005B60B5">
        <w:t>.</w:t>
      </w:r>
      <w:r w:rsidR="00BF1CE0">
        <w:t xml:space="preserve"> Following outreach to the MSME Group Coordinator by some delegations </w:t>
      </w:r>
      <w:r w:rsidR="00085B73">
        <w:t>in which</w:t>
      </w:r>
      <w:r w:rsidR="00BF1CE0">
        <w:t xml:space="preserve"> they noted that they would no longer be in a position to endorse the agreed-upon </w:t>
      </w:r>
      <w:bookmarkStart w:id="9" w:name="_Hlk119420643"/>
      <w:r w:rsidR="00BF1CE0">
        <w:t>MC12 MSME Declaration WT/MIN</w:t>
      </w:r>
      <w:r w:rsidR="009A60BE">
        <w:t>(</w:t>
      </w:r>
      <w:r w:rsidR="00BF1CE0">
        <w:t>21</w:t>
      </w:r>
      <w:r w:rsidR="009A60BE">
        <w:t>)</w:t>
      </w:r>
      <w:r w:rsidR="00BF1CE0">
        <w:t>/1</w:t>
      </w:r>
      <w:bookmarkEnd w:id="9"/>
      <w:r w:rsidR="00BF1CE0">
        <w:t xml:space="preserve">, the Coordinator suggested that in line with the MC11 Joint Ministerial Statement </w:t>
      </w:r>
      <w:r w:rsidR="00BF1CE0" w:rsidRPr="00BF1CE0">
        <w:t>WT/MIN</w:t>
      </w:r>
      <w:r w:rsidR="009A60BE">
        <w:t>(</w:t>
      </w:r>
      <w:r w:rsidR="00BF1CE0" w:rsidRPr="00BF1CE0">
        <w:t>17</w:t>
      </w:r>
      <w:r w:rsidR="009A60BE">
        <w:t>)</w:t>
      </w:r>
      <w:r w:rsidR="00BF1CE0" w:rsidRPr="00BF1CE0">
        <w:t>/58/Rev.1</w:t>
      </w:r>
      <w:r w:rsidR="00BF1CE0">
        <w:t xml:space="preserve"> he would instead circulate </w:t>
      </w:r>
      <w:r w:rsidR="005E113D">
        <w:t>a Coordinator's report</w:t>
      </w:r>
      <w:r w:rsidR="00BF1CE0">
        <w:t xml:space="preserve"> under his own responsibility based on the </w:t>
      </w:r>
      <w:r w:rsidR="00FB110A">
        <w:t>D</w:t>
      </w:r>
      <w:r w:rsidR="00BF1CE0">
        <w:t xml:space="preserve">raft MC12 </w:t>
      </w:r>
      <w:r w:rsidR="0038090A">
        <w:t>D</w:t>
      </w:r>
      <w:r w:rsidR="00BF1CE0">
        <w:t>eclaration</w:t>
      </w:r>
      <w:r w:rsidR="00D345EB">
        <w:t xml:space="preserve"> INF/MSME/W/36</w:t>
      </w:r>
      <w:r w:rsidR="00BF1CE0">
        <w:t xml:space="preserve">. Further, the Coordinator expressed that rather than calling a minister-level open-ended MSME meeting, he would instead hold a press conference to present the results of the Group's work since MC11 and to announce the Trade4MSMEs Network. </w:t>
      </w:r>
    </w:p>
    <w:p w14:paraId="47B39EDC" w14:textId="7E8D5749" w:rsidR="00F17149" w:rsidRDefault="00F17149" w:rsidP="000F67E8">
      <w:pPr>
        <w:pStyle w:val="BodyText"/>
      </w:pPr>
      <w:r>
        <w:t xml:space="preserve">The fourth MSME Group meeting was held on </w:t>
      </w:r>
      <w:r w:rsidR="005B60B5">
        <w:t>15</w:t>
      </w:r>
      <w:r>
        <w:t xml:space="preserve"> July 202</w:t>
      </w:r>
      <w:r w:rsidR="00C051EF">
        <w:t>2</w:t>
      </w:r>
      <w:r>
        <w:t xml:space="preserve"> (INF/MSME/CN/1</w:t>
      </w:r>
      <w:r w:rsidR="000F67E8">
        <w:t>8</w:t>
      </w:r>
      <w:r>
        <w:t>)</w:t>
      </w:r>
      <w:r w:rsidR="000F67E8">
        <w:t xml:space="preserve"> and was the first open-ended meeting following MC12</w:t>
      </w:r>
      <w:r w:rsidR="003D2493">
        <w:t>.</w:t>
      </w:r>
      <w:r w:rsidR="00CE0A03">
        <w:t xml:space="preserve"> </w:t>
      </w:r>
      <w:r w:rsidR="003D2493">
        <w:t>At this</w:t>
      </w:r>
      <w:r w:rsidR="00CE0A03">
        <w:t xml:space="preserve"> time</w:t>
      </w:r>
      <w:r w:rsidR="003D2493">
        <w:t>,</w:t>
      </w:r>
      <w:r w:rsidR="00CE0A03">
        <w:t xml:space="preserve"> t</w:t>
      </w:r>
      <w:r w:rsidR="00E81E6F">
        <w:t>he Group formally welcomed Tajikistan as the 95</w:t>
      </w:r>
      <w:r w:rsidR="00E81E6F" w:rsidRPr="00E81E6F">
        <w:rPr>
          <w:vertAlign w:val="superscript"/>
        </w:rPr>
        <w:t>th</w:t>
      </w:r>
      <w:r w:rsidR="00E81E6F">
        <w:t xml:space="preserve"> member. D</w:t>
      </w:r>
      <w:r w:rsidR="000F67E8">
        <w:t>iscussions focused on the way forward</w:t>
      </w:r>
      <w:r w:rsidR="00CE0A03">
        <w:t>. T</w:t>
      </w:r>
      <w:r w:rsidR="000F67E8">
        <w:t xml:space="preserve">opics that were raised as of interest to the </w:t>
      </w:r>
      <w:r w:rsidR="003D2493">
        <w:t>MSME G</w:t>
      </w:r>
      <w:r w:rsidR="000F67E8">
        <w:t>roup include</w:t>
      </w:r>
      <w:r w:rsidR="00CE0A03">
        <w:t>d</w:t>
      </w:r>
      <w:r w:rsidR="000F67E8">
        <w:t xml:space="preserve"> trade digitalization, cyber readiness, NTMs, access to information, access to finance, and low-value shipments. It was underscored that, going forward, a trade lens should be applied to MSME issues and the MSME Group should continue to exchange information and coordinate with</w:t>
      </w:r>
      <w:r w:rsidR="00CE0A03">
        <w:t xml:space="preserve"> other</w:t>
      </w:r>
      <w:r w:rsidR="000F67E8">
        <w:t xml:space="preserve"> WTO regulatory bodies. An update on the Trade4MSMEs </w:t>
      </w:r>
      <w:r w:rsidR="00F54714">
        <w:t xml:space="preserve">web </w:t>
      </w:r>
      <w:r w:rsidR="000F67E8">
        <w:t xml:space="preserve">platform was provided about </w:t>
      </w:r>
      <w:r w:rsidR="00965F6C">
        <w:t xml:space="preserve">the completion of the Spanish and French translation reviews, the </w:t>
      </w:r>
      <w:r w:rsidR="000F67E8">
        <w:t xml:space="preserve">new guides </w:t>
      </w:r>
      <w:r w:rsidR="00965F6C">
        <w:t>under</w:t>
      </w:r>
      <w:r w:rsidR="000F67E8">
        <w:t xml:space="preserve"> development</w:t>
      </w:r>
      <w:r w:rsidR="00965F6C">
        <w:t xml:space="preserve"> and the search for additional funding</w:t>
      </w:r>
      <w:r w:rsidR="000F67E8">
        <w:t xml:space="preserve">. </w:t>
      </w:r>
      <w:r w:rsidR="007A6A76">
        <w:t>Regarding i</w:t>
      </w:r>
      <w:r w:rsidR="000F67E8">
        <w:t>mplementation of the 2020 MSME Package, Switzerland announc</w:t>
      </w:r>
      <w:r w:rsidR="007A6A76">
        <w:t>ed</w:t>
      </w:r>
      <w:r w:rsidR="000F67E8">
        <w:t xml:space="preserve"> the inclusion of a MSME chapter in its recent TPR. One presentation was received on the United Kingdom-Kenya Trade Logistics Information Pipeline (TLIP) and its intention to digitalize the trade process </w:t>
      </w:r>
      <w:r w:rsidR="003D2493">
        <w:t>in order to</w:t>
      </w:r>
      <w:r w:rsidR="000F67E8">
        <w:t xml:space="preserve"> facilitate MSME trade between these two economies. A brief update on the research underway by the Secretariat on MSME-related provisions </w:t>
      </w:r>
      <w:r w:rsidR="000F67E8">
        <w:lastRenderedPageBreak/>
        <w:t xml:space="preserve">in RTAs and their use by small businesses was given by the Coordinator. </w:t>
      </w:r>
      <w:r>
        <w:t>A full summary of the meeting and of presentations received is available in document INF/MSME/R/</w:t>
      </w:r>
      <w:r w:rsidR="000F67E8">
        <w:t>33</w:t>
      </w:r>
      <w:r>
        <w:t>.</w:t>
      </w:r>
    </w:p>
    <w:p w14:paraId="50E229AC" w14:textId="13C3298E" w:rsidR="00F17149" w:rsidRDefault="00F17149" w:rsidP="0051610E">
      <w:pPr>
        <w:pStyle w:val="BodyText"/>
      </w:pPr>
      <w:r>
        <w:t xml:space="preserve">On </w:t>
      </w:r>
      <w:r w:rsidR="00C051EF">
        <w:t>12</w:t>
      </w:r>
      <w:r>
        <w:t xml:space="preserve"> </w:t>
      </w:r>
      <w:r w:rsidR="00C051EF">
        <w:t>Octobe</w:t>
      </w:r>
      <w:r>
        <w:t>r</w:t>
      </w:r>
      <w:r w:rsidR="005A015E">
        <w:t xml:space="preserve"> 202</w:t>
      </w:r>
      <w:r w:rsidR="00E32FFF">
        <w:t>2</w:t>
      </w:r>
      <w:r w:rsidR="006C105E">
        <w:t>,</w:t>
      </w:r>
      <w:r>
        <w:t xml:space="preserve"> the MSME Group held its fifth open-ended meeting (INF/MSME/CN/1</w:t>
      </w:r>
      <w:r w:rsidR="000F67E8">
        <w:t>9</w:t>
      </w:r>
      <w:r>
        <w:t>)</w:t>
      </w:r>
      <w:r w:rsidR="00965F6C">
        <w:t>.</w:t>
      </w:r>
      <w:r w:rsidR="00C10F3F">
        <w:t xml:space="preserve"> The fifth open-ended meeting of the MSME Group</w:t>
      </w:r>
      <w:r w:rsidR="003D2493">
        <w:t xml:space="preserve"> again</w:t>
      </w:r>
      <w:r w:rsidR="00C10F3F">
        <w:t xml:space="preserve"> focused on the way forward, with clear interest expressed to further investigate MSME provisions in </w:t>
      </w:r>
      <w:r w:rsidR="00393CD2">
        <w:t>RTAs</w:t>
      </w:r>
      <w:r w:rsidR="00C10F3F">
        <w:t xml:space="preserve">. </w:t>
      </w:r>
      <w:r w:rsidR="00756E3B">
        <w:t>Other</w:t>
      </w:r>
      <w:r w:rsidR="005E113D">
        <w:t xml:space="preserve"> topics of interest </w:t>
      </w:r>
      <w:r w:rsidR="00756E3B">
        <w:t>included</w:t>
      </w:r>
      <w:r w:rsidR="00C10F3F">
        <w:t xml:space="preserve"> rural MSMEs, sustainability, cross-border paperless trade, low-value shipments, and applying gender perspectives on MSME trade recommendations</w:t>
      </w:r>
      <w:r w:rsidR="00D345EB">
        <w:t>. T</w:t>
      </w:r>
      <w:r w:rsidR="00756E3B">
        <w:t xml:space="preserve">he Group </w:t>
      </w:r>
      <w:r w:rsidR="00D345EB">
        <w:t xml:space="preserve">also </w:t>
      </w:r>
      <w:r w:rsidR="00756E3B">
        <w:t>discussed the possibility of</w:t>
      </w:r>
      <w:r w:rsidR="0051610E">
        <w:t xml:space="preserve"> </w:t>
      </w:r>
      <w:r w:rsidR="00756E3B">
        <w:t xml:space="preserve">having dedicated sessions and compendiums of good practices on these topics. </w:t>
      </w:r>
      <w:r w:rsidR="00F7755E">
        <w:t>Regarding i</w:t>
      </w:r>
      <w:r w:rsidR="00C10F3F">
        <w:t>mplementation of the 2020 MSME Package</w:t>
      </w:r>
      <w:r w:rsidR="003D2493">
        <w:t>,</w:t>
      </w:r>
      <w:r w:rsidR="0051610E">
        <w:t xml:space="preserve"> </w:t>
      </w:r>
      <w:r w:rsidR="00C10F3F">
        <w:t>Mexico report</w:t>
      </w:r>
      <w:r w:rsidR="00F7755E">
        <w:t>ed</w:t>
      </w:r>
      <w:r w:rsidR="00C10F3F">
        <w:t xml:space="preserve"> on the</w:t>
      </w:r>
      <w:r w:rsidR="0051610E">
        <w:t>ir</w:t>
      </w:r>
      <w:r w:rsidR="00C10F3F">
        <w:t xml:space="preserve"> inclusion of a MSME section in </w:t>
      </w:r>
      <w:r w:rsidR="0051610E">
        <w:t>their</w:t>
      </w:r>
      <w:r w:rsidR="00C10F3F">
        <w:t xml:space="preserve"> October</w:t>
      </w:r>
      <w:r w:rsidR="0002258A">
        <w:t> </w:t>
      </w:r>
      <w:r w:rsidR="00C10F3F">
        <w:t xml:space="preserve">2022 TPR </w:t>
      </w:r>
      <w:r w:rsidR="00393CD2">
        <w:t>R</w:t>
      </w:r>
      <w:r w:rsidR="00C10F3F">
        <w:t>eport</w:t>
      </w:r>
      <w:r w:rsidR="006C105E">
        <w:t>,</w:t>
      </w:r>
      <w:r w:rsidR="00C10F3F">
        <w:t xml:space="preserve"> while Uruguay informed the Group regarding their </w:t>
      </w:r>
      <w:r w:rsidR="003D2493">
        <w:t xml:space="preserve">completed </w:t>
      </w:r>
      <w:r w:rsidR="00C10F3F">
        <w:t xml:space="preserve">work to implement the 2019 IDB Decision. Interest was expressed to improve and expand the database </w:t>
      </w:r>
      <w:r w:rsidR="00C10F3F" w:rsidRPr="0002258A">
        <w:t>on MSME</w:t>
      </w:r>
      <w:r w:rsidR="0002258A" w:rsidRPr="0002258A">
        <w:t xml:space="preserve"> </w:t>
      </w:r>
      <w:r w:rsidR="00C10F3F" w:rsidRPr="0002258A">
        <w:t>references in TPRs.</w:t>
      </w:r>
      <w:r w:rsidR="00756E3B" w:rsidRPr="0002258A">
        <w:t xml:space="preserve"> Members also requested that a mapping of MSME-related discussions i</w:t>
      </w:r>
      <w:r w:rsidR="00756E3B">
        <w:t xml:space="preserve">n other WTO </w:t>
      </w:r>
      <w:r w:rsidR="00676C3B">
        <w:t>C</w:t>
      </w:r>
      <w:r w:rsidR="00756E3B">
        <w:t>ommittees be undertaken.</w:t>
      </w:r>
      <w:r w:rsidR="0051610E">
        <w:t xml:space="preserve"> </w:t>
      </w:r>
      <w:r w:rsidR="00C10F3F">
        <w:t xml:space="preserve">An update on the Trade4MSMEs </w:t>
      </w:r>
      <w:r w:rsidR="00F54714">
        <w:t xml:space="preserve">web </w:t>
      </w:r>
      <w:r w:rsidR="00C10F3F">
        <w:t xml:space="preserve">platform was provided. Promotion </w:t>
      </w:r>
      <w:r w:rsidR="003D2493">
        <w:t>was planned to continue</w:t>
      </w:r>
      <w:r w:rsidR="00C10F3F">
        <w:t xml:space="preserve"> with four country webinars held and two more planned for Mexico and the Dominican Republic. </w:t>
      </w:r>
      <w:r w:rsidR="00676C3B">
        <w:t>12</w:t>
      </w:r>
      <w:r w:rsidR="00C10F3F">
        <w:t xml:space="preserve"> new guides were also issued in advance of the </w:t>
      </w:r>
      <w:r w:rsidR="00676C3B">
        <w:t>P</w:t>
      </w:r>
      <w:r w:rsidR="00C10F3F">
        <w:t xml:space="preserve">ublic </w:t>
      </w:r>
      <w:r w:rsidR="00676C3B">
        <w:t>F</w:t>
      </w:r>
      <w:r w:rsidR="00C10F3F">
        <w:t>orum in September.</w:t>
      </w:r>
      <w:r w:rsidR="0051610E">
        <w:t xml:space="preserve"> </w:t>
      </w:r>
      <w:r w:rsidR="00C10F3F">
        <w:t xml:space="preserve">The two runners-up for the 2022 Small Business Champions presented their winning proposals to the </w:t>
      </w:r>
      <w:r w:rsidR="00676C3B">
        <w:t>G</w:t>
      </w:r>
      <w:r w:rsidR="00C10F3F">
        <w:t>roup</w:t>
      </w:r>
      <w:r w:rsidR="0051610E">
        <w:t xml:space="preserve">. </w:t>
      </w:r>
      <w:r w:rsidR="0051610E" w:rsidRPr="00DE421C">
        <w:t>Two briefings on MSME-related discussions</w:t>
      </w:r>
      <w:r w:rsidR="0051610E">
        <w:t xml:space="preserve"> in other WTO Committees</w:t>
      </w:r>
      <w:r w:rsidR="0051610E" w:rsidRPr="00DE421C">
        <w:t xml:space="preserve"> were given from the Secretariat </w:t>
      </w:r>
      <w:r w:rsidR="0051610E">
        <w:t>regarding first</w:t>
      </w:r>
      <w:r w:rsidR="0051610E" w:rsidRPr="00DE421C">
        <w:t xml:space="preserve"> the July TBT Committee MSME </w:t>
      </w:r>
      <w:r w:rsidR="00676C3B">
        <w:t>T</w:t>
      </w:r>
      <w:r w:rsidR="0051610E" w:rsidRPr="00DE421C">
        <w:t xml:space="preserve">hematic </w:t>
      </w:r>
      <w:r w:rsidR="00676C3B">
        <w:t>S</w:t>
      </w:r>
      <w:r w:rsidR="0051610E" w:rsidRPr="00DE421C">
        <w:t xml:space="preserve">ession and </w:t>
      </w:r>
      <w:r w:rsidR="0051610E">
        <w:t xml:space="preserve">second </w:t>
      </w:r>
      <w:r w:rsidR="0051610E" w:rsidRPr="00DE421C">
        <w:t>the implementation of the 2019 IDB Decision.</w:t>
      </w:r>
      <w:r w:rsidR="0051610E">
        <w:t xml:space="preserve"> The Secretariat also provided two briefings, first on the findings of a literature review on the effects of regional trade agreements on MSME trade participation (INF/MSME/W/40) and the second on cross-border payments and the GATS. The Secretariat briefing was followed by a knowledge sharing session organized by the </w:t>
      </w:r>
      <w:r w:rsidR="00A3205F">
        <w:t>World Economic Forum (</w:t>
      </w:r>
      <w:r w:rsidR="0051610E">
        <w:t>WEF</w:t>
      </w:r>
      <w:r w:rsidR="00A3205F">
        <w:t>)</w:t>
      </w:r>
      <w:r w:rsidR="0051610E">
        <w:t xml:space="preserve"> with the </w:t>
      </w:r>
      <w:r w:rsidR="00DC2570" w:rsidRPr="00DC2570">
        <w:t>Inter-American Development Bank</w:t>
      </w:r>
      <w:r w:rsidR="00DC2570">
        <w:t xml:space="preserve"> (IADB) </w:t>
      </w:r>
      <w:r w:rsidR="0051610E">
        <w:t xml:space="preserve">and Visa on inclusive trade and cross-border payments. The Group also received three thematic presentations </w:t>
      </w:r>
      <w:r w:rsidR="0051610E" w:rsidRPr="00DE421C">
        <w:t>from the ITC, the IOTA Foundation, and the Global Express Association</w:t>
      </w:r>
      <w:r w:rsidR="0051610E">
        <w:t xml:space="preserve"> (GEA)</w:t>
      </w:r>
      <w:r w:rsidR="0051610E" w:rsidRPr="00DE421C">
        <w:t xml:space="preserve"> </w:t>
      </w:r>
      <w:r w:rsidR="0051610E">
        <w:t>on</w:t>
      </w:r>
      <w:r w:rsidR="0051610E" w:rsidRPr="00DE421C">
        <w:t xml:space="preserve"> trade facilitation, digitalization of trade documents, and low-value shipments</w:t>
      </w:r>
      <w:r w:rsidR="0051610E">
        <w:t xml:space="preserve">. </w:t>
      </w:r>
      <w:r>
        <w:t>A full summary of the meeting and of presentations received is available in document INF/MSME/R/</w:t>
      </w:r>
      <w:r w:rsidR="000F67E8">
        <w:t>34</w:t>
      </w:r>
      <w:r>
        <w:t>.</w:t>
      </w:r>
    </w:p>
    <w:p w14:paraId="71352086" w14:textId="77777777" w:rsidR="00F17149" w:rsidRDefault="00F17149" w:rsidP="00F17149">
      <w:pPr>
        <w:pStyle w:val="Heading1"/>
      </w:pPr>
      <w:r>
        <w:t>Implementation of the 2020 MSME Package</w:t>
      </w:r>
    </w:p>
    <w:p w14:paraId="1E2DA620" w14:textId="4A96DFE2" w:rsidR="00F17149" w:rsidRPr="005F41CA" w:rsidRDefault="00C051EF" w:rsidP="00F17149">
      <w:pPr>
        <w:pStyle w:val="BodyText"/>
      </w:pPr>
      <w:r>
        <w:t>Following the MSME Group's</w:t>
      </w:r>
      <w:r w:rsidR="00F17149">
        <w:t xml:space="preserve"> agreed </w:t>
      </w:r>
      <w:r w:rsidR="00C8552C">
        <w:t>upon</w:t>
      </w:r>
      <w:r w:rsidR="00F17149">
        <w:t xml:space="preserve"> overview list (INF/MSME/W/35/Corr.1)</w:t>
      </w:r>
      <w:r>
        <w:t>, members continued to implement the</w:t>
      </w:r>
      <w:r w:rsidR="00C8552C">
        <w:t xml:space="preserve"> December 2020 MSME Package (INF/MSME/4/Rev.2).</w:t>
      </w:r>
    </w:p>
    <w:p w14:paraId="584ACD66" w14:textId="77777777" w:rsidR="00F17149" w:rsidRDefault="00F17149" w:rsidP="0021098F">
      <w:pPr>
        <w:pStyle w:val="Heading2"/>
        <w:numPr>
          <w:ilvl w:val="1"/>
          <w:numId w:val="18"/>
        </w:numPr>
      </w:pPr>
      <w:r>
        <w:t>Annex 1</w:t>
      </w:r>
    </w:p>
    <w:p w14:paraId="48B6AF9A" w14:textId="192564C0" w:rsidR="00F17149" w:rsidRDefault="00F17149" w:rsidP="00F17149">
      <w:pPr>
        <w:pStyle w:val="BodyText"/>
      </w:pPr>
      <w:r>
        <w:t xml:space="preserve">The Secretariat </w:t>
      </w:r>
      <w:r w:rsidR="0012647D">
        <w:t>updated</w:t>
      </w:r>
      <w:r>
        <w:t xml:space="preserve"> </w:t>
      </w:r>
      <w:r w:rsidR="0012647D">
        <w:t>its</w:t>
      </w:r>
      <w:r>
        <w:t xml:space="preserve"> database of MSME references in TPRs through </w:t>
      </w:r>
      <w:r w:rsidR="00E32FFF">
        <w:t>[</w:t>
      </w:r>
      <w:r w:rsidR="0012647D" w:rsidRPr="000D6B00">
        <w:t>mid-year 2022</w:t>
      </w:r>
      <w:r w:rsidR="00E32FFF">
        <w:t>]</w:t>
      </w:r>
      <w:r>
        <w:t xml:space="preserve">. Additionally, </w:t>
      </w:r>
      <w:r w:rsidR="0012647D">
        <w:t>Switzerland and Mexico both included dedicated MSME sections in their TPRs.</w:t>
      </w:r>
    </w:p>
    <w:p w14:paraId="517ECDEB" w14:textId="77777777" w:rsidR="00F17149" w:rsidRDefault="00F17149" w:rsidP="00F17149">
      <w:pPr>
        <w:pStyle w:val="Heading2"/>
      </w:pPr>
      <w:r>
        <w:t>Annex 2</w:t>
      </w:r>
    </w:p>
    <w:p w14:paraId="08AE9467" w14:textId="61320F74" w:rsidR="00F17149" w:rsidRDefault="00F17149" w:rsidP="00F17149">
      <w:pPr>
        <w:pStyle w:val="BodyText"/>
      </w:pPr>
      <w:r>
        <w:t xml:space="preserve">In </w:t>
      </w:r>
      <w:r w:rsidRPr="0002258A">
        <w:t>September 202</w:t>
      </w:r>
      <w:r w:rsidR="00F54714" w:rsidRPr="0002258A">
        <w:t>2</w:t>
      </w:r>
      <w:r w:rsidRPr="0002258A">
        <w:t>,</w:t>
      </w:r>
      <w:r>
        <w:t xml:space="preserve"> t</w:t>
      </w:r>
      <w:r w:rsidRPr="00B27E8B">
        <w:t xml:space="preserve">he ITC updated the Group on </w:t>
      </w:r>
      <w:r w:rsidR="006C105E">
        <w:t xml:space="preserve">the </w:t>
      </w:r>
      <w:r w:rsidRPr="00B27E8B">
        <w:t>latest developments regarding the Global Trade Helpdesk (GTH)</w:t>
      </w:r>
      <w:r>
        <w:t xml:space="preserve"> and </w:t>
      </w:r>
      <w:r w:rsidR="009141B8">
        <w:t xml:space="preserve">provided </w:t>
      </w:r>
      <w:r>
        <w:t>m</w:t>
      </w:r>
      <w:r w:rsidRPr="00B27E8B">
        <w:t>embers w</w:t>
      </w:r>
      <w:r w:rsidR="009141B8">
        <w:t>ith a document for review of national information available on the GTH website</w:t>
      </w:r>
      <w:r w:rsidRPr="00B27E8B">
        <w:t>.</w:t>
      </w:r>
      <w:r>
        <w:t xml:space="preserve"> By the end of the year, updates and verifications had been received from </w:t>
      </w:r>
      <w:r w:rsidR="00A72C1B">
        <w:t>42</w:t>
      </w:r>
      <w:r>
        <w:t xml:space="preserve"> </w:t>
      </w:r>
      <w:r w:rsidR="009141B8">
        <w:t>signatories of the December 2020 MSME Package</w:t>
      </w:r>
      <w:r>
        <w:t>.</w:t>
      </w:r>
    </w:p>
    <w:p w14:paraId="449B3067" w14:textId="1D3CD93A" w:rsidR="00F17149" w:rsidRDefault="00F17149" w:rsidP="00F17149">
      <w:pPr>
        <w:pStyle w:val="Heading2"/>
      </w:pPr>
      <w:r>
        <w:t>Annex 3</w:t>
      </w:r>
    </w:p>
    <w:p w14:paraId="426644A3" w14:textId="4F631B70" w:rsidR="00F125AC" w:rsidRPr="00F125AC" w:rsidRDefault="00F125AC" w:rsidP="00F125AC">
      <w:pPr>
        <w:pStyle w:val="BodyText"/>
      </w:pPr>
      <w:r w:rsidRPr="00F125AC">
        <w:t xml:space="preserve">Regarding Annex 3, Canada recalled the recent completion of the Four-Year Review of the Agreement on Trade </w:t>
      </w:r>
      <w:r w:rsidRPr="004072E2">
        <w:t>Facilitation (G/TFA/2</w:t>
      </w:r>
      <w:r w:rsidR="004072E2" w:rsidRPr="004072E2">
        <w:t>)</w:t>
      </w:r>
      <w:r w:rsidRPr="004072E2">
        <w:t xml:space="preserve"> as well as the event to celebrate the fifth anniversary of the entry-into-force of the Agreement (event</w:t>
      </w:r>
      <w:r>
        <w:t xml:space="preserve"> recording</w:t>
      </w:r>
      <w:r w:rsidR="00D345EB">
        <w:t>s</w:t>
      </w:r>
      <w:r>
        <w:t xml:space="preserve"> are available on </w:t>
      </w:r>
      <w:hyperlink r:id="rId8" w:history="1">
        <w:r w:rsidRPr="00F125AC">
          <w:rPr>
            <w:rStyle w:val="Hyperlink"/>
          </w:rPr>
          <w:t>YouTube</w:t>
        </w:r>
      </w:hyperlink>
      <w:r>
        <w:t>)</w:t>
      </w:r>
      <w:r w:rsidRPr="00F125AC">
        <w:t xml:space="preserve">. Both </w:t>
      </w:r>
      <w:r w:rsidRPr="0002258A">
        <w:t>the report</w:t>
      </w:r>
      <w:r w:rsidRPr="00F125AC">
        <w:t xml:space="preserve"> and the anniversary event provide information of relevance to MSMEs, including the implementation achievements so far</w:t>
      </w:r>
      <w:r w:rsidR="00D345EB">
        <w:t>,</w:t>
      </w:r>
      <w:r w:rsidRPr="00F125AC">
        <w:t xml:space="preserve"> and look ahead to what needs to be done to continue to help WTO Members reduce trading frictions at their borders.</w:t>
      </w:r>
    </w:p>
    <w:p w14:paraId="67A148F7" w14:textId="77777777" w:rsidR="00F17149" w:rsidRDefault="00F17149" w:rsidP="00F17149">
      <w:pPr>
        <w:pStyle w:val="Heading2"/>
      </w:pPr>
      <w:r>
        <w:t>Annex 5</w:t>
      </w:r>
    </w:p>
    <w:p w14:paraId="0E3E7C87" w14:textId="2348B262" w:rsidR="00F17149" w:rsidRDefault="00F17149" w:rsidP="008F7373">
      <w:pPr>
        <w:pStyle w:val="BodyText"/>
      </w:pPr>
      <w:r>
        <w:t xml:space="preserve">In </w:t>
      </w:r>
      <w:r w:rsidR="003A5A18">
        <w:t>October 2022</w:t>
      </w:r>
      <w:r w:rsidR="00D345EB">
        <w:t>,</w:t>
      </w:r>
      <w:r>
        <w:t xml:space="preserve"> Uruguay </w:t>
      </w:r>
      <w:r w:rsidR="003A5A18">
        <w:t xml:space="preserve">announced the completion and implementation of its </w:t>
      </w:r>
      <w:r w:rsidR="004259F9">
        <w:t>a</w:t>
      </w:r>
      <w:r>
        <w:t>greement with the Secretariat for the automatic electronic transmission of their tariff and import data to the IDB</w:t>
      </w:r>
      <w:r w:rsidR="00756E3B">
        <w:t>. It joins Canada as two members of the MSME Group with such agreements in place</w:t>
      </w:r>
      <w:r w:rsidR="008C7804">
        <w:t>.</w:t>
      </w:r>
    </w:p>
    <w:p w14:paraId="30C36272" w14:textId="09D27D3C" w:rsidR="00E81E6F" w:rsidRDefault="00E81E6F" w:rsidP="00E81E6F">
      <w:pPr>
        <w:pStyle w:val="Heading2"/>
      </w:pPr>
      <w:r>
        <w:lastRenderedPageBreak/>
        <w:t>Annex 6</w:t>
      </w:r>
    </w:p>
    <w:p w14:paraId="5E063F9D" w14:textId="16F4DF31" w:rsidR="00E81E6F" w:rsidRPr="00E3672D" w:rsidRDefault="00F125AC" w:rsidP="00E3672D">
      <w:pPr>
        <w:pStyle w:val="BodyText"/>
      </w:pPr>
      <w:r w:rsidRPr="00E3672D">
        <w:t>C</w:t>
      </w:r>
      <w:r w:rsidR="00A3205F" w:rsidRPr="00E3672D">
        <w:t>ô</w:t>
      </w:r>
      <w:r w:rsidRPr="00E3672D">
        <w:t xml:space="preserve">te d'Ivoire invited the Global Legal Entity Identifier Foundation (GLEIF) to present the key findings from their study titled </w:t>
      </w:r>
      <w:r w:rsidR="00A3205F" w:rsidRPr="00E3672D">
        <w:t>"</w:t>
      </w:r>
      <w:r w:rsidRPr="00E3672D">
        <w:t>The LEI: The Key to Unlocking Financial Inclusion in Developing Economies</w:t>
      </w:r>
      <w:r w:rsidR="00A3205F" w:rsidRPr="00E3672D">
        <w:t>"</w:t>
      </w:r>
      <w:r w:rsidRPr="00E3672D">
        <w:t>. Further presentations on trade-related finance and cross-border payments were received from the WTO Secretariat on the GATT and the W</w:t>
      </w:r>
      <w:r w:rsidR="00784AFB" w:rsidRPr="00E3672D">
        <w:t>EF</w:t>
      </w:r>
      <w:r w:rsidRPr="00E3672D">
        <w:t xml:space="preserve"> in a panel they organized with the IADB and Visa in October. </w:t>
      </w:r>
    </w:p>
    <w:p w14:paraId="16C285D3" w14:textId="77777777" w:rsidR="00F17149" w:rsidRDefault="00F17149" w:rsidP="00F17149">
      <w:pPr>
        <w:pStyle w:val="Heading1"/>
      </w:pPr>
      <w:r>
        <w:t>Other activities</w:t>
      </w:r>
    </w:p>
    <w:p w14:paraId="3F94A24E" w14:textId="77777777" w:rsidR="00F17149" w:rsidRDefault="00F17149" w:rsidP="00F17149">
      <w:pPr>
        <w:pStyle w:val="Heading2"/>
      </w:pPr>
      <w:r>
        <w:t>Other</w:t>
      </w:r>
    </w:p>
    <w:p w14:paraId="1D42EBF3" w14:textId="138988C0" w:rsidR="00A71A4C" w:rsidRDefault="00A71A4C" w:rsidP="00F17149">
      <w:pPr>
        <w:pStyle w:val="BodyText"/>
      </w:pPr>
      <w:r w:rsidRPr="00AC1115">
        <w:rPr>
          <w:lang w:val="en-US"/>
        </w:rPr>
        <w:t>The Group met</w:t>
      </w:r>
      <w:r>
        <w:rPr>
          <w:lang w:val="en-US"/>
        </w:rPr>
        <w:t xml:space="preserve"> virtually</w:t>
      </w:r>
      <w:r w:rsidRPr="00AC1115">
        <w:rPr>
          <w:lang w:val="en-US"/>
        </w:rPr>
        <w:t xml:space="preserve"> with the private </w:t>
      </w:r>
      <w:r>
        <w:rPr>
          <w:lang w:val="en-US"/>
        </w:rPr>
        <w:t>sector in February 2022 in the afternoon of the first open-ended meeting of the year</w:t>
      </w:r>
      <w:r w:rsidRPr="00AC1115">
        <w:rPr>
          <w:lang w:val="en-US"/>
        </w:rPr>
        <w:t xml:space="preserve">. Topics raised </w:t>
      </w:r>
      <w:r>
        <w:rPr>
          <w:lang w:val="en-US"/>
        </w:rPr>
        <w:t xml:space="preserve">by </w:t>
      </w:r>
      <w:r w:rsidR="002F62C3">
        <w:rPr>
          <w:lang w:val="en-US"/>
        </w:rPr>
        <w:t xml:space="preserve">private sector </w:t>
      </w:r>
      <w:r>
        <w:rPr>
          <w:lang w:val="en-US"/>
        </w:rPr>
        <w:t xml:space="preserve">participants </w:t>
      </w:r>
      <w:r w:rsidRPr="00AC1115">
        <w:rPr>
          <w:lang w:val="en-US"/>
        </w:rPr>
        <w:t>include</w:t>
      </w:r>
      <w:r>
        <w:rPr>
          <w:lang w:val="en-US"/>
        </w:rPr>
        <w:t>d</w:t>
      </w:r>
      <w:r w:rsidRPr="00AC1115">
        <w:rPr>
          <w:lang w:val="en-US"/>
        </w:rPr>
        <w:t xml:space="preserve"> cyber readiness, support for adoption of the Model Law on Electronic Transferable Records (MLETR) of the United Nations Commission </w:t>
      </w:r>
      <w:r w:rsidR="00D772D6">
        <w:rPr>
          <w:lang w:val="en-US"/>
        </w:rPr>
        <w:t xml:space="preserve">on </w:t>
      </w:r>
      <w:r w:rsidRPr="00AC1115">
        <w:rPr>
          <w:lang w:val="en-US"/>
        </w:rPr>
        <w:t>International Trade Law (UNCITRAL) and sustainability standards</w:t>
      </w:r>
      <w:r>
        <w:rPr>
          <w:lang w:val="en-US"/>
        </w:rPr>
        <w:t xml:space="preserve">, the </w:t>
      </w:r>
      <w:r w:rsidRPr="00AC1115">
        <w:rPr>
          <w:lang w:val="en-US"/>
        </w:rPr>
        <w:t xml:space="preserve">proliferation </w:t>
      </w:r>
      <w:r>
        <w:rPr>
          <w:lang w:val="en-US"/>
        </w:rPr>
        <w:t xml:space="preserve">of which </w:t>
      </w:r>
      <w:r w:rsidR="002F62C3">
        <w:rPr>
          <w:lang w:val="en-US"/>
        </w:rPr>
        <w:t>is</w:t>
      </w:r>
      <w:r w:rsidR="002F62C3" w:rsidRPr="00AC1115">
        <w:rPr>
          <w:lang w:val="en-US"/>
        </w:rPr>
        <w:t xml:space="preserve"> </w:t>
      </w:r>
      <w:r w:rsidRPr="00AC1115">
        <w:rPr>
          <w:lang w:val="en-US"/>
        </w:rPr>
        <w:t>hindering MSME trade</w:t>
      </w:r>
      <w:r>
        <w:rPr>
          <w:szCs w:val="18"/>
        </w:rPr>
        <w:t>.</w:t>
      </w:r>
    </w:p>
    <w:p w14:paraId="44235C15" w14:textId="28207FB1" w:rsidR="00F17149" w:rsidRDefault="00F17149" w:rsidP="00F17149">
      <w:pPr>
        <w:pStyle w:val="BodyText"/>
      </w:pPr>
      <w:r>
        <w:t>Development of the Trade4MSMEs web platform continued throughout the year</w:t>
      </w:r>
      <w:r w:rsidR="00CE0A03">
        <w:t>. The Spanish and French translations of the website were complete</w:t>
      </w:r>
      <w:r w:rsidR="007B55CC">
        <w:t>d</w:t>
      </w:r>
      <w:r w:rsidR="00CE0A03">
        <w:t xml:space="preserve"> and</w:t>
      </w:r>
      <w:r w:rsidR="00D772D6">
        <w:t xml:space="preserve"> 12</w:t>
      </w:r>
      <w:r w:rsidR="00CE0A03">
        <w:t xml:space="preserve"> new guides were </w:t>
      </w:r>
      <w:r w:rsidR="007B55CC">
        <w:t xml:space="preserve">developed </w:t>
      </w:r>
      <w:r w:rsidR="00CE0A03">
        <w:t xml:space="preserve">for MSMEs and policymakers on competition policy; exchange rates; government procurement; investment facilitation; </w:t>
      </w:r>
      <w:r w:rsidR="00393CD2">
        <w:t>RTAs</w:t>
      </w:r>
      <w:r w:rsidR="00CE0A03">
        <w:t xml:space="preserve">; reverse logistics; standards for cross-border paperless trade; the think small first principal; trade remedies and voluntary sustainability standards. </w:t>
      </w:r>
      <w:r w:rsidR="003D2493">
        <w:t>Promotion continued throughout the year with</w:t>
      </w:r>
      <w:r w:rsidR="00CF615C">
        <w:t xml:space="preserve"> multiple</w:t>
      </w:r>
      <w:r w:rsidR="00E32FFF">
        <w:t xml:space="preserve"> joint GTH and Trade4MSMEs information webinars given online</w:t>
      </w:r>
      <w:r w:rsidR="00CF615C">
        <w:t xml:space="preserve">, including one at </w:t>
      </w:r>
      <w:r w:rsidR="00FA674F">
        <w:t xml:space="preserve">the </w:t>
      </w:r>
      <w:r w:rsidR="00CF615C">
        <w:t xml:space="preserve">WSIS </w:t>
      </w:r>
      <w:r w:rsidR="00FA674F">
        <w:t xml:space="preserve">Forum </w:t>
      </w:r>
      <w:r w:rsidR="00CF615C">
        <w:t>2022 at the ITU</w:t>
      </w:r>
      <w:r w:rsidR="00E32FFF">
        <w:t>,</w:t>
      </w:r>
      <w:r w:rsidR="00CF615C">
        <w:t xml:space="preserve"> and</w:t>
      </w:r>
      <w:r w:rsidR="003D2493">
        <w:t xml:space="preserve"> </w:t>
      </w:r>
      <w:r w:rsidR="00CF615C">
        <w:t>four</w:t>
      </w:r>
      <w:r w:rsidR="00E32FFF">
        <w:t xml:space="preserve"> country</w:t>
      </w:r>
      <w:r w:rsidR="003D2493">
        <w:t xml:space="preserve"> webinars held </w:t>
      </w:r>
      <w:r w:rsidR="00E32FFF">
        <w:t>virtually for Chile, Colombia</w:t>
      </w:r>
      <w:r w:rsidR="00CF615C">
        <w:t>, Dominican Republic and</w:t>
      </w:r>
      <w:r w:rsidR="00E32FFF">
        <w:t xml:space="preserve"> </w:t>
      </w:r>
      <w:r w:rsidR="00CF615C">
        <w:t>Mexico</w:t>
      </w:r>
      <w:r w:rsidR="003D2493">
        <w:t>.</w:t>
      </w:r>
      <w:r w:rsidR="00E32FFF">
        <w:t xml:space="preserve"> Looking towards long</w:t>
      </w:r>
      <w:r w:rsidR="00CF615C">
        <w:t>-</w:t>
      </w:r>
      <w:r w:rsidR="00E32FFF">
        <w:t>term sustainability and improvements, a</w:t>
      </w:r>
      <w:r w:rsidR="00E32FFF" w:rsidRPr="006E0461">
        <w:t xml:space="preserve"> strategic partnership has been established with the UK Institute of Export and International Trade</w:t>
      </w:r>
      <w:r w:rsidR="00E32FFF">
        <w:t xml:space="preserve"> (IOE&amp;IT) and a funding grant was obtained from Google.</w:t>
      </w:r>
      <w:r w:rsidR="00756E3B">
        <w:t xml:space="preserve"> Trade Finance Global</w:t>
      </w:r>
      <w:r w:rsidR="00FA674F">
        <w:t xml:space="preserve"> (TFG)</w:t>
      </w:r>
      <w:r w:rsidR="00756E3B">
        <w:t xml:space="preserve"> has also joined as a partner to the platform to give greater visibility to the website.</w:t>
      </w:r>
    </w:p>
    <w:p w14:paraId="39CBB065" w14:textId="67A4D49D" w:rsidR="00631778" w:rsidRDefault="00631778" w:rsidP="00631778">
      <w:pPr>
        <w:pStyle w:val="BodyText"/>
      </w:pPr>
      <w:r>
        <w:t xml:space="preserve">Launched on 8 June 2022, the Trade4MSMEs Network currently counts 17 development banks, international and regional organizations as participants and outreach continues to additional organizations. Created with the objective of </w:t>
      </w:r>
      <w:r w:rsidR="00756E3B">
        <w:t xml:space="preserve">keeping </w:t>
      </w:r>
      <w:r>
        <w:t xml:space="preserve">the Trade4MSMEs web platform </w:t>
      </w:r>
      <w:r w:rsidR="00756E3B">
        <w:t>up-to-date</w:t>
      </w:r>
      <w:r>
        <w:t xml:space="preserve">, the </w:t>
      </w:r>
      <w:r w:rsidR="00FA674F">
        <w:t>N</w:t>
      </w:r>
      <w:r>
        <w:t>etwork also aims to facilitate collaboration among participants, identify new tools to help MSMEs trade and to explore the possibility of joint projects. The Network plans to meet annually. Network participants include the Asian Development Bank; European Bank for Reconstruction and Development; Inter-American Development Bank; International Labour Organization; International Telecommunication Union; International Trade Centre; Organisation for Economic Co-operation and Development; United Nations Economic Commission for Africa; United Nations Economic Commission for Europe; United Nations Economic Commission for Latin America and the Caribbean; United Nations Economic and Social Commission for Asia and the Pacific; United Nations Economic and Social Commission for Western Asia; United Nations Industrial Development Organization; United Nations Commission on International Trade Law; World Customs Organization; World Intellectual Property Organization; and World Bank.</w:t>
      </w:r>
    </w:p>
    <w:p w14:paraId="0B0F2D6E" w14:textId="416E66D4" w:rsidR="003D0807" w:rsidRDefault="003D0807" w:rsidP="00631778">
      <w:pPr>
        <w:pStyle w:val="BodyText"/>
      </w:pPr>
      <w:r>
        <w:t xml:space="preserve">The WTO MSME Group celebrated international MSME Day on 27 June 2022 with the launch of the second </w:t>
      </w:r>
      <w:r w:rsidR="007B55CC">
        <w:t xml:space="preserve">iteration of </w:t>
      </w:r>
      <w:r>
        <w:t xml:space="preserve">Small Business Champions </w:t>
      </w:r>
      <w:r w:rsidR="00B174AF">
        <w:t>I</w:t>
      </w:r>
      <w:r>
        <w:t xml:space="preserve">nitiative </w:t>
      </w:r>
      <w:r w:rsidR="007B55CC">
        <w:t>with the theme</w:t>
      </w:r>
      <w:r w:rsidR="007B55CC" w:rsidRPr="000546A8">
        <w:t xml:space="preserve"> </w:t>
      </w:r>
      <w:r>
        <w:t>"</w:t>
      </w:r>
      <w:r w:rsidRPr="000546A8">
        <w:t>Helping small businesses transition to a sustainable economy</w:t>
      </w:r>
      <w:r>
        <w:t>" and a panel discussion with business representatives from UPS, Sage</w:t>
      </w:r>
      <w:r w:rsidR="00631778">
        <w:t>,</w:t>
      </w:r>
      <w:r>
        <w:t xml:space="preserve"> </w:t>
      </w:r>
      <w:r w:rsidR="00631778" w:rsidRPr="00631778">
        <w:t>ADJOAA and Mantra Beauty</w:t>
      </w:r>
      <w:r>
        <w:t xml:space="preserve">. Introductory remarks were made by </w:t>
      </w:r>
      <w:r w:rsidR="00DE2961">
        <w:t xml:space="preserve">H.E. Mr </w:t>
      </w:r>
      <w:r>
        <w:t xml:space="preserve">José </w:t>
      </w:r>
      <w:r w:rsidR="002916F8" w:rsidRPr="002916F8">
        <w:t>Luís</w:t>
      </w:r>
      <w:r>
        <w:t xml:space="preserve"> Cancela</w:t>
      </w:r>
      <w:r w:rsidR="002916F8">
        <w:t xml:space="preserve"> </w:t>
      </w:r>
      <w:r w:rsidR="002916F8" w:rsidRPr="002916F8">
        <w:t>Gómez</w:t>
      </w:r>
      <w:r>
        <w:t xml:space="preserve">, </w:t>
      </w:r>
      <w:r w:rsidR="00D345EB">
        <w:t xml:space="preserve">WTO MSME Group </w:t>
      </w:r>
      <w:r w:rsidR="002916F8" w:rsidRPr="002916F8">
        <w:t xml:space="preserve">Coordinator </w:t>
      </w:r>
      <w:r w:rsidR="002916F8">
        <w:t xml:space="preserve">and </w:t>
      </w:r>
      <w:r>
        <w:t xml:space="preserve">Ambassador of Uruguay; </w:t>
      </w:r>
      <w:r w:rsidR="00FB110A">
        <w:t xml:space="preserve">Ms </w:t>
      </w:r>
      <w:r>
        <w:t xml:space="preserve">Pamela Coke-Hamilton, Executive Director, International Trade Centre; </w:t>
      </w:r>
      <w:r w:rsidR="00FB110A">
        <w:t xml:space="preserve">Mr </w:t>
      </w:r>
      <w:r>
        <w:t xml:space="preserve">John Denton, Secretary General, International Chamber of Commerce; and </w:t>
      </w:r>
      <w:r w:rsidR="00FB110A">
        <w:t xml:space="preserve">Dr </w:t>
      </w:r>
      <w:r>
        <w:t>Ngozi Okonjo-Iweala, Director</w:t>
      </w:r>
      <w:r w:rsidR="002916F8">
        <w:t>-</w:t>
      </w:r>
      <w:r>
        <w:t>General, World Trade Organization.</w:t>
      </w:r>
    </w:p>
    <w:p w14:paraId="1B9071FD" w14:textId="2A1F5C99" w:rsidR="00F17149" w:rsidRDefault="007B55CC" w:rsidP="00F17149">
      <w:pPr>
        <w:pStyle w:val="BodyText"/>
      </w:pPr>
      <w:r>
        <w:t>N</w:t>
      </w:r>
      <w:r w:rsidR="00C10F3F">
        <w:t xml:space="preserve">early 90 </w:t>
      </w:r>
      <w:r>
        <w:t xml:space="preserve">Small Business Champions </w:t>
      </w:r>
      <w:r w:rsidR="00C10F3F">
        <w:t xml:space="preserve">proposals </w:t>
      </w:r>
      <w:r w:rsidR="00631778">
        <w:t xml:space="preserve">were </w:t>
      </w:r>
      <w:r w:rsidR="00C10F3F">
        <w:t>received</w:t>
      </w:r>
      <w:r>
        <w:t>.</w:t>
      </w:r>
      <w:r w:rsidR="00631778">
        <w:t xml:space="preserve"> </w:t>
      </w:r>
      <w:r>
        <w:t>The</w:t>
      </w:r>
      <w:r w:rsidR="00C10F3F">
        <w:t xml:space="preserve"> two winners and two runners-up were announced in </w:t>
      </w:r>
      <w:r w:rsidR="00631778">
        <w:t xml:space="preserve">a virtual ceremony </w:t>
      </w:r>
      <w:r w:rsidR="00D345EB">
        <w:t xml:space="preserve">in </w:t>
      </w:r>
      <w:r w:rsidR="00C10F3F">
        <w:t>advance of the WTO Public Forum on 26</w:t>
      </w:r>
      <w:r w:rsidR="002916F8">
        <w:t> </w:t>
      </w:r>
      <w:r w:rsidR="00C10F3F">
        <w:t xml:space="preserve">September. </w:t>
      </w:r>
      <w:r w:rsidR="00631778">
        <w:t xml:space="preserve">The winners </w:t>
      </w:r>
      <w:r>
        <w:t>a</w:t>
      </w:r>
      <w:r w:rsidR="00631778">
        <w:t>re t</w:t>
      </w:r>
      <w:r w:rsidR="00631778" w:rsidRPr="00222FFB">
        <w:t xml:space="preserve">he Association Professionnelle Accompagnements Valeurs Expertises Conseils </w:t>
      </w:r>
      <w:r w:rsidR="00631778">
        <w:t xml:space="preserve">(A.V.E.C) from </w:t>
      </w:r>
      <w:r w:rsidR="00631778" w:rsidRPr="00222FFB">
        <w:t>Benin</w:t>
      </w:r>
      <w:r w:rsidR="00631778">
        <w:t xml:space="preserve"> and the </w:t>
      </w:r>
      <w:r w:rsidR="00631778" w:rsidRPr="00222FFB">
        <w:t>Tanzania Chamber of Commerce, Industry and Agriculture</w:t>
      </w:r>
      <w:r w:rsidR="00631778">
        <w:t xml:space="preserve"> (TCCIA) and the two runners-up</w:t>
      </w:r>
      <w:r>
        <w:t xml:space="preserve"> a</w:t>
      </w:r>
      <w:r w:rsidR="00631778">
        <w:t xml:space="preserve">re </w:t>
      </w:r>
      <w:r w:rsidR="00631778" w:rsidRPr="00357D8C">
        <w:t>Inclusive Trade Ltd. (United Kingdom) and Sidley Austin Emerging Enterprises Pro Bono Program (Global)</w:t>
      </w:r>
      <w:r w:rsidR="00631778">
        <w:t xml:space="preserve">. </w:t>
      </w:r>
      <w:r w:rsidR="00C10F3F">
        <w:t>A second promotional event was held at Building Bridges in Geneva</w:t>
      </w:r>
      <w:r>
        <w:t xml:space="preserve"> on 5 October</w:t>
      </w:r>
      <w:r w:rsidR="00C10F3F">
        <w:t>.</w:t>
      </w:r>
    </w:p>
    <w:p w14:paraId="0F71C104" w14:textId="4425D13A" w:rsidR="00F17149" w:rsidRDefault="007B55CC" w:rsidP="00F17149">
      <w:pPr>
        <w:pStyle w:val="BodyText"/>
      </w:pPr>
      <w:r>
        <w:lastRenderedPageBreak/>
        <w:t xml:space="preserve">As Coordinator of the MSME Group, </w:t>
      </w:r>
      <w:r w:rsidR="00357D8C">
        <w:t>Ambassador</w:t>
      </w:r>
      <w:r w:rsidR="00F17149" w:rsidRPr="00D05026">
        <w:t xml:space="preserve"> José Luís Cancela </w:t>
      </w:r>
      <w:r w:rsidR="002916F8" w:rsidRPr="002916F8">
        <w:t xml:space="preserve">Gómez </w:t>
      </w:r>
      <w:r w:rsidR="00F17149" w:rsidRPr="00D05026">
        <w:t>was</w:t>
      </w:r>
      <w:r w:rsidR="00F17149">
        <w:t xml:space="preserve"> </w:t>
      </w:r>
      <w:r w:rsidR="00F17149" w:rsidRPr="00D05026">
        <w:t>invited to participate</w:t>
      </w:r>
      <w:r w:rsidR="00F17149">
        <w:t xml:space="preserve"> in various</w:t>
      </w:r>
      <w:r w:rsidR="0037724C">
        <w:t xml:space="preserve"> meetings and</w:t>
      </w:r>
      <w:r w:rsidR="00F17149">
        <w:t xml:space="preserve"> webinars organized by external stakeholders to raise awareness concerning the efforts of the Group</w:t>
      </w:r>
      <w:r w:rsidR="00C10F3F">
        <w:t>. This</w:t>
      </w:r>
      <w:r w:rsidR="00F17149">
        <w:t xml:space="preserve"> includ</w:t>
      </w:r>
      <w:r w:rsidR="00C10F3F">
        <w:t>ed</w:t>
      </w:r>
      <w:r w:rsidR="00F17149">
        <w:t xml:space="preserve"> </w:t>
      </w:r>
      <w:r w:rsidR="00965F6C">
        <w:t>Mexico's join</w:t>
      </w:r>
      <w:r w:rsidR="003D0807">
        <w:t>t</w:t>
      </w:r>
      <w:r w:rsidR="00965F6C">
        <w:t xml:space="preserve"> session with the ITC and </w:t>
      </w:r>
      <w:r w:rsidR="00F54714">
        <w:t xml:space="preserve">the </w:t>
      </w:r>
      <w:r w:rsidR="00965F6C" w:rsidRPr="00F54714">
        <w:t>MSME Group at the Public Forum</w:t>
      </w:r>
      <w:r w:rsidR="00631778" w:rsidRPr="00F54714">
        <w:t xml:space="preserve"> title</w:t>
      </w:r>
      <w:r w:rsidRPr="00F54714">
        <w:t>d</w:t>
      </w:r>
      <w:r w:rsidR="00631778" w:rsidRPr="00F54714">
        <w:t xml:space="preserve"> </w:t>
      </w:r>
      <w:r w:rsidR="002916F8" w:rsidRPr="00F54714">
        <w:t>"</w:t>
      </w:r>
      <w:r w:rsidR="00027BBE" w:rsidRPr="00F54714">
        <w:t>Digital Platforms for Inclusive Growth</w:t>
      </w:r>
      <w:r w:rsidR="002916F8" w:rsidRPr="00F54714">
        <w:t>"</w:t>
      </w:r>
      <w:r w:rsidR="00027BBE" w:rsidRPr="00F54714">
        <w:t>. This session was de</w:t>
      </w:r>
      <w:r w:rsidR="00027BBE" w:rsidRPr="00027BBE">
        <w:t>dicated to exploring how digital tools can be leveraged to connect MSMEs with global markets</w:t>
      </w:r>
      <w:r w:rsidR="00027BBE">
        <w:t xml:space="preserve"> and was m</w:t>
      </w:r>
      <w:r w:rsidR="00027BBE" w:rsidRPr="00027BBE">
        <w:t xml:space="preserve">oderated by </w:t>
      </w:r>
      <w:r w:rsidR="00B26E8A">
        <w:t xml:space="preserve">the </w:t>
      </w:r>
      <w:r w:rsidR="00027BBE" w:rsidRPr="00027BBE">
        <w:t xml:space="preserve">Mexican Ambassador </w:t>
      </w:r>
      <w:r w:rsidR="00B26E8A" w:rsidRPr="00B26E8A">
        <w:t>Ángel Villalobos Rodríguez</w:t>
      </w:r>
      <w:r>
        <w:t xml:space="preserve">. </w:t>
      </w:r>
      <w:r w:rsidR="0037724C">
        <w:t>Other speaking engagements included</w:t>
      </w:r>
      <w:r w:rsidR="003E2B72">
        <w:t>, among others,</w:t>
      </w:r>
      <w:r w:rsidR="0037724C">
        <w:t xml:space="preserve"> the May South-South </w:t>
      </w:r>
      <w:r w:rsidR="00B26E8A">
        <w:t>D</w:t>
      </w:r>
      <w:r w:rsidR="0037724C">
        <w:t xml:space="preserve">ialogue on LDCs and </w:t>
      </w:r>
      <w:r w:rsidR="00B26E8A">
        <w:t>D</w:t>
      </w:r>
      <w:r w:rsidR="0037724C">
        <w:t xml:space="preserve">evelopment; UNCTAD's </w:t>
      </w:r>
      <w:r w:rsidR="00B26E8A">
        <w:t>I</w:t>
      </w:r>
      <w:r w:rsidR="0037724C">
        <w:t xml:space="preserve">ntergovernmental </w:t>
      </w:r>
      <w:r w:rsidR="00B26E8A">
        <w:t>G</w:t>
      </w:r>
      <w:r w:rsidR="0037724C">
        <w:t xml:space="preserve">roup of </w:t>
      </w:r>
      <w:r w:rsidR="00B26E8A">
        <w:t>E</w:t>
      </w:r>
      <w:r w:rsidR="0037724C">
        <w:t xml:space="preserve">xperts; </w:t>
      </w:r>
      <w:r w:rsidR="003E2B72">
        <w:t xml:space="preserve">a Public Forum session on </w:t>
      </w:r>
      <w:r w:rsidR="00B26E8A">
        <w:t>"</w:t>
      </w:r>
      <w:r w:rsidR="003E2B72">
        <w:t xml:space="preserve">Overcoming the Digital Divide – Empowering SME Communities"; a session on "IP and Innovation Opportunities in Intellectual Property Financing" organized on the fringes of the October TRIPS Council; </w:t>
      </w:r>
      <w:r w:rsidR="0037724C">
        <w:t>and the Jordanian Arab SME</w:t>
      </w:r>
      <w:r w:rsidR="00AD1228">
        <w:t>s</w:t>
      </w:r>
      <w:r w:rsidR="0037724C">
        <w:t xml:space="preserve"> </w:t>
      </w:r>
      <w:r w:rsidR="00AD1228">
        <w:t>S</w:t>
      </w:r>
      <w:r w:rsidR="0037724C">
        <w:t>ummit.</w:t>
      </w:r>
    </w:p>
    <w:p w14:paraId="1A068295" w14:textId="28B8EA8C" w:rsidR="00F17149" w:rsidRDefault="00F17149" w:rsidP="00F17149">
      <w:pPr>
        <w:pStyle w:val="BodyText"/>
      </w:pPr>
      <w:r>
        <w:t xml:space="preserve">Additionally, the Coordinator issued </w:t>
      </w:r>
      <w:r w:rsidR="00A72C1B">
        <w:t>t</w:t>
      </w:r>
      <w:r w:rsidR="00965F6C">
        <w:t>wo</w:t>
      </w:r>
      <w:r>
        <w:t xml:space="preserve"> Newsletters over 202</w:t>
      </w:r>
      <w:r w:rsidR="00965F6C">
        <w:t>2</w:t>
      </w:r>
      <w:r>
        <w:t>. Newsletters covered updates on the work of the Group and its initiatives, including the Trade4MSMEs web platform</w:t>
      </w:r>
      <w:r w:rsidR="00A72C1B">
        <w:t>,</w:t>
      </w:r>
      <w:r>
        <w:t xml:space="preserve"> </w:t>
      </w:r>
      <w:r w:rsidR="00965F6C">
        <w:t>presentations</w:t>
      </w:r>
      <w:r w:rsidR="00A72C1B">
        <w:t xml:space="preserve"> the MSME Group</w:t>
      </w:r>
      <w:r w:rsidR="00965F6C">
        <w:t xml:space="preserve"> received, and the </w:t>
      </w:r>
      <w:r w:rsidR="00AD1228">
        <w:t>S</w:t>
      </w:r>
      <w:r w:rsidR="00965F6C">
        <w:t xml:space="preserve">mall </w:t>
      </w:r>
      <w:r w:rsidR="00AD1228">
        <w:t>B</w:t>
      </w:r>
      <w:r w:rsidR="00965F6C">
        <w:t xml:space="preserve">usiness </w:t>
      </w:r>
      <w:r w:rsidR="00AD1228">
        <w:t>C</w:t>
      </w:r>
      <w:r w:rsidR="00965F6C">
        <w:t>hampions</w:t>
      </w:r>
      <w:r>
        <w:t>.</w:t>
      </w:r>
    </w:p>
    <w:p w14:paraId="06CC5697" w14:textId="60E8BC54" w:rsidR="00F17149" w:rsidRDefault="00F17149" w:rsidP="00F17149">
      <w:pPr>
        <w:pStyle w:val="BodyText"/>
      </w:pPr>
      <w:r>
        <w:t>Lastly, the MSME Group</w:t>
      </w:r>
      <w:r w:rsidR="00A72C1B">
        <w:t xml:space="preserve"> created a new document symbol (INF/MSME/P) for traders and their representatives to submit recommendations directly to the MSME Group. Four documents were received with recommendations from Africa Women in Trade, the Global Express Association, and the Asian Trade Centre Foundation.</w:t>
      </w:r>
    </w:p>
    <w:p w14:paraId="682284C4" w14:textId="77777777" w:rsidR="00F17149" w:rsidRDefault="00F17149" w:rsidP="00F17149">
      <w:pPr>
        <w:pStyle w:val="Heading1"/>
      </w:pPr>
      <w:r>
        <w:t>conclusion</w:t>
      </w:r>
    </w:p>
    <w:p w14:paraId="1B3DDB2C" w14:textId="68A19D40" w:rsidR="007141CF" w:rsidRDefault="00F17149" w:rsidP="00A57C56">
      <w:pPr>
        <w:pStyle w:val="BodyText"/>
      </w:pPr>
      <w:bookmarkStart w:id="10" w:name="_Hlk95402628"/>
      <w:r>
        <w:t>The Informal Working Group adopted the present Annual Report (202</w:t>
      </w:r>
      <w:r w:rsidR="00A72C1B">
        <w:t>2</w:t>
      </w:r>
      <w:r>
        <w:t xml:space="preserve">) at its </w:t>
      </w:r>
      <w:r w:rsidR="00A72C1B">
        <w:t>[</w:t>
      </w:r>
      <w:r w:rsidR="000D6B00">
        <w:t>8 February 2023</w:t>
      </w:r>
      <w:r w:rsidR="00A72C1B">
        <w:t xml:space="preserve">] </w:t>
      </w:r>
      <w:r>
        <w:t>open-ended meeting.</w:t>
      </w:r>
    </w:p>
    <w:bookmarkEnd w:id="10"/>
    <w:p w14:paraId="7DBCA76B" w14:textId="496F9CFF" w:rsidR="008C7804" w:rsidRPr="008C7804" w:rsidRDefault="008C7804" w:rsidP="008C7804">
      <w:pPr>
        <w:jc w:val="center"/>
      </w:pPr>
      <w:r>
        <w:rPr>
          <w:b/>
        </w:rPr>
        <w:t>__________</w:t>
      </w:r>
    </w:p>
    <w:sectPr w:rsidR="008C7804" w:rsidRPr="008C7804" w:rsidSect="00BF18D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CE16" w14:textId="77777777" w:rsidR="008B0B2B" w:rsidRDefault="008B0B2B" w:rsidP="00ED54E0">
      <w:r>
        <w:separator/>
      </w:r>
    </w:p>
  </w:endnote>
  <w:endnote w:type="continuationSeparator" w:id="0">
    <w:p w14:paraId="0B3C37E2" w14:textId="77777777" w:rsidR="008B0B2B" w:rsidRDefault="008B0B2B" w:rsidP="00ED54E0">
      <w:r>
        <w:continuationSeparator/>
      </w:r>
    </w:p>
  </w:endnote>
  <w:endnote w:type="continuationNotice" w:id="1">
    <w:p w14:paraId="33258A92" w14:textId="77777777" w:rsidR="008B0B2B" w:rsidRDefault="008B0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62BB" w14:textId="64DA464C" w:rsidR="00544326" w:rsidRPr="00BF18D3" w:rsidRDefault="00BF18D3" w:rsidP="00BF18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FD59" w14:textId="68546E0A" w:rsidR="00544326" w:rsidRPr="00BF18D3" w:rsidRDefault="00BF18D3" w:rsidP="00BF18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F3AF" w14:textId="77777777" w:rsidR="00DE4749" w:rsidRDefault="00DE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0B77" w14:textId="77777777" w:rsidR="008B0B2B" w:rsidRDefault="008B0B2B" w:rsidP="00ED54E0">
      <w:r>
        <w:separator/>
      </w:r>
    </w:p>
  </w:footnote>
  <w:footnote w:type="continuationSeparator" w:id="0">
    <w:p w14:paraId="359105DA" w14:textId="77777777" w:rsidR="008B0B2B" w:rsidRDefault="008B0B2B" w:rsidP="00ED54E0">
      <w:r>
        <w:continuationSeparator/>
      </w:r>
    </w:p>
  </w:footnote>
  <w:footnote w:type="continuationNotice" w:id="1">
    <w:p w14:paraId="14E97FB5" w14:textId="77777777" w:rsidR="008B0B2B" w:rsidRDefault="008B0B2B"/>
  </w:footnote>
  <w:footnote w:id="2">
    <w:p w14:paraId="1CEF563F" w14:textId="49FF1175" w:rsidR="00EC5260" w:rsidRDefault="00EC5260" w:rsidP="00EC5260">
      <w:pPr>
        <w:pStyle w:val="FootnoteText"/>
      </w:pPr>
      <w:r>
        <w:rPr>
          <w:rStyle w:val="FootnoteReference"/>
        </w:rPr>
        <w:footnoteRef/>
      </w:r>
      <w:r>
        <w:t xml:space="preserve"> Previous </w:t>
      </w:r>
      <w:r w:rsidR="00DE2961">
        <w:t>A</w:t>
      </w:r>
      <w:r>
        <w:t xml:space="preserve">nnual </w:t>
      </w:r>
      <w:r w:rsidR="00DE2961">
        <w:t>R</w:t>
      </w:r>
      <w:r>
        <w:t>eports include</w:t>
      </w:r>
      <w:r w:rsidRPr="0093462B">
        <w:t xml:space="preserve"> JOB/GC/207 dated 3 December 2018</w:t>
      </w:r>
      <w:r>
        <w:t>; INF/MSME/R/13/Rev.1 dated 9</w:t>
      </w:r>
      <w:r w:rsidR="00691D4D">
        <w:t> </w:t>
      </w:r>
      <w:r>
        <w:t>December 2019; INF/MSME/R/21 dated 15 December 2020</w:t>
      </w:r>
      <w:r w:rsidR="00D66343">
        <w:t>; and INF/MSME/R/30 dated 11 February 2022</w:t>
      </w:r>
      <w:r>
        <w:t>.</w:t>
      </w:r>
    </w:p>
  </w:footnote>
  <w:footnote w:id="3">
    <w:p w14:paraId="47FC5863" w14:textId="77777777" w:rsidR="00E81E6F" w:rsidRPr="00CF39FD" w:rsidRDefault="00E81E6F" w:rsidP="00E81E6F">
      <w:pPr>
        <w:pStyle w:val="FootnoteText"/>
      </w:pPr>
      <w:r>
        <w:rPr>
          <w:rStyle w:val="FootnoteReference"/>
        </w:rPr>
        <w:footnoteRef/>
      </w:r>
      <w:r>
        <w:t xml:space="preserve"> </w:t>
      </w:r>
      <w:r w:rsidRPr="00CF39FD">
        <w:t>Members of the Informal Working Group on MSMEs are: Afghanistan; Albania; Antigua and Barbuda; Argentina; Armenia; Australia; Bahrain, Kingdom of; Belize; Brazil; Brunei Darussalam; Canada; Chile; China; Colombia; Costa Rica; Côte d'Ivoire; Dominica; Dominican Republic; Ecuador; El Salvador; European Union and its 27 Member States; The Gambia; Georgia; Grenada; Guatemala; Guyana; Honduras; Hong Kong, China; Iceland; Israel; Japan; Kazakhstan; Kenya; Korea, Republic of; Kyrgyz Republic; Lao People's Democratic Republic; Liechtenstein; Macao, China; Malaysia; Mexico; Moldova, Republic of; Mongolia; Montenegro; Myanmar; New Zealand; Nicaragua; Nigeria; North Macedonia; Norway; Pakistan; Paraguay; Peru; Philippines; Qatar; Russian Federation; Saint Kitts and Nevis; Saint Lucia; Saint Vincent and the Grenadines; Saudi Arabia, Kingdom of; Singapore; Switzerland; Chinese Taipei; Tajikistan; Türkiye; Ukraine; United Kingdom; Uruguay and Viet Nam.</w:t>
      </w:r>
    </w:p>
  </w:footnote>
  <w:footnote w:id="4">
    <w:p w14:paraId="14B9E024" w14:textId="273A79DA" w:rsidR="005B60B5" w:rsidRDefault="005B60B5" w:rsidP="005B60B5">
      <w:pPr>
        <w:pStyle w:val="FootnoteText"/>
      </w:pPr>
      <w:r>
        <w:rPr>
          <w:rStyle w:val="FootnoteReference"/>
        </w:rPr>
        <w:footnoteRef/>
      </w:r>
      <w:r>
        <w:t xml:space="preserve"> </w:t>
      </w:r>
      <w:bookmarkStart w:id="6" w:name="_Hlk119415315"/>
      <w:r w:rsidRPr="00CF1213">
        <w:t>INF/MSME/</w:t>
      </w:r>
      <w:r w:rsidR="00CF1213" w:rsidRPr="00CF1213">
        <w:t>W</w:t>
      </w:r>
      <w:r w:rsidR="00CF1213" w:rsidRPr="00D345EB">
        <w:t>/</w:t>
      </w:r>
      <w:r w:rsidRPr="00D345EB">
        <w:t>36</w:t>
      </w:r>
      <w:bookmarkEnd w:id="6"/>
      <w:r w:rsidR="00CF39FD" w:rsidRPr="00D345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FD9A" w14:textId="77777777" w:rsidR="00BF18D3" w:rsidRPr="00BF18D3" w:rsidRDefault="00BF18D3" w:rsidP="00BF18D3">
    <w:pPr>
      <w:pStyle w:val="Header"/>
      <w:pBdr>
        <w:bottom w:val="single" w:sz="4" w:space="1" w:color="auto"/>
      </w:pBdr>
      <w:tabs>
        <w:tab w:val="clear" w:pos="4513"/>
        <w:tab w:val="clear" w:pos="9027"/>
      </w:tabs>
      <w:jc w:val="center"/>
    </w:pPr>
    <w:r w:rsidRPr="00BF18D3">
      <w:t>INF/MSME/W/41</w:t>
    </w:r>
  </w:p>
  <w:p w14:paraId="7D37863A" w14:textId="77777777" w:rsidR="00BF18D3" w:rsidRPr="00BF18D3" w:rsidRDefault="00BF18D3" w:rsidP="00BF18D3">
    <w:pPr>
      <w:pStyle w:val="Header"/>
      <w:pBdr>
        <w:bottom w:val="single" w:sz="4" w:space="1" w:color="auto"/>
      </w:pBdr>
      <w:tabs>
        <w:tab w:val="clear" w:pos="4513"/>
        <w:tab w:val="clear" w:pos="9027"/>
      </w:tabs>
      <w:jc w:val="center"/>
    </w:pPr>
  </w:p>
  <w:p w14:paraId="059E80BB" w14:textId="47BEC926" w:rsidR="00BF18D3" w:rsidRPr="00BF18D3" w:rsidRDefault="00BF18D3" w:rsidP="00BF18D3">
    <w:pPr>
      <w:pStyle w:val="Header"/>
      <w:pBdr>
        <w:bottom w:val="single" w:sz="4" w:space="1" w:color="auto"/>
      </w:pBdr>
      <w:tabs>
        <w:tab w:val="clear" w:pos="4513"/>
        <w:tab w:val="clear" w:pos="9027"/>
      </w:tabs>
      <w:jc w:val="center"/>
    </w:pPr>
    <w:r w:rsidRPr="00BF18D3">
      <w:t xml:space="preserve">- </w:t>
    </w:r>
    <w:r w:rsidRPr="00BF18D3">
      <w:fldChar w:fldCharType="begin"/>
    </w:r>
    <w:r w:rsidRPr="00BF18D3">
      <w:instrText xml:space="preserve"> PAGE </w:instrText>
    </w:r>
    <w:r w:rsidRPr="00BF18D3">
      <w:fldChar w:fldCharType="separate"/>
    </w:r>
    <w:r w:rsidRPr="00BF18D3">
      <w:rPr>
        <w:noProof/>
      </w:rPr>
      <w:t>2</w:t>
    </w:r>
    <w:r w:rsidRPr="00BF18D3">
      <w:fldChar w:fldCharType="end"/>
    </w:r>
    <w:r w:rsidRPr="00BF18D3">
      <w:t xml:space="preserve"> -</w:t>
    </w:r>
  </w:p>
  <w:p w14:paraId="7B9A1602" w14:textId="19059129" w:rsidR="00544326" w:rsidRPr="00BF18D3" w:rsidRDefault="00544326" w:rsidP="00BF18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BBCB" w14:textId="77777777" w:rsidR="00BF18D3" w:rsidRPr="00BF18D3" w:rsidRDefault="00BF18D3" w:rsidP="00BF18D3">
    <w:pPr>
      <w:pStyle w:val="Header"/>
      <w:pBdr>
        <w:bottom w:val="single" w:sz="4" w:space="1" w:color="auto"/>
      </w:pBdr>
      <w:tabs>
        <w:tab w:val="clear" w:pos="4513"/>
        <w:tab w:val="clear" w:pos="9027"/>
      </w:tabs>
      <w:jc w:val="center"/>
    </w:pPr>
    <w:r w:rsidRPr="00BF18D3">
      <w:t>INF/MSME/W/41</w:t>
    </w:r>
  </w:p>
  <w:p w14:paraId="7802A875" w14:textId="77777777" w:rsidR="00BF18D3" w:rsidRPr="00BF18D3" w:rsidRDefault="00BF18D3" w:rsidP="00BF18D3">
    <w:pPr>
      <w:pStyle w:val="Header"/>
      <w:pBdr>
        <w:bottom w:val="single" w:sz="4" w:space="1" w:color="auto"/>
      </w:pBdr>
      <w:tabs>
        <w:tab w:val="clear" w:pos="4513"/>
        <w:tab w:val="clear" w:pos="9027"/>
      </w:tabs>
      <w:jc w:val="center"/>
    </w:pPr>
  </w:p>
  <w:p w14:paraId="1BCCA3A8" w14:textId="7A0A4B96" w:rsidR="00BF18D3" w:rsidRPr="00BF18D3" w:rsidRDefault="00BF18D3" w:rsidP="00BF18D3">
    <w:pPr>
      <w:pStyle w:val="Header"/>
      <w:pBdr>
        <w:bottom w:val="single" w:sz="4" w:space="1" w:color="auto"/>
      </w:pBdr>
      <w:tabs>
        <w:tab w:val="clear" w:pos="4513"/>
        <w:tab w:val="clear" w:pos="9027"/>
      </w:tabs>
      <w:jc w:val="center"/>
    </w:pPr>
    <w:r w:rsidRPr="00BF18D3">
      <w:t xml:space="preserve">- </w:t>
    </w:r>
    <w:r w:rsidRPr="00BF18D3">
      <w:fldChar w:fldCharType="begin"/>
    </w:r>
    <w:r w:rsidRPr="00BF18D3">
      <w:instrText xml:space="preserve"> PAGE </w:instrText>
    </w:r>
    <w:r w:rsidRPr="00BF18D3">
      <w:fldChar w:fldCharType="separate"/>
    </w:r>
    <w:r w:rsidRPr="00BF18D3">
      <w:rPr>
        <w:noProof/>
      </w:rPr>
      <w:t>5</w:t>
    </w:r>
    <w:r w:rsidRPr="00BF18D3">
      <w:fldChar w:fldCharType="end"/>
    </w:r>
    <w:r w:rsidRPr="00BF18D3">
      <w:t xml:space="preserve"> -</w:t>
    </w:r>
  </w:p>
  <w:p w14:paraId="3B0F3A25" w14:textId="24C7B08C" w:rsidR="00544326" w:rsidRPr="00BF18D3" w:rsidRDefault="00544326" w:rsidP="00BF18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07DB7348" w14:textId="77777777" w:rsidTr="00544326">
      <w:trPr>
        <w:trHeight w:val="240"/>
        <w:jc w:val="center"/>
      </w:trPr>
      <w:tc>
        <w:tcPr>
          <w:tcW w:w="3794" w:type="dxa"/>
          <w:shd w:val="clear" w:color="auto" w:fill="FFFFFF"/>
          <w:tcMar>
            <w:left w:w="108" w:type="dxa"/>
            <w:right w:w="108" w:type="dxa"/>
          </w:tcMar>
          <w:vAlign w:val="center"/>
        </w:tcPr>
        <w:p w14:paraId="4F913758" w14:textId="77777777" w:rsidR="00ED54E0" w:rsidRPr="00182B84" w:rsidRDefault="00ED54E0" w:rsidP="00425DC5">
          <w:pPr>
            <w:rPr>
              <w:noProof/>
              <w:lang w:eastAsia="en-GB"/>
            </w:rPr>
          </w:pPr>
          <w:bookmarkStart w:id="11" w:name="bmkRestricted" w:colFirst="1" w:colLast="1"/>
        </w:p>
      </w:tc>
      <w:tc>
        <w:tcPr>
          <w:tcW w:w="5448" w:type="dxa"/>
          <w:gridSpan w:val="2"/>
          <w:shd w:val="clear" w:color="auto" w:fill="FFFFFF"/>
          <w:tcMar>
            <w:left w:w="108" w:type="dxa"/>
            <w:right w:w="108" w:type="dxa"/>
          </w:tcMar>
          <w:vAlign w:val="center"/>
        </w:tcPr>
        <w:p w14:paraId="1104FFF1" w14:textId="7BB54CF5" w:rsidR="00ED54E0" w:rsidRPr="00182B84" w:rsidRDefault="00BF18D3" w:rsidP="00425DC5">
          <w:pPr>
            <w:jc w:val="right"/>
            <w:rPr>
              <w:b/>
              <w:color w:val="FF0000"/>
              <w:szCs w:val="16"/>
            </w:rPr>
          </w:pPr>
          <w:r>
            <w:rPr>
              <w:b/>
              <w:color w:val="FF0000"/>
              <w:szCs w:val="16"/>
            </w:rPr>
            <w:t xml:space="preserve"> </w:t>
          </w:r>
        </w:p>
      </w:tc>
    </w:tr>
    <w:bookmarkEnd w:id="11"/>
    <w:tr w:rsidR="00ED54E0" w:rsidRPr="00182B84" w14:paraId="44E5D5B6" w14:textId="77777777" w:rsidTr="00544326">
      <w:trPr>
        <w:trHeight w:val="213"/>
        <w:jc w:val="center"/>
      </w:trPr>
      <w:tc>
        <w:tcPr>
          <w:tcW w:w="3794" w:type="dxa"/>
          <w:vMerge w:val="restart"/>
          <w:shd w:val="clear" w:color="auto" w:fill="FFFFFF"/>
          <w:tcMar>
            <w:left w:w="0" w:type="dxa"/>
            <w:right w:w="0" w:type="dxa"/>
          </w:tcMar>
        </w:tcPr>
        <w:p w14:paraId="08E24383" w14:textId="77777777" w:rsidR="00ED54E0" w:rsidRPr="00182B84" w:rsidRDefault="00ED54E0" w:rsidP="00425DC5">
          <w:pPr>
            <w:jc w:val="left"/>
          </w:pPr>
          <w:r w:rsidRPr="00182B84">
            <w:rPr>
              <w:noProof/>
              <w:lang w:val="en-US"/>
            </w:rPr>
            <w:drawing>
              <wp:inline distT="0" distB="0" distL="0" distR="0" wp14:anchorId="370838B8" wp14:editId="5174B0D3">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44AE76" w14:textId="77777777" w:rsidR="00ED54E0" w:rsidRPr="00182B84" w:rsidRDefault="00ED54E0" w:rsidP="00425DC5">
          <w:pPr>
            <w:jc w:val="right"/>
            <w:rPr>
              <w:b/>
              <w:szCs w:val="16"/>
            </w:rPr>
          </w:pPr>
        </w:p>
      </w:tc>
    </w:tr>
    <w:tr w:rsidR="00ED54E0" w:rsidRPr="00182B84" w14:paraId="723ABA27" w14:textId="77777777" w:rsidTr="00544326">
      <w:trPr>
        <w:trHeight w:val="868"/>
        <w:jc w:val="center"/>
      </w:trPr>
      <w:tc>
        <w:tcPr>
          <w:tcW w:w="3794" w:type="dxa"/>
          <w:vMerge/>
          <w:shd w:val="clear" w:color="auto" w:fill="FFFFFF"/>
          <w:tcMar>
            <w:left w:w="108" w:type="dxa"/>
            <w:right w:w="108" w:type="dxa"/>
          </w:tcMar>
        </w:tcPr>
        <w:p w14:paraId="40446FD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1F283B8" w14:textId="77777777" w:rsidR="00BF18D3" w:rsidRDefault="00BF18D3" w:rsidP="00425DC5">
          <w:pPr>
            <w:jc w:val="right"/>
            <w:rPr>
              <w:b/>
              <w:szCs w:val="16"/>
            </w:rPr>
          </w:pPr>
          <w:bookmarkStart w:id="12" w:name="bmkSymbols"/>
          <w:r>
            <w:rPr>
              <w:b/>
              <w:szCs w:val="16"/>
            </w:rPr>
            <w:t>INF/MSME/W/41</w:t>
          </w:r>
        </w:p>
        <w:bookmarkEnd w:id="12"/>
        <w:p w14:paraId="27E75F2B" w14:textId="21A64003" w:rsidR="00ED54E0" w:rsidRPr="00182B84" w:rsidRDefault="00ED54E0" w:rsidP="00425DC5">
          <w:pPr>
            <w:jc w:val="right"/>
            <w:rPr>
              <w:b/>
              <w:szCs w:val="16"/>
            </w:rPr>
          </w:pPr>
        </w:p>
      </w:tc>
    </w:tr>
    <w:tr w:rsidR="00ED54E0" w:rsidRPr="00182B84" w14:paraId="381B6CD4" w14:textId="77777777" w:rsidTr="00544326">
      <w:trPr>
        <w:trHeight w:val="240"/>
        <w:jc w:val="center"/>
      </w:trPr>
      <w:tc>
        <w:tcPr>
          <w:tcW w:w="3794" w:type="dxa"/>
          <w:vMerge/>
          <w:shd w:val="clear" w:color="auto" w:fill="FFFFFF"/>
          <w:tcMar>
            <w:left w:w="108" w:type="dxa"/>
            <w:right w:w="108" w:type="dxa"/>
          </w:tcMar>
          <w:vAlign w:val="center"/>
        </w:tcPr>
        <w:p w14:paraId="52045996" w14:textId="77777777" w:rsidR="00ED54E0" w:rsidRPr="00182B84" w:rsidRDefault="00ED54E0" w:rsidP="00425DC5"/>
      </w:tc>
      <w:tc>
        <w:tcPr>
          <w:tcW w:w="5448" w:type="dxa"/>
          <w:gridSpan w:val="2"/>
          <w:shd w:val="clear" w:color="auto" w:fill="FFFFFF"/>
          <w:tcMar>
            <w:left w:w="108" w:type="dxa"/>
            <w:right w:w="108" w:type="dxa"/>
          </w:tcMar>
          <w:vAlign w:val="center"/>
        </w:tcPr>
        <w:p w14:paraId="0BEDAD3B" w14:textId="7D80F17B" w:rsidR="00ED54E0" w:rsidRPr="00182B84" w:rsidRDefault="00BF18D3" w:rsidP="00425DC5">
          <w:pPr>
            <w:jc w:val="right"/>
            <w:rPr>
              <w:szCs w:val="16"/>
            </w:rPr>
          </w:pPr>
          <w:r>
            <w:rPr>
              <w:szCs w:val="16"/>
            </w:rPr>
            <w:t>1</w:t>
          </w:r>
          <w:r w:rsidR="00E3672D">
            <w:rPr>
              <w:szCs w:val="16"/>
            </w:rPr>
            <w:t>6</w:t>
          </w:r>
          <w:r w:rsidR="00203A4C">
            <w:rPr>
              <w:szCs w:val="16"/>
            </w:rPr>
            <w:t xml:space="preserve"> </w:t>
          </w:r>
          <w:r w:rsidR="003300E8">
            <w:rPr>
              <w:szCs w:val="16"/>
            </w:rPr>
            <w:t>November</w:t>
          </w:r>
          <w:r w:rsidR="00203A4C">
            <w:rPr>
              <w:szCs w:val="16"/>
            </w:rPr>
            <w:t xml:space="preserve"> </w:t>
          </w:r>
          <w:r w:rsidR="00DB0596">
            <w:rPr>
              <w:szCs w:val="16"/>
            </w:rPr>
            <w:t>202</w:t>
          </w:r>
          <w:r w:rsidR="00203A4C">
            <w:rPr>
              <w:szCs w:val="16"/>
            </w:rPr>
            <w:t>2</w:t>
          </w:r>
        </w:p>
      </w:tc>
    </w:tr>
    <w:tr w:rsidR="00ED54E0" w:rsidRPr="00182B84" w14:paraId="22487F4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2AC3EE" w14:textId="0D4945DD" w:rsidR="00ED54E0" w:rsidRPr="00182B84" w:rsidRDefault="00ED54E0" w:rsidP="00425DC5">
          <w:pPr>
            <w:jc w:val="left"/>
            <w:rPr>
              <w:b/>
            </w:rPr>
          </w:pPr>
          <w:bookmarkStart w:id="13" w:name="bmkSerial" w:colFirst="0" w:colLast="0"/>
          <w:r w:rsidRPr="00182B84">
            <w:rPr>
              <w:color w:val="FF0000"/>
              <w:szCs w:val="16"/>
            </w:rPr>
            <w:t>(</w:t>
          </w:r>
          <w:r w:rsidR="00001C76">
            <w:rPr>
              <w:color w:val="FF0000"/>
              <w:szCs w:val="16"/>
            </w:rPr>
            <w:t>2</w:t>
          </w:r>
          <w:r w:rsidR="00203A4C">
            <w:rPr>
              <w:color w:val="FF0000"/>
              <w:szCs w:val="16"/>
            </w:rPr>
            <w:t>2</w:t>
          </w:r>
          <w:r w:rsidRPr="00182B84">
            <w:rPr>
              <w:color w:val="FF0000"/>
              <w:szCs w:val="16"/>
            </w:rPr>
            <w:t>-</w:t>
          </w:r>
          <w:r w:rsidR="00DE4749">
            <w:rPr>
              <w:color w:val="FF0000"/>
              <w:szCs w:val="16"/>
            </w:rPr>
            <w:t>8545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6AB3CCD" w14:textId="77777777" w:rsidR="00ED54E0" w:rsidRPr="00182B84" w:rsidRDefault="00ED54E0" w:rsidP="00425DC5">
          <w:pPr>
            <w:jc w:val="right"/>
            <w:rPr>
              <w:szCs w:val="16"/>
            </w:rPr>
          </w:pPr>
          <w:bookmarkStart w:id="1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14"/>
        </w:p>
      </w:tc>
    </w:tr>
    <w:tr w:rsidR="00ED54E0" w:rsidRPr="00182B84" w14:paraId="20A5D64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47BBE8" w14:textId="53AD5FBE" w:rsidR="00ED54E0" w:rsidRPr="00182B84" w:rsidRDefault="00BF18D3" w:rsidP="00425DC5">
          <w:pPr>
            <w:jc w:val="left"/>
            <w:rPr>
              <w:sz w:val="14"/>
              <w:szCs w:val="16"/>
            </w:rPr>
          </w:pPr>
          <w:bookmarkStart w:id="15" w:name="bmkCommittee"/>
          <w:bookmarkStart w:id="16" w:name="bmkLanguage" w:colFirst="1" w:colLast="1"/>
          <w:bookmarkEnd w:id="13"/>
          <w:r>
            <w:rPr>
              <w:b/>
            </w:rPr>
            <w:t xml:space="preserve"> </w:t>
          </w:r>
          <w:bookmarkEnd w:id="15"/>
        </w:p>
      </w:tc>
      <w:tc>
        <w:tcPr>
          <w:tcW w:w="3325" w:type="dxa"/>
          <w:tcBorders>
            <w:top w:val="single" w:sz="4" w:space="0" w:color="auto"/>
          </w:tcBorders>
          <w:tcMar>
            <w:top w:w="113" w:type="dxa"/>
            <w:left w:w="108" w:type="dxa"/>
            <w:bottom w:w="57" w:type="dxa"/>
            <w:right w:w="108" w:type="dxa"/>
          </w:tcMar>
          <w:vAlign w:val="center"/>
        </w:tcPr>
        <w:p w14:paraId="25008973" w14:textId="33014FC9" w:rsidR="00ED54E0" w:rsidRPr="00182B84" w:rsidRDefault="00BF18D3" w:rsidP="00425DC5">
          <w:pPr>
            <w:jc w:val="right"/>
            <w:rPr>
              <w:bCs/>
              <w:szCs w:val="18"/>
            </w:rPr>
          </w:pPr>
          <w:r>
            <w:rPr>
              <w:szCs w:val="18"/>
            </w:rPr>
            <w:t>Original: English</w:t>
          </w:r>
        </w:p>
      </w:tc>
    </w:tr>
    <w:bookmarkEnd w:id="16"/>
  </w:tbl>
  <w:p w14:paraId="1519F893"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682805"/>
    <w:multiLevelType w:val="hybridMultilevel"/>
    <w:tmpl w:val="2350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 w:ilvl="0">
        <w:numFmt w:val="decimal"/>
        <w:pStyle w:val="Heading1"/>
        <w:lvlText w:val=""/>
        <w:lvlJc w:val="left"/>
      </w:lvl>
    </w:lvlOverride>
    <w:lvlOverride w:ilvl="1">
      <w:lvl w:ilvl="1">
        <w:start w:val="1"/>
        <w:numFmt w:val="decimal"/>
        <w:pStyle w:val="Heading2"/>
        <w:isLgl/>
        <w:suff w:val="nothing"/>
        <w:lvlText w:val="%1.%2  "/>
        <w:lvlJc w:val="left"/>
        <w:pPr>
          <w:ind w:left="0" w:firstLine="0"/>
        </w:pPr>
        <w:rPr>
          <w:rFonts w:hint="default"/>
        </w:rPr>
      </w:lvl>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96"/>
    <w:rsid w:val="00001B3E"/>
    <w:rsid w:val="00001C2E"/>
    <w:rsid w:val="00001C76"/>
    <w:rsid w:val="0002258A"/>
    <w:rsid w:val="000272F6"/>
    <w:rsid w:val="00027BBE"/>
    <w:rsid w:val="00037AC4"/>
    <w:rsid w:val="000423BF"/>
    <w:rsid w:val="00085B73"/>
    <w:rsid w:val="000A1209"/>
    <w:rsid w:val="000A1B9C"/>
    <w:rsid w:val="000A4945"/>
    <w:rsid w:val="000A52C5"/>
    <w:rsid w:val="000B31E1"/>
    <w:rsid w:val="000B3349"/>
    <w:rsid w:val="000D6B00"/>
    <w:rsid w:val="000F67E8"/>
    <w:rsid w:val="0011356B"/>
    <w:rsid w:val="0012647D"/>
    <w:rsid w:val="0013337F"/>
    <w:rsid w:val="00147260"/>
    <w:rsid w:val="00152E23"/>
    <w:rsid w:val="00163215"/>
    <w:rsid w:val="00163A1E"/>
    <w:rsid w:val="00182B84"/>
    <w:rsid w:val="0019326C"/>
    <w:rsid w:val="001A58D7"/>
    <w:rsid w:val="001E291F"/>
    <w:rsid w:val="001E557F"/>
    <w:rsid w:val="00203A4C"/>
    <w:rsid w:val="0021098F"/>
    <w:rsid w:val="00210F91"/>
    <w:rsid w:val="00227772"/>
    <w:rsid w:val="00233408"/>
    <w:rsid w:val="002509BB"/>
    <w:rsid w:val="0027067B"/>
    <w:rsid w:val="002863A2"/>
    <w:rsid w:val="00287DAE"/>
    <w:rsid w:val="002916F8"/>
    <w:rsid w:val="00293690"/>
    <w:rsid w:val="002C3493"/>
    <w:rsid w:val="002D229A"/>
    <w:rsid w:val="002E3967"/>
    <w:rsid w:val="002F62C3"/>
    <w:rsid w:val="003156C6"/>
    <w:rsid w:val="003300E8"/>
    <w:rsid w:val="003379E0"/>
    <w:rsid w:val="003572B4"/>
    <w:rsid w:val="00357D8C"/>
    <w:rsid w:val="00363FBE"/>
    <w:rsid w:val="003649F0"/>
    <w:rsid w:val="0037724C"/>
    <w:rsid w:val="0038090A"/>
    <w:rsid w:val="00393CD2"/>
    <w:rsid w:val="003A5A18"/>
    <w:rsid w:val="003B5138"/>
    <w:rsid w:val="003D0807"/>
    <w:rsid w:val="003D2493"/>
    <w:rsid w:val="003D39C5"/>
    <w:rsid w:val="003D6A97"/>
    <w:rsid w:val="003E2B72"/>
    <w:rsid w:val="003E4144"/>
    <w:rsid w:val="004006B1"/>
    <w:rsid w:val="00403791"/>
    <w:rsid w:val="0040495D"/>
    <w:rsid w:val="004072E2"/>
    <w:rsid w:val="00410C84"/>
    <w:rsid w:val="0042408B"/>
    <w:rsid w:val="0042486B"/>
    <w:rsid w:val="004259F9"/>
    <w:rsid w:val="0043601A"/>
    <w:rsid w:val="00467032"/>
    <w:rsid w:val="0046754A"/>
    <w:rsid w:val="004C7B6A"/>
    <w:rsid w:val="004D126C"/>
    <w:rsid w:val="004E7B1D"/>
    <w:rsid w:val="004F203A"/>
    <w:rsid w:val="00501171"/>
    <w:rsid w:val="0051610E"/>
    <w:rsid w:val="0052705D"/>
    <w:rsid w:val="005336B8"/>
    <w:rsid w:val="00537ACD"/>
    <w:rsid w:val="00544326"/>
    <w:rsid w:val="00547B5F"/>
    <w:rsid w:val="005531F1"/>
    <w:rsid w:val="00554A6E"/>
    <w:rsid w:val="00591553"/>
    <w:rsid w:val="005A015E"/>
    <w:rsid w:val="005A1A22"/>
    <w:rsid w:val="005B04B9"/>
    <w:rsid w:val="005B60B5"/>
    <w:rsid w:val="005B68C7"/>
    <w:rsid w:val="005B7054"/>
    <w:rsid w:val="005D5981"/>
    <w:rsid w:val="005E113D"/>
    <w:rsid w:val="005F30CB"/>
    <w:rsid w:val="005F41CA"/>
    <w:rsid w:val="00612644"/>
    <w:rsid w:val="00631778"/>
    <w:rsid w:val="006319D1"/>
    <w:rsid w:val="00643769"/>
    <w:rsid w:val="00674CCD"/>
    <w:rsid w:val="00676C3B"/>
    <w:rsid w:val="00691D4D"/>
    <w:rsid w:val="006B757E"/>
    <w:rsid w:val="006B7F7D"/>
    <w:rsid w:val="006C105E"/>
    <w:rsid w:val="006C573F"/>
    <w:rsid w:val="006D273A"/>
    <w:rsid w:val="006E0FE7"/>
    <w:rsid w:val="006F2EF4"/>
    <w:rsid w:val="006F5826"/>
    <w:rsid w:val="006F5AD2"/>
    <w:rsid w:val="00700181"/>
    <w:rsid w:val="00702853"/>
    <w:rsid w:val="007141CF"/>
    <w:rsid w:val="00725FB9"/>
    <w:rsid w:val="007272EE"/>
    <w:rsid w:val="00745146"/>
    <w:rsid w:val="007473CA"/>
    <w:rsid w:val="00756E3B"/>
    <w:rsid w:val="007577E3"/>
    <w:rsid w:val="00760463"/>
    <w:rsid w:val="00760DB3"/>
    <w:rsid w:val="0077138C"/>
    <w:rsid w:val="0077446F"/>
    <w:rsid w:val="007826D4"/>
    <w:rsid w:val="00784AFB"/>
    <w:rsid w:val="007911C9"/>
    <w:rsid w:val="007965BC"/>
    <w:rsid w:val="007A6A76"/>
    <w:rsid w:val="007B55CC"/>
    <w:rsid w:val="007C062A"/>
    <w:rsid w:val="007E3A55"/>
    <w:rsid w:val="007E6507"/>
    <w:rsid w:val="007E6888"/>
    <w:rsid w:val="007F2B8E"/>
    <w:rsid w:val="007F32D1"/>
    <w:rsid w:val="00807247"/>
    <w:rsid w:val="00812FBD"/>
    <w:rsid w:val="0082220B"/>
    <w:rsid w:val="008303A3"/>
    <w:rsid w:val="00840C2B"/>
    <w:rsid w:val="00845BF0"/>
    <w:rsid w:val="008602CB"/>
    <w:rsid w:val="00867D5E"/>
    <w:rsid w:val="008739FD"/>
    <w:rsid w:val="008849FB"/>
    <w:rsid w:val="00893E85"/>
    <w:rsid w:val="008B0B2B"/>
    <w:rsid w:val="008C25CE"/>
    <w:rsid w:val="008C7804"/>
    <w:rsid w:val="008E372C"/>
    <w:rsid w:val="009021D5"/>
    <w:rsid w:val="009141B8"/>
    <w:rsid w:val="00965F6C"/>
    <w:rsid w:val="009955BD"/>
    <w:rsid w:val="00995EA1"/>
    <w:rsid w:val="009A60BE"/>
    <w:rsid w:val="009A6F54"/>
    <w:rsid w:val="00A02A70"/>
    <w:rsid w:val="00A11C8A"/>
    <w:rsid w:val="00A3205F"/>
    <w:rsid w:val="00A6057A"/>
    <w:rsid w:val="00A71A4C"/>
    <w:rsid w:val="00A72C1B"/>
    <w:rsid w:val="00A74017"/>
    <w:rsid w:val="00A818B2"/>
    <w:rsid w:val="00A81E9E"/>
    <w:rsid w:val="00A8250C"/>
    <w:rsid w:val="00AA332C"/>
    <w:rsid w:val="00AA3686"/>
    <w:rsid w:val="00AA606B"/>
    <w:rsid w:val="00AB02F0"/>
    <w:rsid w:val="00AB13DF"/>
    <w:rsid w:val="00AC1115"/>
    <w:rsid w:val="00AC27F8"/>
    <w:rsid w:val="00AD1228"/>
    <w:rsid w:val="00AD4C72"/>
    <w:rsid w:val="00AD5AE1"/>
    <w:rsid w:val="00AE2AEE"/>
    <w:rsid w:val="00AE5CD7"/>
    <w:rsid w:val="00AF4C70"/>
    <w:rsid w:val="00B00276"/>
    <w:rsid w:val="00B174AF"/>
    <w:rsid w:val="00B2166C"/>
    <w:rsid w:val="00B230EC"/>
    <w:rsid w:val="00B26E8A"/>
    <w:rsid w:val="00B52738"/>
    <w:rsid w:val="00B56EDC"/>
    <w:rsid w:val="00B77BFE"/>
    <w:rsid w:val="00B94786"/>
    <w:rsid w:val="00BB1F84"/>
    <w:rsid w:val="00BD2079"/>
    <w:rsid w:val="00BE4EE7"/>
    <w:rsid w:val="00BE5468"/>
    <w:rsid w:val="00BF18D3"/>
    <w:rsid w:val="00BF1CE0"/>
    <w:rsid w:val="00BF77DC"/>
    <w:rsid w:val="00C051EF"/>
    <w:rsid w:val="00C05283"/>
    <w:rsid w:val="00C10F3F"/>
    <w:rsid w:val="00C11EAC"/>
    <w:rsid w:val="00C135DF"/>
    <w:rsid w:val="00C15F6D"/>
    <w:rsid w:val="00C305D7"/>
    <w:rsid w:val="00C30F2A"/>
    <w:rsid w:val="00C43456"/>
    <w:rsid w:val="00C65C0C"/>
    <w:rsid w:val="00C77496"/>
    <w:rsid w:val="00C808FC"/>
    <w:rsid w:val="00C8552C"/>
    <w:rsid w:val="00C96B4E"/>
    <w:rsid w:val="00C976C8"/>
    <w:rsid w:val="00CA1F01"/>
    <w:rsid w:val="00CA2AC9"/>
    <w:rsid w:val="00CA55F5"/>
    <w:rsid w:val="00CA5F46"/>
    <w:rsid w:val="00CB1ABB"/>
    <w:rsid w:val="00CB66FC"/>
    <w:rsid w:val="00CC4C66"/>
    <w:rsid w:val="00CD1859"/>
    <w:rsid w:val="00CD7D97"/>
    <w:rsid w:val="00CE0A03"/>
    <w:rsid w:val="00CE3EE6"/>
    <w:rsid w:val="00CE4BA1"/>
    <w:rsid w:val="00CF1213"/>
    <w:rsid w:val="00CF39FD"/>
    <w:rsid w:val="00CF53E8"/>
    <w:rsid w:val="00CF615C"/>
    <w:rsid w:val="00D000C7"/>
    <w:rsid w:val="00D01EAD"/>
    <w:rsid w:val="00D221B8"/>
    <w:rsid w:val="00D25A62"/>
    <w:rsid w:val="00D345EB"/>
    <w:rsid w:val="00D378EE"/>
    <w:rsid w:val="00D4224C"/>
    <w:rsid w:val="00D52A9D"/>
    <w:rsid w:val="00D55AAD"/>
    <w:rsid w:val="00D6428A"/>
    <w:rsid w:val="00D66343"/>
    <w:rsid w:val="00D747AE"/>
    <w:rsid w:val="00D772D6"/>
    <w:rsid w:val="00D9226C"/>
    <w:rsid w:val="00DA154B"/>
    <w:rsid w:val="00DA20BD"/>
    <w:rsid w:val="00DA715D"/>
    <w:rsid w:val="00DB0596"/>
    <w:rsid w:val="00DB6B4B"/>
    <w:rsid w:val="00DC2570"/>
    <w:rsid w:val="00DE0DE1"/>
    <w:rsid w:val="00DE2961"/>
    <w:rsid w:val="00DE4749"/>
    <w:rsid w:val="00DE50DB"/>
    <w:rsid w:val="00DF6AE1"/>
    <w:rsid w:val="00E0636B"/>
    <w:rsid w:val="00E13475"/>
    <w:rsid w:val="00E1718E"/>
    <w:rsid w:val="00E20EB5"/>
    <w:rsid w:val="00E23B43"/>
    <w:rsid w:val="00E32FFF"/>
    <w:rsid w:val="00E3672D"/>
    <w:rsid w:val="00E46FD5"/>
    <w:rsid w:val="00E544BB"/>
    <w:rsid w:val="00E56545"/>
    <w:rsid w:val="00E81E6F"/>
    <w:rsid w:val="00E85FBE"/>
    <w:rsid w:val="00EA30B8"/>
    <w:rsid w:val="00EA5D4F"/>
    <w:rsid w:val="00EB5E78"/>
    <w:rsid w:val="00EB6C56"/>
    <w:rsid w:val="00EC5260"/>
    <w:rsid w:val="00ED1010"/>
    <w:rsid w:val="00ED1D47"/>
    <w:rsid w:val="00ED1D70"/>
    <w:rsid w:val="00ED54E0"/>
    <w:rsid w:val="00F04A9D"/>
    <w:rsid w:val="00F04BCA"/>
    <w:rsid w:val="00F05077"/>
    <w:rsid w:val="00F1136A"/>
    <w:rsid w:val="00F125AC"/>
    <w:rsid w:val="00F13A6E"/>
    <w:rsid w:val="00F17149"/>
    <w:rsid w:val="00F32397"/>
    <w:rsid w:val="00F40595"/>
    <w:rsid w:val="00F51922"/>
    <w:rsid w:val="00F54714"/>
    <w:rsid w:val="00F57AAD"/>
    <w:rsid w:val="00F671E7"/>
    <w:rsid w:val="00F7755E"/>
    <w:rsid w:val="00F968AE"/>
    <w:rsid w:val="00FA5EBC"/>
    <w:rsid w:val="00FA674F"/>
    <w:rsid w:val="00FB110A"/>
    <w:rsid w:val="00FC47E5"/>
    <w:rsid w:val="00FC4C7B"/>
    <w:rsid w:val="00FD224A"/>
    <w:rsid w:val="00FD7994"/>
    <w:rsid w:val="00FF3F4D"/>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5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2D229A"/>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D229A"/>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D229A"/>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D229A"/>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D229A"/>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D229A"/>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2D229A"/>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2D229A"/>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2D229A"/>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2D229A"/>
    <w:pPr>
      <w:numPr>
        <w:numId w:val="8"/>
      </w:numPr>
      <w:spacing w:after="240"/>
    </w:pPr>
  </w:style>
  <w:style w:type="paragraph" w:styleId="ListBullet2">
    <w:name w:val="List Bullet 2"/>
    <w:basedOn w:val="Normal"/>
    <w:uiPriority w:val="1"/>
    <w:rsid w:val="002D229A"/>
    <w:pPr>
      <w:numPr>
        <w:ilvl w:val="1"/>
        <w:numId w:val="8"/>
      </w:numPr>
      <w:spacing w:after="240"/>
    </w:pPr>
  </w:style>
  <w:style w:type="paragraph" w:styleId="ListBullet3">
    <w:name w:val="List Bullet 3"/>
    <w:basedOn w:val="Normal"/>
    <w:uiPriority w:val="1"/>
    <w:rsid w:val="002D229A"/>
    <w:pPr>
      <w:numPr>
        <w:ilvl w:val="2"/>
        <w:numId w:val="8"/>
      </w:numPr>
      <w:spacing w:after="240"/>
    </w:pPr>
  </w:style>
  <w:style w:type="paragraph" w:styleId="ListBullet4">
    <w:name w:val="List Bullet 4"/>
    <w:basedOn w:val="Normal"/>
    <w:uiPriority w:val="1"/>
    <w:rsid w:val="002D229A"/>
    <w:pPr>
      <w:numPr>
        <w:ilvl w:val="3"/>
        <w:numId w:val="8"/>
      </w:numPr>
      <w:spacing w:after="240"/>
      <w:ind w:left="1587" w:hanging="340"/>
    </w:pPr>
  </w:style>
  <w:style w:type="paragraph" w:styleId="ListBullet5">
    <w:name w:val="List Bullet 5"/>
    <w:basedOn w:val="Normal"/>
    <w:uiPriority w:val="1"/>
    <w:rsid w:val="002D229A"/>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D229A"/>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D229A"/>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D229A"/>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2D229A"/>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2D229A"/>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2D229A"/>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2D22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2D229A"/>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2D229A"/>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2D229A"/>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2D229A"/>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2D229A"/>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2D229A"/>
    <w:pPr>
      <w:ind w:left="180" w:hanging="180"/>
    </w:pPr>
  </w:style>
  <w:style w:type="paragraph" w:styleId="Index2">
    <w:name w:val="index 2"/>
    <w:basedOn w:val="Normal"/>
    <w:next w:val="Normal"/>
    <w:autoRedefine/>
    <w:uiPriority w:val="99"/>
    <w:semiHidden/>
    <w:unhideWhenUsed/>
    <w:rsid w:val="002D229A"/>
    <w:pPr>
      <w:ind w:left="360" w:hanging="180"/>
    </w:pPr>
  </w:style>
  <w:style w:type="paragraph" w:styleId="Index3">
    <w:name w:val="index 3"/>
    <w:basedOn w:val="Normal"/>
    <w:next w:val="Normal"/>
    <w:autoRedefine/>
    <w:uiPriority w:val="99"/>
    <w:semiHidden/>
    <w:unhideWhenUsed/>
    <w:rsid w:val="002D229A"/>
    <w:pPr>
      <w:ind w:left="540" w:hanging="180"/>
    </w:pPr>
  </w:style>
  <w:style w:type="paragraph" w:styleId="Index4">
    <w:name w:val="index 4"/>
    <w:basedOn w:val="Normal"/>
    <w:next w:val="Normal"/>
    <w:autoRedefine/>
    <w:uiPriority w:val="99"/>
    <w:semiHidden/>
    <w:unhideWhenUsed/>
    <w:rsid w:val="002D229A"/>
    <w:pPr>
      <w:ind w:left="720" w:hanging="180"/>
    </w:pPr>
  </w:style>
  <w:style w:type="paragraph" w:styleId="Index5">
    <w:name w:val="index 5"/>
    <w:basedOn w:val="Normal"/>
    <w:next w:val="Normal"/>
    <w:autoRedefine/>
    <w:uiPriority w:val="99"/>
    <w:semiHidden/>
    <w:unhideWhenUsed/>
    <w:rsid w:val="002D229A"/>
    <w:pPr>
      <w:ind w:left="900" w:hanging="180"/>
    </w:pPr>
  </w:style>
  <w:style w:type="paragraph" w:styleId="Index6">
    <w:name w:val="index 6"/>
    <w:basedOn w:val="Normal"/>
    <w:next w:val="Normal"/>
    <w:autoRedefine/>
    <w:uiPriority w:val="99"/>
    <w:semiHidden/>
    <w:unhideWhenUsed/>
    <w:rsid w:val="002D229A"/>
    <w:pPr>
      <w:ind w:left="1080" w:hanging="180"/>
    </w:pPr>
  </w:style>
  <w:style w:type="paragraph" w:styleId="Index7">
    <w:name w:val="index 7"/>
    <w:basedOn w:val="Normal"/>
    <w:next w:val="Normal"/>
    <w:autoRedefine/>
    <w:uiPriority w:val="99"/>
    <w:semiHidden/>
    <w:unhideWhenUsed/>
    <w:rsid w:val="002D229A"/>
    <w:pPr>
      <w:ind w:left="1260" w:hanging="180"/>
    </w:pPr>
  </w:style>
  <w:style w:type="paragraph" w:styleId="Index8">
    <w:name w:val="index 8"/>
    <w:basedOn w:val="Normal"/>
    <w:next w:val="Normal"/>
    <w:autoRedefine/>
    <w:uiPriority w:val="99"/>
    <w:semiHidden/>
    <w:unhideWhenUsed/>
    <w:rsid w:val="002D229A"/>
    <w:pPr>
      <w:ind w:left="1440" w:hanging="180"/>
    </w:pPr>
  </w:style>
  <w:style w:type="paragraph" w:styleId="Index9">
    <w:name w:val="index 9"/>
    <w:basedOn w:val="Normal"/>
    <w:next w:val="Normal"/>
    <w:autoRedefine/>
    <w:uiPriority w:val="99"/>
    <w:semiHidden/>
    <w:unhideWhenUsed/>
    <w:rsid w:val="002D229A"/>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2D22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2D229A"/>
    <w:pPr>
      <w:ind w:left="283" w:hanging="283"/>
      <w:contextualSpacing/>
    </w:pPr>
  </w:style>
  <w:style w:type="paragraph" w:styleId="List2">
    <w:name w:val="List 2"/>
    <w:basedOn w:val="Normal"/>
    <w:uiPriority w:val="99"/>
    <w:semiHidden/>
    <w:unhideWhenUsed/>
    <w:rsid w:val="002D229A"/>
    <w:pPr>
      <w:ind w:left="566" w:hanging="283"/>
      <w:contextualSpacing/>
    </w:pPr>
  </w:style>
  <w:style w:type="paragraph" w:styleId="List3">
    <w:name w:val="List 3"/>
    <w:basedOn w:val="Normal"/>
    <w:uiPriority w:val="99"/>
    <w:semiHidden/>
    <w:unhideWhenUsed/>
    <w:rsid w:val="002D229A"/>
    <w:pPr>
      <w:ind w:left="849" w:hanging="283"/>
      <w:contextualSpacing/>
    </w:pPr>
  </w:style>
  <w:style w:type="paragraph" w:styleId="List4">
    <w:name w:val="List 4"/>
    <w:basedOn w:val="Normal"/>
    <w:uiPriority w:val="99"/>
    <w:semiHidden/>
    <w:unhideWhenUsed/>
    <w:rsid w:val="002D229A"/>
    <w:pPr>
      <w:ind w:left="1132" w:hanging="283"/>
      <w:contextualSpacing/>
    </w:pPr>
  </w:style>
  <w:style w:type="paragraph" w:styleId="List5">
    <w:name w:val="List 5"/>
    <w:basedOn w:val="Normal"/>
    <w:uiPriority w:val="99"/>
    <w:semiHidden/>
    <w:unhideWhenUsed/>
    <w:rsid w:val="002D229A"/>
    <w:pPr>
      <w:ind w:left="1415" w:hanging="283"/>
      <w:contextualSpacing/>
    </w:pPr>
  </w:style>
  <w:style w:type="paragraph" w:styleId="ListContinue">
    <w:name w:val="List Continue"/>
    <w:basedOn w:val="Normal"/>
    <w:uiPriority w:val="99"/>
    <w:semiHidden/>
    <w:unhideWhenUsed/>
    <w:rsid w:val="002D229A"/>
    <w:pPr>
      <w:spacing w:after="120"/>
      <w:ind w:left="283"/>
      <w:contextualSpacing/>
    </w:pPr>
  </w:style>
  <w:style w:type="paragraph" w:styleId="ListContinue2">
    <w:name w:val="List Continue 2"/>
    <w:basedOn w:val="Normal"/>
    <w:uiPriority w:val="99"/>
    <w:semiHidden/>
    <w:unhideWhenUsed/>
    <w:rsid w:val="002D229A"/>
    <w:pPr>
      <w:spacing w:after="120"/>
      <w:ind w:left="566"/>
      <w:contextualSpacing/>
    </w:pPr>
  </w:style>
  <w:style w:type="paragraph" w:styleId="ListContinue3">
    <w:name w:val="List Continue 3"/>
    <w:basedOn w:val="Normal"/>
    <w:uiPriority w:val="99"/>
    <w:semiHidden/>
    <w:unhideWhenUsed/>
    <w:rsid w:val="002D229A"/>
    <w:pPr>
      <w:spacing w:after="120"/>
      <w:ind w:left="849"/>
      <w:contextualSpacing/>
    </w:pPr>
  </w:style>
  <w:style w:type="paragraph" w:styleId="ListContinue4">
    <w:name w:val="List Continue 4"/>
    <w:basedOn w:val="Normal"/>
    <w:uiPriority w:val="99"/>
    <w:semiHidden/>
    <w:unhideWhenUsed/>
    <w:rsid w:val="002D229A"/>
    <w:pPr>
      <w:spacing w:after="120"/>
      <w:ind w:left="1132"/>
      <w:contextualSpacing/>
    </w:pPr>
  </w:style>
  <w:style w:type="paragraph" w:styleId="ListContinue5">
    <w:name w:val="List Continue 5"/>
    <w:basedOn w:val="Normal"/>
    <w:uiPriority w:val="99"/>
    <w:semiHidden/>
    <w:unhideWhenUsed/>
    <w:rsid w:val="002D229A"/>
    <w:pPr>
      <w:spacing w:after="120"/>
      <w:ind w:left="1415"/>
      <w:contextualSpacing/>
    </w:pPr>
  </w:style>
  <w:style w:type="paragraph" w:styleId="ListNumber">
    <w:name w:val="List Number"/>
    <w:basedOn w:val="Normal"/>
    <w:uiPriority w:val="49"/>
    <w:semiHidden/>
    <w:unhideWhenUsed/>
    <w:rsid w:val="002D229A"/>
    <w:pPr>
      <w:numPr>
        <w:numId w:val="11"/>
      </w:numPr>
      <w:contextualSpacing/>
    </w:pPr>
  </w:style>
  <w:style w:type="paragraph" w:styleId="ListNumber2">
    <w:name w:val="List Number 2"/>
    <w:basedOn w:val="Normal"/>
    <w:uiPriority w:val="49"/>
    <w:semiHidden/>
    <w:unhideWhenUsed/>
    <w:rsid w:val="002D229A"/>
    <w:pPr>
      <w:numPr>
        <w:numId w:val="12"/>
      </w:numPr>
      <w:contextualSpacing/>
    </w:pPr>
  </w:style>
  <w:style w:type="paragraph" w:styleId="ListNumber3">
    <w:name w:val="List Number 3"/>
    <w:basedOn w:val="Normal"/>
    <w:uiPriority w:val="49"/>
    <w:semiHidden/>
    <w:unhideWhenUsed/>
    <w:rsid w:val="002D229A"/>
    <w:pPr>
      <w:numPr>
        <w:numId w:val="13"/>
      </w:numPr>
      <w:contextualSpacing/>
    </w:pPr>
  </w:style>
  <w:style w:type="paragraph" w:styleId="ListNumber4">
    <w:name w:val="List Number 4"/>
    <w:basedOn w:val="Normal"/>
    <w:uiPriority w:val="49"/>
    <w:semiHidden/>
    <w:unhideWhenUsed/>
    <w:rsid w:val="002D229A"/>
    <w:pPr>
      <w:numPr>
        <w:numId w:val="14"/>
      </w:numPr>
      <w:contextualSpacing/>
    </w:pPr>
  </w:style>
  <w:style w:type="paragraph" w:styleId="ListNumber5">
    <w:name w:val="List Number 5"/>
    <w:basedOn w:val="Normal"/>
    <w:uiPriority w:val="49"/>
    <w:semiHidden/>
    <w:unhideWhenUsed/>
    <w:rsid w:val="002D229A"/>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2D229A"/>
    <w:pPr>
      <w:ind w:left="567"/>
    </w:pPr>
  </w:style>
  <w:style w:type="paragraph" w:styleId="NoteHeading">
    <w:name w:val="Note Heading"/>
    <w:basedOn w:val="Normal"/>
    <w:next w:val="Normal"/>
    <w:link w:val="NoteHeadingChar"/>
    <w:uiPriority w:val="99"/>
    <w:semiHidden/>
    <w:unhideWhenUsed/>
    <w:rsid w:val="002D229A"/>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2D229A"/>
    <w:rPr>
      <w:i/>
      <w:iCs/>
      <w:color w:val="000000" w:themeColor="text1"/>
    </w:rPr>
  </w:style>
  <w:style w:type="character" w:customStyle="1" w:styleId="QuoteChar">
    <w:name w:val="Quote Char"/>
    <w:basedOn w:val="DefaultParagraphFont"/>
    <w:link w:val="Quote"/>
    <w:uiPriority w:val="5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2D229A"/>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2D229A"/>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2D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etv7hLSN6JIc_0myZIsIYRjhY5csFa2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C755-6626-4EC8-8857-D3ACE837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Pages>
  <Words>2694</Words>
  <Characters>15308</Characters>
  <Application>Microsoft Office Word</Application>
  <DocSecurity>0</DocSecurity>
  <Lines>213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2022-11-04T15:43:00Z</dcterms:created>
  <dcterms:modified xsi:type="dcterms:W3CDTF">2022-11-16T15:02:00Z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c5f3d8dd-37e6-46a3-8a80-5d8f68618f95</vt:lpwstr>
  </property>
  <property fmtid="{D5CDD505-2E9C-101B-9397-08002B2CF9AE}" pid="3" name="WTOCLASSIFICATION">
    <vt:lpwstr>WTO OFFICIAL</vt:lpwstr>
  </property>
  <property fmtid="{D5CDD505-2E9C-101B-9397-08002B2CF9AE}" pid="4" name="Symbol1">
    <vt:lpwstr>INF/MSME/W/41</vt:lpwstr>
  </property>
</Properties>
</file>