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5D55" w14:textId="359F3D86" w:rsidR="002E4FA0" w:rsidRDefault="00C743E6" w:rsidP="002E4FA0">
      <w:pPr>
        <w:pStyle w:val="Title"/>
      </w:pPr>
      <w:r w:rsidRPr="00E833F4">
        <w:t>UNOFFICIAL ROOM DOCUMENT</w:t>
      </w:r>
      <w:r w:rsidR="006A7547" w:rsidRPr="00E273F3">
        <w:rPr>
          <w:rStyle w:val="FootnoteReference"/>
        </w:rPr>
        <w:footnoteReference w:id="1"/>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1344F" w14:paraId="72F2484E" w14:textId="77777777" w:rsidTr="002E4FA0">
        <w:trPr>
          <w:trHeight w:val="1200"/>
        </w:trPr>
        <w:tc>
          <w:tcPr>
            <w:tcW w:w="9026" w:type="dxa"/>
          </w:tcPr>
          <w:p w14:paraId="65A9BC59" w14:textId="77777777" w:rsidR="002E4FA0" w:rsidRDefault="002E4FA0" w:rsidP="002E4FA0">
            <w:pPr>
              <w:pStyle w:val="Title"/>
            </w:pPr>
          </w:p>
          <w:p w14:paraId="4BD26211" w14:textId="77777777" w:rsidR="006D59FE" w:rsidRPr="002E4FA0" w:rsidRDefault="006D59FE" w:rsidP="006D59FE">
            <w:pPr>
              <w:pStyle w:val="Title"/>
            </w:pPr>
            <w:r w:rsidRPr="001A252A">
              <w:t>Dialogue on Plastics Pollution and</w:t>
            </w:r>
            <w:r>
              <w:t xml:space="preserve"> </w:t>
            </w:r>
            <w:r w:rsidRPr="001A252A">
              <w:t xml:space="preserve">Environmentally Sustainable Plastics Trade </w:t>
            </w:r>
          </w:p>
          <w:p w14:paraId="23BB70B8" w14:textId="00EA9BB2" w:rsidR="008B08AE" w:rsidRDefault="009323E3" w:rsidP="008B08AE">
            <w:pPr>
              <w:pStyle w:val="Title2"/>
              <w:spacing w:after="240"/>
            </w:pPr>
            <w:r>
              <w:t>STATEMENT BY icc</w:t>
            </w:r>
          </w:p>
          <w:p w14:paraId="3290AAB9" w14:textId="7A121BA5" w:rsidR="002E4FA0" w:rsidRDefault="00BB5FE1" w:rsidP="008B08AE">
            <w:pPr>
              <w:pStyle w:val="Title3"/>
            </w:pPr>
            <w:r>
              <w:t>Pre-</w:t>
            </w:r>
            <w:r w:rsidR="002E4FA0">
              <w:t xml:space="preserve">Plenary Meeting – </w:t>
            </w:r>
            <w:r>
              <w:t>16 February 2023</w:t>
            </w:r>
          </w:p>
        </w:tc>
      </w:tr>
    </w:tbl>
    <w:p w14:paraId="7414DDE1" w14:textId="77777777" w:rsidR="00E1344F" w:rsidRPr="00C93BA7" w:rsidRDefault="00E1344F" w:rsidP="00E1344F">
      <w:pPr>
        <w:pBdr>
          <w:bottom w:val="single" w:sz="4" w:space="1" w:color="auto"/>
        </w:pBdr>
      </w:pPr>
    </w:p>
    <w:p w14:paraId="5F91025D" w14:textId="77777777" w:rsidR="00E1344F" w:rsidRPr="002E4FA0" w:rsidRDefault="00E1344F" w:rsidP="00A603E3">
      <w:pPr>
        <w:tabs>
          <w:tab w:val="right" w:pos="9072"/>
        </w:tabs>
        <w:jc w:val="left"/>
        <w:rPr>
          <w:szCs w:val="18"/>
        </w:rPr>
      </w:pPr>
    </w:p>
    <w:p w14:paraId="2A984FF1" w14:textId="77777777" w:rsidR="00E1344F" w:rsidRPr="001E34D9" w:rsidRDefault="00E1344F" w:rsidP="00E273F3">
      <w:pPr>
        <w:pStyle w:val="Title"/>
        <w:rPr>
          <w:lang w:val="fr-FR"/>
        </w:rPr>
      </w:pPr>
      <w:bookmarkStart w:id="0" w:name="bmkCommitteeFR"/>
      <w:bookmarkEnd w:id="0"/>
      <w:r w:rsidRPr="003C019F">
        <w:rPr>
          <w:lang w:val="fr-CH"/>
        </w:rPr>
        <w:t>DOCUMENT DE S</w:t>
      </w:r>
      <w:r>
        <w:rPr>
          <w:lang w:val="fr-CH"/>
        </w:rPr>
        <w:t>É</w:t>
      </w:r>
      <w:r w:rsidRPr="003C019F">
        <w:rPr>
          <w:lang w:val="fr-CH"/>
        </w:rPr>
        <w:t>ANCE NON OFFICIEL</w:t>
      </w:r>
      <w:r w:rsidR="00C743E6" w:rsidRPr="00A603E3">
        <w:rPr>
          <w:vertAlign w:val="superscript"/>
          <w:lang w:val="fr-FR"/>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1344F" w:rsidRPr="00A603E3" w14:paraId="09F2F607" w14:textId="77777777" w:rsidTr="0021684C">
        <w:trPr>
          <w:trHeight w:val="1200"/>
        </w:trPr>
        <w:tc>
          <w:tcPr>
            <w:tcW w:w="9242" w:type="dxa"/>
          </w:tcPr>
          <w:p w14:paraId="4274445A" w14:textId="77777777" w:rsidR="002E4FA0" w:rsidRDefault="002E4FA0" w:rsidP="002E4FA0">
            <w:pPr>
              <w:pStyle w:val="Title"/>
            </w:pPr>
          </w:p>
          <w:p w14:paraId="37AB14AA" w14:textId="39448EE8" w:rsidR="006D59FE" w:rsidRPr="006D59FE" w:rsidRDefault="006D59FE" w:rsidP="006D59FE">
            <w:pPr>
              <w:pStyle w:val="Title"/>
            </w:pPr>
            <w:r w:rsidRPr="006D59FE">
              <w:t xml:space="preserve">Dialogue on Plastics Pollution and Environmentally Sustainable Plastics Trade </w:t>
            </w:r>
          </w:p>
          <w:p w14:paraId="13425C5E" w14:textId="77777777" w:rsidR="009323E3" w:rsidRDefault="009323E3" w:rsidP="009323E3">
            <w:pPr>
              <w:pStyle w:val="Title2"/>
              <w:spacing w:after="240"/>
            </w:pPr>
            <w:r>
              <w:t>STATEMENT BY icc</w:t>
            </w:r>
          </w:p>
          <w:p w14:paraId="0E4BB888" w14:textId="6FCC5AC2" w:rsidR="00E1344F" w:rsidRPr="00D404D1" w:rsidRDefault="00BB5FE1" w:rsidP="00BB5FE1">
            <w:pPr>
              <w:pStyle w:val="Title3"/>
              <w:spacing w:after="240"/>
            </w:pPr>
            <w:r>
              <w:t>Pre-Plenary Meeting – 16 February 2023</w:t>
            </w:r>
          </w:p>
        </w:tc>
      </w:tr>
    </w:tbl>
    <w:p w14:paraId="329FDAFB" w14:textId="77777777" w:rsidR="00E1344F" w:rsidRPr="00D404D1" w:rsidRDefault="00E1344F" w:rsidP="00E1344F">
      <w:pPr>
        <w:pBdr>
          <w:bottom w:val="single" w:sz="4" w:space="1" w:color="auto"/>
        </w:pBdr>
      </w:pPr>
    </w:p>
    <w:p w14:paraId="39A0A4C1" w14:textId="77777777" w:rsidR="00E1344F" w:rsidRPr="00D404D1" w:rsidRDefault="00E1344F" w:rsidP="00A603E3">
      <w:pPr>
        <w:tabs>
          <w:tab w:val="right" w:pos="9072"/>
        </w:tabs>
        <w:jc w:val="left"/>
        <w:rPr>
          <w:szCs w:val="18"/>
        </w:rPr>
      </w:pPr>
    </w:p>
    <w:p w14:paraId="56515D29" w14:textId="6C249494" w:rsidR="00E1344F" w:rsidRPr="00E273F3" w:rsidRDefault="002E4FA0" w:rsidP="00E273F3">
      <w:pPr>
        <w:pStyle w:val="Title"/>
        <w:rPr>
          <w:lang w:val="pt-BR"/>
        </w:rPr>
      </w:pPr>
      <w:bookmarkStart w:id="1" w:name="bmkCommitteeSP"/>
      <w:bookmarkEnd w:id="1"/>
      <w:r>
        <w:rPr>
          <w:lang w:val="pt-BR"/>
        </w:rPr>
        <w:t>D</w:t>
      </w:r>
      <w:r w:rsidR="00E1344F" w:rsidRPr="00E273F3">
        <w:rPr>
          <w:lang w:val="pt-BR"/>
        </w:rPr>
        <w:t>OCUMENTO DE SALA NO OF</w:t>
      </w:r>
      <w:r w:rsidR="00E1344F" w:rsidRPr="00E1344F">
        <w:rPr>
          <w:lang w:val="pt-BR"/>
        </w:rPr>
        <w:t>ICIAL</w:t>
      </w:r>
      <w:r w:rsidR="00E1344F" w:rsidRPr="00E1344F">
        <w:rPr>
          <w:vertAlign w:val="superscript"/>
          <w:lang w:val="pt-BR"/>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E34D9" w14:paraId="6AC96447" w14:textId="77777777" w:rsidTr="0021684C">
        <w:trPr>
          <w:trHeight w:val="1200"/>
        </w:trPr>
        <w:tc>
          <w:tcPr>
            <w:tcW w:w="9242" w:type="dxa"/>
          </w:tcPr>
          <w:p w14:paraId="4E3D3FFD" w14:textId="0758B92E" w:rsidR="002E4FA0" w:rsidRDefault="002E4FA0" w:rsidP="002E4FA0">
            <w:pPr>
              <w:pStyle w:val="Title"/>
            </w:pPr>
          </w:p>
          <w:p w14:paraId="23AD76E2" w14:textId="77777777" w:rsidR="006D59FE" w:rsidRPr="002E4FA0" w:rsidRDefault="006D59FE" w:rsidP="006D59FE">
            <w:pPr>
              <w:pStyle w:val="Title"/>
            </w:pPr>
            <w:r w:rsidRPr="001A252A">
              <w:t>Dialogue on Plastics Pollution and</w:t>
            </w:r>
            <w:r>
              <w:t xml:space="preserve"> </w:t>
            </w:r>
            <w:r w:rsidRPr="001A252A">
              <w:t xml:space="preserve">Environmentally Sustainable Plastics Trade </w:t>
            </w:r>
          </w:p>
          <w:p w14:paraId="73DE3BFE" w14:textId="77777777" w:rsidR="009323E3" w:rsidRDefault="009323E3" w:rsidP="009323E3">
            <w:pPr>
              <w:pStyle w:val="Title2"/>
              <w:spacing w:after="240"/>
            </w:pPr>
            <w:r>
              <w:t>STATEMENT BY icc</w:t>
            </w:r>
          </w:p>
          <w:p w14:paraId="0657A108" w14:textId="70D718EA" w:rsidR="001E34D9" w:rsidRDefault="00BB5FE1" w:rsidP="00BB5FE1">
            <w:pPr>
              <w:pStyle w:val="Title3"/>
              <w:spacing w:after="240"/>
            </w:pPr>
            <w:r>
              <w:t>Pre-Plenary Meeting – 16 February 2023</w:t>
            </w:r>
          </w:p>
        </w:tc>
      </w:tr>
    </w:tbl>
    <w:p w14:paraId="6B203EB0" w14:textId="31AEC4CA" w:rsidR="00210CDF" w:rsidRDefault="00210CDF" w:rsidP="00E273F3">
      <w:pPr>
        <w:jc w:val="center"/>
        <w:rPr>
          <w:b/>
          <w:szCs w:val="18"/>
          <w:lang w:val="pt-BR"/>
        </w:rPr>
      </w:pPr>
      <w:r>
        <w:rPr>
          <w:b/>
          <w:szCs w:val="18"/>
          <w:lang w:val="pt-BR"/>
        </w:rPr>
        <w:t>_______________</w:t>
      </w:r>
    </w:p>
    <w:p w14:paraId="18C03D58" w14:textId="4FDE09EC" w:rsidR="00BB5FE1" w:rsidRDefault="00BB5FE1" w:rsidP="00BB5FE1">
      <w:pPr>
        <w:jc w:val="center"/>
        <w:rPr>
          <w:lang w:val="pt-BR"/>
        </w:rPr>
      </w:pPr>
    </w:p>
    <w:p w14:paraId="13E2E882" w14:textId="4F3C2FCC" w:rsidR="00BB5FE1" w:rsidRDefault="00BB5FE1" w:rsidP="00E273F3">
      <w:pPr>
        <w:jc w:val="center"/>
        <w:rPr>
          <w:b/>
          <w:szCs w:val="18"/>
          <w:lang w:val="pt-BR"/>
        </w:rPr>
      </w:pPr>
    </w:p>
    <w:p w14:paraId="53029377" w14:textId="142F7502" w:rsidR="00BB5FE1" w:rsidRDefault="00BB5FE1" w:rsidP="00BB5FE1">
      <w:pPr>
        <w:jc w:val="center"/>
        <w:rPr>
          <w:lang w:val="pt-BR"/>
        </w:rPr>
      </w:pPr>
    </w:p>
    <w:p w14:paraId="4FBFCC9A" w14:textId="77777777" w:rsidR="009323E3" w:rsidRDefault="009323E3" w:rsidP="009323E3">
      <w:pPr>
        <w:pStyle w:val="Title"/>
      </w:pPr>
      <w:r>
        <w:t xml:space="preserve">ICC statement: WTO Dialogue on Plastic Pollution and Environmentally Sustainable Plastic Trade: 16 February 2023 </w:t>
      </w:r>
    </w:p>
    <w:p w14:paraId="3B39ABEB" w14:textId="77777777" w:rsidR="009323E3" w:rsidRDefault="009323E3" w:rsidP="009323E3">
      <w:pPr>
        <w:jc w:val="left"/>
      </w:pPr>
    </w:p>
    <w:p w14:paraId="24A4C0CF" w14:textId="04BD19E3" w:rsidR="009323E3" w:rsidRDefault="009323E3" w:rsidP="009323E3">
      <w:pPr>
        <w:pStyle w:val="SummaryText"/>
      </w:pPr>
      <w:r>
        <w:t>My name is Raelene Martin and it</w:t>
      </w:r>
      <w:r w:rsidR="006978DE">
        <w:t>'</w:t>
      </w:r>
      <w:r>
        <w:t>s my honor to address you on behalf of the International Chamber of Commerce – the institutional representative of 45 million companies, of all sizes and sectors and in 170 countries.</w:t>
      </w:r>
    </w:p>
    <w:p w14:paraId="67288B99" w14:textId="26F7F77C" w:rsidR="009323E3" w:rsidRDefault="009323E3" w:rsidP="009323E3">
      <w:pPr>
        <w:pStyle w:val="SummaryText"/>
      </w:pPr>
      <w:r>
        <w:t xml:space="preserve">We greatly appreciated the perspectives and views shared during the discussions today, particularly highlighting the important interlinkages between trade and plastics pollution as well as different efforts to eliminate plastic pollution and create a circular economy for plastics pollution, by harnessing trade and trade policies. </w:t>
      </w:r>
    </w:p>
    <w:p w14:paraId="6C5369CA" w14:textId="2790553B" w:rsidR="009323E3" w:rsidRDefault="009323E3" w:rsidP="009323E3">
      <w:pPr>
        <w:pStyle w:val="SummaryText"/>
      </w:pPr>
      <w:r>
        <w:t xml:space="preserve">In this regard, we welcome the opportunity to share some perspectives on behalf of the global business community that acknowledges the importance and urgency to tackle the critical issue of plastic pollution and welcomes global efforts to establish a common goal and critical path for a global treaty to end plastic pollution. </w:t>
      </w:r>
    </w:p>
    <w:p w14:paraId="5A44E5E7" w14:textId="2FEB8BCC" w:rsidR="009323E3" w:rsidRDefault="009323E3" w:rsidP="009323E3">
      <w:pPr>
        <w:pStyle w:val="SummaryText"/>
      </w:pPr>
      <w:r>
        <w:t xml:space="preserve">The business community is already taking steps to tackle this growing issue, but much more needs to be done to leverage the energy, capacities and expertise of the business community to scale up actions at the required scale and speed across entire value chains to eliminate plastics pollution. </w:t>
      </w:r>
    </w:p>
    <w:p w14:paraId="20E17924" w14:textId="10C6547D" w:rsidR="009323E3" w:rsidRDefault="009323E3" w:rsidP="009323E3">
      <w:pPr>
        <w:pStyle w:val="SummaryText"/>
      </w:pPr>
      <w:r>
        <w:t xml:space="preserve">We know that it takes both business action but also the right enabling frameworks. </w:t>
      </w:r>
    </w:p>
    <w:p w14:paraId="2FC42532" w14:textId="63E8FD4A" w:rsidR="009323E3" w:rsidRDefault="009323E3" w:rsidP="009323E3">
      <w:pPr>
        <w:pStyle w:val="SummaryText"/>
      </w:pPr>
      <w:r>
        <w:t xml:space="preserve">We strongly believe that one key driver in this process will be an ambitious, workable and effective international legally binding instrument with a clear overarching goal, shared objectives as well as harmonised standards, definitions and rules that would help guide and enable businesses to become positive actors in transitioning to a circular economy for plastics. </w:t>
      </w:r>
    </w:p>
    <w:p w14:paraId="629F13DA" w14:textId="5D967CFD" w:rsidR="009323E3" w:rsidRDefault="009323E3" w:rsidP="009323E3">
      <w:pPr>
        <w:pStyle w:val="SummaryText"/>
      </w:pPr>
      <w:r>
        <w:t>We are deeply committed to support the INC Secretariat</w:t>
      </w:r>
      <w:r w:rsidR="006978DE">
        <w:t>'</w:t>
      </w:r>
      <w:r>
        <w:t>s and Members States</w:t>
      </w:r>
      <w:r w:rsidR="006978DE">
        <w:t>'</w:t>
      </w:r>
      <w:r>
        <w:t xml:space="preserve"> efforts and forthcoming work to secure an ambitious agreement by 2024</w:t>
      </w:r>
    </w:p>
    <w:p w14:paraId="44568AB7" w14:textId="349C04D7" w:rsidR="009323E3" w:rsidRDefault="009323E3" w:rsidP="009323E3">
      <w:pPr>
        <w:pStyle w:val="SummaryText"/>
      </w:pPr>
      <w:r>
        <w:t xml:space="preserve">We see a coordinated, concerted and holistic approach -- that addresses the full life cycle of plastics, including production processes, design options, the use of chemicals, additives and polymers, waste management and recycling, whilst also taking into account national circumstances, challenges, capacities, capabilities and feasibility in different economic sectors; will be critically needed. </w:t>
      </w:r>
    </w:p>
    <w:p w14:paraId="7218C44F" w14:textId="24C8A3BE" w:rsidR="009323E3" w:rsidRDefault="009323E3" w:rsidP="009323E3">
      <w:pPr>
        <w:pStyle w:val="SummaryText"/>
      </w:pPr>
      <w:r>
        <w:t xml:space="preserve">Trade policies and circular economy considerations will be critical in supporting the treaty on plastic pollution and its successful implementation. For that purpose, it will be important to understand how trade and trade policies can effectively support a circular economy transition and we commend the work and leadership of this dialogue in this regard. </w:t>
      </w:r>
    </w:p>
    <w:p w14:paraId="38F1C1C6" w14:textId="50796A31" w:rsidR="009323E3" w:rsidRDefault="009323E3" w:rsidP="009323E3">
      <w:pPr>
        <w:pStyle w:val="SummaryText"/>
      </w:pPr>
      <w:r>
        <w:t xml:space="preserve">We would also like to encourage governments to consult the findings of the ICC study – </w:t>
      </w:r>
      <w:r w:rsidR="006978DE" w:rsidRPr="006978DE">
        <w:t>"</w:t>
      </w:r>
      <w:r>
        <w:t>The Circular Economy and International Trade: Options for the World Trade Organization</w:t>
      </w:r>
      <w:r w:rsidR="006978DE" w:rsidRPr="006978DE">
        <w:t>"</w:t>
      </w:r>
      <w:r>
        <w:t xml:space="preserve"> on how smartly designed trade policies and rules can support a transition to a circular and resource-efficient economy. </w:t>
      </w:r>
    </w:p>
    <w:p w14:paraId="7A68C892" w14:textId="77056DFB" w:rsidR="009323E3" w:rsidRDefault="009323E3" w:rsidP="009323E3">
      <w:pPr>
        <w:pStyle w:val="SummaryText"/>
      </w:pPr>
      <w:r>
        <w:t xml:space="preserve">Finally, we believe that multistakeholder engagement in the different international and national efforts will be essential to achieve this objective, including all businesses - large and small, from all sectors and geographies -who have a critical role to play in providing the expertise and the solutions to tackle the challenge of plastic pollution. </w:t>
      </w:r>
    </w:p>
    <w:p w14:paraId="52E14F08" w14:textId="4903B4A4" w:rsidR="009323E3" w:rsidRDefault="009323E3" w:rsidP="009323E3">
      <w:pPr>
        <w:pStyle w:val="SummaryText"/>
      </w:pPr>
      <w:r>
        <w:t xml:space="preserve">ICC looks forward to supporting governments in addressing this global challenge and we stand ready to support the important work of this WTO Dialogue on Plastics. </w:t>
      </w:r>
    </w:p>
    <w:p w14:paraId="4230B716" w14:textId="61EC92BE" w:rsidR="00B970AE" w:rsidRPr="00B970AE" w:rsidRDefault="00B970AE" w:rsidP="006978DE">
      <w:pPr>
        <w:jc w:val="center"/>
        <w:rPr>
          <w:lang w:val="pt-BR"/>
        </w:rPr>
      </w:pPr>
      <w:r>
        <w:rPr>
          <w:b/>
          <w:lang w:val="pt-BR"/>
        </w:rPr>
        <w:t>__________</w:t>
      </w:r>
    </w:p>
    <w:sectPr w:rsidR="00B970AE" w:rsidRPr="00B970AE" w:rsidSect="009323E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318E" w14:textId="77777777" w:rsidR="002E4FA0" w:rsidRDefault="002E4FA0" w:rsidP="00ED54E0">
      <w:r>
        <w:separator/>
      </w:r>
    </w:p>
  </w:endnote>
  <w:endnote w:type="continuationSeparator" w:id="0">
    <w:p w14:paraId="2F9ACACB" w14:textId="77777777" w:rsidR="002E4FA0" w:rsidRDefault="002E4FA0"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F322" w14:textId="45786E05" w:rsidR="00586EF2" w:rsidRPr="009323E3" w:rsidRDefault="009323E3" w:rsidP="009323E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7AFB" w14:textId="541AE4F2" w:rsidR="00D002F2" w:rsidRPr="009323E3" w:rsidRDefault="009323E3" w:rsidP="009323E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138B" w14:textId="77777777" w:rsidR="00F25C08" w:rsidRDefault="001B101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1E9E" w14:textId="77777777" w:rsidR="002E4FA0" w:rsidRDefault="002E4FA0" w:rsidP="00ED54E0">
      <w:r>
        <w:separator/>
      </w:r>
    </w:p>
  </w:footnote>
  <w:footnote w:type="continuationSeparator" w:id="0">
    <w:p w14:paraId="42EC4755" w14:textId="77777777" w:rsidR="002E4FA0" w:rsidRDefault="002E4FA0" w:rsidP="00ED54E0">
      <w:r>
        <w:continuationSeparator/>
      </w:r>
    </w:p>
  </w:footnote>
  <w:footnote w:id="1">
    <w:p w14:paraId="37E7776C" w14:textId="77777777" w:rsidR="00BC7F7F" w:rsidRDefault="00BC7F7F" w:rsidP="00BC7F7F">
      <w:pPr>
        <w:pStyle w:val="FootnoteText"/>
      </w:pPr>
      <w:r>
        <w:t>* In Original language only/En langue originale seulement/En el idioma original solamente.</w:t>
      </w:r>
    </w:p>
    <w:p w14:paraId="45DD47E5" w14:textId="77777777" w:rsidR="00BC7F7F" w:rsidRDefault="00BC7F7F" w:rsidP="00BC7F7F">
      <w:pPr>
        <w:pStyle w:val="FootnoteText"/>
      </w:pPr>
      <w:r>
        <w:rPr>
          <w:rStyle w:val="FootnoteReference"/>
        </w:rPr>
        <w:footnoteRef/>
      </w:r>
      <w:r>
        <w:t xml:space="preserve"> Documents issued in the RD series are not official WTO documents. They usually appear in their language of submission and will not be translated systematically into the working languages of the WTO. They are intended for use in WTO meeting rooms and are attributed an unofficial symbol for archiving purposes only. </w:t>
      </w:r>
    </w:p>
    <w:p w14:paraId="551BF7FA" w14:textId="77777777" w:rsidR="00BC7F7F" w:rsidRDefault="00BC7F7F" w:rsidP="00BC7F7F">
      <w:pPr>
        <w:pStyle w:val="FootnoteText"/>
        <w:rPr>
          <w:lang w:val="fr-CH"/>
        </w:rPr>
      </w:pPr>
      <w:r w:rsidRPr="00264FA0">
        <w:rPr>
          <w:lang w:val="fr-CH"/>
        </w:rPr>
        <w:t>Les documents de la série RD ne sont pas des documents officiels de l</w:t>
      </w:r>
      <w:r>
        <w:rPr>
          <w:lang w:val="fr-CH"/>
        </w:rPr>
        <w:t>'</w:t>
      </w:r>
      <w:r w:rsidRPr="00264FA0">
        <w:rPr>
          <w:lang w:val="fr-CH"/>
        </w:rPr>
        <w:t>O</w:t>
      </w:r>
      <w:r>
        <w:rPr>
          <w:lang w:val="fr-CH"/>
        </w:rPr>
        <w:t>MC. Ils ne paraissent généralement que dans la langue dans laquelle ils ont été communiqués et ne seront pas systématiquement traduits dans les langues de travail de l'OMC. Ils sont destinés aux salles de réunion de l'OMC et une cote non officielle leur est attribuée à des fins d'archivage.</w:t>
      </w:r>
    </w:p>
    <w:p w14:paraId="2D051F38" w14:textId="77777777" w:rsidR="006A7547" w:rsidRPr="006A7547" w:rsidRDefault="00BC7F7F" w:rsidP="00BC7F7F">
      <w:pPr>
        <w:pStyle w:val="FootnoteText"/>
        <w:rPr>
          <w:lang w:val="es-ES"/>
        </w:rPr>
      </w:pPr>
      <w:r w:rsidRPr="00264FA0">
        <w:rPr>
          <w:lang w:val="es-ES"/>
        </w:rPr>
        <w:t xml:space="preserve">Los documentos de la serie RD no son documentos oficiales de la OMC. </w:t>
      </w:r>
      <w:r>
        <w:rPr>
          <w:lang w:val="es-ES"/>
        </w:rPr>
        <w:t>Por lo general se distribuyen en el idioma en que han sido presentados y no se traduce</w:t>
      </w:r>
      <w:r w:rsidR="002E52A7">
        <w:rPr>
          <w:lang w:val="es-ES"/>
        </w:rPr>
        <w:t>n</w:t>
      </w:r>
      <w:r>
        <w:rPr>
          <w:lang w:val="es-ES"/>
        </w:rPr>
        <w:t xml:space="preserve"> sistemáticamente a los idiomas de trabajo de la Organización. Se distribuyen para su uso en las salas de reunión de la OMC y se les asigna una signatura no oficial a efectos de archivo únicamente.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0EB3" w14:textId="77777777" w:rsidR="009323E3" w:rsidRPr="009323E3" w:rsidRDefault="009323E3" w:rsidP="009323E3">
    <w:pPr>
      <w:pStyle w:val="Header"/>
      <w:pBdr>
        <w:bottom w:val="single" w:sz="4" w:space="1" w:color="auto"/>
      </w:pBdr>
      <w:tabs>
        <w:tab w:val="clear" w:pos="4513"/>
        <w:tab w:val="clear" w:pos="9027"/>
      </w:tabs>
      <w:jc w:val="center"/>
    </w:pPr>
    <w:r w:rsidRPr="009323E3">
      <w:t>INF/TE/IDP/RD/113</w:t>
    </w:r>
  </w:p>
  <w:p w14:paraId="0BD9A003" w14:textId="77777777" w:rsidR="009323E3" w:rsidRPr="009323E3" w:rsidRDefault="009323E3" w:rsidP="009323E3">
    <w:pPr>
      <w:pStyle w:val="Header"/>
      <w:pBdr>
        <w:bottom w:val="single" w:sz="4" w:space="1" w:color="auto"/>
      </w:pBdr>
      <w:tabs>
        <w:tab w:val="clear" w:pos="4513"/>
        <w:tab w:val="clear" w:pos="9027"/>
      </w:tabs>
      <w:jc w:val="center"/>
    </w:pPr>
  </w:p>
  <w:p w14:paraId="2B921190" w14:textId="7520F165" w:rsidR="009323E3" w:rsidRPr="009323E3" w:rsidRDefault="009323E3" w:rsidP="009323E3">
    <w:pPr>
      <w:pStyle w:val="Header"/>
      <w:pBdr>
        <w:bottom w:val="single" w:sz="4" w:space="1" w:color="auto"/>
      </w:pBdr>
      <w:tabs>
        <w:tab w:val="clear" w:pos="4513"/>
        <w:tab w:val="clear" w:pos="9027"/>
      </w:tabs>
      <w:jc w:val="center"/>
    </w:pPr>
    <w:r w:rsidRPr="009323E3">
      <w:t xml:space="preserve">- </w:t>
    </w:r>
    <w:r w:rsidRPr="009323E3">
      <w:fldChar w:fldCharType="begin"/>
    </w:r>
    <w:r w:rsidRPr="009323E3">
      <w:instrText xml:space="preserve"> PAGE </w:instrText>
    </w:r>
    <w:r w:rsidRPr="009323E3">
      <w:fldChar w:fldCharType="separate"/>
    </w:r>
    <w:r w:rsidRPr="009323E3">
      <w:rPr>
        <w:noProof/>
      </w:rPr>
      <w:t>2</w:t>
    </w:r>
    <w:r w:rsidRPr="009323E3">
      <w:fldChar w:fldCharType="end"/>
    </w:r>
    <w:r w:rsidRPr="009323E3">
      <w:t xml:space="preserve"> -</w:t>
    </w:r>
  </w:p>
  <w:p w14:paraId="2BF6AA86" w14:textId="05EB3662" w:rsidR="00E76EFD" w:rsidRPr="009323E3" w:rsidRDefault="00E76EFD" w:rsidP="009323E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A53F" w14:textId="77777777" w:rsidR="009323E3" w:rsidRPr="009323E3" w:rsidRDefault="009323E3" w:rsidP="009323E3">
    <w:pPr>
      <w:pStyle w:val="Header"/>
      <w:pBdr>
        <w:bottom w:val="single" w:sz="4" w:space="1" w:color="auto"/>
      </w:pBdr>
      <w:tabs>
        <w:tab w:val="clear" w:pos="4513"/>
        <w:tab w:val="clear" w:pos="9027"/>
      </w:tabs>
      <w:jc w:val="center"/>
    </w:pPr>
    <w:r w:rsidRPr="009323E3">
      <w:t>INF/TE/IDP/RD/113</w:t>
    </w:r>
  </w:p>
  <w:p w14:paraId="00E25533" w14:textId="77777777" w:rsidR="009323E3" w:rsidRPr="009323E3" w:rsidRDefault="009323E3" w:rsidP="009323E3">
    <w:pPr>
      <w:pStyle w:val="Header"/>
      <w:pBdr>
        <w:bottom w:val="single" w:sz="4" w:space="1" w:color="auto"/>
      </w:pBdr>
      <w:tabs>
        <w:tab w:val="clear" w:pos="4513"/>
        <w:tab w:val="clear" w:pos="9027"/>
      </w:tabs>
      <w:jc w:val="center"/>
    </w:pPr>
  </w:p>
  <w:p w14:paraId="78B0E74C" w14:textId="56E7422B" w:rsidR="009323E3" w:rsidRPr="009323E3" w:rsidRDefault="009323E3" w:rsidP="009323E3">
    <w:pPr>
      <w:pStyle w:val="Header"/>
      <w:pBdr>
        <w:bottom w:val="single" w:sz="4" w:space="1" w:color="auto"/>
      </w:pBdr>
      <w:tabs>
        <w:tab w:val="clear" w:pos="4513"/>
        <w:tab w:val="clear" w:pos="9027"/>
      </w:tabs>
      <w:jc w:val="center"/>
    </w:pPr>
    <w:r w:rsidRPr="009323E3">
      <w:t xml:space="preserve">- </w:t>
    </w:r>
    <w:r w:rsidRPr="009323E3">
      <w:fldChar w:fldCharType="begin"/>
    </w:r>
    <w:r w:rsidRPr="009323E3">
      <w:instrText xml:space="preserve"> PAGE </w:instrText>
    </w:r>
    <w:r w:rsidRPr="009323E3">
      <w:fldChar w:fldCharType="separate"/>
    </w:r>
    <w:r w:rsidRPr="009323E3">
      <w:rPr>
        <w:noProof/>
      </w:rPr>
      <w:t>5</w:t>
    </w:r>
    <w:r w:rsidRPr="009323E3">
      <w:fldChar w:fldCharType="end"/>
    </w:r>
    <w:r w:rsidRPr="009323E3">
      <w:t xml:space="preserve"> -</w:t>
    </w:r>
  </w:p>
  <w:p w14:paraId="5229C06D" w14:textId="38218325" w:rsidR="00E76EFD" w:rsidRPr="009323E3" w:rsidRDefault="00E76EFD" w:rsidP="009323E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5495"/>
      <w:gridCol w:w="3747"/>
    </w:tblGrid>
    <w:tr w:rsidR="00F25C08" w:rsidRPr="00182B84" w14:paraId="5955D1B6" w14:textId="77777777" w:rsidTr="00B26CED">
      <w:trPr>
        <w:trHeight w:val="240"/>
        <w:jc w:val="center"/>
      </w:trPr>
      <w:tc>
        <w:tcPr>
          <w:tcW w:w="5495" w:type="dxa"/>
          <w:shd w:val="clear" w:color="auto" w:fill="FFFFFF"/>
          <w:tcMar>
            <w:left w:w="108" w:type="dxa"/>
            <w:right w:w="108" w:type="dxa"/>
          </w:tcMar>
          <w:vAlign w:val="center"/>
        </w:tcPr>
        <w:p w14:paraId="2E1F1709" w14:textId="5B8359FA" w:rsidR="00F25C08" w:rsidRPr="00182B84" w:rsidRDefault="00F25C08" w:rsidP="00B26CED">
          <w:pPr>
            <w:rPr>
              <w:lang w:eastAsia="en-GB"/>
            </w:rPr>
          </w:pPr>
          <w:bookmarkStart w:id="2" w:name="bmkRestricted" w:colFirst="1" w:colLast="1"/>
        </w:p>
      </w:tc>
      <w:tc>
        <w:tcPr>
          <w:tcW w:w="3747" w:type="dxa"/>
          <w:shd w:val="clear" w:color="auto" w:fill="FFFFFF"/>
          <w:tcMar>
            <w:left w:w="108" w:type="dxa"/>
            <w:right w:w="108" w:type="dxa"/>
          </w:tcMar>
          <w:vAlign w:val="center"/>
        </w:tcPr>
        <w:p w14:paraId="79C36DBD" w14:textId="4A395137" w:rsidR="00F25C08" w:rsidRPr="00182B84" w:rsidRDefault="009323E3" w:rsidP="00B26CED">
          <w:pPr>
            <w:jc w:val="right"/>
            <w:rPr>
              <w:b/>
              <w:color w:val="FF0000"/>
              <w:szCs w:val="16"/>
            </w:rPr>
          </w:pPr>
          <w:r>
            <w:rPr>
              <w:b/>
              <w:color w:val="FF0000"/>
              <w:szCs w:val="16"/>
            </w:rPr>
            <w:t xml:space="preserve"> </w:t>
          </w:r>
        </w:p>
      </w:tc>
    </w:tr>
    <w:bookmarkEnd w:id="2"/>
    <w:tr w:rsidR="00F25C08" w:rsidRPr="00182B84" w14:paraId="55C9FBEE" w14:textId="77777777" w:rsidTr="00B970AE">
      <w:trPr>
        <w:trHeight w:val="323"/>
        <w:jc w:val="center"/>
      </w:trPr>
      <w:tc>
        <w:tcPr>
          <w:tcW w:w="5495" w:type="dxa"/>
          <w:vMerge w:val="restart"/>
          <w:shd w:val="clear" w:color="auto" w:fill="FFFFFF"/>
          <w:tcMar>
            <w:left w:w="108" w:type="dxa"/>
            <w:right w:w="108" w:type="dxa"/>
          </w:tcMar>
        </w:tcPr>
        <w:p w14:paraId="4C5B1C3E" w14:textId="77777777" w:rsidR="00F25C08" w:rsidRPr="00182B84" w:rsidRDefault="00F25C08" w:rsidP="00B26CED">
          <w:pPr>
            <w:jc w:val="left"/>
          </w:pPr>
          <w:r w:rsidRPr="005A5E68">
            <w:rPr>
              <w:noProof/>
              <w:szCs w:val="18"/>
              <w:lang w:eastAsia="en-GB"/>
            </w:rPr>
            <w:drawing>
              <wp:inline distT="0" distB="0" distL="0" distR="0" wp14:anchorId="6E53D061" wp14:editId="206E05F6">
                <wp:extent cx="3333600" cy="7128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600" cy="712800"/>
                        </a:xfrm>
                        <a:prstGeom prst="rect">
                          <a:avLst/>
                        </a:prstGeom>
                        <a:noFill/>
                        <a:ln>
                          <a:noFill/>
                        </a:ln>
                      </pic:spPr>
                    </pic:pic>
                  </a:graphicData>
                </a:graphic>
              </wp:inline>
            </w:drawing>
          </w:r>
        </w:p>
      </w:tc>
      <w:tc>
        <w:tcPr>
          <w:tcW w:w="3747" w:type="dxa"/>
          <w:shd w:val="clear" w:color="auto" w:fill="FFFFFF"/>
          <w:tcMar>
            <w:left w:w="108" w:type="dxa"/>
            <w:right w:w="108" w:type="dxa"/>
          </w:tcMar>
        </w:tcPr>
        <w:p w14:paraId="5E574A4B" w14:textId="77777777" w:rsidR="00F25C08" w:rsidRPr="00182B84" w:rsidRDefault="00F25C08" w:rsidP="00B26CED">
          <w:pPr>
            <w:jc w:val="right"/>
            <w:rPr>
              <w:b/>
              <w:szCs w:val="16"/>
            </w:rPr>
          </w:pPr>
        </w:p>
      </w:tc>
    </w:tr>
    <w:tr w:rsidR="00F25C08" w:rsidRPr="00182B84" w14:paraId="202E30BD" w14:textId="77777777" w:rsidTr="00B26CED">
      <w:trPr>
        <w:trHeight w:val="868"/>
        <w:jc w:val="center"/>
      </w:trPr>
      <w:tc>
        <w:tcPr>
          <w:tcW w:w="5495" w:type="dxa"/>
          <w:vMerge/>
          <w:shd w:val="clear" w:color="auto" w:fill="FFFFFF"/>
          <w:tcMar>
            <w:left w:w="108" w:type="dxa"/>
            <w:right w:w="108" w:type="dxa"/>
          </w:tcMar>
        </w:tcPr>
        <w:p w14:paraId="40D2CDC0" w14:textId="77777777" w:rsidR="00F25C08" w:rsidRPr="00182B84" w:rsidRDefault="00F25C08" w:rsidP="00B26CED">
          <w:pPr>
            <w:jc w:val="left"/>
            <w:rPr>
              <w:lang w:eastAsia="en-GB"/>
            </w:rPr>
          </w:pPr>
        </w:p>
      </w:tc>
      <w:tc>
        <w:tcPr>
          <w:tcW w:w="3747" w:type="dxa"/>
          <w:shd w:val="clear" w:color="auto" w:fill="FFFFFF"/>
          <w:tcMar>
            <w:left w:w="108" w:type="dxa"/>
            <w:right w:w="108" w:type="dxa"/>
          </w:tcMar>
        </w:tcPr>
        <w:p w14:paraId="1C18D1F7" w14:textId="41255E44" w:rsidR="009323E3" w:rsidRDefault="009323E3" w:rsidP="006A7547">
          <w:pPr>
            <w:jc w:val="right"/>
            <w:rPr>
              <w:b/>
              <w:szCs w:val="16"/>
            </w:rPr>
          </w:pPr>
          <w:bookmarkStart w:id="3" w:name="bmkSymbols"/>
          <w:r>
            <w:rPr>
              <w:b/>
              <w:szCs w:val="16"/>
            </w:rPr>
            <w:t>INF/TE/IDP/RD/113</w:t>
          </w:r>
          <w:r w:rsidR="00F06B65" w:rsidRPr="00F06B65">
            <w:rPr>
              <w:bCs/>
              <w:szCs w:val="16"/>
            </w:rPr>
            <w:t>*</w:t>
          </w:r>
        </w:p>
        <w:bookmarkEnd w:id="3"/>
        <w:p w14:paraId="722C14FD" w14:textId="64E764F4" w:rsidR="00F25C08" w:rsidRPr="00182B84" w:rsidRDefault="00F25C08" w:rsidP="006A7547">
          <w:pPr>
            <w:jc w:val="right"/>
            <w:rPr>
              <w:b/>
              <w:szCs w:val="16"/>
            </w:rPr>
          </w:pPr>
        </w:p>
      </w:tc>
    </w:tr>
    <w:tr w:rsidR="00F25C08" w:rsidRPr="00182B84" w14:paraId="38FD950C" w14:textId="77777777" w:rsidTr="00B26CED">
      <w:trPr>
        <w:trHeight w:val="240"/>
        <w:jc w:val="center"/>
      </w:trPr>
      <w:tc>
        <w:tcPr>
          <w:tcW w:w="5495" w:type="dxa"/>
          <w:vMerge/>
          <w:shd w:val="clear" w:color="auto" w:fill="FFFFFF"/>
          <w:tcMar>
            <w:left w:w="108" w:type="dxa"/>
            <w:right w:w="108" w:type="dxa"/>
          </w:tcMar>
          <w:vAlign w:val="center"/>
        </w:tcPr>
        <w:p w14:paraId="27107BD5" w14:textId="77777777" w:rsidR="00F25C08" w:rsidRPr="00182B84" w:rsidRDefault="00F25C08" w:rsidP="00B26CED"/>
      </w:tc>
      <w:tc>
        <w:tcPr>
          <w:tcW w:w="3747" w:type="dxa"/>
          <w:shd w:val="clear" w:color="auto" w:fill="FFFFFF"/>
          <w:tcMar>
            <w:left w:w="108" w:type="dxa"/>
            <w:right w:w="108" w:type="dxa"/>
          </w:tcMar>
          <w:vAlign w:val="center"/>
        </w:tcPr>
        <w:p w14:paraId="3E6B648F" w14:textId="555E5FA1" w:rsidR="00F25C08" w:rsidRPr="00182B84" w:rsidRDefault="008B2BE8" w:rsidP="00B26CED">
          <w:pPr>
            <w:jc w:val="right"/>
            <w:rPr>
              <w:szCs w:val="16"/>
            </w:rPr>
          </w:pPr>
          <w:r>
            <w:rPr>
              <w:szCs w:val="16"/>
            </w:rPr>
            <w:t>20</w:t>
          </w:r>
          <w:r w:rsidR="000C1B4B">
            <w:rPr>
              <w:szCs w:val="16"/>
            </w:rPr>
            <w:t xml:space="preserve"> February</w:t>
          </w:r>
          <w:r w:rsidR="002E4FA0">
            <w:rPr>
              <w:szCs w:val="16"/>
            </w:rPr>
            <w:t xml:space="preserve"> 2023</w:t>
          </w:r>
        </w:p>
      </w:tc>
    </w:tr>
    <w:tr w:rsidR="00F25C08" w:rsidRPr="00182B84" w14:paraId="4B80E45F" w14:textId="77777777" w:rsidTr="00B26CED">
      <w:trPr>
        <w:trHeight w:val="412"/>
        <w:jc w:val="center"/>
      </w:trPr>
      <w:tc>
        <w:tcPr>
          <w:tcW w:w="5495" w:type="dxa"/>
          <w:tcBorders>
            <w:bottom w:val="single" w:sz="4" w:space="0" w:color="auto"/>
          </w:tcBorders>
          <w:tcMar>
            <w:top w:w="0" w:type="dxa"/>
            <w:left w:w="108" w:type="dxa"/>
            <w:bottom w:w="57" w:type="dxa"/>
            <w:right w:w="108" w:type="dxa"/>
          </w:tcMar>
          <w:vAlign w:val="bottom"/>
        </w:tcPr>
        <w:p w14:paraId="734BB1B1" w14:textId="53FA5577" w:rsidR="00F25C08" w:rsidRPr="002E4FA0" w:rsidRDefault="002E4FA0" w:rsidP="00B26CED">
          <w:pPr>
            <w:jc w:val="left"/>
            <w:rPr>
              <w:bCs/>
              <w:color w:val="FF0000"/>
            </w:rPr>
          </w:pPr>
          <w:bookmarkStart w:id="4" w:name="bmkSerial" w:colFirst="0" w:colLast="0"/>
          <w:r w:rsidRPr="002E4FA0">
            <w:rPr>
              <w:bCs/>
              <w:color w:val="FF0000"/>
            </w:rPr>
            <w:t>(</w:t>
          </w:r>
          <w:r w:rsidR="00DC1CE3">
            <w:rPr>
              <w:bCs/>
              <w:color w:val="FF0000"/>
            </w:rPr>
            <w:t>23</w:t>
          </w:r>
          <w:r w:rsidRPr="002E4FA0">
            <w:rPr>
              <w:bCs/>
              <w:color w:val="FF0000"/>
            </w:rPr>
            <w:t>-</w:t>
          </w:r>
          <w:r w:rsidR="00442716">
            <w:rPr>
              <w:bCs/>
              <w:color w:val="FF0000"/>
            </w:rPr>
            <w:t>1179</w:t>
          </w:r>
          <w:r w:rsidRPr="002E4FA0">
            <w:rPr>
              <w:bCs/>
              <w:color w:val="FF0000"/>
            </w:rPr>
            <w:t>)</w:t>
          </w:r>
        </w:p>
      </w:tc>
      <w:tc>
        <w:tcPr>
          <w:tcW w:w="3747" w:type="dxa"/>
          <w:tcBorders>
            <w:bottom w:val="single" w:sz="4" w:space="0" w:color="auto"/>
          </w:tcBorders>
          <w:tcMar>
            <w:top w:w="0" w:type="dxa"/>
            <w:left w:w="108" w:type="dxa"/>
            <w:bottom w:w="57" w:type="dxa"/>
            <w:right w:w="108" w:type="dxa"/>
          </w:tcMar>
          <w:vAlign w:val="bottom"/>
        </w:tcPr>
        <w:p w14:paraId="39ECC651" w14:textId="0F0708A8" w:rsidR="00F25C08" w:rsidRPr="00182B84" w:rsidRDefault="00F25C08" w:rsidP="00B26CED">
          <w:pPr>
            <w:jc w:val="right"/>
            <w:rPr>
              <w:szCs w:val="16"/>
            </w:rPr>
          </w:pPr>
          <w:bookmarkStart w:id="5"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EB3B8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EB3B8D">
            <w:rPr>
              <w:bCs/>
              <w:noProof/>
              <w:szCs w:val="16"/>
            </w:rPr>
            <w:t>1</w:t>
          </w:r>
          <w:r w:rsidRPr="00182B84">
            <w:rPr>
              <w:bCs/>
              <w:szCs w:val="16"/>
            </w:rPr>
            <w:fldChar w:fldCharType="end"/>
          </w:r>
          <w:bookmarkEnd w:id="5"/>
        </w:p>
      </w:tc>
    </w:tr>
    <w:tr w:rsidR="00B40193" w:rsidRPr="00182B84" w14:paraId="711E2145" w14:textId="77777777" w:rsidTr="00B26CED">
      <w:trPr>
        <w:trHeight w:val="240"/>
        <w:jc w:val="center"/>
      </w:trPr>
      <w:tc>
        <w:tcPr>
          <w:tcW w:w="5495" w:type="dxa"/>
          <w:tcBorders>
            <w:top w:val="single" w:sz="4" w:space="0" w:color="auto"/>
          </w:tcBorders>
          <w:tcMar>
            <w:top w:w="113" w:type="dxa"/>
            <w:left w:w="108" w:type="dxa"/>
            <w:bottom w:w="57" w:type="dxa"/>
            <w:right w:w="108" w:type="dxa"/>
          </w:tcMar>
          <w:vAlign w:val="center"/>
        </w:tcPr>
        <w:p w14:paraId="2AC5ED46" w14:textId="77777777" w:rsidR="00B40193" w:rsidRPr="00182B84" w:rsidRDefault="00B40193" w:rsidP="006D59FE">
          <w:pPr>
            <w:rPr>
              <w:sz w:val="14"/>
              <w:szCs w:val="16"/>
            </w:rPr>
          </w:pPr>
          <w:bookmarkStart w:id="6" w:name="bmkCommitteeEN"/>
          <w:bookmarkStart w:id="7" w:name="bmkLanguage" w:colFirst="1" w:colLast="1"/>
          <w:bookmarkEnd w:id="4"/>
          <w:bookmarkEnd w:id="6"/>
        </w:p>
      </w:tc>
      <w:tc>
        <w:tcPr>
          <w:tcW w:w="3747" w:type="dxa"/>
          <w:tcBorders>
            <w:top w:val="single" w:sz="4" w:space="0" w:color="auto"/>
          </w:tcBorders>
          <w:tcMar>
            <w:top w:w="113" w:type="dxa"/>
            <w:left w:w="108" w:type="dxa"/>
            <w:bottom w:w="57" w:type="dxa"/>
            <w:right w:w="108" w:type="dxa"/>
          </w:tcMar>
          <w:vAlign w:val="center"/>
        </w:tcPr>
        <w:p w14:paraId="062C6B54" w14:textId="56D329A3" w:rsidR="00B40193" w:rsidRPr="00182B84" w:rsidRDefault="009323E3" w:rsidP="00B55A5E">
          <w:pPr>
            <w:jc w:val="right"/>
            <w:rPr>
              <w:bCs/>
              <w:szCs w:val="18"/>
            </w:rPr>
          </w:pPr>
          <w:r>
            <w:rPr>
              <w:szCs w:val="18"/>
            </w:rPr>
            <w:t>Original: English/anglais/inglés</w:t>
          </w:r>
        </w:p>
      </w:tc>
    </w:tr>
    <w:bookmarkEnd w:id="7"/>
  </w:tbl>
  <w:p w14:paraId="2BEF5744" w14:textId="77777777" w:rsidR="00E1344F" w:rsidRDefault="00E1344F" w:rsidP="00E134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139B"/>
    <w:multiLevelType w:val="hybridMultilevel"/>
    <w:tmpl w:val="AD2E36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A121236"/>
    <w:multiLevelType w:val="hybridMultilevel"/>
    <w:tmpl w:val="95A43B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57F4F44"/>
    <w:multiLevelType w:val="hybridMultilevel"/>
    <w:tmpl w:val="4502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0DD27608"/>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
      <w:lvlJc w:val="left"/>
      <w:pPr>
        <w:ind w:left="0" w:firstLine="0"/>
      </w:pPr>
      <w:rPr>
        <w:rFonts w:hint="default"/>
      </w:rPr>
    </w:lvl>
    <w:lvl w:ilvl="2">
      <w:start w:val="1"/>
      <w:numFmt w:val="decimal"/>
      <w:pStyle w:val="Heading3"/>
      <w:suff w:val="space"/>
      <w:lvlText w:val="%1.%2.%3 "/>
      <w:lvlJc w:val="left"/>
      <w:pPr>
        <w:ind w:left="0" w:firstLine="0"/>
      </w:pPr>
      <w:rPr>
        <w:rFonts w:hint="default"/>
      </w:rPr>
    </w:lvl>
    <w:lvl w:ilvl="3">
      <w:start w:val="1"/>
      <w:numFmt w:val="decimal"/>
      <w:pStyle w:val="Heading4"/>
      <w:suff w:val="space"/>
      <w:lvlText w:val="%1.%2.%3.%4 "/>
      <w:lvlJc w:val="left"/>
      <w:pPr>
        <w:ind w:left="0" w:firstLine="0"/>
      </w:pPr>
      <w:rPr>
        <w:rFonts w:hint="default"/>
      </w:rPr>
    </w:lvl>
    <w:lvl w:ilvl="4">
      <w:start w:val="1"/>
      <w:numFmt w:val="decimal"/>
      <w:pStyle w:val="Heading5"/>
      <w:suff w:val="space"/>
      <w:lvlText w:val="%1.%2.%3.%4.%5 "/>
      <w:lvlJc w:val="left"/>
      <w:pPr>
        <w:ind w:left="0" w:firstLine="0"/>
      </w:pPr>
      <w:rPr>
        <w:rFonts w:hint="default"/>
      </w:rPr>
    </w:lvl>
    <w:lvl w:ilvl="5">
      <w:start w:val="1"/>
      <w:numFmt w:val="decimal"/>
      <w:pStyle w:val="Heading6"/>
      <w:isLgl/>
      <w:suff w:val="space"/>
      <w:lvlText w:val="%1.%2.%3.%4.%5.%6 "/>
      <w:lvlJc w:val="left"/>
      <w:pPr>
        <w:ind w:left="0" w:firstLine="0"/>
      </w:pPr>
      <w:rPr>
        <w:rFonts w:hint="default"/>
      </w:rPr>
    </w:lvl>
    <w:lvl w:ilvl="6">
      <w:start w:val="1"/>
      <w:numFmt w:val="decimal"/>
      <w:lvlRestart w:val="1"/>
      <w:pStyle w:val="BodyText"/>
      <w:suff w:val="space"/>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690C6DD8"/>
    <w:lvl w:ilvl="0" w:tplc="FFD0778A">
      <w:start w:val="1"/>
      <w:numFmt w:val="decimal"/>
      <w:pStyle w:val="SummaryText"/>
      <w:lvlText w:val="%1."/>
      <w:lvlJc w:val="left"/>
      <w:pPr>
        <w:ind w:left="360" w:hanging="360"/>
      </w:pPr>
      <w:rPr>
        <w:rFonts w:hint="default"/>
      </w:rPr>
    </w:lvl>
    <w:lvl w:ilvl="1" w:tplc="74905BBE">
      <w:start w:val="5"/>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77521D1"/>
    <w:multiLevelType w:val="hybridMultilevel"/>
    <w:tmpl w:val="399C7A76"/>
    <w:lvl w:ilvl="0" w:tplc="94224FA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53411652">
    <w:abstractNumId w:val="9"/>
  </w:num>
  <w:num w:numId="2" w16cid:durableId="793140714">
    <w:abstractNumId w:val="7"/>
  </w:num>
  <w:num w:numId="3" w16cid:durableId="2044598760">
    <w:abstractNumId w:val="6"/>
  </w:num>
  <w:num w:numId="4" w16cid:durableId="1833987214">
    <w:abstractNumId w:val="5"/>
  </w:num>
  <w:num w:numId="5" w16cid:durableId="576474363">
    <w:abstractNumId w:val="4"/>
  </w:num>
  <w:num w:numId="6" w16cid:durableId="1536842938">
    <w:abstractNumId w:val="15"/>
  </w:num>
  <w:num w:numId="7" w16cid:durableId="1933393455">
    <w:abstractNumId w:val="14"/>
  </w:num>
  <w:num w:numId="8" w16cid:durableId="1361591596">
    <w:abstractNumId w:val="13"/>
  </w:num>
  <w:num w:numId="9" w16cid:durableId="17387433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429221">
    <w:abstractNumId w:val="16"/>
  </w:num>
  <w:num w:numId="11" w16cid:durableId="542979374">
    <w:abstractNumId w:val="8"/>
  </w:num>
  <w:num w:numId="12" w16cid:durableId="1585914846">
    <w:abstractNumId w:val="3"/>
  </w:num>
  <w:num w:numId="13" w16cid:durableId="367726420">
    <w:abstractNumId w:val="2"/>
  </w:num>
  <w:num w:numId="14" w16cid:durableId="1928004335">
    <w:abstractNumId w:val="1"/>
  </w:num>
  <w:num w:numId="15" w16cid:durableId="2049989638">
    <w:abstractNumId w:val="0"/>
  </w:num>
  <w:num w:numId="16" w16cid:durableId="98524490">
    <w:abstractNumId w:val="14"/>
  </w:num>
  <w:num w:numId="17" w16cid:durableId="1716542369">
    <w:abstractNumId w:val="14"/>
  </w:num>
  <w:num w:numId="18" w16cid:durableId="397094747">
    <w:abstractNumId w:val="14"/>
  </w:num>
  <w:num w:numId="19" w16cid:durableId="434177343">
    <w:abstractNumId w:val="14"/>
  </w:num>
  <w:num w:numId="20" w16cid:durableId="2073845433">
    <w:abstractNumId w:val="14"/>
  </w:num>
  <w:num w:numId="21" w16cid:durableId="1758401672">
    <w:abstractNumId w:val="14"/>
  </w:num>
  <w:num w:numId="22" w16cid:durableId="1074207260">
    <w:abstractNumId w:val="14"/>
  </w:num>
  <w:num w:numId="23" w16cid:durableId="2051564395">
    <w:abstractNumId w:val="17"/>
  </w:num>
  <w:num w:numId="24" w16cid:durableId="1443454552">
    <w:abstractNumId w:val="16"/>
    <w:lvlOverride w:ilvl="0">
      <w:startOverride w:val="1"/>
    </w:lvlOverride>
  </w:num>
  <w:num w:numId="25" w16cid:durableId="573322200">
    <w:abstractNumId w:val="16"/>
    <w:lvlOverride w:ilvl="0">
      <w:startOverride w:val="1"/>
    </w:lvlOverride>
  </w:num>
  <w:num w:numId="26" w16cid:durableId="143932296">
    <w:abstractNumId w:val="16"/>
    <w:lvlOverride w:ilvl="0">
      <w:startOverride w:val="1"/>
    </w:lvlOverride>
  </w:num>
  <w:num w:numId="27" w16cid:durableId="218516582">
    <w:abstractNumId w:val="12"/>
  </w:num>
  <w:num w:numId="28" w16cid:durableId="836312479">
    <w:abstractNumId w:val="10"/>
  </w:num>
  <w:num w:numId="29" w16cid:durableId="3264412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attachedTemplate r:id="rId1"/>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A0"/>
    <w:rsid w:val="00000C8D"/>
    <w:rsid w:val="000272F6"/>
    <w:rsid w:val="00037AC4"/>
    <w:rsid w:val="000423BF"/>
    <w:rsid w:val="00046916"/>
    <w:rsid w:val="00047753"/>
    <w:rsid w:val="000A4945"/>
    <w:rsid w:val="000B31E1"/>
    <w:rsid w:val="000C1B4B"/>
    <w:rsid w:val="0011356B"/>
    <w:rsid w:val="0013337F"/>
    <w:rsid w:val="00182B84"/>
    <w:rsid w:val="001946F2"/>
    <w:rsid w:val="001B101E"/>
    <w:rsid w:val="001D0F5C"/>
    <w:rsid w:val="001E291F"/>
    <w:rsid w:val="001E34D9"/>
    <w:rsid w:val="0020597B"/>
    <w:rsid w:val="00210CDF"/>
    <w:rsid w:val="00221B3A"/>
    <w:rsid w:val="00233408"/>
    <w:rsid w:val="0027067B"/>
    <w:rsid w:val="00292261"/>
    <w:rsid w:val="002A15FB"/>
    <w:rsid w:val="002E4FA0"/>
    <w:rsid w:val="002E52A7"/>
    <w:rsid w:val="002F7012"/>
    <w:rsid w:val="003534B4"/>
    <w:rsid w:val="003572B4"/>
    <w:rsid w:val="00383F10"/>
    <w:rsid w:val="003A2413"/>
    <w:rsid w:val="00442716"/>
    <w:rsid w:val="004619BC"/>
    <w:rsid w:val="00467032"/>
    <w:rsid w:val="0046754A"/>
    <w:rsid w:val="004965DE"/>
    <w:rsid w:val="004A31FF"/>
    <w:rsid w:val="004E35B5"/>
    <w:rsid w:val="004F203A"/>
    <w:rsid w:val="004F73E0"/>
    <w:rsid w:val="00512FF5"/>
    <w:rsid w:val="0052641E"/>
    <w:rsid w:val="005336B8"/>
    <w:rsid w:val="005679E2"/>
    <w:rsid w:val="00586EF2"/>
    <w:rsid w:val="005B04B9"/>
    <w:rsid w:val="005B68C7"/>
    <w:rsid w:val="005B7054"/>
    <w:rsid w:val="005D5981"/>
    <w:rsid w:val="005F30CB"/>
    <w:rsid w:val="00612644"/>
    <w:rsid w:val="006236D0"/>
    <w:rsid w:val="00674CCD"/>
    <w:rsid w:val="006978DE"/>
    <w:rsid w:val="006A7547"/>
    <w:rsid w:val="006D2178"/>
    <w:rsid w:val="006D59FE"/>
    <w:rsid w:val="006E3654"/>
    <w:rsid w:val="006F5826"/>
    <w:rsid w:val="00700181"/>
    <w:rsid w:val="007141CF"/>
    <w:rsid w:val="00730F17"/>
    <w:rsid w:val="00745146"/>
    <w:rsid w:val="007577E3"/>
    <w:rsid w:val="00760DB3"/>
    <w:rsid w:val="007621B0"/>
    <w:rsid w:val="00767204"/>
    <w:rsid w:val="00781AB0"/>
    <w:rsid w:val="007A1326"/>
    <w:rsid w:val="007C79F0"/>
    <w:rsid w:val="007E6507"/>
    <w:rsid w:val="007F2B8E"/>
    <w:rsid w:val="00807247"/>
    <w:rsid w:val="008303CA"/>
    <w:rsid w:val="0083248B"/>
    <w:rsid w:val="00840C2B"/>
    <w:rsid w:val="008739FD"/>
    <w:rsid w:val="00890715"/>
    <w:rsid w:val="008B08AE"/>
    <w:rsid w:val="008B2BE8"/>
    <w:rsid w:val="008E372C"/>
    <w:rsid w:val="008F0765"/>
    <w:rsid w:val="00903D24"/>
    <w:rsid w:val="0093067B"/>
    <w:rsid w:val="009323E3"/>
    <w:rsid w:val="0095163E"/>
    <w:rsid w:val="009901F7"/>
    <w:rsid w:val="009A6F54"/>
    <w:rsid w:val="009B6F37"/>
    <w:rsid w:val="009F5F5B"/>
    <w:rsid w:val="00A3419E"/>
    <w:rsid w:val="00A53DCE"/>
    <w:rsid w:val="00A603E3"/>
    <w:rsid w:val="00A6057A"/>
    <w:rsid w:val="00A74017"/>
    <w:rsid w:val="00AA332C"/>
    <w:rsid w:val="00AB0538"/>
    <w:rsid w:val="00AC27F8"/>
    <w:rsid w:val="00AD4C72"/>
    <w:rsid w:val="00AD5D85"/>
    <w:rsid w:val="00AE1945"/>
    <w:rsid w:val="00AE20ED"/>
    <w:rsid w:val="00AE2AEE"/>
    <w:rsid w:val="00AF7E9E"/>
    <w:rsid w:val="00B230EC"/>
    <w:rsid w:val="00B40193"/>
    <w:rsid w:val="00B55A5E"/>
    <w:rsid w:val="00B56EDC"/>
    <w:rsid w:val="00B66BE4"/>
    <w:rsid w:val="00B970AE"/>
    <w:rsid w:val="00BB1F84"/>
    <w:rsid w:val="00BB5FE1"/>
    <w:rsid w:val="00BC7F7F"/>
    <w:rsid w:val="00BE5468"/>
    <w:rsid w:val="00C06045"/>
    <w:rsid w:val="00C11EAC"/>
    <w:rsid w:val="00C305D7"/>
    <w:rsid w:val="00C30F2A"/>
    <w:rsid w:val="00C43456"/>
    <w:rsid w:val="00C65C0C"/>
    <w:rsid w:val="00C743E6"/>
    <w:rsid w:val="00C808FC"/>
    <w:rsid w:val="00CC0B25"/>
    <w:rsid w:val="00CC5DCA"/>
    <w:rsid w:val="00CD7D97"/>
    <w:rsid w:val="00CE3EE6"/>
    <w:rsid w:val="00CE4BA1"/>
    <w:rsid w:val="00D000C7"/>
    <w:rsid w:val="00D002F2"/>
    <w:rsid w:val="00D404D1"/>
    <w:rsid w:val="00D46022"/>
    <w:rsid w:val="00D52A9D"/>
    <w:rsid w:val="00D55AAD"/>
    <w:rsid w:val="00D747AE"/>
    <w:rsid w:val="00D9226C"/>
    <w:rsid w:val="00DA20BD"/>
    <w:rsid w:val="00DB4042"/>
    <w:rsid w:val="00DC1CE3"/>
    <w:rsid w:val="00DC774D"/>
    <w:rsid w:val="00DE50DB"/>
    <w:rsid w:val="00DF6AE1"/>
    <w:rsid w:val="00E0111D"/>
    <w:rsid w:val="00E1344F"/>
    <w:rsid w:val="00E1391D"/>
    <w:rsid w:val="00E1639E"/>
    <w:rsid w:val="00E273F3"/>
    <w:rsid w:val="00E46FD5"/>
    <w:rsid w:val="00E544BB"/>
    <w:rsid w:val="00E56545"/>
    <w:rsid w:val="00E60C7A"/>
    <w:rsid w:val="00E76EFD"/>
    <w:rsid w:val="00E85004"/>
    <w:rsid w:val="00EA5D4F"/>
    <w:rsid w:val="00EB3B8D"/>
    <w:rsid w:val="00EB6C56"/>
    <w:rsid w:val="00ED3D04"/>
    <w:rsid w:val="00ED54E0"/>
    <w:rsid w:val="00F06B65"/>
    <w:rsid w:val="00F25C08"/>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B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qFormat="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AB0538"/>
    <w:pPr>
      <w:keepNext/>
      <w:keepLines/>
      <w:numPr>
        <w:numId w:val="22"/>
      </w:numPr>
      <w:spacing w:after="240"/>
      <w:outlineLvl w:val="0"/>
    </w:pPr>
    <w:rPr>
      <w:rFonts w:eastAsiaTheme="majorEastAsia" w:cstheme="majorBidi"/>
      <w:b/>
      <w:bCs/>
      <w:caps/>
      <w:color w:val="006283"/>
      <w:szCs w:val="28"/>
      <w:lang w:val="fr-FR"/>
    </w:rPr>
  </w:style>
  <w:style w:type="paragraph" w:styleId="Heading2">
    <w:name w:val="heading 2"/>
    <w:basedOn w:val="Normal"/>
    <w:next w:val="Heading3"/>
    <w:link w:val="Heading2Char"/>
    <w:uiPriority w:val="2"/>
    <w:qFormat/>
    <w:rsid w:val="00AB0538"/>
    <w:pPr>
      <w:keepNext/>
      <w:keepLines/>
      <w:numPr>
        <w:ilvl w:val="1"/>
        <w:numId w:val="22"/>
      </w:numPr>
      <w:spacing w:after="240"/>
      <w:outlineLvl w:val="1"/>
    </w:pPr>
    <w:rPr>
      <w:rFonts w:eastAsiaTheme="majorEastAsia" w:cstheme="majorBidi"/>
      <w:b/>
      <w:bCs/>
      <w:color w:val="006283"/>
      <w:szCs w:val="26"/>
      <w:lang w:val="fr-FR"/>
    </w:rPr>
  </w:style>
  <w:style w:type="paragraph" w:styleId="Heading3">
    <w:name w:val="heading 3"/>
    <w:basedOn w:val="Normal"/>
    <w:next w:val="Heading4"/>
    <w:link w:val="Heading3Char"/>
    <w:uiPriority w:val="2"/>
    <w:qFormat/>
    <w:rsid w:val="00AB0538"/>
    <w:pPr>
      <w:keepNext/>
      <w:keepLines/>
      <w:numPr>
        <w:ilvl w:val="2"/>
        <w:numId w:val="22"/>
      </w:numPr>
      <w:spacing w:after="240"/>
      <w:outlineLvl w:val="2"/>
    </w:pPr>
    <w:rPr>
      <w:rFonts w:eastAsiaTheme="majorEastAsia" w:cstheme="majorBidi"/>
      <w:b/>
      <w:bCs/>
      <w:color w:val="006283"/>
      <w:lang w:val="fr-FR"/>
    </w:rPr>
  </w:style>
  <w:style w:type="paragraph" w:styleId="Heading4">
    <w:name w:val="heading 4"/>
    <w:basedOn w:val="Normal"/>
    <w:next w:val="Heading5"/>
    <w:link w:val="Heading4Char"/>
    <w:uiPriority w:val="2"/>
    <w:qFormat/>
    <w:rsid w:val="00AB0538"/>
    <w:pPr>
      <w:keepNext/>
      <w:keepLines/>
      <w:numPr>
        <w:ilvl w:val="3"/>
        <w:numId w:val="22"/>
      </w:numPr>
      <w:spacing w:after="240"/>
      <w:outlineLvl w:val="3"/>
    </w:pPr>
    <w:rPr>
      <w:rFonts w:eastAsiaTheme="majorEastAsia" w:cstheme="majorBidi"/>
      <w:b/>
      <w:bCs/>
      <w:iCs/>
      <w:color w:val="006283"/>
      <w:lang w:val="fr-FR"/>
    </w:rPr>
  </w:style>
  <w:style w:type="paragraph" w:styleId="Heading5">
    <w:name w:val="heading 5"/>
    <w:basedOn w:val="Normal"/>
    <w:next w:val="Heading6"/>
    <w:link w:val="Heading5Char"/>
    <w:uiPriority w:val="2"/>
    <w:qFormat/>
    <w:rsid w:val="00AB0538"/>
    <w:pPr>
      <w:keepNext/>
      <w:keepLines/>
      <w:numPr>
        <w:ilvl w:val="4"/>
        <w:numId w:val="22"/>
      </w:numPr>
      <w:spacing w:after="240"/>
      <w:outlineLvl w:val="4"/>
    </w:pPr>
    <w:rPr>
      <w:rFonts w:eastAsiaTheme="majorEastAsia" w:cstheme="majorBidi"/>
      <w:b/>
      <w:color w:val="006283"/>
      <w:lang w:val="fr-FR"/>
    </w:rPr>
  </w:style>
  <w:style w:type="paragraph" w:styleId="Heading6">
    <w:name w:val="heading 6"/>
    <w:basedOn w:val="Normal"/>
    <w:next w:val="BodyText"/>
    <w:link w:val="Heading6Char"/>
    <w:uiPriority w:val="2"/>
    <w:qFormat/>
    <w:rsid w:val="00AB0538"/>
    <w:pPr>
      <w:keepNext/>
      <w:keepLines/>
      <w:numPr>
        <w:ilvl w:val="5"/>
        <w:numId w:val="22"/>
      </w:numPr>
      <w:spacing w:after="240"/>
      <w:outlineLvl w:val="5"/>
    </w:pPr>
    <w:rPr>
      <w:rFonts w:eastAsiaTheme="majorEastAsia" w:cstheme="majorBidi"/>
      <w:b/>
      <w:iCs/>
      <w:color w:val="006283"/>
      <w:lang w:val="fr-FR"/>
    </w:rPr>
  </w:style>
  <w:style w:type="paragraph" w:styleId="Heading7">
    <w:name w:val="heading 7"/>
    <w:basedOn w:val="Normal"/>
    <w:next w:val="Normal"/>
    <w:link w:val="Heading7Char"/>
    <w:uiPriority w:val="2"/>
    <w:rsid w:val="00AB0538"/>
    <w:pPr>
      <w:keepNext/>
      <w:keepLines/>
      <w:spacing w:after="240"/>
      <w:ind w:left="567"/>
      <w:outlineLvl w:val="6"/>
    </w:pPr>
    <w:rPr>
      <w:rFonts w:eastAsiaTheme="majorEastAsia" w:cstheme="majorBidi"/>
      <w:b/>
      <w:i/>
      <w:iCs/>
      <w:color w:val="006283"/>
    </w:rPr>
  </w:style>
  <w:style w:type="paragraph" w:styleId="Heading8">
    <w:name w:val="heading 8"/>
    <w:basedOn w:val="Normal"/>
    <w:next w:val="Normal"/>
    <w:link w:val="Heading8Char"/>
    <w:uiPriority w:val="2"/>
    <w:rsid w:val="00AB0538"/>
    <w:pPr>
      <w:keepNext/>
      <w:keepLines/>
      <w:spacing w:after="240"/>
      <w:ind w:left="1134"/>
      <w:outlineLvl w:val="7"/>
    </w:pPr>
    <w:rPr>
      <w:rFonts w:eastAsiaTheme="majorEastAsia" w:cstheme="majorBidi"/>
      <w:b/>
      <w:color w:val="006283"/>
      <w:szCs w:val="20"/>
      <w:u w:val="single"/>
    </w:rPr>
  </w:style>
  <w:style w:type="paragraph" w:styleId="Heading9">
    <w:name w:val="heading 9"/>
    <w:basedOn w:val="Normal"/>
    <w:next w:val="Normal"/>
    <w:link w:val="Heading9Char"/>
    <w:uiPriority w:val="2"/>
    <w:rsid w:val="00AB0538"/>
    <w:pPr>
      <w:keepNext/>
      <w:keepLines/>
      <w:spacing w:after="240"/>
      <w:ind w:left="1701"/>
      <w:outlineLvl w:val="8"/>
    </w:pPr>
    <w:rPr>
      <w:rFonts w:eastAsiaTheme="majorEastAsia" w:cstheme="majorBidi"/>
      <w:b/>
      <w:iCs/>
      <w:color w:val="00628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0538"/>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AB0538"/>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AB0538"/>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AB0538"/>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AB0538"/>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AB0538"/>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AB0538"/>
    <w:rPr>
      <w:rFonts w:ascii="Verdana" w:eastAsiaTheme="majorEastAsia" w:hAnsi="Verdana" w:cstheme="majorBidi"/>
      <w:b/>
      <w:i/>
      <w:iCs/>
      <w:color w:val="006283"/>
      <w:sz w:val="18"/>
    </w:rPr>
  </w:style>
  <w:style w:type="character" w:customStyle="1" w:styleId="Heading8Char">
    <w:name w:val="Heading 8 Char"/>
    <w:basedOn w:val="DefaultParagraphFont"/>
    <w:link w:val="Heading8"/>
    <w:uiPriority w:val="2"/>
    <w:rsid w:val="00AB0538"/>
    <w:rPr>
      <w:rFonts w:ascii="Verdana" w:eastAsiaTheme="majorEastAsia" w:hAnsi="Verdana" w:cstheme="majorBidi"/>
      <w:b/>
      <w:color w:val="006283"/>
      <w:sz w:val="18"/>
      <w:szCs w:val="20"/>
      <w:u w:val="single"/>
    </w:rPr>
  </w:style>
  <w:style w:type="character" w:customStyle="1" w:styleId="Heading9Char">
    <w:name w:val="Heading 9 Char"/>
    <w:basedOn w:val="DefaultParagraphFont"/>
    <w:link w:val="Heading9"/>
    <w:uiPriority w:val="2"/>
    <w:rsid w:val="00AB0538"/>
    <w:rPr>
      <w:rFonts w:ascii="Verdana" w:eastAsiaTheme="majorEastAsia" w:hAnsi="Verdana" w:cstheme="majorBidi"/>
      <w:b/>
      <w:iCs/>
      <w:color w:val="006283"/>
      <w:sz w:val="18"/>
      <w:szCs w:val="20"/>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lang w:val="en-GB"/>
    </w:rPr>
  </w:style>
  <w:style w:type="paragraph" w:styleId="BodyText">
    <w:name w:val="Body Text"/>
    <w:basedOn w:val="Normal"/>
    <w:link w:val="BodyTextChar"/>
    <w:uiPriority w:val="1"/>
    <w:qFormat/>
    <w:rsid w:val="00AB0538"/>
    <w:pPr>
      <w:numPr>
        <w:ilvl w:val="6"/>
        <w:numId w:val="22"/>
      </w:numPr>
      <w:spacing w:after="240"/>
    </w:pPr>
    <w:rPr>
      <w:lang w:val="fr-FR"/>
    </w:rPr>
  </w:style>
  <w:style w:type="character" w:customStyle="1" w:styleId="BodyTextChar">
    <w:name w:val="Body Text Char"/>
    <w:basedOn w:val="DefaultParagraphFont"/>
    <w:link w:val="BodyText"/>
    <w:uiPriority w:val="1"/>
    <w:rsid w:val="00AB0538"/>
    <w:rPr>
      <w:rFonts w:ascii="Verdana" w:hAnsi="Verdana"/>
      <w:sz w:val="18"/>
      <w:lang w:val="fr-FR"/>
    </w:rPr>
  </w:style>
  <w:style w:type="paragraph" w:styleId="BodyText2">
    <w:name w:val="Body Text 2"/>
    <w:basedOn w:val="Normal"/>
    <w:link w:val="BodyText2Char"/>
    <w:uiPriority w:val="1"/>
    <w:qFormat/>
    <w:rsid w:val="00D747AE"/>
    <w:pPr>
      <w:numPr>
        <w:ilvl w:val="7"/>
        <w:numId w:val="22"/>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22"/>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lang w:val="en-GB"/>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4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lang w:val="en-GB"/>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lang w:val="en-GB"/>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46FD5"/>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qFormat/>
    <w:rsid w:val="00AE20ED"/>
    <w:rPr>
      <w:color w:val="0000FF" w:themeColor="hyperlink"/>
      <w:u w:val="single"/>
      <w:lang w:val="en-GB"/>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lang w:val="en-GB"/>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lang w:val="en-GB"/>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lang w:val="en-GB"/>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lang w:val="en-GB"/>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lang w:val="en-GB"/>
    </w:rPr>
  </w:style>
  <w:style w:type="character" w:styleId="BookTitle">
    <w:name w:val="Book Title"/>
    <w:basedOn w:val="DefaultParagraphFont"/>
    <w:uiPriority w:val="99"/>
    <w:semiHidden/>
    <w:qFormat/>
    <w:rsid w:val="001D0F5C"/>
    <w:rPr>
      <w:b/>
      <w:bCs/>
      <w:smallCaps/>
      <w:spacing w:val="5"/>
      <w:lang w:val="en-GB"/>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lang w:val="en-GB"/>
    </w:rPr>
  </w:style>
  <w:style w:type="character" w:styleId="CommentReference">
    <w:name w:val="annotation reference"/>
    <w:basedOn w:val="DefaultParagraphFont"/>
    <w:uiPriority w:val="99"/>
    <w:semiHidden/>
    <w:unhideWhenUsed/>
    <w:rsid w:val="001D0F5C"/>
    <w:rPr>
      <w:sz w:val="16"/>
      <w:szCs w:val="16"/>
      <w:lang w:val="en-GB"/>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rsid w:val="001D0F5C"/>
    <w:rPr>
      <w:rFonts w:ascii="Verdana" w:hAnsi="Verdana"/>
      <w:sz w:val="20"/>
      <w:szCs w:val="20"/>
      <w:lang w:val="en-GB"/>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rsid w:val="001D0F5C"/>
    <w:rPr>
      <w:rFonts w:ascii="Verdana" w:hAnsi="Verdana"/>
      <w:b/>
      <w:bCs/>
      <w:sz w:val="20"/>
      <w:szCs w:val="20"/>
      <w:lang w:val="en-GB"/>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lang w:val="en-GB"/>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lang w:val="en-GB"/>
    </w:rPr>
  </w:style>
  <w:style w:type="character" w:styleId="Emphasis">
    <w:name w:val="Emphasis"/>
    <w:basedOn w:val="DefaultParagraphFont"/>
    <w:uiPriority w:val="99"/>
    <w:semiHidden/>
    <w:qFormat/>
    <w:rsid w:val="001D0F5C"/>
    <w:rPr>
      <w:i/>
      <w:iCs/>
      <w:lang w:val="en-GB"/>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lang w:val="en-GB"/>
    </w:rPr>
  </w:style>
  <w:style w:type="character" w:styleId="HTMLAcronym">
    <w:name w:val="HTML Acronym"/>
    <w:basedOn w:val="DefaultParagraphFont"/>
    <w:uiPriority w:val="99"/>
    <w:semiHidden/>
    <w:unhideWhenUsed/>
    <w:rsid w:val="001D0F5C"/>
    <w:rPr>
      <w:lang w:val="en-GB"/>
    </w:rPr>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lang w:val="en-GB"/>
    </w:rPr>
  </w:style>
  <w:style w:type="character" w:styleId="HTMLCite">
    <w:name w:val="HTML Cite"/>
    <w:basedOn w:val="DefaultParagraphFont"/>
    <w:uiPriority w:val="99"/>
    <w:semiHidden/>
    <w:unhideWhenUsed/>
    <w:rsid w:val="001D0F5C"/>
    <w:rPr>
      <w:i/>
      <w:iCs/>
      <w:lang w:val="en-GB"/>
    </w:rPr>
  </w:style>
  <w:style w:type="character" w:styleId="HTMLCode">
    <w:name w:val="HTML Code"/>
    <w:basedOn w:val="DefaultParagraphFont"/>
    <w:uiPriority w:val="99"/>
    <w:semiHidden/>
    <w:unhideWhenUsed/>
    <w:rsid w:val="001D0F5C"/>
    <w:rPr>
      <w:rFonts w:ascii="Consolas" w:hAnsi="Consolas" w:cs="Consolas"/>
      <w:sz w:val="20"/>
      <w:szCs w:val="20"/>
      <w:lang w:val="en-GB"/>
    </w:rPr>
  </w:style>
  <w:style w:type="character" w:styleId="HTMLDefinition">
    <w:name w:val="HTML Definition"/>
    <w:basedOn w:val="DefaultParagraphFont"/>
    <w:uiPriority w:val="99"/>
    <w:semiHidden/>
    <w:unhideWhenUsed/>
    <w:rsid w:val="001D0F5C"/>
    <w:rPr>
      <w:i/>
      <w:iCs/>
      <w:lang w:val="en-GB"/>
    </w:rPr>
  </w:style>
  <w:style w:type="character" w:styleId="HTMLKeyboard">
    <w:name w:val="HTML Keyboard"/>
    <w:basedOn w:val="DefaultParagraphFont"/>
    <w:uiPriority w:val="99"/>
    <w:semiHidden/>
    <w:unhideWhenUsed/>
    <w:rsid w:val="001D0F5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lang w:val="en-GB"/>
    </w:rPr>
  </w:style>
  <w:style w:type="character" w:styleId="HTMLSample">
    <w:name w:val="HTML Sample"/>
    <w:basedOn w:val="DefaultParagraphFont"/>
    <w:uiPriority w:val="99"/>
    <w:semiHidden/>
    <w:unhideWhenUsed/>
    <w:rsid w:val="001D0F5C"/>
    <w:rPr>
      <w:rFonts w:ascii="Consolas" w:hAnsi="Consolas" w:cs="Consolas"/>
      <w:sz w:val="24"/>
      <w:szCs w:val="24"/>
      <w:lang w:val="en-GB"/>
    </w:rPr>
  </w:style>
  <w:style w:type="character" w:styleId="HTMLTypewriter">
    <w:name w:val="HTML Typewriter"/>
    <w:basedOn w:val="DefaultParagraphFont"/>
    <w:uiPriority w:val="99"/>
    <w:semiHidden/>
    <w:unhideWhenUsed/>
    <w:rsid w:val="001D0F5C"/>
    <w:rPr>
      <w:rFonts w:ascii="Consolas" w:hAnsi="Consolas" w:cs="Consolas"/>
      <w:sz w:val="20"/>
      <w:szCs w:val="20"/>
      <w:lang w:val="en-GB"/>
    </w:rPr>
  </w:style>
  <w:style w:type="character" w:styleId="HTMLVariable">
    <w:name w:val="HTML Variable"/>
    <w:basedOn w:val="DefaultParagraphFont"/>
    <w:uiPriority w:val="99"/>
    <w:semiHidden/>
    <w:unhideWhenUsed/>
    <w:rsid w:val="001D0F5C"/>
    <w:rPr>
      <w:i/>
      <w:iCs/>
      <w:lang w:val="en-GB"/>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lang w:val="en-GB"/>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D0F5C"/>
    <w:rPr>
      <w:rFonts w:ascii="Verdana" w:hAnsi="Verdana"/>
      <w:b/>
      <w:bCs/>
      <w:i/>
      <w:iCs/>
      <w:color w:val="4F81BD" w:themeColor="accent1"/>
      <w:sz w:val="18"/>
      <w:lang w:val="en-GB"/>
    </w:rPr>
  </w:style>
  <w:style w:type="character" w:styleId="IntenseReference">
    <w:name w:val="Intense Reference"/>
    <w:basedOn w:val="DefaultParagraphFont"/>
    <w:uiPriority w:val="99"/>
    <w:semiHidden/>
    <w:qFormat/>
    <w:rsid w:val="001D0F5C"/>
    <w:rPr>
      <w:b/>
      <w:bCs/>
      <w:smallCaps/>
      <w:color w:val="C0504D" w:themeColor="accent2"/>
      <w:spacing w:val="5"/>
      <w:u w:val="single"/>
      <w:lang w:val="en-GB"/>
    </w:rPr>
  </w:style>
  <w:style w:type="character" w:styleId="LineNumber">
    <w:name w:val="line number"/>
    <w:basedOn w:val="DefaultParagraphFont"/>
    <w:uiPriority w:val="99"/>
    <w:semiHidden/>
    <w:unhideWhenUsed/>
    <w:rsid w:val="001D0F5C"/>
    <w:rPr>
      <w:lang w:val="en-GB"/>
    </w:rPr>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lang w:val="en-GB"/>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lang w:val="en-GB"/>
    </w:rPr>
  </w:style>
  <w:style w:type="character" w:styleId="PageNumber">
    <w:name w:val="page number"/>
    <w:basedOn w:val="DefaultParagraphFont"/>
    <w:uiPriority w:val="99"/>
    <w:semiHidden/>
    <w:unhideWhenUsed/>
    <w:rsid w:val="001D0F5C"/>
    <w:rPr>
      <w:lang w:val="en-GB"/>
    </w:rPr>
  </w:style>
  <w:style w:type="character" w:styleId="PlaceholderText">
    <w:name w:val="Placeholder Text"/>
    <w:basedOn w:val="DefaultParagraphFont"/>
    <w:uiPriority w:val="99"/>
    <w:semiHidden/>
    <w:rsid w:val="001D0F5C"/>
    <w:rPr>
      <w:color w:val="808080"/>
      <w:lang w:val="en-GB"/>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rsid w:val="001D0F5C"/>
    <w:rPr>
      <w:rFonts w:ascii="Consolas" w:hAnsi="Consolas" w:cs="Consolas"/>
      <w:sz w:val="21"/>
      <w:szCs w:val="21"/>
      <w:lang w:val="en-GB"/>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59"/>
    <w:semiHidden/>
    <w:rsid w:val="001D0F5C"/>
    <w:rPr>
      <w:rFonts w:ascii="Verdana" w:hAnsi="Verdana"/>
      <w:i/>
      <w:iCs/>
      <w:color w:val="000000" w:themeColor="text1"/>
      <w:sz w:val="18"/>
      <w:lang w:val="en-GB"/>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lang w:val="en-GB"/>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lang w:val="en-GB"/>
    </w:rPr>
  </w:style>
  <w:style w:type="character" w:styleId="Strong">
    <w:name w:val="Strong"/>
    <w:basedOn w:val="DefaultParagraphFont"/>
    <w:uiPriority w:val="99"/>
    <w:semiHidden/>
    <w:qFormat/>
    <w:rsid w:val="001D0F5C"/>
    <w:rPr>
      <w:b/>
      <w:bCs/>
      <w:lang w:val="en-GB"/>
    </w:rPr>
  </w:style>
  <w:style w:type="character" w:styleId="SubtleEmphasis">
    <w:name w:val="Subtle Emphasis"/>
    <w:basedOn w:val="DefaultParagraphFont"/>
    <w:uiPriority w:val="99"/>
    <w:semiHidden/>
    <w:qFormat/>
    <w:rsid w:val="001D0F5C"/>
    <w:rPr>
      <w:i/>
      <w:iCs/>
      <w:color w:val="808080" w:themeColor="text1" w:themeTint="7F"/>
      <w:lang w:val="en-GB"/>
    </w:rPr>
  </w:style>
  <w:style w:type="character" w:styleId="SubtleReference">
    <w:name w:val="Subtle Reference"/>
    <w:basedOn w:val="DefaultParagraphFont"/>
    <w:uiPriority w:val="99"/>
    <w:semiHidden/>
    <w:qFormat/>
    <w:rsid w:val="001D0F5C"/>
    <w:rPr>
      <w:smallCaps/>
      <w:color w:val="C0504D" w:themeColor="accent2"/>
      <w:u w:val="single"/>
      <w:lang w:val="en-GB"/>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7621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621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621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621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621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621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621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621B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621B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621B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621B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621B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621B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621B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621B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621B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621B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621B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621B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621B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621B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621B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621B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621B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621B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621B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621B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621B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rsid w:val="007621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621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621B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621B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621B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621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621B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621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621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621B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621B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621B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621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621B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621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21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621B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621B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621B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621B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621B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7621B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621B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621B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621B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621B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621B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621B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621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621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621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621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621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621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621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621B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621B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621B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621B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621B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621B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621B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621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621B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621B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621B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621B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621B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621B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621B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621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621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621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621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621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621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621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7621B0"/>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621B0"/>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621B0"/>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621B0"/>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621B0"/>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621B0"/>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621B0"/>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621B0"/>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621B0"/>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621B0"/>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621B0"/>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621B0"/>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621B0"/>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621B0"/>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621B0"/>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621B0"/>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621B0"/>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621B0"/>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621B0"/>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621B0"/>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621B0"/>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621B0"/>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621B0"/>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621B0"/>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621B0"/>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621B0"/>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621B0"/>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621B0"/>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621B0"/>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621B0"/>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621B0"/>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621B0"/>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621B0"/>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621B0"/>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621B0"/>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621B0"/>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621B0"/>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621B0"/>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621B0"/>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621B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621B0"/>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621B0"/>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621B0"/>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2250">
      <w:bodyDiv w:val="1"/>
      <w:marLeft w:val="0"/>
      <w:marRight w:val="0"/>
      <w:marTop w:val="0"/>
      <w:marBottom w:val="0"/>
      <w:divBdr>
        <w:top w:val="none" w:sz="0" w:space="0" w:color="auto"/>
        <w:left w:val="none" w:sz="0" w:space="0" w:color="auto"/>
        <w:bottom w:val="none" w:sz="0" w:space="0" w:color="auto"/>
        <w:right w:val="none" w:sz="0" w:space="0" w:color="auto"/>
      </w:divBdr>
    </w:div>
    <w:div w:id="18708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RD_Triling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1A82-C634-4C48-8F1A-2F909374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RD_Trilingual.dotx</Template>
  <TotalTime>4</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2023-02-17T16:27:00Z</dcterms:created>
  <dcterms:modified xsi:type="dcterms:W3CDTF">2023-02-20T07:42:00Z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a43f871d-be64-4037-ab96-4eadd65d72e2</vt:lpwstr>
  </property>
  <property fmtid="{D5CDD505-2E9C-101B-9397-08002B2CF9AE}" pid="3" name="WTOCLASSIFICATION">
    <vt:lpwstr>WTO OFFICIAL</vt:lpwstr>
  </property>
  <property fmtid="{D5CDD505-2E9C-101B-9397-08002B2CF9AE}" pid="4" name="Symbol1">
    <vt:lpwstr>INF/TE/IDP/RD/113</vt:lpwstr>
  </property>
</Properties>
</file>