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B0B1" w14:textId="77777777" w:rsidR="003B23B9" w:rsidRDefault="00D42E8D" w:rsidP="003B23B9">
      <w:pPr>
        <w:pStyle w:val="Title"/>
      </w:pPr>
      <w:r w:rsidRPr="0068687F">
        <w:t>NOTIFICATION OF LAWS AND REGULATIONS</w:t>
      </w:r>
      <w:r w:rsidR="00601873">
        <w:br/>
      </w:r>
      <w:r>
        <w:t xml:space="preserve">UNDER ARTICLE 63.2 OF THE TRIPS </w:t>
      </w:r>
      <w:r w:rsidRPr="0068687F">
        <w:t>AGREEMENT</w:t>
      </w:r>
    </w:p>
    <w:p w14:paraId="628C6F9C" w14:textId="4E908D12" w:rsidR="006B338F" w:rsidRDefault="00D42E8D" w:rsidP="003B23B9">
      <w:pPr>
        <w:pStyle w:val="Title2"/>
      </w:pPr>
      <w:bookmarkStart w:id="0" w:name="bmkNotifyingMemberName1"/>
      <w:r w:rsidRPr="003E7F48">
        <w:t>Kingdom of Saudi Arabia</w:t>
      </w:r>
      <w:bookmarkEnd w:id="0"/>
      <w:r w:rsidRPr="0006390F">
        <w:t xml:space="preserve">: </w:t>
      </w:r>
      <w:bookmarkStart w:id="1" w:name="BMKTITLE1"/>
      <w:r w:rsidR="0000096E">
        <w:t xml:space="preserve">The Implementing Regulations </w:t>
      </w:r>
      <w:r>
        <w:br/>
      </w:r>
      <w:r w:rsidR="0000096E">
        <w:t>of the Commercial Courts Law</w:t>
      </w:r>
      <w:bookmarkEnd w:id="1"/>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89081F" w:rsidRPr="001A71B5" w14:paraId="08668178" w14:textId="77777777" w:rsidTr="00A42DE3">
        <w:tc>
          <w:tcPr>
            <w:tcW w:w="2107" w:type="dxa"/>
            <w:gridSpan w:val="2"/>
            <w:tcBorders>
              <w:top w:val="double" w:sz="4" w:space="0" w:color="auto"/>
              <w:bottom w:val="double" w:sz="4" w:space="0" w:color="auto"/>
            </w:tcBorders>
            <w:shd w:val="clear" w:color="auto" w:fill="auto"/>
            <w:tcMar>
              <w:top w:w="57" w:type="dxa"/>
              <w:bottom w:w="57" w:type="dxa"/>
            </w:tcMar>
          </w:tcPr>
          <w:p w14:paraId="40A2906F" w14:textId="77777777" w:rsidR="00CD3722" w:rsidRPr="001A71B5" w:rsidRDefault="00D42E8D" w:rsidP="003D642A">
            <w:pPr>
              <w:jc w:val="left"/>
              <w:rPr>
                <w:b/>
                <w:szCs w:val="18"/>
              </w:rPr>
            </w:pPr>
            <w:r w:rsidRPr="001A71B5">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378BC738" w14:textId="77777777" w:rsidR="00CD3722" w:rsidRPr="001A71B5" w:rsidRDefault="00D42E8D" w:rsidP="003D642A">
            <w:pPr>
              <w:rPr>
                <w:b/>
                <w:smallCaps/>
                <w:szCs w:val="18"/>
              </w:rPr>
            </w:pPr>
            <w:bookmarkStart w:id="2" w:name="bmkNotifyingMemberName2"/>
            <w:r w:rsidRPr="001A71B5">
              <w:rPr>
                <w:b/>
                <w:smallCaps/>
                <w:szCs w:val="18"/>
              </w:rPr>
              <w:t>Kingdom of Saudi Arabia</w:t>
            </w:r>
            <w:bookmarkEnd w:id="2"/>
          </w:p>
        </w:tc>
      </w:tr>
      <w:tr w:rsidR="0089081F" w:rsidRPr="001A71B5" w14:paraId="37E59010" w14:textId="77777777" w:rsidTr="00A42DE3">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5F818F11" w14:textId="77777777" w:rsidR="003202BA" w:rsidRPr="001A71B5" w:rsidRDefault="003202BA" w:rsidP="003202BA">
            <w:pPr>
              <w:jc w:val="left"/>
              <w:rPr>
                <w:b/>
                <w:szCs w:val="18"/>
              </w:rPr>
            </w:pPr>
          </w:p>
          <w:p w14:paraId="085A5B0B" w14:textId="77777777" w:rsidR="003202BA" w:rsidRPr="001A71B5" w:rsidRDefault="00D42E8D" w:rsidP="003202BA">
            <w:pPr>
              <w:jc w:val="left"/>
              <w:rPr>
                <w:b/>
                <w:szCs w:val="18"/>
              </w:rPr>
            </w:pPr>
            <w:r w:rsidRPr="001A71B5">
              <w:rPr>
                <w:b/>
                <w:szCs w:val="18"/>
              </w:rPr>
              <w:t>Details of the notified legal text</w:t>
            </w:r>
          </w:p>
          <w:p w14:paraId="0D635CA3" w14:textId="77777777" w:rsidR="003202BA" w:rsidRPr="001A71B5" w:rsidRDefault="003202BA" w:rsidP="003D642A">
            <w:pPr>
              <w:rPr>
                <w:b/>
                <w:smallCaps/>
                <w:szCs w:val="18"/>
              </w:rPr>
            </w:pPr>
          </w:p>
        </w:tc>
      </w:tr>
      <w:tr w:rsidR="0089081F" w:rsidRPr="001A71B5" w14:paraId="19E05C56" w14:textId="77777777" w:rsidTr="00A42DE3">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7CD48E26" w14:textId="77777777" w:rsidR="006B338F" w:rsidRPr="001A71B5" w:rsidRDefault="00D42E8D" w:rsidP="00F12B88">
            <w:pPr>
              <w:jc w:val="left"/>
              <w:rPr>
                <w:b/>
                <w:szCs w:val="18"/>
              </w:rPr>
            </w:pPr>
            <w:r w:rsidRPr="001A71B5">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015E4DEE" w14:textId="77777777" w:rsidR="006B338F" w:rsidRPr="001A71B5" w:rsidRDefault="00D42E8D" w:rsidP="00165C7A">
            <w:pPr>
              <w:rPr>
                <w:szCs w:val="18"/>
              </w:rPr>
            </w:pPr>
            <w:bookmarkStart w:id="3" w:name="bmkTitle2"/>
            <w:r w:rsidRPr="001A71B5">
              <w:rPr>
                <w:szCs w:val="18"/>
              </w:rPr>
              <w:t>The Implementing Regulations of the Commercial Courts Law</w:t>
            </w:r>
            <w:bookmarkEnd w:id="3"/>
          </w:p>
        </w:tc>
      </w:tr>
      <w:tr w:rsidR="0089081F" w:rsidRPr="001A71B5" w14:paraId="727A3912" w14:textId="77777777" w:rsidTr="00A42DE3">
        <w:trPr>
          <w:trHeight w:val="282"/>
        </w:trPr>
        <w:tc>
          <w:tcPr>
            <w:tcW w:w="2107" w:type="dxa"/>
            <w:gridSpan w:val="2"/>
            <w:tcBorders>
              <w:top w:val="single" w:sz="4" w:space="0" w:color="auto"/>
            </w:tcBorders>
            <w:shd w:val="clear" w:color="auto" w:fill="auto"/>
            <w:tcMar>
              <w:top w:w="57" w:type="dxa"/>
              <w:bottom w:w="57" w:type="dxa"/>
            </w:tcMar>
          </w:tcPr>
          <w:p w14:paraId="4F42FD8C" w14:textId="77777777" w:rsidR="00165C7A" w:rsidRPr="001A71B5" w:rsidRDefault="00D42E8D" w:rsidP="00165C7A">
            <w:pPr>
              <w:jc w:val="left"/>
              <w:rPr>
                <w:b/>
                <w:szCs w:val="18"/>
              </w:rPr>
            </w:pPr>
            <w:r w:rsidRPr="001A71B5">
              <w:rPr>
                <w:b/>
                <w:szCs w:val="18"/>
              </w:rPr>
              <w:t>Subject matter</w:t>
            </w:r>
          </w:p>
        </w:tc>
        <w:tc>
          <w:tcPr>
            <w:tcW w:w="7135" w:type="dxa"/>
            <w:tcBorders>
              <w:top w:val="single" w:sz="4" w:space="0" w:color="auto"/>
            </w:tcBorders>
            <w:shd w:val="clear" w:color="auto" w:fill="auto"/>
            <w:tcMar>
              <w:top w:w="57" w:type="dxa"/>
              <w:bottom w:w="57" w:type="dxa"/>
            </w:tcMar>
          </w:tcPr>
          <w:p w14:paraId="5805D2F0" w14:textId="77777777" w:rsidR="006B338F" w:rsidRPr="001A71B5" w:rsidRDefault="00D42E8D" w:rsidP="0084059E">
            <w:pPr>
              <w:rPr>
                <w:smallCaps/>
                <w:szCs w:val="18"/>
              </w:rPr>
            </w:pPr>
            <w:bookmarkStart w:id="4" w:name="bmkTopics"/>
            <w:r w:rsidRPr="001A71B5">
              <w:rPr>
                <w:szCs w:val="18"/>
              </w:rPr>
              <w:t>Enforcement</w:t>
            </w:r>
            <w:bookmarkEnd w:id="4"/>
          </w:p>
        </w:tc>
      </w:tr>
      <w:tr w:rsidR="0089081F" w:rsidRPr="001A71B5" w14:paraId="137BF546" w14:textId="77777777" w:rsidTr="00A42DE3">
        <w:trPr>
          <w:trHeight w:val="458"/>
        </w:trPr>
        <w:tc>
          <w:tcPr>
            <w:tcW w:w="2107" w:type="dxa"/>
            <w:gridSpan w:val="2"/>
            <w:shd w:val="clear" w:color="auto" w:fill="auto"/>
            <w:tcMar>
              <w:top w:w="57" w:type="dxa"/>
              <w:bottom w:w="57" w:type="dxa"/>
            </w:tcMar>
          </w:tcPr>
          <w:p w14:paraId="55EC595B" w14:textId="77777777" w:rsidR="006B338F" w:rsidRPr="001A71B5" w:rsidRDefault="00D42E8D" w:rsidP="00165C7A">
            <w:pPr>
              <w:jc w:val="left"/>
              <w:rPr>
                <w:b/>
                <w:szCs w:val="18"/>
              </w:rPr>
            </w:pPr>
            <w:r w:rsidRPr="001A71B5">
              <w:rPr>
                <w:b/>
                <w:szCs w:val="18"/>
              </w:rPr>
              <w:t>Nature of notification</w:t>
            </w:r>
          </w:p>
        </w:tc>
        <w:tc>
          <w:tcPr>
            <w:tcW w:w="7135" w:type="dxa"/>
            <w:shd w:val="clear" w:color="auto" w:fill="auto"/>
            <w:tcMar>
              <w:top w:w="57" w:type="dxa"/>
              <w:bottom w:w="57" w:type="dxa"/>
            </w:tcMar>
          </w:tcPr>
          <w:p w14:paraId="672CCE99" w14:textId="77777777" w:rsidR="006B338F" w:rsidRPr="001A71B5" w:rsidRDefault="00D42E8D" w:rsidP="00144045">
            <w:pPr>
              <w:ind w:left="562" w:hanging="562"/>
              <w:rPr>
                <w:smallCaps/>
                <w:szCs w:val="18"/>
              </w:rPr>
            </w:pPr>
            <w:r w:rsidRPr="001A71B5">
              <w:rPr>
                <w:szCs w:val="18"/>
              </w:rPr>
              <w:t>[  </w:t>
            </w:r>
            <w:bookmarkStart w:id="5" w:name="bmkNatureOfNotification1"/>
            <w:bookmarkEnd w:id="5"/>
            <w:r w:rsidRPr="001A71B5">
              <w:rPr>
                <w:szCs w:val="18"/>
              </w:rPr>
              <w:t>]</w:t>
            </w:r>
            <w:r w:rsidRPr="001A71B5">
              <w:rPr>
                <w:szCs w:val="18"/>
              </w:rPr>
              <w:tab/>
              <w:t>Main dedicated intellectual property law or regulation</w:t>
            </w:r>
          </w:p>
          <w:p w14:paraId="3CFEBBEB" w14:textId="77777777" w:rsidR="006B338F" w:rsidRPr="001A71B5" w:rsidRDefault="00D42E8D" w:rsidP="00144045">
            <w:pPr>
              <w:ind w:left="562" w:hanging="562"/>
              <w:rPr>
                <w:smallCaps/>
                <w:szCs w:val="18"/>
                <w:lang w:eastAsia="en-GB"/>
              </w:rPr>
            </w:pPr>
            <w:r w:rsidRPr="001A71B5">
              <w:rPr>
                <w:szCs w:val="18"/>
              </w:rPr>
              <w:t>[X</w:t>
            </w:r>
            <w:bookmarkStart w:id="6" w:name="bmkNatureOfNotification2"/>
            <w:bookmarkEnd w:id="6"/>
            <w:r w:rsidRPr="001A71B5">
              <w:rPr>
                <w:szCs w:val="18"/>
              </w:rPr>
              <w:t>]</w:t>
            </w:r>
            <w:r w:rsidRPr="001A71B5">
              <w:rPr>
                <w:szCs w:val="18"/>
              </w:rPr>
              <w:tab/>
            </w:r>
            <w:r w:rsidRPr="001A71B5">
              <w:rPr>
                <w:szCs w:val="18"/>
                <w:lang w:eastAsia="en-GB"/>
              </w:rPr>
              <w:t>Other law or regulation</w:t>
            </w:r>
          </w:p>
        </w:tc>
      </w:tr>
      <w:tr w:rsidR="0089081F" w:rsidRPr="001A71B5" w14:paraId="6ABFAF0C" w14:textId="77777777" w:rsidTr="00A42DE3">
        <w:trPr>
          <w:trHeight w:val="297"/>
        </w:trPr>
        <w:tc>
          <w:tcPr>
            <w:tcW w:w="2107" w:type="dxa"/>
            <w:gridSpan w:val="2"/>
            <w:shd w:val="clear" w:color="auto" w:fill="auto"/>
            <w:tcMar>
              <w:top w:w="57" w:type="dxa"/>
              <w:bottom w:w="57" w:type="dxa"/>
            </w:tcMar>
          </w:tcPr>
          <w:p w14:paraId="157D3C2C" w14:textId="77777777" w:rsidR="006B338F" w:rsidRPr="001A71B5" w:rsidRDefault="00D42E8D" w:rsidP="00165C7A">
            <w:pPr>
              <w:jc w:val="left"/>
              <w:rPr>
                <w:b/>
                <w:szCs w:val="18"/>
              </w:rPr>
            </w:pPr>
            <w:r w:rsidRPr="001A71B5">
              <w:rPr>
                <w:b/>
                <w:szCs w:val="18"/>
              </w:rPr>
              <w:t>Link to legal text</w:t>
            </w:r>
            <w:r w:rsidRPr="001A71B5">
              <w:rPr>
                <w:rStyle w:val="EndnoteReference"/>
                <w:b/>
                <w:szCs w:val="18"/>
              </w:rPr>
              <w:endnoteReference w:id="1"/>
            </w:r>
          </w:p>
        </w:tc>
        <w:tc>
          <w:tcPr>
            <w:tcW w:w="7135" w:type="dxa"/>
            <w:shd w:val="clear" w:color="auto" w:fill="auto"/>
            <w:tcMar>
              <w:top w:w="57" w:type="dxa"/>
              <w:bottom w:w="57" w:type="dxa"/>
            </w:tcMar>
          </w:tcPr>
          <w:p w14:paraId="007A313D" w14:textId="77777777" w:rsidR="00165C7A" w:rsidRPr="001A71B5" w:rsidRDefault="005D5C9E" w:rsidP="000243EF">
            <w:pPr>
              <w:rPr>
                <w:szCs w:val="18"/>
                <w:lang w:eastAsia="en-GB"/>
              </w:rPr>
            </w:pPr>
            <w:hyperlink r:id="rId7" w:tgtFrame="_blank" w:history="1">
              <w:r w:rsidR="00D42E8D" w:rsidRPr="001A71B5">
                <w:rPr>
                  <w:color w:val="0000FF"/>
                  <w:szCs w:val="18"/>
                  <w:u w:val="single"/>
                </w:rPr>
                <w:t>https://ip-documents.info/2022/IP/SAU/22_1464_00_e.pdf</w:t>
              </w:r>
            </w:hyperlink>
            <w:r w:rsidR="00D42E8D" w:rsidRPr="001A71B5">
              <w:rPr>
                <w:szCs w:val="18"/>
              </w:rPr>
              <w:t xml:space="preserve"> </w:t>
            </w:r>
            <w:r w:rsidR="00D42E8D" w:rsidRPr="001A71B5">
              <w:rPr>
                <w:szCs w:val="18"/>
              </w:rPr>
              <w:br/>
            </w:r>
            <w:hyperlink r:id="rId8" w:tgtFrame="_blank" w:history="1">
              <w:r w:rsidR="00D42E8D" w:rsidRPr="001A71B5">
                <w:rPr>
                  <w:color w:val="0000FF"/>
                  <w:szCs w:val="18"/>
                  <w:u w:val="single"/>
                </w:rPr>
                <w:t>https://ip-documents.info/2022/IP/SAU/22_1464_00_x.pdf</w:t>
              </w:r>
            </w:hyperlink>
            <w:bookmarkStart w:id="7" w:name="bmkNotifiedDocumentLink"/>
            <w:bookmarkEnd w:id="7"/>
          </w:p>
        </w:tc>
      </w:tr>
      <w:tr w:rsidR="0089081F" w:rsidRPr="001A71B5" w14:paraId="7F9B56EC" w14:textId="77777777" w:rsidTr="00A42DE3">
        <w:trPr>
          <w:trHeight w:val="567"/>
        </w:trPr>
        <w:tc>
          <w:tcPr>
            <w:tcW w:w="2107" w:type="dxa"/>
            <w:gridSpan w:val="2"/>
            <w:shd w:val="clear" w:color="auto" w:fill="auto"/>
            <w:tcMar>
              <w:top w:w="57" w:type="dxa"/>
              <w:bottom w:w="57" w:type="dxa"/>
            </w:tcMar>
          </w:tcPr>
          <w:p w14:paraId="56AB60E9" w14:textId="77777777" w:rsidR="006B338F" w:rsidRPr="001A71B5" w:rsidRDefault="00D42E8D" w:rsidP="00165C7A">
            <w:pPr>
              <w:jc w:val="left"/>
              <w:rPr>
                <w:b/>
                <w:szCs w:val="18"/>
              </w:rPr>
            </w:pPr>
            <w:r w:rsidRPr="001A71B5">
              <w:rPr>
                <w:b/>
                <w:szCs w:val="18"/>
              </w:rPr>
              <w:t>Notification status</w:t>
            </w:r>
          </w:p>
        </w:tc>
        <w:tc>
          <w:tcPr>
            <w:tcW w:w="7135" w:type="dxa"/>
            <w:shd w:val="clear" w:color="auto" w:fill="auto"/>
            <w:tcMar>
              <w:top w:w="57" w:type="dxa"/>
              <w:bottom w:w="57" w:type="dxa"/>
            </w:tcMar>
          </w:tcPr>
          <w:p w14:paraId="07B1B220" w14:textId="77777777" w:rsidR="006B338F" w:rsidRPr="001A71B5" w:rsidRDefault="00D42E8D" w:rsidP="00144045">
            <w:pPr>
              <w:ind w:left="562" w:hanging="562"/>
              <w:rPr>
                <w:szCs w:val="18"/>
              </w:rPr>
            </w:pPr>
            <w:r w:rsidRPr="001A71B5">
              <w:rPr>
                <w:szCs w:val="18"/>
              </w:rPr>
              <w:t>[X</w:t>
            </w:r>
            <w:bookmarkStart w:id="8" w:name="bmkNotificationStatus1"/>
            <w:bookmarkEnd w:id="8"/>
            <w:r w:rsidRPr="001A71B5">
              <w:rPr>
                <w:szCs w:val="18"/>
              </w:rPr>
              <w:t>]</w:t>
            </w:r>
            <w:r w:rsidRPr="001A71B5">
              <w:rPr>
                <w:szCs w:val="18"/>
              </w:rPr>
              <w:tab/>
              <w:t>First notification</w:t>
            </w:r>
          </w:p>
          <w:p w14:paraId="470B232E" w14:textId="77777777" w:rsidR="006B338F" w:rsidRPr="001A71B5" w:rsidRDefault="00D42E8D" w:rsidP="00144045">
            <w:pPr>
              <w:ind w:left="567" w:hanging="567"/>
              <w:rPr>
                <w:szCs w:val="18"/>
                <w:lang w:eastAsia="en-GB"/>
              </w:rPr>
            </w:pPr>
            <w:r w:rsidRPr="001A71B5">
              <w:rPr>
                <w:szCs w:val="18"/>
              </w:rPr>
              <w:t>[  </w:t>
            </w:r>
            <w:bookmarkStart w:id="9" w:name="bmkNotificationStatus2"/>
            <w:bookmarkEnd w:id="9"/>
            <w:r w:rsidRPr="001A71B5">
              <w:rPr>
                <w:szCs w:val="18"/>
              </w:rPr>
              <w:t>]</w:t>
            </w:r>
            <w:r w:rsidRPr="001A71B5">
              <w:rPr>
                <w:szCs w:val="18"/>
              </w:rPr>
              <w:tab/>
              <w:t>A</w:t>
            </w:r>
            <w:r w:rsidRPr="001A71B5">
              <w:rPr>
                <w:szCs w:val="18"/>
                <w:lang w:eastAsia="en-GB"/>
              </w:rPr>
              <w:t>mendment or revision to notified legal text</w:t>
            </w:r>
          </w:p>
          <w:p w14:paraId="11518656" w14:textId="77777777" w:rsidR="006B338F" w:rsidRPr="001A71B5" w:rsidRDefault="00D42E8D" w:rsidP="00144045">
            <w:pPr>
              <w:ind w:left="567" w:hanging="567"/>
              <w:rPr>
                <w:szCs w:val="18"/>
              </w:rPr>
            </w:pPr>
            <w:r w:rsidRPr="001A71B5">
              <w:rPr>
                <w:szCs w:val="18"/>
              </w:rPr>
              <w:t>[  </w:t>
            </w:r>
            <w:bookmarkStart w:id="10" w:name="bmkNotificationStatus3"/>
            <w:bookmarkEnd w:id="10"/>
            <w:r w:rsidRPr="001A71B5">
              <w:rPr>
                <w:szCs w:val="18"/>
              </w:rPr>
              <w:t>]</w:t>
            </w:r>
            <w:r w:rsidRPr="001A71B5">
              <w:rPr>
                <w:smallCaps/>
                <w:szCs w:val="18"/>
              </w:rPr>
              <w:tab/>
            </w:r>
            <w:r w:rsidRPr="001A71B5">
              <w:rPr>
                <w:szCs w:val="18"/>
              </w:rPr>
              <w:t>Replacement or consolidation of notified legal text(s)</w:t>
            </w:r>
          </w:p>
        </w:tc>
      </w:tr>
      <w:tr w:rsidR="0089081F" w:rsidRPr="001A71B5" w14:paraId="07005457" w14:textId="77777777" w:rsidTr="00A42DE3">
        <w:trPr>
          <w:trHeight w:val="567"/>
        </w:trPr>
        <w:tc>
          <w:tcPr>
            <w:tcW w:w="2107" w:type="dxa"/>
            <w:gridSpan w:val="2"/>
            <w:shd w:val="clear" w:color="auto" w:fill="auto"/>
            <w:tcMar>
              <w:top w:w="57" w:type="dxa"/>
              <w:bottom w:w="57" w:type="dxa"/>
            </w:tcMar>
          </w:tcPr>
          <w:p w14:paraId="05629918" w14:textId="77777777" w:rsidR="006B338F" w:rsidRPr="001A71B5" w:rsidRDefault="00D42E8D" w:rsidP="00165C7A">
            <w:pPr>
              <w:jc w:val="left"/>
              <w:rPr>
                <w:b/>
                <w:szCs w:val="18"/>
              </w:rPr>
            </w:pPr>
            <w:r w:rsidRPr="001A71B5">
              <w:rPr>
                <w:b/>
                <w:szCs w:val="18"/>
              </w:rPr>
              <w:t>Previous notification(s) referred to</w:t>
            </w:r>
          </w:p>
        </w:tc>
        <w:tc>
          <w:tcPr>
            <w:tcW w:w="7135" w:type="dxa"/>
            <w:shd w:val="clear" w:color="auto" w:fill="auto"/>
            <w:tcMar>
              <w:top w:w="57" w:type="dxa"/>
              <w:bottom w:w="57" w:type="dxa"/>
            </w:tcMar>
          </w:tcPr>
          <w:p w14:paraId="3297DCDA" w14:textId="77777777" w:rsidR="006B338F" w:rsidRPr="001A71B5" w:rsidRDefault="00D42E8D" w:rsidP="00165C7A">
            <w:pPr>
              <w:rPr>
                <w:szCs w:val="18"/>
                <w:lang w:eastAsia="en-GB"/>
              </w:rPr>
            </w:pPr>
            <w:r w:rsidRPr="001A71B5">
              <w:rPr>
                <w:szCs w:val="18"/>
              </w:rPr>
              <w:t>Not applicable</w:t>
            </w:r>
            <w:bookmarkStart w:id="11" w:name="bmkPreviousNotifications"/>
            <w:bookmarkEnd w:id="11"/>
          </w:p>
        </w:tc>
      </w:tr>
      <w:tr w:rsidR="0089081F" w:rsidRPr="001A71B5" w14:paraId="77E71D2B" w14:textId="77777777" w:rsidTr="00A42DE3">
        <w:trPr>
          <w:trHeight w:val="567"/>
        </w:trPr>
        <w:tc>
          <w:tcPr>
            <w:tcW w:w="9242" w:type="dxa"/>
            <w:gridSpan w:val="3"/>
            <w:shd w:val="clear" w:color="auto" w:fill="auto"/>
            <w:tcMar>
              <w:top w:w="57" w:type="dxa"/>
              <w:bottom w:w="57" w:type="dxa"/>
            </w:tcMar>
          </w:tcPr>
          <w:p w14:paraId="32B04979" w14:textId="174BF20C" w:rsidR="006B338F" w:rsidRPr="001A71B5" w:rsidRDefault="00D42E8D" w:rsidP="00CD3722">
            <w:pPr>
              <w:jc w:val="left"/>
              <w:rPr>
                <w:b/>
                <w:szCs w:val="18"/>
              </w:rPr>
            </w:pPr>
            <w:r w:rsidRPr="001A71B5">
              <w:rPr>
                <w:b/>
                <w:szCs w:val="18"/>
              </w:rPr>
              <w:t>Brief description of the notified legal text</w:t>
            </w:r>
          </w:p>
          <w:p w14:paraId="579167F6" w14:textId="77777777" w:rsidR="00A42DE3" w:rsidRPr="001A71B5" w:rsidRDefault="00A42DE3" w:rsidP="00CD3722">
            <w:pPr>
              <w:jc w:val="left"/>
              <w:rPr>
                <w:b/>
                <w:szCs w:val="18"/>
              </w:rPr>
            </w:pPr>
          </w:p>
          <w:p w14:paraId="2FFF85D1" w14:textId="4506AD0F" w:rsidR="006B338F" w:rsidRPr="001A71B5" w:rsidRDefault="00D42E8D" w:rsidP="00BB290F">
            <w:pPr>
              <w:rPr>
                <w:szCs w:val="18"/>
              </w:rPr>
            </w:pPr>
            <w:bookmarkStart w:id="12" w:name="bmkDescription"/>
            <w:r w:rsidRPr="001A71B5">
              <w:rPr>
                <w:szCs w:val="18"/>
              </w:rPr>
              <w:t xml:space="preserve">The Saudi </w:t>
            </w:r>
            <w:r w:rsidR="00A42DE3" w:rsidRPr="001A71B5">
              <w:rPr>
                <w:szCs w:val="18"/>
              </w:rPr>
              <w:t>M</w:t>
            </w:r>
            <w:r w:rsidRPr="001A71B5">
              <w:rPr>
                <w:szCs w:val="18"/>
              </w:rPr>
              <w:t xml:space="preserve">inistry of </w:t>
            </w:r>
            <w:r w:rsidR="00A42DE3" w:rsidRPr="001A71B5">
              <w:rPr>
                <w:szCs w:val="18"/>
              </w:rPr>
              <w:t>J</w:t>
            </w:r>
            <w:r w:rsidRPr="001A71B5">
              <w:rPr>
                <w:szCs w:val="18"/>
              </w:rPr>
              <w:t>ustice has approved implementing regulations for the Law of Commercial Courts, aiming to enhance the commercial judiciary, fast-track decisions, and boost the business environment in Saudi Arabia.</w:t>
            </w:r>
          </w:p>
          <w:p w14:paraId="12FAE54B" w14:textId="77777777" w:rsidR="00A42DE3" w:rsidRPr="001A71B5" w:rsidRDefault="00A42DE3" w:rsidP="00BB290F">
            <w:pPr>
              <w:rPr>
                <w:b/>
                <w:szCs w:val="18"/>
              </w:rPr>
            </w:pPr>
          </w:p>
          <w:p w14:paraId="78BD7B1D" w14:textId="3E3B29D1" w:rsidR="0089081F" w:rsidRPr="001A71B5" w:rsidRDefault="00D42E8D" w:rsidP="00BB290F">
            <w:pPr>
              <w:rPr>
                <w:szCs w:val="18"/>
              </w:rPr>
            </w:pPr>
            <w:r w:rsidRPr="001A71B5">
              <w:rPr>
                <w:szCs w:val="18"/>
              </w:rPr>
              <w:t>The regulations provide for a special agreement between the parties and the organization of court panels according to the type of cases. They also define the works of court assistants, controls of employing the private sector, and expansion of expert witnesses to include merchants. The regulations also set forth e-litigation procedures, the jurisdiction of commercial courts, mediation and adjudication procedures, case management, and the quorum of judicial panels.</w:t>
            </w:r>
          </w:p>
          <w:p w14:paraId="7EBFF9E8" w14:textId="77777777" w:rsidR="00A42DE3" w:rsidRPr="001A71B5" w:rsidRDefault="00A42DE3" w:rsidP="00BB290F">
            <w:pPr>
              <w:rPr>
                <w:szCs w:val="18"/>
              </w:rPr>
            </w:pPr>
          </w:p>
          <w:p w14:paraId="51ED4CA1" w14:textId="77777777" w:rsidR="0089081F" w:rsidRPr="001A71B5" w:rsidRDefault="00D42E8D" w:rsidP="00BB290F">
            <w:pPr>
              <w:rPr>
                <w:szCs w:val="18"/>
              </w:rPr>
            </w:pPr>
            <w:r w:rsidRPr="001A71B5">
              <w:rPr>
                <w:szCs w:val="18"/>
              </w:rPr>
              <w:t>They also provide for grievances and appeals, the judgments and decisions requiring pleadings, the duration of small claims, and the rules of class actions.</w:t>
            </w:r>
            <w:bookmarkEnd w:id="12"/>
          </w:p>
          <w:p w14:paraId="1828FFB9" w14:textId="004E2BA7" w:rsidR="00A42DE3" w:rsidRPr="001A71B5" w:rsidRDefault="00A42DE3" w:rsidP="00BB290F">
            <w:pPr>
              <w:rPr>
                <w:szCs w:val="18"/>
              </w:rPr>
            </w:pPr>
          </w:p>
        </w:tc>
      </w:tr>
      <w:tr w:rsidR="0089081F" w:rsidRPr="001A71B5" w14:paraId="24DC6656" w14:textId="77777777" w:rsidTr="00A42DE3">
        <w:trPr>
          <w:trHeight w:val="567"/>
        </w:trPr>
        <w:tc>
          <w:tcPr>
            <w:tcW w:w="2107" w:type="dxa"/>
            <w:gridSpan w:val="2"/>
            <w:tcBorders>
              <w:bottom w:val="single" w:sz="4" w:space="0" w:color="auto"/>
            </w:tcBorders>
            <w:shd w:val="clear" w:color="auto" w:fill="auto"/>
            <w:tcMar>
              <w:top w:w="57" w:type="dxa"/>
              <w:bottom w:w="57" w:type="dxa"/>
            </w:tcMar>
          </w:tcPr>
          <w:p w14:paraId="7856E6F7" w14:textId="77777777" w:rsidR="006B338F" w:rsidRPr="001A71B5" w:rsidRDefault="00D42E8D" w:rsidP="00165C7A">
            <w:pPr>
              <w:jc w:val="left"/>
              <w:rPr>
                <w:b/>
                <w:szCs w:val="18"/>
              </w:rPr>
            </w:pPr>
            <w:r w:rsidRPr="001A71B5">
              <w:rPr>
                <w:b/>
                <w:szCs w:val="18"/>
              </w:rPr>
              <w:t xml:space="preserve">Language(s) of notified </w:t>
            </w:r>
            <w:r w:rsidR="000F4477" w:rsidRPr="001A71B5">
              <w:rPr>
                <w:b/>
                <w:szCs w:val="18"/>
              </w:rPr>
              <w:t xml:space="preserve">legal </w:t>
            </w:r>
            <w:r w:rsidRPr="001A71B5">
              <w:rPr>
                <w:b/>
                <w:szCs w:val="18"/>
              </w:rPr>
              <w:t>text</w:t>
            </w:r>
          </w:p>
        </w:tc>
        <w:tc>
          <w:tcPr>
            <w:tcW w:w="7135" w:type="dxa"/>
            <w:tcBorders>
              <w:bottom w:val="single" w:sz="4" w:space="0" w:color="auto"/>
            </w:tcBorders>
            <w:shd w:val="clear" w:color="auto" w:fill="auto"/>
            <w:tcMar>
              <w:top w:w="57" w:type="dxa"/>
              <w:bottom w:w="57" w:type="dxa"/>
            </w:tcMar>
          </w:tcPr>
          <w:p w14:paraId="38E784BF" w14:textId="77777777" w:rsidR="006B338F" w:rsidRPr="001A71B5" w:rsidRDefault="00D42E8D" w:rsidP="00867820">
            <w:pPr>
              <w:rPr>
                <w:szCs w:val="18"/>
              </w:rPr>
            </w:pPr>
            <w:bookmarkStart w:id="13" w:name="bmkAttachmentLanguages"/>
            <w:r w:rsidRPr="001A71B5">
              <w:rPr>
                <w:szCs w:val="18"/>
              </w:rPr>
              <w:t>English, Arabic</w:t>
            </w:r>
            <w:bookmarkEnd w:id="13"/>
          </w:p>
        </w:tc>
      </w:tr>
      <w:tr w:rsidR="0089081F" w:rsidRPr="001A71B5" w14:paraId="5331DB14" w14:textId="77777777" w:rsidTr="00A42DE3">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364EA7A4" w14:textId="77777777" w:rsidR="006B338F" w:rsidRPr="001A71B5" w:rsidRDefault="00D42E8D" w:rsidP="00165C7A">
            <w:pPr>
              <w:jc w:val="left"/>
              <w:rPr>
                <w:b/>
                <w:szCs w:val="18"/>
              </w:rPr>
            </w:pPr>
            <w:r w:rsidRPr="001A71B5">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0282137A" w14:textId="77777777" w:rsidR="00165C7A" w:rsidRPr="001A71B5" w:rsidRDefault="00D42E8D" w:rsidP="0063774B">
            <w:pPr>
              <w:rPr>
                <w:szCs w:val="18"/>
              </w:rPr>
            </w:pPr>
            <w:bookmarkStart w:id="14" w:name="bmkEntryIntoForceDate"/>
            <w:r w:rsidRPr="001A71B5">
              <w:rPr>
                <w:szCs w:val="18"/>
              </w:rPr>
              <w:t>27 June 2020</w:t>
            </w:r>
            <w:bookmarkEnd w:id="14"/>
          </w:p>
        </w:tc>
      </w:tr>
      <w:tr w:rsidR="0089081F" w:rsidRPr="001A71B5" w14:paraId="1D383D00" w14:textId="77777777" w:rsidTr="00A42DE3">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3AAE6B1B" w14:textId="77777777" w:rsidR="006B338F" w:rsidRPr="001A71B5" w:rsidRDefault="00D42E8D" w:rsidP="0060084D">
            <w:pPr>
              <w:jc w:val="left"/>
              <w:rPr>
                <w:b/>
                <w:szCs w:val="18"/>
              </w:rPr>
            </w:pPr>
            <w:r w:rsidRPr="001A71B5">
              <w:rPr>
                <w:b/>
                <w:szCs w:val="18"/>
              </w:rPr>
              <w:t>Other date</w:t>
            </w:r>
            <w:r w:rsidR="0060084D" w:rsidRPr="001A71B5">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504FB74F" w14:textId="77777777" w:rsidR="00165C7A" w:rsidRPr="001A71B5" w:rsidRDefault="00D42E8D" w:rsidP="0060084D">
            <w:pPr>
              <w:rPr>
                <w:szCs w:val="18"/>
              </w:rPr>
            </w:pPr>
            <w:bookmarkStart w:id="15" w:name="bmkOtherDateDate"/>
            <w:r w:rsidRPr="001A71B5">
              <w:rPr>
                <w:szCs w:val="18"/>
              </w:rPr>
              <w:t>Publication: 17 April 2020</w:t>
            </w:r>
            <w:bookmarkEnd w:id="15"/>
          </w:p>
        </w:tc>
      </w:tr>
      <w:tr w:rsidR="0089081F" w:rsidRPr="001A71B5" w14:paraId="43586557" w14:textId="77777777" w:rsidTr="00A42DE3">
        <w:trPr>
          <w:trHeight w:val="294"/>
        </w:trPr>
        <w:tc>
          <w:tcPr>
            <w:tcW w:w="9242" w:type="dxa"/>
            <w:gridSpan w:val="3"/>
            <w:tcBorders>
              <w:top w:val="nil"/>
              <w:left w:val="nil"/>
              <w:bottom w:val="double" w:sz="4" w:space="0" w:color="auto"/>
              <w:right w:val="nil"/>
            </w:tcBorders>
            <w:shd w:val="clear" w:color="auto" w:fill="auto"/>
            <w:tcMar>
              <w:top w:w="57" w:type="dxa"/>
              <w:bottom w:w="57" w:type="dxa"/>
            </w:tcMar>
          </w:tcPr>
          <w:p w14:paraId="1188E0AD" w14:textId="77777777" w:rsidR="003202BA" w:rsidRPr="001A71B5" w:rsidRDefault="003202BA" w:rsidP="00165C7A">
            <w:pPr>
              <w:rPr>
                <w:szCs w:val="18"/>
              </w:rPr>
            </w:pPr>
          </w:p>
          <w:p w14:paraId="4B1FFEC0" w14:textId="77777777" w:rsidR="003202BA" w:rsidRPr="001A71B5" w:rsidRDefault="00D42E8D" w:rsidP="003202BA">
            <w:pPr>
              <w:jc w:val="left"/>
              <w:rPr>
                <w:b/>
                <w:szCs w:val="18"/>
              </w:rPr>
            </w:pPr>
            <w:r w:rsidRPr="001A71B5">
              <w:rPr>
                <w:b/>
                <w:szCs w:val="18"/>
              </w:rPr>
              <w:t>Notification details</w:t>
            </w:r>
          </w:p>
          <w:p w14:paraId="257CE48B" w14:textId="77777777" w:rsidR="003202BA" w:rsidRPr="001A71B5" w:rsidRDefault="003202BA" w:rsidP="00165C7A">
            <w:pPr>
              <w:rPr>
                <w:szCs w:val="18"/>
              </w:rPr>
            </w:pPr>
          </w:p>
        </w:tc>
      </w:tr>
      <w:tr w:rsidR="0089081F" w:rsidRPr="001A71B5" w14:paraId="453FB8CF" w14:textId="77777777" w:rsidTr="00A42DE3">
        <w:trPr>
          <w:trHeight w:val="540"/>
        </w:trPr>
        <w:tc>
          <w:tcPr>
            <w:tcW w:w="2094" w:type="dxa"/>
            <w:tcBorders>
              <w:top w:val="double" w:sz="4" w:space="0" w:color="auto"/>
              <w:bottom w:val="single" w:sz="4" w:space="0" w:color="auto"/>
            </w:tcBorders>
            <w:shd w:val="clear" w:color="auto" w:fill="auto"/>
            <w:tcMar>
              <w:top w:w="57" w:type="dxa"/>
              <w:bottom w:w="57" w:type="dxa"/>
            </w:tcMar>
          </w:tcPr>
          <w:p w14:paraId="313480F7" w14:textId="77777777" w:rsidR="00CD3722" w:rsidRPr="001A71B5" w:rsidRDefault="00D42E8D" w:rsidP="003D642A">
            <w:pPr>
              <w:jc w:val="left"/>
              <w:rPr>
                <w:b/>
                <w:szCs w:val="18"/>
              </w:rPr>
            </w:pPr>
            <w:r w:rsidRPr="001A71B5">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46444CB6" w14:textId="77777777" w:rsidR="00CD3722" w:rsidRPr="001A71B5" w:rsidRDefault="00D42E8D" w:rsidP="003A033C">
            <w:pPr>
              <w:jc w:val="left"/>
              <w:rPr>
                <w:b/>
                <w:szCs w:val="18"/>
              </w:rPr>
            </w:pPr>
            <w:bookmarkStart w:id="16" w:name="bmkSubmissionDate"/>
            <w:r w:rsidRPr="001A71B5">
              <w:rPr>
                <w:szCs w:val="18"/>
              </w:rPr>
              <w:t>3 February 2022</w:t>
            </w:r>
            <w:bookmarkEnd w:id="16"/>
          </w:p>
        </w:tc>
      </w:tr>
      <w:tr w:rsidR="0089081F" w:rsidRPr="001A71B5" w14:paraId="57AD26DE" w14:textId="77777777" w:rsidTr="00A42DE3">
        <w:trPr>
          <w:trHeight w:val="273"/>
        </w:trPr>
        <w:tc>
          <w:tcPr>
            <w:tcW w:w="2094" w:type="dxa"/>
            <w:tcBorders>
              <w:top w:val="single" w:sz="4" w:space="0" w:color="auto"/>
            </w:tcBorders>
            <w:shd w:val="clear" w:color="auto" w:fill="auto"/>
            <w:tcMar>
              <w:top w:w="57" w:type="dxa"/>
              <w:bottom w:w="57" w:type="dxa"/>
            </w:tcMar>
          </w:tcPr>
          <w:p w14:paraId="38A1BD1C" w14:textId="77777777" w:rsidR="00CD3722" w:rsidRPr="001A71B5" w:rsidRDefault="00D42E8D" w:rsidP="003D642A">
            <w:pPr>
              <w:jc w:val="left"/>
              <w:rPr>
                <w:b/>
                <w:szCs w:val="18"/>
              </w:rPr>
            </w:pPr>
            <w:r w:rsidRPr="001A71B5">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2FE0A1D5" w14:textId="77777777" w:rsidR="00CD3722" w:rsidRPr="001A71B5" w:rsidRDefault="00CD3722" w:rsidP="00E20D8D">
            <w:pPr>
              <w:jc w:val="left"/>
              <w:rPr>
                <w:b/>
                <w:szCs w:val="18"/>
              </w:rPr>
            </w:pPr>
            <w:bookmarkStart w:id="17" w:name="bmkOtherInformation"/>
            <w:bookmarkEnd w:id="17"/>
          </w:p>
        </w:tc>
      </w:tr>
      <w:tr w:rsidR="0089081F" w:rsidRPr="001A71B5" w14:paraId="1A18D4BC" w14:textId="77777777" w:rsidTr="00A42DE3">
        <w:trPr>
          <w:trHeight w:val="567"/>
        </w:trPr>
        <w:tc>
          <w:tcPr>
            <w:tcW w:w="2094" w:type="dxa"/>
            <w:shd w:val="clear" w:color="auto" w:fill="FFFFFF"/>
            <w:tcMar>
              <w:top w:w="57" w:type="dxa"/>
              <w:bottom w:w="57" w:type="dxa"/>
            </w:tcMar>
          </w:tcPr>
          <w:p w14:paraId="28B8FF39" w14:textId="77777777" w:rsidR="00CD3722" w:rsidRPr="001A71B5" w:rsidRDefault="00D42E8D" w:rsidP="003D642A">
            <w:pPr>
              <w:jc w:val="left"/>
              <w:rPr>
                <w:b/>
                <w:szCs w:val="18"/>
              </w:rPr>
            </w:pPr>
            <w:r w:rsidRPr="001A71B5">
              <w:rPr>
                <w:b/>
                <w:szCs w:val="18"/>
              </w:rPr>
              <w:t>Agency or authority responsible</w:t>
            </w:r>
          </w:p>
        </w:tc>
        <w:tc>
          <w:tcPr>
            <w:tcW w:w="7148" w:type="dxa"/>
            <w:gridSpan w:val="2"/>
            <w:shd w:val="clear" w:color="auto" w:fill="FFFFFF"/>
            <w:tcMar>
              <w:top w:w="57" w:type="dxa"/>
              <w:bottom w:w="57" w:type="dxa"/>
            </w:tcMar>
          </w:tcPr>
          <w:p w14:paraId="5C23E8C0" w14:textId="77777777" w:rsidR="00CD3722" w:rsidRPr="001A71B5" w:rsidRDefault="00D42E8D" w:rsidP="00E20D8D">
            <w:pPr>
              <w:jc w:val="left"/>
              <w:rPr>
                <w:b/>
                <w:szCs w:val="18"/>
              </w:rPr>
            </w:pPr>
            <w:bookmarkStart w:id="18" w:name="bmkContactInformation"/>
            <w:r w:rsidRPr="001A71B5">
              <w:rPr>
                <w:szCs w:val="18"/>
              </w:rPr>
              <w:t xml:space="preserve">Ministry of Justice </w:t>
            </w:r>
          </w:p>
          <w:p w14:paraId="68A4ECAF" w14:textId="77777777" w:rsidR="0089081F" w:rsidRPr="001A71B5" w:rsidRDefault="00D42E8D" w:rsidP="00E20D8D">
            <w:pPr>
              <w:jc w:val="left"/>
              <w:rPr>
                <w:szCs w:val="18"/>
              </w:rPr>
            </w:pPr>
            <w:r w:rsidRPr="001A71B5">
              <w:rPr>
                <w:szCs w:val="18"/>
              </w:rPr>
              <w:t xml:space="preserve">Saudi Arabia </w:t>
            </w:r>
            <w:bookmarkEnd w:id="18"/>
          </w:p>
        </w:tc>
      </w:tr>
    </w:tbl>
    <w:p w14:paraId="45A5FDFF" w14:textId="77777777" w:rsidR="00CD3722" w:rsidRDefault="00CD3722" w:rsidP="00CD3722">
      <w:pPr>
        <w:shd w:val="clear" w:color="auto" w:fill="FFFFFF"/>
        <w:jc w:val="center"/>
      </w:pPr>
    </w:p>
    <w:sectPr w:rsidR="00CD3722" w:rsidSect="00A42DE3">
      <w:headerReference w:type="even" r:id="rId9"/>
      <w:headerReference w:type="default" r:id="rId10"/>
      <w:footerReference w:type="even" r:id="rId11"/>
      <w:footerReference w:type="default" r:id="rId12"/>
      <w:headerReference w:type="first" r:id="rId13"/>
      <w:footerReference w:type="first" r:id="rId14"/>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B490" w14:textId="77777777" w:rsidR="007F6396" w:rsidRDefault="00D42E8D" w:rsidP="00ED54E0">
      <w:r>
        <w:separator/>
      </w:r>
    </w:p>
  </w:endnote>
  <w:endnote w:type="continuationSeparator" w:id="0">
    <w:p w14:paraId="7A4461BB" w14:textId="77777777" w:rsidR="007F6396" w:rsidRDefault="00D42E8D" w:rsidP="00ED54E0">
      <w:r>
        <w:continuationSeparator/>
      </w:r>
    </w:p>
  </w:endnote>
  <w:endnote w:id="1">
    <w:p w14:paraId="1A0FC59C" w14:textId="77777777" w:rsidR="00AF6312" w:rsidRDefault="00D42E8D"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72A" w14:textId="59CF8C54" w:rsidR="00544326" w:rsidRPr="00A42DE3" w:rsidRDefault="00A42DE3" w:rsidP="00A42D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F8AE" w14:textId="523E680C" w:rsidR="00544326" w:rsidRPr="00A42DE3" w:rsidRDefault="00A42DE3" w:rsidP="00A42D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7AE7" w14:textId="77777777" w:rsidR="008B1BF3" w:rsidRDefault="008B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0757" w14:textId="77777777" w:rsidR="00D36C87" w:rsidRDefault="00D42E8D">
      <w:r>
        <w:separator/>
      </w:r>
    </w:p>
  </w:footnote>
  <w:footnote w:type="continuationSeparator" w:id="0">
    <w:p w14:paraId="52E5056F" w14:textId="77777777" w:rsidR="00D36C87" w:rsidRDefault="00D4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537" w14:textId="77777777" w:rsidR="00A42DE3" w:rsidRPr="00A42DE3" w:rsidRDefault="00A42DE3" w:rsidP="00A42DE3">
    <w:pPr>
      <w:pStyle w:val="Header"/>
      <w:pBdr>
        <w:bottom w:val="single" w:sz="4" w:space="1" w:color="auto"/>
      </w:pBdr>
      <w:tabs>
        <w:tab w:val="clear" w:pos="4513"/>
        <w:tab w:val="clear" w:pos="9027"/>
      </w:tabs>
      <w:jc w:val="center"/>
    </w:pPr>
    <w:r w:rsidRPr="00A42DE3">
      <w:t>IP/N/1/SAU/7 • IP/N/1/SAU/E/3</w:t>
    </w:r>
  </w:p>
  <w:p w14:paraId="189E4B5E" w14:textId="77777777" w:rsidR="00A42DE3" w:rsidRPr="00A42DE3" w:rsidRDefault="00A42DE3" w:rsidP="00A42DE3">
    <w:pPr>
      <w:pStyle w:val="Header"/>
      <w:pBdr>
        <w:bottom w:val="single" w:sz="4" w:space="1" w:color="auto"/>
      </w:pBdr>
      <w:tabs>
        <w:tab w:val="clear" w:pos="4513"/>
        <w:tab w:val="clear" w:pos="9027"/>
      </w:tabs>
      <w:jc w:val="center"/>
    </w:pPr>
  </w:p>
  <w:p w14:paraId="6D5A6F69" w14:textId="46968CA4" w:rsidR="00A42DE3" w:rsidRPr="00A42DE3" w:rsidRDefault="00A42DE3" w:rsidP="00A42DE3">
    <w:pPr>
      <w:pStyle w:val="Header"/>
      <w:pBdr>
        <w:bottom w:val="single" w:sz="4" w:space="1" w:color="auto"/>
      </w:pBdr>
      <w:tabs>
        <w:tab w:val="clear" w:pos="4513"/>
        <w:tab w:val="clear" w:pos="9027"/>
      </w:tabs>
      <w:jc w:val="center"/>
    </w:pPr>
    <w:r w:rsidRPr="00A42DE3">
      <w:t xml:space="preserve">- </w:t>
    </w:r>
    <w:r w:rsidRPr="00A42DE3">
      <w:fldChar w:fldCharType="begin"/>
    </w:r>
    <w:r w:rsidRPr="00A42DE3">
      <w:instrText xml:space="preserve"> PAGE </w:instrText>
    </w:r>
    <w:r w:rsidRPr="00A42DE3">
      <w:fldChar w:fldCharType="separate"/>
    </w:r>
    <w:r w:rsidRPr="00A42DE3">
      <w:rPr>
        <w:noProof/>
      </w:rPr>
      <w:t>2</w:t>
    </w:r>
    <w:r w:rsidRPr="00A42DE3">
      <w:fldChar w:fldCharType="end"/>
    </w:r>
    <w:r w:rsidRPr="00A42DE3">
      <w:t xml:space="preserve"> -</w:t>
    </w:r>
  </w:p>
  <w:p w14:paraId="19AAA3E2" w14:textId="0BDB0BA5" w:rsidR="00544326" w:rsidRPr="00A42DE3" w:rsidRDefault="00544326" w:rsidP="00A42D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89A6" w14:textId="77777777" w:rsidR="00A42DE3" w:rsidRPr="00A42DE3" w:rsidRDefault="00A42DE3" w:rsidP="00A42DE3">
    <w:pPr>
      <w:pStyle w:val="Header"/>
      <w:pBdr>
        <w:bottom w:val="single" w:sz="4" w:space="1" w:color="auto"/>
      </w:pBdr>
      <w:tabs>
        <w:tab w:val="clear" w:pos="4513"/>
        <w:tab w:val="clear" w:pos="9027"/>
      </w:tabs>
      <w:jc w:val="center"/>
    </w:pPr>
    <w:r w:rsidRPr="00A42DE3">
      <w:t>IP/N/1/SAU/7 • IP/N/1/SAU/E/3</w:t>
    </w:r>
  </w:p>
  <w:p w14:paraId="29E9DD49" w14:textId="77777777" w:rsidR="00A42DE3" w:rsidRPr="00A42DE3" w:rsidRDefault="00A42DE3" w:rsidP="00A42DE3">
    <w:pPr>
      <w:pStyle w:val="Header"/>
      <w:pBdr>
        <w:bottom w:val="single" w:sz="4" w:space="1" w:color="auto"/>
      </w:pBdr>
      <w:tabs>
        <w:tab w:val="clear" w:pos="4513"/>
        <w:tab w:val="clear" w:pos="9027"/>
      </w:tabs>
      <w:jc w:val="center"/>
    </w:pPr>
  </w:p>
  <w:p w14:paraId="6CD5EA64" w14:textId="55AB5BB4" w:rsidR="00A42DE3" w:rsidRPr="00A42DE3" w:rsidRDefault="00A42DE3" w:rsidP="00A42DE3">
    <w:pPr>
      <w:pStyle w:val="Header"/>
      <w:pBdr>
        <w:bottom w:val="single" w:sz="4" w:space="1" w:color="auto"/>
      </w:pBdr>
      <w:tabs>
        <w:tab w:val="clear" w:pos="4513"/>
        <w:tab w:val="clear" w:pos="9027"/>
      </w:tabs>
      <w:jc w:val="center"/>
    </w:pPr>
    <w:r w:rsidRPr="00A42DE3">
      <w:t xml:space="preserve">- </w:t>
    </w:r>
    <w:r w:rsidRPr="00A42DE3">
      <w:fldChar w:fldCharType="begin"/>
    </w:r>
    <w:r w:rsidRPr="00A42DE3">
      <w:instrText xml:space="preserve"> PAGE </w:instrText>
    </w:r>
    <w:r w:rsidRPr="00A42DE3">
      <w:fldChar w:fldCharType="separate"/>
    </w:r>
    <w:r w:rsidRPr="00A42DE3">
      <w:rPr>
        <w:noProof/>
      </w:rPr>
      <w:t>2</w:t>
    </w:r>
    <w:r w:rsidRPr="00A42DE3">
      <w:fldChar w:fldCharType="end"/>
    </w:r>
    <w:r w:rsidRPr="00A42DE3">
      <w:t xml:space="preserve"> -</w:t>
    </w:r>
  </w:p>
  <w:p w14:paraId="0FB50635" w14:textId="0A475008" w:rsidR="00544326" w:rsidRPr="00A42DE3" w:rsidRDefault="00544326" w:rsidP="00A42D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081F" w14:paraId="6782AEBC" w14:textId="77777777" w:rsidTr="00544326">
      <w:trPr>
        <w:trHeight w:val="240"/>
        <w:jc w:val="center"/>
      </w:trPr>
      <w:tc>
        <w:tcPr>
          <w:tcW w:w="3794" w:type="dxa"/>
          <w:shd w:val="clear" w:color="auto" w:fill="FFFFFF"/>
          <w:tcMar>
            <w:left w:w="108" w:type="dxa"/>
            <w:right w:w="108" w:type="dxa"/>
          </w:tcMar>
          <w:vAlign w:val="center"/>
        </w:tcPr>
        <w:p w14:paraId="7978F6ED"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0A5E659" w14:textId="4FDC1A8F" w:rsidR="00ED54E0" w:rsidRPr="0023737C" w:rsidRDefault="00A42DE3" w:rsidP="00ED1F9F">
          <w:pPr>
            <w:jc w:val="right"/>
            <w:rPr>
              <w:b/>
              <w:color w:val="FF0000"/>
              <w:szCs w:val="16"/>
            </w:rPr>
          </w:pPr>
          <w:r>
            <w:rPr>
              <w:b/>
              <w:color w:val="FF0000"/>
              <w:szCs w:val="16"/>
            </w:rPr>
            <w:t xml:space="preserve"> </w:t>
          </w:r>
        </w:p>
      </w:tc>
    </w:tr>
    <w:bookmarkEnd w:id="19"/>
    <w:tr w:rsidR="0089081F" w14:paraId="2728C8B1" w14:textId="77777777" w:rsidTr="00544326">
      <w:trPr>
        <w:trHeight w:val="213"/>
        <w:jc w:val="center"/>
      </w:trPr>
      <w:tc>
        <w:tcPr>
          <w:tcW w:w="3794" w:type="dxa"/>
          <w:vMerge w:val="restart"/>
          <w:shd w:val="clear" w:color="auto" w:fill="FFFFFF"/>
          <w:tcMar>
            <w:left w:w="0" w:type="dxa"/>
            <w:right w:w="0" w:type="dxa"/>
          </w:tcMar>
        </w:tcPr>
        <w:p w14:paraId="1B764A4D" w14:textId="77777777" w:rsidR="00ED54E0" w:rsidRPr="0023737C" w:rsidRDefault="00D42E8D" w:rsidP="00ED1F9F">
          <w:pPr>
            <w:jc w:val="left"/>
          </w:pPr>
          <w:r>
            <w:rPr>
              <w:noProof/>
              <w:lang w:val="en-US"/>
            </w:rPr>
            <w:drawing>
              <wp:inline distT="0" distB="0" distL="0" distR="0" wp14:anchorId="1AB87F52" wp14:editId="32F91E6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6506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0D23F2" w14:textId="77777777" w:rsidR="00ED54E0" w:rsidRPr="0023737C" w:rsidRDefault="00ED54E0" w:rsidP="00ED1F9F">
          <w:pPr>
            <w:jc w:val="right"/>
            <w:rPr>
              <w:b/>
              <w:szCs w:val="16"/>
            </w:rPr>
          </w:pPr>
        </w:p>
      </w:tc>
    </w:tr>
    <w:tr w:rsidR="0089081F" w14:paraId="6BBC34DB" w14:textId="77777777" w:rsidTr="00544326">
      <w:trPr>
        <w:trHeight w:val="868"/>
        <w:jc w:val="center"/>
      </w:trPr>
      <w:tc>
        <w:tcPr>
          <w:tcW w:w="3794" w:type="dxa"/>
          <w:vMerge/>
          <w:shd w:val="clear" w:color="auto" w:fill="FFFFFF"/>
          <w:tcMar>
            <w:left w:w="108" w:type="dxa"/>
            <w:right w:w="108" w:type="dxa"/>
          </w:tcMar>
        </w:tcPr>
        <w:p w14:paraId="62A7F69B"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135E493F" w14:textId="77777777" w:rsidR="00A42DE3" w:rsidRDefault="00A42DE3" w:rsidP="00ED1F9F">
          <w:pPr>
            <w:jc w:val="right"/>
            <w:rPr>
              <w:b/>
              <w:szCs w:val="16"/>
            </w:rPr>
          </w:pPr>
          <w:bookmarkStart w:id="20" w:name="bmkSymbols"/>
          <w:r>
            <w:rPr>
              <w:b/>
              <w:szCs w:val="16"/>
            </w:rPr>
            <w:t>IP/N/1/SAU/7</w:t>
          </w:r>
        </w:p>
        <w:p w14:paraId="05025419" w14:textId="77777777" w:rsidR="00A42DE3" w:rsidRDefault="00A42DE3" w:rsidP="00ED1F9F">
          <w:pPr>
            <w:jc w:val="right"/>
            <w:rPr>
              <w:b/>
              <w:szCs w:val="16"/>
            </w:rPr>
          </w:pPr>
          <w:r>
            <w:rPr>
              <w:b/>
              <w:szCs w:val="16"/>
            </w:rPr>
            <w:t>IP/N/1/SAU/E/3</w:t>
          </w:r>
        </w:p>
        <w:bookmarkEnd w:id="20"/>
        <w:p w14:paraId="5444BAB9" w14:textId="232CB401" w:rsidR="0089081F" w:rsidRDefault="0089081F" w:rsidP="00ED1F9F">
          <w:pPr>
            <w:jc w:val="right"/>
            <w:rPr>
              <w:b/>
              <w:szCs w:val="16"/>
            </w:rPr>
          </w:pPr>
        </w:p>
      </w:tc>
    </w:tr>
    <w:tr w:rsidR="0089081F" w14:paraId="3E984F7D" w14:textId="77777777" w:rsidTr="00544326">
      <w:trPr>
        <w:trHeight w:val="240"/>
        <w:jc w:val="center"/>
      </w:trPr>
      <w:tc>
        <w:tcPr>
          <w:tcW w:w="3794" w:type="dxa"/>
          <w:vMerge/>
          <w:shd w:val="clear" w:color="auto" w:fill="FFFFFF"/>
          <w:tcMar>
            <w:left w:w="108" w:type="dxa"/>
            <w:right w:w="108" w:type="dxa"/>
          </w:tcMar>
          <w:vAlign w:val="center"/>
        </w:tcPr>
        <w:p w14:paraId="2E4493BF" w14:textId="77777777" w:rsidR="00ED54E0" w:rsidRPr="0023737C" w:rsidRDefault="00ED54E0" w:rsidP="00ED1F9F"/>
      </w:tc>
      <w:tc>
        <w:tcPr>
          <w:tcW w:w="5448" w:type="dxa"/>
          <w:gridSpan w:val="2"/>
          <w:shd w:val="clear" w:color="auto" w:fill="FFFFFF"/>
          <w:tcMar>
            <w:left w:w="108" w:type="dxa"/>
            <w:right w:w="108" w:type="dxa"/>
          </w:tcMar>
          <w:vAlign w:val="center"/>
        </w:tcPr>
        <w:p w14:paraId="17E4C64E" w14:textId="77777777" w:rsidR="00ED54E0" w:rsidRPr="0023737C" w:rsidRDefault="00D42E8D" w:rsidP="00FB117C">
          <w:pPr>
            <w:jc w:val="right"/>
            <w:rPr>
              <w:szCs w:val="16"/>
            </w:rPr>
          </w:pPr>
          <w:bookmarkStart w:id="21" w:name="bmkDate"/>
          <w:r w:rsidRPr="00FB117C">
            <w:rPr>
              <w:szCs w:val="16"/>
            </w:rPr>
            <w:t>9 February 2022</w:t>
          </w:r>
          <w:bookmarkEnd w:id="21"/>
        </w:p>
      </w:tc>
    </w:tr>
    <w:tr w:rsidR="0089081F" w14:paraId="57439E8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2E4E3E" w14:textId="5366B714" w:rsidR="00ED54E0" w:rsidRPr="00827B0A" w:rsidRDefault="00D42E8D" w:rsidP="00ED1F9F">
          <w:pPr>
            <w:jc w:val="left"/>
            <w:rPr>
              <w:color w:val="FF0000"/>
            </w:rPr>
          </w:pPr>
          <w:bookmarkStart w:id="22" w:name="bmkSerial"/>
          <w:r w:rsidRPr="00827B0A">
            <w:rPr>
              <w:color w:val="FF0000"/>
            </w:rPr>
            <w:t>(</w:t>
          </w:r>
          <w:r w:rsidR="008B1BF3">
            <w:rPr>
              <w:color w:val="FF0000"/>
            </w:rPr>
            <w:t>22-</w:t>
          </w:r>
          <w:r w:rsidR="005D5C9E">
            <w:rPr>
              <w:color w:val="FF0000"/>
            </w:rPr>
            <w:t>1032</w:t>
          </w:r>
          <w:r w:rsidRPr="00827B0A">
            <w:rPr>
              <w:color w:val="FF0000"/>
            </w:rPr>
            <w:t>)</w:t>
          </w:r>
          <w:bookmarkEnd w:id="2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2F7C8694" w14:textId="77777777" w:rsidR="00ED54E0" w:rsidRPr="0023737C" w:rsidRDefault="00D42E8D"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89081F" w14:paraId="2C09D19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26AA98" w14:textId="77777777" w:rsidR="00A42DE3" w:rsidRDefault="00A42DE3" w:rsidP="00370C3C">
          <w:pPr>
            <w:jc w:val="left"/>
            <w:rPr>
              <w:b/>
            </w:rPr>
          </w:pPr>
          <w:bookmarkStart w:id="24" w:name="bmkCommittee"/>
          <w:r>
            <w:rPr>
              <w:b/>
            </w:rPr>
            <w:t>Council for Trade-Related Aspects of</w:t>
          </w:r>
        </w:p>
        <w:p w14:paraId="2FFF2C40" w14:textId="776B67DA" w:rsidR="00ED54E0" w:rsidRPr="0023737C" w:rsidRDefault="00A42DE3"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vAlign w:val="center"/>
        </w:tcPr>
        <w:p w14:paraId="6B51612C" w14:textId="193DE1E7" w:rsidR="00154C64" w:rsidRPr="0023737C" w:rsidRDefault="00A42DE3" w:rsidP="00ED1F9F">
          <w:pPr>
            <w:jc w:val="right"/>
            <w:rPr>
              <w:bCs/>
              <w:szCs w:val="18"/>
            </w:rPr>
          </w:pPr>
          <w:bookmarkStart w:id="25" w:name="bmkLanguage"/>
          <w:r>
            <w:rPr>
              <w:szCs w:val="18"/>
            </w:rPr>
            <w:t>Original: English</w:t>
          </w:r>
          <w:bookmarkEnd w:id="25"/>
        </w:p>
      </w:tc>
    </w:tr>
  </w:tbl>
  <w:p w14:paraId="0FBA6A6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FC1A08">
      <w:start w:val="1"/>
      <w:numFmt w:val="decimal"/>
      <w:pStyle w:val="SummaryText"/>
      <w:lvlText w:val="%1."/>
      <w:lvlJc w:val="left"/>
      <w:pPr>
        <w:ind w:left="360" w:hanging="360"/>
      </w:pPr>
    </w:lvl>
    <w:lvl w:ilvl="1" w:tplc="FAFC2E82" w:tentative="1">
      <w:start w:val="1"/>
      <w:numFmt w:val="lowerLetter"/>
      <w:lvlText w:val="%2."/>
      <w:lvlJc w:val="left"/>
      <w:pPr>
        <w:ind w:left="1080" w:hanging="360"/>
      </w:pPr>
    </w:lvl>
    <w:lvl w:ilvl="2" w:tplc="A2042052" w:tentative="1">
      <w:start w:val="1"/>
      <w:numFmt w:val="lowerRoman"/>
      <w:lvlText w:val="%3."/>
      <w:lvlJc w:val="right"/>
      <w:pPr>
        <w:ind w:left="1800" w:hanging="180"/>
      </w:pPr>
    </w:lvl>
    <w:lvl w:ilvl="3" w:tplc="5A863D12" w:tentative="1">
      <w:start w:val="1"/>
      <w:numFmt w:val="decimal"/>
      <w:lvlText w:val="%4."/>
      <w:lvlJc w:val="left"/>
      <w:pPr>
        <w:ind w:left="2520" w:hanging="360"/>
      </w:pPr>
    </w:lvl>
    <w:lvl w:ilvl="4" w:tplc="50AE9AD8" w:tentative="1">
      <w:start w:val="1"/>
      <w:numFmt w:val="lowerLetter"/>
      <w:lvlText w:val="%5."/>
      <w:lvlJc w:val="left"/>
      <w:pPr>
        <w:ind w:left="3240" w:hanging="360"/>
      </w:pPr>
    </w:lvl>
    <w:lvl w:ilvl="5" w:tplc="D99AA316" w:tentative="1">
      <w:start w:val="1"/>
      <w:numFmt w:val="lowerRoman"/>
      <w:lvlText w:val="%6."/>
      <w:lvlJc w:val="right"/>
      <w:pPr>
        <w:ind w:left="3960" w:hanging="180"/>
      </w:pPr>
    </w:lvl>
    <w:lvl w:ilvl="6" w:tplc="2D44D8F0" w:tentative="1">
      <w:start w:val="1"/>
      <w:numFmt w:val="decimal"/>
      <w:lvlText w:val="%7."/>
      <w:lvlJc w:val="left"/>
      <w:pPr>
        <w:ind w:left="4680" w:hanging="360"/>
      </w:pPr>
    </w:lvl>
    <w:lvl w:ilvl="7" w:tplc="F1C6E15A" w:tentative="1">
      <w:start w:val="1"/>
      <w:numFmt w:val="lowerLetter"/>
      <w:lvlText w:val="%8."/>
      <w:lvlJc w:val="left"/>
      <w:pPr>
        <w:ind w:left="5400" w:hanging="360"/>
      </w:pPr>
    </w:lvl>
    <w:lvl w:ilvl="8" w:tplc="F9AAAC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567"/>
  <w:evenAndOddHeaders/>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6390F"/>
    <w:rsid w:val="000773F6"/>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A71B5"/>
    <w:rsid w:val="001D7318"/>
    <w:rsid w:val="001E291F"/>
    <w:rsid w:val="00226EB6"/>
    <w:rsid w:val="00233408"/>
    <w:rsid w:val="0023737C"/>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D03AE"/>
    <w:rsid w:val="005D5981"/>
    <w:rsid w:val="005D5C9E"/>
    <w:rsid w:val="005E59F7"/>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E0D8A"/>
    <w:rsid w:val="007E6507"/>
    <w:rsid w:val="007F2B8E"/>
    <w:rsid w:val="007F6396"/>
    <w:rsid w:val="00801121"/>
    <w:rsid w:val="00807247"/>
    <w:rsid w:val="00827B0A"/>
    <w:rsid w:val="0084059E"/>
    <w:rsid w:val="00840C2B"/>
    <w:rsid w:val="008554A5"/>
    <w:rsid w:val="00867820"/>
    <w:rsid w:val="0087094D"/>
    <w:rsid w:val="008739FD"/>
    <w:rsid w:val="0089081F"/>
    <w:rsid w:val="00893E85"/>
    <w:rsid w:val="008A7A10"/>
    <w:rsid w:val="008B1BF3"/>
    <w:rsid w:val="008B4661"/>
    <w:rsid w:val="008C1781"/>
    <w:rsid w:val="008E372C"/>
    <w:rsid w:val="0094116C"/>
    <w:rsid w:val="00966797"/>
    <w:rsid w:val="0097607B"/>
    <w:rsid w:val="009A6F54"/>
    <w:rsid w:val="009D057F"/>
    <w:rsid w:val="009E5CCD"/>
    <w:rsid w:val="00A12884"/>
    <w:rsid w:val="00A42DE3"/>
    <w:rsid w:val="00A6057A"/>
    <w:rsid w:val="00A74017"/>
    <w:rsid w:val="00A80B72"/>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221B8"/>
    <w:rsid w:val="00D25447"/>
    <w:rsid w:val="00D34EC1"/>
    <w:rsid w:val="00D36C87"/>
    <w:rsid w:val="00D42E8D"/>
    <w:rsid w:val="00D52A9D"/>
    <w:rsid w:val="00D55AA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D1F9F"/>
    <w:rsid w:val="00ED54E0"/>
    <w:rsid w:val="00ED7BC5"/>
    <w:rsid w:val="00EF3B0E"/>
    <w:rsid w:val="00EF7972"/>
    <w:rsid w:val="00F05681"/>
    <w:rsid w:val="00F12B88"/>
    <w:rsid w:val="00F32397"/>
    <w:rsid w:val="00F40595"/>
    <w:rsid w:val="00F46B21"/>
    <w:rsid w:val="00F51930"/>
    <w:rsid w:val="00F6406E"/>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DF9FD"/>
  <w15:docId w15:val="{0BEB14BE-84D6-49C7-A854-7EE0A8AA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p-documents.info/2022/IP/SAU/22_146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p-documents.info/2022/IP/SAU/22_146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15</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Maegan</dc:creator>
  <cp:lastModifiedBy>Rivera, Marcela</cp:lastModifiedBy>
  <cp:revision>5</cp:revision>
  <dcterms:created xsi:type="dcterms:W3CDTF">2022-02-09T08:17:00Z</dcterms:created>
  <dcterms:modified xsi:type="dcterms:W3CDTF">2022-02-09T09:09:00Z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e67039d3-a351-4d5b-86d5-6717acad8d30</vt:lpwstr>
  </property>
  <property fmtid="{D5CDD505-2E9C-101B-9397-08002B2CF9AE}" pid="3" name="WTOCLASSIFICATION">
    <vt:lpwstr>WTO OFFICIAL</vt:lpwstr>
  </property>
  <property fmtid="{D5CDD505-2E9C-101B-9397-08002B2CF9AE}" pid="4" name="Symbol1">
    <vt:lpwstr>IP/N/1/SAU/7</vt:lpwstr>
  </property>
  <property fmtid="{D5CDD505-2E9C-101B-9397-08002B2CF9AE}" pid="5" name="Symbol2">
    <vt:lpwstr>IP/N/1/SAU/E/3</vt:lpwstr>
  </property>
</Properties>
</file>