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9706" w14:textId="77777777" w:rsidR="003B23B9" w:rsidRDefault="00EC728A" w:rsidP="003B23B9">
      <w:pPr>
        <w:pStyle w:val="Title"/>
      </w:pPr>
      <w:r w:rsidRPr="0068687F">
        <w:t>NOTIFICATION OF LAWS AND REGULATIONS</w:t>
      </w:r>
      <w:r w:rsidR="00601873">
        <w:br/>
      </w:r>
      <w:r>
        <w:t xml:space="preserve">UNDER ARTICLE 63.2 OF THE TRIPS </w:t>
      </w:r>
      <w:r w:rsidRPr="0068687F">
        <w:t>AGREEMENT</w:t>
      </w:r>
    </w:p>
    <w:p w14:paraId="7BF47507" w14:textId="26903FBD" w:rsidR="006B338F" w:rsidRDefault="00EC728A" w:rsidP="003B23B9">
      <w:pPr>
        <w:pStyle w:val="Title2"/>
      </w:pPr>
      <w:bookmarkStart w:id="0" w:name="bmkNotifyingMemberName1"/>
      <w:r w:rsidRPr="003E7F48">
        <w:t>Trinidad and Tobago</w:t>
      </w:r>
      <w:bookmarkEnd w:id="0"/>
      <w:r w:rsidRPr="0006390F">
        <w:t xml:space="preserve">: </w:t>
      </w:r>
      <w:bookmarkStart w:id="1" w:name="BMKTITLE1"/>
      <w:r w:rsidR="0000096E">
        <w:t xml:space="preserve">The Trade Marks (Border </w:t>
      </w:r>
      <w:r w:rsidR="0033384A">
        <w:br/>
      </w:r>
      <w:r w:rsidR="0000096E">
        <w:t>Enforcement Measures) Regulations 2020</w:t>
      </w:r>
      <w:bookmarkEnd w:id="1"/>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9E1767" w:rsidRPr="0033384A" w14:paraId="0B9E1F8E" w14:textId="77777777" w:rsidTr="00AF4E28">
        <w:tc>
          <w:tcPr>
            <w:tcW w:w="2107" w:type="dxa"/>
            <w:gridSpan w:val="2"/>
            <w:tcBorders>
              <w:top w:val="double" w:sz="4" w:space="0" w:color="auto"/>
              <w:bottom w:val="double" w:sz="4" w:space="0" w:color="auto"/>
            </w:tcBorders>
            <w:shd w:val="clear" w:color="auto" w:fill="auto"/>
            <w:tcMar>
              <w:top w:w="57" w:type="dxa"/>
              <w:bottom w:w="57" w:type="dxa"/>
            </w:tcMar>
          </w:tcPr>
          <w:p w14:paraId="6C3A990D" w14:textId="77777777" w:rsidR="00CD3722" w:rsidRPr="0033384A" w:rsidRDefault="00EC728A" w:rsidP="003D642A">
            <w:pPr>
              <w:jc w:val="left"/>
              <w:rPr>
                <w:b/>
                <w:szCs w:val="18"/>
              </w:rPr>
            </w:pPr>
            <w:r w:rsidRPr="0033384A">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1F0E88AD" w14:textId="77777777" w:rsidR="00CD3722" w:rsidRPr="0033384A" w:rsidRDefault="00EC728A" w:rsidP="003D642A">
            <w:pPr>
              <w:rPr>
                <w:b/>
                <w:smallCaps/>
                <w:szCs w:val="18"/>
              </w:rPr>
            </w:pPr>
            <w:bookmarkStart w:id="2" w:name="bmkNotifyingMemberName2"/>
            <w:r w:rsidRPr="0033384A">
              <w:rPr>
                <w:b/>
                <w:smallCaps/>
                <w:szCs w:val="18"/>
              </w:rPr>
              <w:t>Trinidad and Tobago</w:t>
            </w:r>
            <w:bookmarkEnd w:id="2"/>
          </w:p>
        </w:tc>
      </w:tr>
      <w:tr w:rsidR="009E1767" w:rsidRPr="0033384A" w14:paraId="34574C00" w14:textId="77777777" w:rsidTr="00AF4E28">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4C2D41BC" w14:textId="77777777" w:rsidR="003202BA" w:rsidRPr="0033384A" w:rsidRDefault="003202BA" w:rsidP="003202BA">
            <w:pPr>
              <w:jc w:val="left"/>
              <w:rPr>
                <w:b/>
                <w:szCs w:val="18"/>
              </w:rPr>
            </w:pPr>
          </w:p>
          <w:p w14:paraId="7F3F9725" w14:textId="77777777" w:rsidR="003202BA" w:rsidRPr="0033384A" w:rsidRDefault="00EC728A" w:rsidP="003202BA">
            <w:pPr>
              <w:jc w:val="left"/>
              <w:rPr>
                <w:b/>
                <w:szCs w:val="18"/>
              </w:rPr>
            </w:pPr>
            <w:r w:rsidRPr="0033384A">
              <w:rPr>
                <w:b/>
                <w:szCs w:val="18"/>
              </w:rPr>
              <w:t>Details of the notified legal text</w:t>
            </w:r>
          </w:p>
          <w:p w14:paraId="45965C14" w14:textId="77777777" w:rsidR="003202BA" w:rsidRPr="0033384A" w:rsidRDefault="003202BA" w:rsidP="003D642A">
            <w:pPr>
              <w:rPr>
                <w:b/>
                <w:smallCaps/>
                <w:szCs w:val="18"/>
              </w:rPr>
            </w:pPr>
          </w:p>
        </w:tc>
      </w:tr>
      <w:tr w:rsidR="009E1767" w:rsidRPr="0033384A" w14:paraId="728C7FC7" w14:textId="77777777" w:rsidTr="00AF4E28">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140B6296" w14:textId="77777777" w:rsidR="006B338F" w:rsidRPr="0033384A" w:rsidRDefault="00EC728A" w:rsidP="00F12B88">
            <w:pPr>
              <w:jc w:val="left"/>
              <w:rPr>
                <w:b/>
                <w:szCs w:val="18"/>
              </w:rPr>
            </w:pPr>
            <w:r w:rsidRPr="0033384A">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13D1CC04" w14:textId="77777777" w:rsidR="006B338F" w:rsidRPr="0033384A" w:rsidRDefault="00EC728A" w:rsidP="00165C7A">
            <w:pPr>
              <w:rPr>
                <w:szCs w:val="18"/>
              </w:rPr>
            </w:pPr>
            <w:bookmarkStart w:id="3" w:name="bmkTitle2"/>
            <w:r w:rsidRPr="0033384A">
              <w:rPr>
                <w:szCs w:val="18"/>
              </w:rPr>
              <w:t>The Trade Marks (Border Enforcement Measures) Regulations 2020</w:t>
            </w:r>
            <w:bookmarkEnd w:id="3"/>
          </w:p>
        </w:tc>
      </w:tr>
      <w:tr w:rsidR="009E1767" w:rsidRPr="0033384A" w14:paraId="56FDA5F6" w14:textId="77777777" w:rsidTr="00AF4E28">
        <w:trPr>
          <w:trHeight w:val="282"/>
        </w:trPr>
        <w:tc>
          <w:tcPr>
            <w:tcW w:w="2107" w:type="dxa"/>
            <w:gridSpan w:val="2"/>
            <w:tcBorders>
              <w:top w:val="single" w:sz="4" w:space="0" w:color="auto"/>
            </w:tcBorders>
            <w:shd w:val="clear" w:color="auto" w:fill="auto"/>
            <w:tcMar>
              <w:top w:w="57" w:type="dxa"/>
              <w:bottom w:w="57" w:type="dxa"/>
            </w:tcMar>
          </w:tcPr>
          <w:p w14:paraId="130EFCB1" w14:textId="77777777" w:rsidR="00165C7A" w:rsidRPr="0033384A" w:rsidRDefault="00EC728A" w:rsidP="00165C7A">
            <w:pPr>
              <w:jc w:val="left"/>
              <w:rPr>
                <w:b/>
                <w:szCs w:val="18"/>
              </w:rPr>
            </w:pPr>
            <w:r w:rsidRPr="0033384A">
              <w:rPr>
                <w:b/>
                <w:szCs w:val="18"/>
              </w:rPr>
              <w:t>Subject matter</w:t>
            </w:r>
          </w:p>
        </w:tc>
        <w:tc>
          <w:tcPr>
            <w:tcW w:w="7135" w:type="dxa"/>
            <w:tcBorders>
              <w:top w:val="single" w:sz="4" w:space="0" w:color="auto"/>
            </w:tcBorders>
            <w:shd w:val="clear" w:color="auto" w:fill="auto"/>
            <w:tcMar>
              <w:top w:w="57" w:type="dxa"/>
              <w:bottom w:w="57" w:type="dxa"/>
            </w:tcMar>
          </w:tcPr>
          <w:p w14:paraId="4100CE78" w14:textId="77777777" w:rsidR="006B338F" w:rsidRPr="0033384A" w:rsidRDefault="00EC728A" w:rsidP="0084059E">
            <w:pPr>
              <w:rPr>
                <w:smallCaps/>
                <w:szCs w:val="18"/>
              </w:rPr>
            </w:pPr>
            <w:bookmarkStart w:id="4" w:name="bmkTopics"/>
            <w:r w:rsidRPr="0033384A">
              <w:rPr>
                <w:szCs w:val="18"/>
              </w:rPr>
              <w:t>Trademarks; Enforcement</w:t>
            </w:r>
            <w:bookmarkEnd w:id="4"/>
          </w:p>
        </w:tc>
      </w:tr>
      <w:tr w:rsidR="009E1767" w:rsidRPr="0033384A" w14:paraId="5EE98361" w14:textId="77777777" w:rsidTr="00AF4E28">
        <w:trPr>
          <w:trHeight w:val="458"/>
        </w:trPr>
        <w:tc>
          <w:tcPr>
            <w:tcW w:w="2107" w:type="dxa"/>
            <w:gridSpan w:val="2"/>
            <w:shd w:val="clear" w:color="auto" w:fill="auto"/>
            <w:tcMar>
              <w:top w:w="57" w:type="dxa"/>
              <w:bottom w:w="57" w:type="dxa"/>
            </w:tcMar>
          </w:tcPr>
          <w:p w14:paraId="5BD4BC6F" w14:textId="77777777" w:rsidR="006B338F" w:rsidRPr="0033384A" w:rsidRDefault="00EC728A" w:rsidP="00165C7A">
            <w:pPr>
              <w:jc w:val="left"/>
              <w:rPr>
                <w:b/>
                <w:szCs w:val="18"/>
              </w:rPr>
            </w:pPr>
            <w:r w:rsidRPr="0033384A">
              <w:rPr>
                <w:b/>
                <w:szCs w:val="18"/>
              </w:rPr>
              <w:t>Nature of notification</w:t>
            </w:r>
          </w:p>
        </w:tc>
        <w:tc>
          <w:tcPr>
            <w:tcW w:w="7135" w:type="dxa"/>
            <w:shd w:val="clear" w:color="auto" w:fill="auto"/>
            <w:tcMar>
              <w:top w:w="57" w:type="dxa"/>
              <w:bottom w:w="57" w:type="dxa"/>
            </w:tcMar>
          </w:tcPr>
          <w:p w14:paraId="0B4DE803" w14:textId="77777777" w:rsidR="006B338F" w:rsidRPr="0033384A" w:rsidRDefault="00EC728A" w:rsidP="00144045">
            <w:pPr>
              <w:ind w:left="562" w:hanging="562"/>
              <w:rPr>
                <w:smallCaps/>
                <w:szCs w:val="18"/>
              </w:rPr>
            </w:pPr>
            <w:r w:rsidRPr="0033384A">
              <w:rPr>
                <w:szCs w:val="18"/>
              </w:rPr>
              <w:t>[X</w:t>
            </w:r>
            <w:bookmarkStart w:id="5" w:name="bmkNatureOfNotification1"/>
            <w:bookmarkEnd w:id="5"/>
            <w:r w:rsidRPr="0033384A">
              <w:rPr>
                <w:szCs w:val="18"/>
              </w:rPr>
              <w:t>]</w:t>
            </w:r>
            <w:r w:rsidRPr="0033384A">
              <w:rPr>
                <w:szCs w:val="18"/>
              </w:rPr>
              <w:tab/>
              <w:t>Main dedicated intellectual property law or regulation</w:t>
            </w:r>
          </w:p>
          <w:p w14:paraId="46CA6DF7" w14:textId="77777777" w:rsidR="006B338F" w:rsidRPr="0033384A" w:rsidRDefault="00EC728A" w:rsidP="00144045">
            <w:pPr>
              <w:ind w:left="562" w:hanging="562"/>
              <w:rPr>
                <w:smallCaps/>
                <w:szCs w:val="18"/>
                <w:lang w:eastAsia="en-GB"/>
              </w:rPr>
            </w:pPr>
            <w:r w:rsidRPr="0033384A">
              <w:rPr>
                <w:szCs w:val="18"/>
              </w:rPr>
              <w:t>[  </w:t>
            </w:r>
            <w:bookmarkStart w:id="6" w:name="bmkNatureOfNotification2"/>
            <w:bookmarkEnd w:id="6"/>
            <w:r w:rsidRPr="0033384A">
              <w:rPr>
                <w:szCs w:val="18"/>
              </w:rPr>
              <w:t>]</w:t>
            </w:r>
            <w:r w:rsidRPr="0033384A">
              <w:rPr>
                <w:szCs w:val="18"/>
              </w:rPr>
              <w:tab/>
            </w:r>
            <w:r w:rsidRPr="0033384A">
              <w:rPr>
                <w:szCs w:val="18"/>
                <w:lang w:eastAsia="en-GB"/>
              </w:rPr>
              <w:t>Other law or regulation</w:t>
            </w:r>
          </w:p>
        </w:tc>
      </w:tr>
      <w:tr w:rsidR="009E1767" w:rsidRPr="0033384A" w14:paraId="5BAE2F20" w14:textId="77777777" w:rsidTr="00AF4E28">
        <w:trPr>
          <w:trHeight w:val="297"/>
        </w:trPr>
        <w:tc>
          <w:tcPr>
            <w:tcW w:w="2107" w:type="dxa"/>
            <w:gridSpan w:val="2"/>
            <w:shd w:val="clear" w:color="auto" w:fill="auto"/>
            <w:tcMar>
              <w:top w:w="57" w:type="dxa"/>
              <w:bottom w:w="57" w:type="dxa"/>
            </w:tcMar>
          </w:tcPr>
          <w:p w14:paraId="3F621A99" w14:textId="77777777" w:rsidR="006B338F" w:rsidRPr="0033384A" w:rsidRDefault="00EC728A" w:rsidP="00165C7A">
            <w:pPr>
              <w:jc w:val="left"/>
              <w:rPr>
                <w:b/>
                <w:szCs w:val="18"/>
              </w:rPr>
            </w:pPr>
            <w:r w:rsidRPr="0033384A">
              <w:rPr>
                <w:b/>
                <w:szCs w:val="18"/>
              </w:rPr>
              <w:t>Link to legal text</w:t>
            </w:r>
            <w:r w:rsidRPr="0033384A">
              <w:rPr>
                <w:rStyle w:val="EndnoteReference"/>
                <w:b/>
                <w:szCs w:val="18"/>
              </w:rPr>
              <w:endnoteReference w:id="1"/>
            </w:r>
          </w:p>
        </w:tc>
        <w:tc>
          <w:tcPr>
            <w:tcW w:w="7135" w:type="dxa"/>
            <w:shd w:val="clear" w:color="auto" w:fill="auto"/>
            <w:tcMar>
              <w:top w:w="57" w:type="dxa"/>
              <w:bottom w:w="57" w:type="dxa"/>
            </w:tcMar>
          </w:tcPr>
          <w:p w14:paraId="31A32AD0" w14:textId="77777777" w:rsidR="00165C7A" w:rsidRPr="0033384A" w:rsidRDefault="00AC30AE" w:rsidP="000243EF">
            <w:pPr>
              <w:rPr>
                <w:szCs w:val="18"/>
                <w:lang w:eastAsia="en-GB"/>
              </w:rPr>
            </w:pPr>
            <w:hyperlink r:id="rId7" w:tgtFrame="_blank" w:history="1">
              <w:r w:rsidR="00EC728A" w:rsidRPr="0033384A">
                <w:rPr>
                  <w:color w:val="0000FF"/>
                  <w:szCs w:val="18"/>
                  <w:u w:val="single"/>
                </w:rPr>
                <w:t>https://ip-documents.info/2022/IP/TTO/22_4241_00_e.pdf</w:t>
              </w:r>
            </w:hyperlink>
            <w:bookmarkStart w:id="7" w:name="bmkNotifiedDocumentLink"/>
            <w:bookmarkEnd w:id="7"/>
          </w:p>
        </w:tc>
      </w:tr>
      <w:tr w:rsidR="009E1767" w:rsidRPr="0033384A" w14:paraId="47B905AC" w14:textId="77777777" w:rsidTr="00AF4E28">
        <w:trPr>
          <w:trHeight w:val="567"/>
        </w:trPr>
        <w:tc>
          <w:tcPr>
            <w:tcW w:w="2107" w:type="dxa"/>
            <w:gridSpan w:val="2"/>
            <w:shd w:val="clear" w:color="auto" w:fill="auto"/>
            <w:tcMar>
              <w:top w:w="57" w:type="dxa"/>
              <w:bottom w:w="57" w:type="dxa"/>
            </w:tcMar>
          </w:tcPr>
          <w:p w14:paraId="4452B5FE" w14:textId="77777777" w:rsidR="006B338F" w:rsidRPr="0033384A" w:rsidRDefault="00EC728A" w:rsidP="00165C7A">
            <w:pPr>
              <w:jc w:val="left"/>
              <w:rPr>
                <w:b/>
                <w:szCs w:val="18"/>
              </w:rPr>
            </w:pPr>
            <w:r w:rsidRPr="0033384A">
              <w:rPr>
                <w:b/>
                <w:szCs w:val="18"/>
              </w:rPr>
              <w:t>Notification status</w:t>
            </w:r>
          </w:p>
        </w:tc>
        <w:tc>
          <w:tcPr>
            <w:tcW w:w="7135" w:type="dxa"/>
            <w:shd w:val="clear" w:color="auto" w:fill="auto"/>
            <w:tcMar>
              <w:top w:w="57" w:type="dxa"/>
              <w:bottom w:w="57" w:type="dxa"/>
            </w:tcMar>
          </w:tcPr>
          <w:p w14:paraId="341CA32C" w14:textId="77777777" w:rsidR="006B338F" w:rsidRPr="0033384A" w:rsidRDefault="00EC728A" w:rsidP="00144045">
            <w:pPr>
              <w:ind w:left="562" w:hanging="562"/>
              <w:rPr>
                <w:szCs w:val="18"/>
              </w:rPr>
            </w:pPr>
            <w:r w:rsidRPr="0033384A">
              <w:rPr>
                <w:szCs w:val="18"/>
              </w:rPr>
              <w:t>[X</w:t>
            </w:r>
            <w:bookmarkStart w:id="8" w:name="bmkNotificationStatus1"/>
            <w:bookmarkEnd w:id="8"/>
            <w:r w:rsidRPr="0033384A">
              <w:rPr>
                <w:szCs w:val="18"/>
              </w:rPr>
              <w:t>]</w:t>
            </w:r>
            <w:r w:rsidRPr="0033384A">
              <w:rPr>
                <w:szCs w:val="18"/>
              </w:rPr>
              <w:tab/>
              <w:t>First notification</w:t>
            </w:r>
          </w:p>
          <w:p w14:paraId="49AC96EA" w14:textId="77777777" w:rsidR="006B338F" w:rsidRPr="0033384A" w:rsidRDefault="00EC728A" w:rsidP="00144045">
            <w:pPr>
              <w:ind w:left="567" w:hanging="567"/>
              <w:rPr>
                <w:szCs w:val="18"/>
                <w:lang w:eastAsia="en-GB"/>
              </w:rPr>
            </w:pPr>
            <w:r w:rsidRPr="0033384A">
              <w:rPr>
                <w:szCs w:val="18"/>
              </w:rPr>
              <w:t>[  </w:t>
            </w:r>
            <w:bookmarkStart w:id="9" w:name="bmkNotificationStatus2"/>
            <w:bookmarkEnd w:id="9"/>
            <w:r w:rsidRPr="0033384A">
              <w:rPr>
                <w:szCs w:val="18"/>
              </w:rPr>
              <w:t>]</w:t>
            </w:r>
            <w:r w:rsidRPr="0033384A">
              <w:rPr>
                <w:szCs w:val="18"/>
              </w:rPr>
              <w:tab/>
              <w:t>A</w:t>
            </w:r>
            <w:r w:rsidRPr="0033384A">
              <w:rPr>
                <w:szCs w:val="18"/>
                <w:lang w:eastAsia="en-GB"/>
              </w:rPr>
              <w:t>mendment or revision to notified legal text</w:t>
            </w:r>
          </w:p>
          <w:p w14:paraId="7D26773B" w14:textId="77777777" w:rsidR="006B338F" w:rsidRPr="0033384A" w:rsidRDefault="00EC728A" w:rsidP="00144045">
            <w:pPr>
              <w:ind w:left="567" w:hanging="567"/>
              <w:rPr>
                <w:szCs w:val="18"/>
              </w:rPr>
            </w:pPr>
            <w:r w:rsidRPr="0033384A">
              <w:rPr>
                <w:szCs w:val="18"/>
              </w:rPr>
              <w:t>[  </w:t>
            </w:r>
            <w:bookmarkStart w:id="10" w:name="bmkNotificationStatus3"/>
            <w:bookmarkEnd w:id="10"/>
            <w:r w:rsidRPr="0033384A">
              <w:rPr>
                <w:szCs w:val="18"/>
              </w:rPr>
              <w:t>]</w:t>
            </w:r>
            <w:r w:rsidRPr="0033384A">
              <w:rPr>
                <w:smallCaps/>
                <w:szCs w:val="18"/>
              </w:rPr>
              <w:tab/>
            </w:r>
            <w:r w:rsidRPr="0033384A">
              <w:rPr>
                <w:szCs w:val="18"/>
              </w:rPr>
              <w:t>Replacement or consolidation of notified legal text(s)</w:t>
            </w:r>
          </w:p>
        </w:tc>
      </w:tr>
      <w:tr w:rsidR="009E1767" w:rsidRPr="0033384A" w14:paraId="75AD917C" w14:textId="77777777" w:rsidTr="00EC728A">
        <w:trPr>
          <w:trHeight w:val="567"/>
        </w:trPr>
        <w:tc>
          <w:tcPr>
            <w:tcW w:w="2107" w:type="dxa"/>
            <w:gridSpan w:val="2"/>
            <w:tcBorders>
              <w:bottom w:val="single" w:sz="4" w:space="0" w:color="auto"/>
            </w:tcBorders>
            <w:shd w:val="clear" w:color="auto" w:fill="auto"/>
            <w:tcMar>
              <w:top w:w="57" w:type="dxa"/>
              <w:bottom w:w="57" w:type="dxa"/>
            </w:tcMar>
          </w:tcPr>
          <w:p w14:paraId="201B7F6A" w14:textId="77777777" w:rsidR="006B338F" w:rsidRPr="0033384A" w:rsidRDefault="00EC728A" w:rsidP="00165C7A">
            <w:pPr>
              <w:jc w:val="left"/>
              <w:rPr>
                <w:b/>
                <w:szCs w:val="18"/>
              </w:rPr>
            </w:pPr>
            <w:r w:rsidRPr="0033384A">
              <w:rPr>
                <w:b/>
                <w:szCs w:val="18"/>
              </w:rPr>
              <w:t>Previous notification(s) referred to</w:t>
            </w:r>
          </w:p>
        </w:tc>
        <w:tc>
          <w:tcPr>
            <w:tcW w:w="7135" w:type="dxa"/>
            <w:tcBorders>
              <w:bottom w:val="single" w:sz="4" w:space="0" w:color="auto"/>
            </w:tcBorders>
            <w:shd w:val="clear" w:color="auto" w:fill="auto"/>
            <w:tcMar>
              <w:top w:w="57" w:type="dxa"/>
              <w:bottom w:w="57" w:type="dxa"/>
            </w:tcMar>
          </w:tcPr>
          <w:p w14:paraId="59F3B682" w14:textId="77777777" w:rsidR="006B338F" w:rsidRPr="0033384A" w:rsidRDefault="00EC728A" w:rsidP="00165C7A">
            <w:pPr>
              <w:rPr>
                <w:szCs w:val="18"/>
                <w:lang w:eastAsia="en-GB"/>
              </w:rPr>
            </w:pPr>
            <w:r w:rsidRPr="0033384A">
              <w:rPr>
                <w:szCs w:val="18"/>
              </w:rPr>
              <w:t>Not applicable</w:t>
            </w:r>
            <w:bookmarkStart w:id="11" w:name="bmkPreviousNotifications"/>
            <w:bookmarkEnd w:id="11"/>
          </w:p>
        </w:tc>
      </w:tr>
      <w:tr w:rsidR="009E1767" w:rsidRPr="0033384A" w14:paraId="09AD2F8B" w14:textId="77777777" w:rsidTr="00EC728A">
        <w:trPr>
          <w:trHeight w:val="567"/>
        </w:trPr>
        <w:tc>
          <w:tcPr>
            <w:tcW w:w="9242" w:type="dxa"/>
            <w:gridSpan w:val="3"/>
            <w:tcBorders>
              <w:top w:val="single" w:sz="4" w:space="0" w:color="auto"/>
              <w:bottom w:val="single" w:sz="4" w:space="0" w:color="auto"/>
            </w:tcBorders>
            <w:shd w:val="clear" w:color="auto" w:fill="auto"/>
            <w:tcMar>
              <w:top w:w="57" w:type="dxa"/>
              <w:bottom w:w="57" w:type="dxa"/>
            </w:tcMar>
          </w:tcPr>
          <w:p w14:paraId="1EB33058" w14:textId="06EA084F" w:rsidR="006B338F" w:rsidRDefault="00EC728A" w:rsidP="00CD3722">
            <w:pPr>
              <w:jc w:val="left"/>
              <w:rPr>
                <w:b/>
                <w:szCs w:val="18"/>
              </w:rPr>
            </w:pPr>
            <w:r w:rsidRPr="0033384A">
              <w:rPr>
                <w:b/>
                <w:szCs w:val="18"/>
              </w:rPr>
              <w:t>Brief description of the notified legal text</w:t>
            </w:r>
          </w:p>
          <w:p w14:paraId="5B4D7F96" w14:textId="77777777" w:rsidR="0033384A" w:rsidRPr="0033384A" w:rsidRDefault="0033384A" w:rsidP="00CD3722">
            <w:pPr>
              <w:jc w:val="left"/>
              <w:rPr>
                <w:b/>
                <w:szCs w:val="18"/>
              </w:rPr>
            </w:pPr>
          </w:p>
          <w:p w14:paraId="027FF542" w14:textId="5A3976A5" w:rsidR="009E1767" w:rsidRDefault="00EC728A" w:rsidP="00BB290F">
            <w:pPr>
              <w:rPr>
                <w:szCs w:val="18"/>
              </w:rPr>
            </w:pPr>
            <w:bookmarkStart w:id="12" w:name="bmkDescription"/>
            <w:r w:rsidRPr="0033384A">
              <w:rPr>
                <w:szCs w:val="18"/>
              </w:rPr>
              <w:t>The Trade Marks (Border Enforcement Measures) Regulations, 2020, which is subject to the negative resolution of Parliament seeks to provide for the effective regulation of border enforcement measures as it pertains to trade marks to ensure the efficient operation of the Trade</w:t>
            </w:r>
            <w:r w:rsidR="0033384A">
              <w:rPr>
                <w:szCs w:val="18"/>
              </w:rPr>
              <w:t xml:space="preserve"> </w:t>
            </w:r>
            <w:r w:rsidRPr="0033384A">
              <w:rPr>
                <w:szCs w:val="18"/>
              </w:rPr>
              <w:t>Marks Act, No. 8 of 2015 (</w:t>
            </w:r>
            <w:r w:rsidR="0033384A">
              <w:rPr>
                <w:szCs w:val="18"/>
              </w:rPr>
              <w:t>"</w:t>
            </w:r>
            <w:r w:rsidRPr="0033384A">
              <w:rPr>
                <w:szCs w:val="18"/>
              </w:rPr>
              <w:t>the Act</w:t>
            </w:r>
            <w:r w:rsidR="0033384A">
              <w:rPr>
                <w:szCs w:val="18"/>
              </w:rPr>
              <w:t>"</w:t>
            </w:r>
            <w:r w:rsidRPr="0033384A">
              <w:rPr>
                <w:szCs w:val="18"/>
              </w:rPr>
              <w:t xml:space="preserve">). </w:t>
            </w:r>
          </w:p>
          <w:p w14:paraId="69897C7E" w14:textId="77777777" w:rsidR="0033384A" w:rsidRPr="0033384A" w:rsidRDefault="0033384A" w:rsidP="00BB290F">
            <w:pPr>
              <w:rPr>
                <w:szCs w:val="18"/>
              </w:rPr>
            </w:pPr>
          </w:p>
          <w:p w14:paraId="01F0A665" w14:textId="5A79E4D5" w:rsidR="009E1767" w:rsidRDefault="00EC728A" w:rsidP="00BB290F">
            <w:pPr>
              <w:rPr>
                <w:szCs w:val="18"/>
              </w:rPr>
            </w:pPr>
            <w:r w:rsidRPr="0033384A">
              <w:rPr>
                <w:szCs w:val="18"/>
              </w:rPr>
              <w:t>Regulation 1 provides for the citation of the Regulations.</w:t>
            </w:r>
          </w:p>
          <w:p w14:paraId="114CB146" w14:textId="77777777" w:rsidR="0033384A" w:rsidRPr="0033384A" w:rsidRDefault="0033384A" w:rsidP="00BB290F">
            <w:pPr>
              <w:rPr>
                <w:szCs w:val="18"/>
              </w:rPr>
            </w:pPr>
          </w:p>
          <w:p w14:paraId="082C13C4" w14:textId="46398180" w:rsidR="009E1767" w:rsidRDefault="00EC728A" w:rsidP="00BB290F">
            <w:pPr>
              <w:rPr>
                <w:szCs w:val="18"/>
              </w:rPr>
            </w:pPr>
            <w:r w:rsidRPr="0033384A">
              <w:rPr>
                <w:szCs w:val="18"/>
              </w:rPr>
              <w:t>Regulation 2 provides for the interpretation of certain terms used in the Regulations.</w:t>
            </w:r>
          </w:p>
          <w:p w14:paraId="2729F8BF" w14:textId="77777777" w:rsidR="0033384A" w:rsidRPr="0033384A" w:rsidRDefault="0033384A" w:rsidP="00BB290F">
            <w:pPr>
              <w:rPr>
                <w:szCs w:val="18"/>
              </w:rPr>
            </w:pPr>
          </w:p>
          <w:p w14:paraId="1DFEEA9E" w14:textId="10388AC9" w:rsidR="009E1767" w:rsidRDefault="00EC728A" w:rsidP="00BB290F">
            <w:pPr>
              <w:rPr>
                <w:szCs w:val="18"/>
              </w:rPr>
            </w:pPr>
            <w:r w:rsidRPr="0033384A">
              <w:rPr>
                <w:szCs w:val="18"/>
              </w:rPr>
              <w:t>Regulation 3 provides for notice to be given to the Comptroller of Customs and Excise (the Comptroller) under section 97(1) of the Act in respect of restricting the importation of infringing goods.</w:t>
            </w:r>
          </w:p>
          <w:p w14:paraId="6430FADD" w14:textId="77777777" w:rsidR="0033384A" w:rsidRPr="0033384A" w:rsidRDefault="0033384A" w:rsidP="00BB290F">
            <w:pPr>
              <w:rPr>
                <w:szCs w:val="18"/>
              </w:rPr>
            </w:pPr>
          </w:p>
          <w:p w14:paraId="577B65E4" w14:textId="097285C0" w:rsidR="009E1767" w:rsidRDefault="00EC728A" w:rsidP="00BB290F">
            <w:pPr>
              <w:rPr>
                <w:szCs w:val="18"/>
              </w:rPr>
            </w:pPr>
            <w:r w:rsidRPr="0033384A">
              <w:rPr>
                <w:szCs w:val="18"/>
              </w:rPr>
              <w:t>Regulation 4 provides the time and manner of the notice to be given to the Comptroller under section</w:t>
            </w:r>
            <w:r w:rsidR="0033384A">
              <w:rPr>
                <w:szCs w:val="18"/>
              </w:rPr>
              <w:t> </w:t>
            </w:r>
            <w:r w:rsidRPr="0033384A">
              <w:rPr>
                <w:szCs w:val="18"/>
              </w:rPr>
              <w:t>97(1) of the Act.</w:t>
            </w:r>
          </w:p>
          <w:p w14:paraId="27E8704C" w14:textId="77777777" w:rsidR="0033384A" w:rsidRPr="0033384A" w:rsidRDefault="0033384A" w:rsidP="00BB290F">
            <w:pPr>
              <w:rPr>
                <w:szCs w:val="18"/>
              </w:rPr>
            </w:pPr>
          </w:p>
          <w:p w14:paraId="3400AFD3" w14:textId="0981C9A1" w:rsidR="009E1767" w:rsidRDefault="00EC728A" w:rsidP="00BB290F">
            <w:pPr>
              <w:rPr>
                <w:szCs w:val="18"/>
              </w:rPr>
            </w:pPr>
            <w:r w:rsidRPr="0033384A">
              <w:rPr>
                <w:szCs w:val="18"/>
              </w:rPr>
              <w:t>Regulation 5 provides for further information and evidence to be submitted to the Comptroller within such time and in such form as the Comptroller may require.</w:t>
            </w:r>
          </w:p>
          <w:p w14:paraId="5320E5C7" w14:textId="77777777" w:rsidR="0033384A" w:rsidRPr="0033384A" w:rsidRDefault="0033384A" w:rsidP="00BB290F">
            <w:pPr>
              <w:rPr>
                <w:szCs w:val="18"/>
              </w:rPr>
            </w:pPr>
          </w:p>
          <w:p w14:paraId="1965FCE2" w14:textId="77777777" w:rsidR="009E1767" w:rsidRPr="0033384A" w:rsidRDefault="00EC728A" w:rsidP="00BB290F">
            <w:pPr>
              <w:rPr>
                <w:szCs w:val="18"/>
              </w:rPr>
            </w:pPr>
            <w:r w:rsidRPr="0033384A">
              <w:rPr>
                <w:szCs w:val="18"/>
              </w:rPr>
              <w:t>Regulation 6 provides for change of particulars to be submitted to the Comptroller, in writing, within seven days of the change.</w:t>
            </w:r>
          </w:p>
          <w:p w14:paraId="78A32BA9" w14:textId="301BD74A" w:rsidR="009E1767" w:rsidRDefault="00EC728A" w:rsidP="00BB290F">
            <w:pPr>
              <w:rPr>
                <w:szCs w:val="18"/>
              </w:rPr>
            </w:pPr>
            <w:r w:rsidRPr="0033384A">
              <w:rPr>
                <w:szCs w:val="18"/>
              </w:rPr>
              <w:lastRenderedPageBreak/>
              <w:t>Regulation 7 provides for an Officer to refuse to seize goods to which a notice under section 97(1) of the Act relates, if the person who has given notice that infringing goods are expected to be imported fails to comply with any requirement by the Comptroller under these Regulations or any provisions of these Regulations.</w:t>
            </w:r>
          </w:p>
          <w:p w14:paraId="371EFD1D" w14:textId="77777777" w:rsidR="0033384A" w:rsidRPr="0033384A" w:rsidRDefault="0033384A" w:rsidP="00BB290F">
            <w:pPr>
              <w:rPr>
                <w:szCs w:val="18"/>
              </w:rPr>
            </w:pPr>
          </w:p>
          <w:p w14:paraId="26CEF020" w14:textId="3AE10319" w:rsidR="009E1767" w:rsidRDefault="00EC728A" w:rsidP="00BB290F">
            <w:pPr>
              <w:rPr>
                <w:szCs w:val="18"/>
              </w:rPr>
            </w:pPr>
            <w:r w:rsidRPr="0033384A">
              <w:rPr>
                <w:szCs w:val="18"/>
              </w:rPr>
              <w:t>Regulation 8 provides for a period not exceeding ten working days for instituting action for a registered trademark.</w:t>
            </w:r>
          </w:p>
          <w:p w14:paraId="6540AD72" w14:textId="77777777" w:rsidR="0033384A" w:rsidRPr="0033384A" w:rsidRDefault="0033384A" w:rsidP="00BB290F">
            <w:pPr>
              <w:rPr>
                <w:szCs w:val="18"/>
              </w:rPr>
            </w:pPr>
          </w:p>
          <w:p w14:paraId="6BDECDAB" w14:textId="7D4AE6AC" w:rsidR="009E1767" w:rsidRDefault="00EC728A" w:rsidP="00BB290F">
            <w:pPr>
              <w:rPr>
                <w:szCs w:val="18"/>
              </w:rPr>
            </w:pPr>
            <w:r w:rsidRPr="0033384A">
              <w:rPr>
                <w:szCs w:val="18"/>
              </w:rPr>
              <w:t>Regulation 9 provides for a period for extension of retention period not exceeding ten working days after the expiry of the period originally specified.</w:t>
            </w:r>
          </w:p>
          <w:p w14:paraId="3D8042C7" w14:textId="77777777" w:rsidR="0033384A" w:rsidRPr="0033384A" w:rsidRDefault="0033384A" w:rsidP="00BB290F">
            <w:pPr>
              <w:rPr>
                <w:szCs w:val="18"/>
              </w:rPr>
            </w:pPr>
          </w:p>
          <w:p w14:paraId="5D85155A" w14:textId="7C8EB484" w:rsidR="009E1767" w:rsidRDefault="00EC728A" w:rsidP="00BB290F">
            <w:pPr>
              <w:rPr>
                <w:szCs w:val="18"/>
              </w:rPr>
            </w:pPr>
            <w:r w:rsidRPr="0033384A">
              <w:rPr>
                <w:szCs w:val="18"/>
              </w:rPr>
              <w:t>Regulation 10 provides for disposal of goods under section 102(3) of the Act in a prescribed manner, including destruction, as the Comptroller may from time to time direct, pursuant to the Customs Act, Chap 78:01.</w:t>
            </w:r>
          </w:p>
          <w:p w14:paraId="09B01F32" w14:textId="77777777" w:rsidR="0033384A" w:rsidRPr="0033384A" w:rsidRDefault="0033384A" w:rsidP="00BB290F">
            <w:pPr>
              <w:rPr>
                <w:szCs w:val="18"/>
              </w:rPr>
            </w:pPr>
          </w:p>
          <w:p w14:paraId="5590FDD4" w14:textId="100FF916" w:rsidR="009E1767" w:rsidRDefault="00EC728A" w:rsidP="00BB290F">
            <w:pPr>
              <w:rPr>
                <w:szCs w:val="18"/>
              </w:rPr>
            </w:pPr>
            <w:r w:rsidRPr="0033384A">
              <w:rPr>
                <w:szCs w:val="18"/>
              </w:rPr>
              <w:t>Regulation 11 provides a prescribed period under section 109(3) of the Act of two working days after the Comptroller has given the proprietor of the registered trade mark written notice or where the detained goods are goods that are to be exported from Trinidad and Tobago or are goods in transit within ten working days after the Comptroller has given the proprietor of the registered trade mark written notice referred to in section 109(2) of the Act.</w:t>
            </w:r>
          </w:p>
          <w:p w14:paraId="3608F0F0" w14:textId="77777777" w:rsidR="0033384A" w:rsidRPr="0033384A" w:rsidRDefault="0033384A" w:rsidP="00BB290F">
            <w:pPr>
              <w:rPr>
                <w:szCs w:val="18"/>
              </w:rPr>
            </w:pPr>
          </w:p>
          <w:p w14:paraId="36668994" w14:textId="77777777" w:rsidR="009E1767" w:rsidRPr="0033384A" w:rsidRDefault="00EC728A" w:rsidP="00BB290F">
            <w:pPr>
              <w:rPr>
                <w:szCs w:val="18"/>
              </w:rPr>
            </w:pPr>
            <w:r w:rsidRPr="0033384A">
              <w:rPr>
                <w:szCs w:val="18"/>
              </w:rPr>
              <w:t>Regulation 12 provides for the commencement of the Regulations.</w:t>
            </w:r>
          </w:p>
          <w:p w14:paraId="16B8CB42" w14:textId="77777777" w:rsidR="009E1767" w:rsidRPr="0033384A" w:rsidRDefault="009E1767" w:rsidP="00BB290F">
            <w:pPr>
              <w:rPr>
                <w:szCs w:val="18"/>
              </w:rPr>
            </w:pPr>
          </w:p>
          <w:p w14:paraId="0138ADF7" w14:textId="77777777" w:rsidR="009E1767" w:rsidRDefault="00EC728A" w:rsidP="00BB290F">
            <w:pPr>
              <w:rPr>
                <w:szCs w:val="18"/>
              </w:rPr>
            </w:pPr>
            <w:r w:rsidRPr="0033384A">
              <w:rPr>
                <w:szCs w:val="18"/>
              </w:rPr>
              <w:t>The Schedule provides for the notice under section 97(1) of the Act.</w:t>
            </w:r>
            <w:bookmarkEnd w:id="12"/>
          </w:p>
          <w:p w14:paraId="4A5A6A4F" w14:textId="4FD388EC" w:rsidR="0033384A" w:rsidRPr="0033384A" w:rsidRDefault="0033384A" w:rsidP="00BB290F">
            <w:pPr>
              <w:rPr>
                <w:szCs w:val="18"/>
              </w:rPr>
            </w:pPr>
          </w:p>
        </w:tc>
      </w:tr>
      <w:tr w:rsidR="009E1767" w:rsidRPr="0033384A" w14:paraId="71DC802F" w14:textId="77777777" w:rsidTr="00EC728A">
        <w:trPr>
          <w:trHeight w:val="567"/>
        </w:trPr>
        <w:tc>
          <w:tcPr>
            <w:tcW w:w="2107" w:type="dxa"/>
            <w:gridSpan w:val="2"/>
            <w:tcBorders>
              <w:top w:val="single" w:sz="4" w:space="0" w:color="auto"/>
              <w:bottom w:val="single" w:sz="4" w:space="0" w:color="auto"/>
            </w:tcBorders>
            <w:shd w:val="clear" w:color="auto" w:fill="auto"/>
            <w:tcMar>
              <w:top w:w="57" w:type="dxa"/>
              <w:bottom w:w="57" w:type="dxa"/>
            </w:tcMar>
          </w:tcPr>
          <w:p w14:paraId="5405AEFA" w14:textId="77777777" w:rsidR="006B338F" w:rsidRPr="0033384A" w:rsidRDefault="00EC728A" w:rsidP="00165C7A">
            <w:pPr>
              <w:jc w:val="left"/>
              <w:rPr>
                <w:b/>
                <w:szCs w:val="18"/>
              </w:rPr>
            </w:pPr>
            <w:r w:rsidRPr="0033384A">
              <w:rPr>
                <w:b/>
                <w:szCs w:val="18"/>
              </w:rPr>
              <w:lastRenderedPageBreak/>
              <w:t xml:space="preserve">Language(s) of notified </w:t>
            </w:r>
            <w:r w:rsidR="000F4477" w:rsidRPr="0033384A">
              <w:rPr>
                <w:b/>
                <w:szCs w:val="18"/>
              </w:rPr>
              <w:t xml:space="preserve">legal </w:t>
            </w:r>
            <w:r w:rsidRPr="0033384A">
              <w:rPr>
                <w:b/>
                <w:szCs w:val="18"/>
              </w:rPr>
              <w:t>text</w:t>
            </w:r>
          </w:p>
        </w:tc>
        <w:tc>
          <w:tcPr>
            <w:tcW w:w="7135" w:type="dxa"/>
            <w:tcBorders>
              <w:top w:val="single" w:sz="4" w:space="0" w:color="auto"/>
              <w:bottom w:val="single" w:sz="4" w:space="0" w:color="auto"/>
            </w:tcBorders>
            <w:shd w:val="clear" w:color="auto" w:fill="auto"/>
            <w:tcMar>
              <w:top w:w="57" w:type="dxa"/>
              <w:bottom w:w="57" w:type="dxa"/>
            </w:tcMar>
          </w:tcPr>
          <w:p w14:paraId="79169199" w14:textId="77777777" w:rsidR="006B338F" w:rsidRPr="0033384A" w:rsidRDefault="00EC728A" w:rsidP="00867820">
            <w:pPr>
              <w:rPr>
                <w:szCs w:val="18"/>
              </w:rPr>
            </w:pPr>
            <w:bookmarkStart w:id="13" w:name="bmkAttachmentLanguages"/>
            <w:r w:rsidRPr="0033384A">
              <w:rPr>
                <w:szCs w:val="18"/>
              </w:rPr>
              <w:t>English</w:t>
            </w:r>
            <w:bookmarkEnd w:id="13"/>
          </w:p>
        </w:tc>
      </w:tr>
      <w:tr w:rsidR="009E1767" w:rsidRPr="0033384A" w14:paraId="5543F16A" w14:textId="77777777" w:rsidTr="00AF4E28">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332E709A" w14:textId="77777777" w:rsidR="006B338F" w:rsidRPr="0033384A" w:rsidRDefault="00EC728A" w:rsidP="00165C7A">
            <w:pPr>
              <w:jc w:val="left"/>
              <w:rPr>
                <w:b/>
                <w:szCs w:val="18"/>
              </w:rPr>
            </w:pPr>
            <w:r w:rsidRPr="0033384A">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17A2A295" w14:textId="77777777" w:rsidR="00165C7A" w:rsidRPr="0033384A" w:rsidRDefault="00EC728A" w:rsidP="0063774B">
            <w:pPr>
              <w:rPr>
                <w:szCs w:val="18"/>
              </w:rPr>
            </w:pPr>
            <w:bookmarkStart w:id="14" w:name="bmkEntryIntoForceDate"/>
            <w:r w:rsidRPr="0033384A">
              <w:rPr>
                <w:szCs w:val="18"/>
              </w:rPr>
              <w:t>17 June 2020</w:t>
            </w:r>
            <w:bookmarkEnd w:id="14"/>
          </w:p>
        </w:tc>
      </w:tr>
      <w:tr w:rsidR="009E1767" w:rsidRPr="0033384A" w14:paraId="7768D668" w14:textId="77777777" w:rsidTr="00AF4E28">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2A914DB2" w14:textId="77777777" w:rsidR="006B338F" w:rsidRPr="0033384A" w:rsidRDefault="00EC728A" w:rsidP="0060084D">
            <w:pPr>
              <w:jc w:val="left"/>
              <w:rPr>
                <w:b/>
                <w:szCs w:val="18"/>
              </w:rPr>
            </w:pPr>
            <w:r w:rsidRPr="0033384A">
              <w:rPr>
                <w:b/>
                <w:szCs w:val="18"/>
              </w:rPr>
              <w:t>Other date</w:t>
            </w:r>
            <w:r w:rsidR="0060084D" w:rsidRPr="0033384A">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235E6581" w14:textId="77777777" w:rsidR="00165C7A" w:rsidRPr="0033384A" w:rsidRDefault="00165C7A" w:rsidP="0060084D">
            <w:pPr>
              <w:rPr>
                <w:szCs w:val="18"/>
              </w:rPr>
            </w:pPr>
            <w:bookmarkStart w:id="15" w:name="bmkOtherDateDate"/>
            <w:bookmarkEnd w:id="15"/>
          </w:p>
        </w:tc>
      </w:tr>
      <w:tr w:rsidR="009E1767" w:rsidRPr="0033384A" w14:paraId="2618DEAE" w14:textId="77777777" w:rsidTr="00AF4E28">
        <w:trPr>
          <w:trHeight w:val="294"/>
        </w:trPr>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0BF65E1A" w14:textId="77777777" w:rsidR="003202BA" w:rsidRPr="0033384A" w:rsidRDefault="003202BA" w:rsidP="00165C7A">
            <w:pPr>
              <w:rPr>
                <w:szCs w:val="18"/>
              </w:rPr>
            </w:pPr>
          </w:p>
          <w:p w14:paraId="0584CAEA" w14:textId="77777777" w:rsidR="003202BA" w:rsidRPr="0033384A" w:rsidRDefault="00EC728A" w:rsidP="003202BA">
            <w:pPr>
              <w:jc w:val="left"/>
              <w:rPr>
                <w:b/>
                <w:szCs w:val="18"/>
              </w:rPr>
            </w:pPr>
            <w:r w:rsidRPr="0033384A">
              <w:rPr>
                <w:b/>
                <w:szCs w:val="18"/>
              </w:rPr>
              <w:t>Notification details</w:t>
            </w:r>
          </w:p>
          <w:p w14:paraId="526920B7" w14:textId="77777777" w:rsidR="003202BA" w:rsidRPr="0033384A" w:rsidRDefault="003202BA" w:rsidP="00165C7A">
            <w:pPr>
              <w:rPr>
                <w:szCs w:val="18"/>
              </w:rPr>
            </w:pPr>
          </w:p>
        </w:tc>
      </w:tr>
      <w:tr w:rsidR="009E1767" w:rsidRPr="0033384A" w14:paraId="65C7D684" w14:textId="77777777" w:rsidTr="00AF4E28">
        <w:trPr>
          <w:trHeight w:val="540"/>
        </w:trPr>
        <w:tc>
          <w:tcPr>
            <w:tcW w:w="2094" w:type="dxa"/>
            <w:tcBorders>
              <w:top w:val="double" w:sz="4" w:space="0" w:color="auto"/>
              <w:bottom w:val="single" w:sz="4" w:space="0" w:color="auto"/>
            </w:tcBorders>
            <w:shd w:val="clear" w:color="auto" w:fill="auto"/>
            <w:tcMar>
              <w:top w:w="57" w:type="dxa"/>
              <w:bottom w:w="57" w:type="dxa"/>
            </w:tcMar>
          </w:tcPr>
          <w:p w14:paraId="232376A7" w14:textId="77777777" w:rsidR="00CD3722" w:rsidRPr="0033384A" w:rsidRDefault="00EC728A" w:rsidP="003D642A">
            <w:pPr>
              <w:jc w:val="left"/>
              <w:rPr>
                <w:b/>
                <w:szCs w:val="18"/>
              </w:rPr>
            </w:pPr>
            <w:r w:rsidRPr="0033384A">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228BBC69" w14:textId="77777777" w:rsidR="00CD3722" w:rsidRPr="0033384A" w:rsidRDefault="00EC728A" w:rsidP="003A033C">
            <w:pPr>
              <w:jc w:val="left"/>
              <w:rPr>
                <w:b/>
                <w:szCs w:val="18"/>
              </w:rPr>
            </w:pPr>
            <w:bookmarkStart w:id="16" w:name="bmkSubmissionDate"/>
            <w:r w:rsidRPr="0033384A">
              <w:rPr>
                <w:szCs w:val="18"/>
              </w:rPr>
              <w:t>27 May 2022</w:t>
            </w:r>
            <w:bookmarkEnd w:id="16"/>
          </w:p>
        </w:tc>
      </w:tr>
      <w:tr w:rsidR="009E1767" w:rsidRPr="0033384A" w14:paraId="318A1E7D" w14:textId="77777777" w:rsidTr="00AF4E28">
        <w:trPr>
          <w:trHeight w:val="273"/>
        </w:trPr>
        <w:tc>
          <w:tcPr>
            <w:tcW w:w="2094" w:type="dxa"/>
            <w:tcBorders>
              <w:top w:val="single" w:sz="4" w:space="0" w:color="auto"/>
            </w:tcBorders>
            <w:shd w:val="clear" w:color="auto" w:fill="auto"/>
            <w:tcMar>
              <w:top w:w="57" w:type="dxa"/>
              <w:bottom w:w="57" w:type="dxa"/>
            </w:tcMar>
          </w:tcPr>
          <w:p w14:paraId="3E7D8602" w14:textId="77777777" w:rsidR="00CD3722" w:rsidRPr="0033384A" w:rsidRDefault="00EC728A" w:rsidP="003D642A">
            <w:pPr>
              <w:jc w:val="left"/>
              <w:rPr>
                <w:b/>
                <w:szCs w:val="18"/>
              </w:rPr>
            </w:pPr>
            <w:r w:rsidRPr="0033384A">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14:paraId="708ABE76" w14:textId="02FA8173" w:rsidR="00CD3722" w:rsidRPr="0033384A" w:rsidRDefault="00EC728A" w:rsidP="00E20D8D">
            <w:pPr>
              <w:jc w:val="left"/>
              <w:rPr>
                <w:b/>
                <w:szCs w:val="18"/>
              </w:rPr>
            </w:pPr>
            <w:bookmarkStart w:id="17" w:name="bmkOtherInformation"/>
            <w:r>
              <w:rPr>
                <w:szCs w:val="18"/>
              </w:rPr>
              <w:t>S</w:t>
            </w:r>
            <w:r w:rsidRPr="0033384A">
              <w:rPr>
                <w:szCs w:val="18"/>
              </w:rPr>
              <w:t xml:space="preserve">ee </w:t>
            </w:r>
            <w:r>
              <w:rPr>
                <w:szCs w:val="18"/>
              </w:rPr>
              <w:t xml:space="preserve">also </w:t>
            </w:r>
            <w:r w:rsidRPr="0033384A">
              <w:rPr>
                <w:szCs w:val="18"/>
              </w:rPr>
              <w:t xml:space="preserve">document </w:t>
            </w:r>
            <w:hyperlink r:id="rId8" w:history="1">
              <w:r w:rsidRPr="00EC728A">
                <w:rPr>
                  <w:rStyle w:val="Hyperlink"/>
                  <w:szCs w:val="18"/>
                </w:rPr>
                <w:t>IP/N/1/TTO/2</w:t>
              </w:r>
            </w:hyperlink>
            <w:r w:rsidRPr="0033384A">
              <w:rPr>
                <w:szCs w:val="18"/>
              </w:rPr>
              <w:t xml:space="preserve"> </w:t>
            </w:r>
            <w:r w:rsidR="00903B31">
              <w:rPr>
                <w:szCs w:val="18"/>
              </w:rPr>
              <w:t>(</w:t>
            </w:r>
            <w:r w:rsidRPr="0033384A">
              <w:rPr>
                <w:szCs w:val="18"/>
              </w:rPr>
              <w:t>the Trade Mark Act, No. 8 of 2015</w:t>
            </w:r>
            <w:r w:rsidR="00903B31">
              <w:rPr>
                <w:szCs w:val="18"/>
              </w:rPr>
              <w:t>)</w:t>
            </w:r>
          </w:p>
          <w:p w14:paraId="15B99680" w14:textId="77777777" w:rsidR="009E1767" w:rsidRPr="0033384A" w:rsidRDefault="009E1767" w:rsidP="00E20D8D">
            <w:pPr>
              <w:jc w:val="left"/>
              <w:rPr>
                <w:szCs w:val="18"/>
              </w:rPr>
            </w:pPr>
          </w:p>
          <w:p w14:paraId="3B95C94D" w14:textId="77777777" w:rsidR="009E1767" w:rsidRDefault="00AC30AE" w:rsidP="00E20D8D">
            <w:pPr>
              <w:jc w:val="left"/>
              <w:rPr>
                <w:szCs w:val="18"/>
              </w:rPr>
            </w:pPr>
            <w:hyperlink r:id="rId9" w:history="1">
              <w:r w:rsidR="00EC728A" w:rsidRPr="0033384A">
                <w:rPr>
                  <w:color w:val="0000FF"/>
                  <w:szCs w:val="18"/>
                  <w:u w:val="single"/>
                </w:rPr>
                <w:t>http://ipo.gov.tt/downloads/Trademark/border_enforcement_measures.pdf</w:t>
              </w:r>
            </w:hyperlink>
            <w:r w:rsidR="00EC728A" w:rsidRPr="0033384A">
              <w:rPr>
                <w:szCs w:val="18"/>
              </w:rPr>
              <w:t xml:space="preserve"> </w:t>
            </w:r>
            <w:bookmarkEnd w:id="17"/>
          </w:p>
          <w:p w14:paraId="0BCF7A0E" w14:textId="7676833E" w:rsidR="0033384A" w:rsidRPr="0033384A" w:rsidRDefault="0033384A" w:rsidP="00E20D8D">
            <w:pPr>
              <w:jc w:val="left"/>
              <w:rPr>
                <w:szCs w:val="18"/>
              </w:rPr>
            </w:pPr>
          </w:p>
        </w:tc>
      </w:tr>
      <w:tr w:rsidR="009E1767" w:rsidRPr="0033384A" w14:paraId="14FEB7C6" w14:textId="77777777" w:rsidTr="00AF4E28">
        <w:trPr>
          <w:trHeight w:val="567"/>
        </w:trPr>
        <w:tc>
          <w:tcPr>
            <w:tcW w:w="2094" w:type="dxa"/>
            <w:shd w:val="clear" w:color="auto" w:fill="FFFFFF"/>
            <w:tcMar>
              <w:top w:w="57" w:type="dxa"/>
              <w:bottom w:w="57" w:type="dxa"/>
            </w:tcMar>
          </w:tcPr>
          <w:p w14:paraId="1AC06C1E" w14:textId="77777777" w:rsidR="00CD3722" w:rsidRPr="0033384A" w:rsidRDefault="00EC728A" w:rsidP="003D642A">
            <w:pPr>
              <w:jc w:val="left"/>
              <w:rPr>
                <w:b/>
                <w:szCs w:val="18"/>
              </w:rPr>
            </w:pPr>
            <w:r w:rsidRPr="0033384A">
              <w:rPr>
                <w:b/>
                <w:szCs w:val="18"/>
              </w:rPr>
              <w:t>Agency or authority responsible</w:t>
            </w:r>
          </w:p>
        </w:tc>
        <w:tc>
          <w:tcPr>
            <w:tcW w:w="7148" w:type="dxa"/>
            <w:gridSpan w:val="2"/>
            <w:shd w:val="clear" w:color="auto" w:fill="FFFFFF"/>
            <w:tcMar>
              <w:top w:w="57" w:type="dxa"/>
              <w:bottom w:w="57" w:type="dxa"/>
            </w:tcMar>
          </w:tcPr>
          <w:p w14:paraId="127B1DBF" w14:textId="77777777" w:rsidR="0003629A" w:rsidRPr="00BD540B" w:rsidRDefault="0003629A" w:rsidP="0003629A">
            <w:pPr>
              <w:jc w:val="left"/>
              <w:rPr>
                <w:b/>
                <w:szCs w:val="18"/>
              </w:rPr>
            </w:pPr>
            <w:bookmarkStart w:id="18" w:name="bmkContactInformation"/>
            <w:r w:rsidRPr="00BD540B">
              <w:rPr>
                <w:szCs w:val="18"/>
              </w:rPr>
              <w:t>Intellectual Property Office</w:t>
            </w:r>
          </w:p>
          <w:p w14:paraId="1830D8B8" w14:textId="77777777" w:rsidR="0003629A" w:rsidRPr="00BD540B" w:rsidRDefault="0003629A" w:rsidP="0003629A">
            <w:pPr>
              <w:jc w:val="left"/>
              <w:rPr>
                <w:szCs w:val="18"/>
              </w:rPr>
            </w:pPr>
            <w:r w:rsidRPr="00BD540B">
              <w:rPr>
                <w:szCs w:val="18"/>
              </w:rPr>
              <w:t xml:space="preserve">Office of the Attorney General and Ministry of Legal Affairs </w:t>
            </w:r>
          </w:p>
          <w:p w14:paraId="24F6C464" w14:textId="77777777" w:rsidR="0003629A" w:rsidRPr="00BD540B" w:rsidRDefault="0003629A" w:rsidP="0003629A">
            <w:pPr>
              <w:jc w:val="left"/>
              <w:rPr>
                <w:szCs w:val="18"/>
              </w:rPr>
            </w:pPr>
            <w:r w:rsidRPr="00BD540B">
              <w:rPr>
                <w:szCs w:val="18"/>
              </w:rPr>
              <w:t xml:space="preserve">3rd Floor, Capital Plaza </w:t>
            </w:r>
          </w:p>
          <w:p w14:paraId="29D8F6FD" w14:textId="77777777" w:rsidR="0003629A" w:rsidRPr="00BD540B" w:rsidRDefault="0003629A" w:rsidP="0003629A">
            <w:pPr>
              <w:jc w:val="left"/>
              <w:rPr>
                <w:szCs w:val="18"/>
              </w:rPr>
            </w:pPr>
            <w:r w:rsidRPr="00BD540B">
              <w:rPr>
                <w:szCs w:val="18"/>
              </w:rPr>
              <w:t xml:space="preserve">11-13, Frederick Street </w:t>
            </w:r>
          </w:p>
          <w:p w14:paraId="03880668" w14:textId="77777777" w:rsidR="0003629A" w:rsidRPr="00BD540B" w:rsidRDefault="0003629A" w:rsidP="0003629A">
            <w:pPr>
              <w:jc w:val="left"/>
              <w:rPr>
                <w:szCs w:val="18"/>
              </w:rPr>
            </w:pPr>
            <w:r w:rsidRPr="00BD540B">
              <w:rPr>
                <w:szCs w:val="18"/>
              </w:rPr>
              <w:t xml:space="preserve">Port of Spain </w:t>
            </w:r>
          </w:p>
          <w:p w14:paraId="146A63A1" w14:textId="77777777" w:rsidR="0003629A" w:rsidRPr="00BD540B" w:rsidRDefault="0003629A" w:rsidP="0003629A">
            <w:pPr>
              <w:jc w:val="left"/>
              <w:rPr>
                <w:szCs w:val="18"/>
              </w:rPr>
            </w:pPr>
            <w:r w:rsidRPr="00BD540B">
              <w:rPr>
                <w:szCs w:val="18"/>
              </w:rPr>
              <w:t>Republic of Trinidad and Tobago</w:t>
            </w:r>
          </w:p>
          <w:p w14:paraId="6E3A0154" w14:textId="77777777" w:rsidR="00903B31" w:rsidRDefault="00903B31" w:rsidP="0003629A">
            <w:pPr>
              <w:jc w:val="left"/>
              <w:rPr>
                <w:szCs w:val="18"/>
              </w:rPr>
            </w:pPr>
          </w:p>
          <w:p w14:paraId="507CD288" w14:textId="5F44D205" w:rsidR="0003629A" w:rsidRPr="00BD540B" w:rsidRDefault="0003629A" w:rsidP="0003629A">
            <w:pPr>
              <w:jc w:val="left"/>
              <w:rPr>
                <w:szCs w:val="18"/>
              </w:rPr>
            </w:pPr>
            <w:r w:rsidRPr="00BD540B">
              <w:rPr>
                <w:szCs w:val="18"/>
              </w:rPr>
              <w:t xml:space="preserve">Telephone: </w:t>
            </w:r>
            <w:r>
              <w:rPr>
                <w:szCs w:val="18"/>
              </w:rPr>
              <w:tab/>
            </w:r>
            <w:r w:rsidRPr="00BD540B">
              <w:rPr>
                <w:szCs w:val="18"/>
              </w:rPr>
              <w:t>+1 (868) 226 4476</w:t>
            </w:r>
          </w:p>
          <w:p w14:paraId="5FA58A57" w14:textId="77777777" w:rsidR="0003629A" w:rsidRPr="00BD540B" w:rsidRDefault="0003629A" w:rsidP="0003629A">
            <w:pPr>
              <w:jc w:val="left"/>
              <w:rPr>
                <w:szCs w:val="18"/>
              </w:rPr>
            </w:pPr>
            <w:r w:rsidRPr="00BD540B">
              <w:rPr>
                <w:szCs w:val="18"/>
              </w:rPr>
              <w:t xml:space="preserve">Telefax: </w:t>
            </w:r>
            <w:r>
              <w:rPr>
                <w:szCs w:val="18"/>
              </w:rPr>
              <w:tab/>
            </w:r>
            <w:r w:rsidRPr="00BD540B">
              <w:rPr>
                <w:szCs w:val="18"/>
              </w:rPr>
              <w:t>+1 (868) 226 5160</w:t>
            </w:r>
          </w:p>
          <w:p w14:paraId="591198DA" w14:textId="77777777" w:rsidR="00903B31" w:rsidRDefault="00903B31" w:rsidP="0003629A">
            <w:pPr>
              <w:jc w:val="left"/>
            </w:pPr>
          </w:p>
          <w:p w14:paraId="6CB90AC3" w14:textId="5BCF69F6" w:rsidR="0003629A" w:rsidRPr="00BD540B" w:rsidRDefault="00AC30AE" w:rsidP="0003629A">
            <w:pPr>
              <w:jc w:val="left"/>
              <w:rPr>
                <w:szCs w:val="18"/>
              </w:rPr>
            </w:pPr>
            <w:hyperlink r:id="rId10" w:history="1">
              <w:r w:rsidR="00901C01" w:rsidRPr="00774484">
                <w:rPr>
                  <w:rStyle w:val="Hyperlink"/>
                  <w:szCs w:val="18"/>
                </w:rPr>
                <w:t>info@ipo.gov.tt</w:t>
              </w:r>
            </w:hyperlink>
          </w:p>
          <w:p w14:paraId="11DECEE8" w14:textId="77777777" w:rsidR="0003629A" w:rsidRPr="00BD540B" w:rsidRDefault="00AC30AE" w:rsidP="0003629A">
            <w:pPr>
              <w:jc w:val="left"/>
              <w:rPr>
                <w:szCs w:val="18"/>
              </w:rPr>
            </w:pPr>
            <w:hyperlink r:id="rId11" w:history="1">
              <w:r w:rsidR="0003629A" w:rsidRPr="00BD540B">
                <w:rPr>
                  <w:color w:val="0000FF"/>
                  <w:szCs w:val="18"/>
                  <w:u w:val="single"/>
                </w:rPr>
                <w:t>www.ipo.gov.tt</w:t>
              </w:r>
            </w:hyperlink>
          </w:p>
          <w:bookmarkEnd w:id="18"/>
          <w:p w14:paraId="0A69B984" w14:textId="77777777" w:rsidR="009E1767" w:rsidRPr="0033384A" w:rsidRDefault="009E1767" w:rsidP="00E20D8D">
            <w:pPr>
              <w:jc w:val="left"/>
              <w:rPr>
                <w:szCs w:val="18"/>
              </w:rPr>
            </w:pPr>
          </w:p>
        </w:tc>
      </w:tr>
    </w:tbl>
    <w:p w14:paraId="0ADCF0F6" w14:textId="77777777" w:rsidR="00CD3722" w:rsidRDefault="00CD3722" w:rsidP="00CD3722">
      <w:pPr>
        <w:shd w:val="clear" w:color="auto" w:fill="FFFFFF"/>
        <w:jc w:val="center"/>
      </w:pPr>
    </w:p>
    <w:sectPr w:rsidR="00CD3722" w:rsidSect="0033384A">
      <w:headerReference w:type="even" r:id="rId12"/>
      <w:headerReference w:type="default" r:id="rId13"/>
      <w:footerReference w:type="even" r:id="rId14"/>
      <w:footerReference w:type="default" r:id="rId15"/>
      <w:headerReference w:type="first" r:id="rId16"/>
      <w:footerReference w:type="first" r:id="rId17"/>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3221" w14:textId="77777777" w:rsidR="007F6396" w:rsidRDefault="00EC728A" w:rsidP="00ED54E0">
      <w:r>
        <w:separator/>
      </w:r>
    </w:p>
  </w:endnote>
  <w:endnote w:type="continuationSeparator" w:id="0">
    <w:p w14:paraId="02E281CC" w14:textId="77777777" w:rsidR="007F6396" w:rsidRDefault="00EC728A" w:rsidP="00ED54E0">
      <w:r>
        <w:continuationSeparator/>
      </w:r>
    </w:p>
  </w:endnote>
  <w:endnote w:id="1">
    <w:p w14:paraId="0AAF3EDB" w14:textId="77777777" w:rsidR="00AF6312" w:rsidRDefault="00EC728A" w:rsidP="00650102">
      <w:pPr>
        <w:pStyle w:val="EndnoteText"/>
        <w:jc w:val="both"/>
      </w:pPr>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6774" w14:textId="37C19101" w:rsidR="00544326" w:rsidRPr="0033384A" w:rsidRDefault="0033384A" w:rsidP="003338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8F48" w14:textId="35AFB88F" w:rsidR="00544326" w:rsidRPr="0033384A" w:rsidRDefault="0033384A" w:rsidP="003338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C1C5" w14:textId="77777777" w:rsidR="00AC30AE" w:rsidRDefault="00AC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D286" w14:textId="77777777" w:rsidR="00A84B20" w:rsidRDefault="00EC728A">
      <w:r>
        <w:separator/>
      </w:r>
    </w:p>
  </w:footnote>
  <w:footnote w:type="continuationSeparator" w:id="0">
    <w:p w14:paraId="5B910CAA" w14:textId="77777777" w:rsidR="00A84B20" w:rsidRDefault="00EC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DDAE" w14:textId="77777777" w:rsidR="0033384A" w:rsidRPr="0033384A" w:rsidRDefault="0033384A" w:rsidP="0033384A">
    <w:pPr>
      <w:pStyle w:val="Header"/>
      <w:pBdr>
        <w:bottom w:val="single" w:sz="4" w:space="1" w:color="auto"/>
      </w:pBdr>
      <w:tabs>
        <w:tab w:val="clear" w:pos="4513"/>
        <w:tab w:val="clear" w:pos="9027"/>
      </w:tabs>
      <w:jc w:val="center"/>
    </w:pPr>
    <w:r w:rsidRPr="0033384A">
      <w:t>IP/N/1/TTO/4 • IP/N/1/TTO/T/4</w:t>
    </w:r>
  </w:p>
  <w:p w14:paraId="59F6B318" w14:textId="77777777" w:rsidR="0033384A" w:rsidRPr="0033384A" w:rsidRDefault="0033384A" w:rsidP="0033384A">
    <w:pPr>
      <w:pStyle w:val="Header"/>
      <w:pBdr>
        <w:bottom w:val="single" w:sz="4" w:space="1" w:color="auto"/>
      </w:pBdr>
      <w:tabs>
        <w:tab w:val="clear" w:pos="4513"/>
        <w:tab w:val="clear" w:pos="9027"/>
      </w:tabs>
      <w:jc w:val="center"/>
    </w:pPr>
  </w:p>
  <w:p w14:paraId="0022C2F4" w14:textId="73FA074B" w:rsidR="0033384A" w:rsidRPr="0033384A" w:rsidRDefault="0033384A" w:rsidP="0033384A">
    <w:pPr>
      <w:pStyle w:val="Header"/>
      <w:pBdr>
        <w:bottom w:val="single" w:sz="4" w:space="1" w:color="auto"/>
      </w:pBdr>
      <w:tabs>
        <w:tab w:val="clear" w:pos="4513"/>
        <w:tab w:val="clear" w:pos="9027"/>
      </w:tabs>
      <w:jc w:val="center"/>
    </w:pPr>
    <w:r w:rsidRPr="0033384A">
      <w:t xml:space="preserve">- </w:t>
    </w:r>
    <w:r w:rsidRPr="0033384A">
      <w:fldChar w:fldCharType="begin"/>
    </w:r>
    <w:r w:rsidRPr="0033384A">
      <w:instrText xml:space="preserve"> PAGE </w:instrText>
    </w:r>
    <w:r w:rsidRPr="0033384A">
      <w:fldChar w:fldCharType="separate"/>
    </w:r>
    <w:r w:rsidRPr="0033384A">
      <w:rPr>
        <w:noProof/>
      </w:rPr>
      <w:t>2</w:t>
    </w:r>
    <w:r w:rsidRPr="0033384A">
      <w:fldChar w:fldCharType="end"/>
    </w:r>
    <w:r w:rsidRPr="0033384A">
      <w:t xml:space="preserve"> -</w:t>
    </w:r>
  </w:p>
  <w:p w14:paraId="1EA02DE1" w14:textId="4A8F8D0B" w:rsidR="00544326" w:rsidRPr="0033384A" w:rsidRDefault="00544326" w:rsidP="003338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925" w14:textId="77777777" w:rsidR="0033384A" w:rsidRPr="0033384A" w:rsidRDefault="0033384A" w:rsidP="0033384A">
    <w:pPr>
      <w:pStyle w:val="Header"/>
      <w:pBdr>
        <w:bottom w:val="single" w:sz="4" w:space="1" w:color="auto"/>
      </w:pBdr>
      <w:tabs>
        <w:tab w:val="clear" w:pos="4513"/>
        <w:tab w:val="clear" w:pos="9027"/>
      </w:tabs>
      <w:jc w:val="center"/>
    </w:pPr>
    <w:r w:rsidRPr="0033384A">
      <w:t>IP/N/1/TTO/4 • IP/N/1/TTO/T/4</w:t>
    </w:r>
  </w:p>
  <w:p w14:paraId="2D77088B" w14:textId="77777777" w:rsidR="0033384A" w:rsidRPr="0033384A" w:rsidRDefault="0033384A" w:rsidP="0033384A">
    <w:pPr>
      <w:pStyle w:val="Header"/>
      <w:pBdr>
        <w:bottom w:val="single" w:sz="4" w:space="1" w:color="auto"/>
      </w:pBdr>
      <w:tabs>
        <w:tab w:val="clear" w:pos="4513"/>
        <w:tab w:val="clear" w:pos="9027"/>
      </w:tabs>
      <w:jc w:val="center"/>
    </w:pPr>
  </w:p>
  <w:p w14:paraId="37C798BD" w14:textId="22AEF844" w:rsidR="0033384A" w:rsidRPr="0033384A" w:rsidRDefault="0033384A" w:rsidP="0033384A">
    <w:pPr>
      <w:pStyle w:val="Header"/>
      <w:pBdr>
        <w:bottom w:val="single" w:sz="4" w:space="1" w:color="auto"/>
      </w:pBdr>
      <w:tabs>
        <w:tab w:val="clear" w:pos="4513"/>
        <w:tab w:val="clear" w:pos="9027"/>
      </w:tabs>
      <w:jc w:val="center"/>
    </w:pPr>
    <w:r w:rsidRPr="0033384A">
      <w:t xml:space="preserve">- </w:t>
    </w:r>
    <w:r w:rsidRPr="0033384A">
      <w:fldChar w:fldCharType="begin"/>
    </w:r>
    <w:r w:rsidRPr="0033384A">
      <w:instrText xml:space="preserve"> PAGE </w:instrText>
    </w:r>
    <w:r w:rsidRPr="0033384A">
      <w:fldChar w:fldCharType="separate"/>
    </w:r>
    <w:r w:rsidRPr="0033384A">
      <w:rPr>
        <w:noProof/>
      </w:rPr>
      <w:t>2</w:t>
    </w:r>
    <w:r w:rsidRPr="0033384A">
      <w:fldChar w:fldCharType="end"/>
    </w:r>
    <w:r w:rsidRPr="0033384A">
      <w:t xml:space="preserve"> -</w:t>
    </w:r>
  </w:p>
  <w:p w14:paraId="1B566C0A" w14:textId="17E498D3" w:rsidR="00544326" w:rsidRPr="0033384A" w:rsidRDefault="00544326" w:rsidP="003338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1767" w14:paraId="0AA3508E" w14:textId="77777777" w:rsidTr="00544326">
      <w:trPr>
        <w:trHeight w:val="240"/>
        <w:jc w:val="center"/>
      </w:trPr>
      <w:tc>
        <w:tcPr>
          <w:tcW w:w="3794" w:type="dxa"/>
          <w:shd w:val="clear" w:color="auto" w:fill="FFFFFF"/>
          <w:tcMar>
            <w:left w:w="108" w:type="dxa"/>
            <w:right w:w="108" w:type="dxa"/>
          </w:tcMar>
          <w:vAlign w:val="center"/>
        </w:tcPr>
        <w:p w14:paraId="56CB7BCB"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5758F45C" w14:textId="649CEDD0" w:rsidR="00ED54E0" w:rsidRPr="0023737C" w:rsidRDefault="0033384A" w:rsidP="00ED1F9F">
          <w:pPr>
            <w:jc w:val="right"/>
            <w:rPr>
              <w:b/>
              <w:color w:val="FF0000"/>
              <w:szCs w:val="16"/>
            </w:rPr>
          </w:pPr>
          <w:r>
            <w:rPr>
              <w:b/>
              <w:color w:val="FF0000"/>
              <w:szCs w:val="16"/>
            </w:rPr>
            <w:t xml:space="preserve"> </w:t>
          </w:r>
        </w:p>
      </w:tc>
    </w:tr>
    <w:bookmarkEnd w:id="19"/>
    <w:tr w:rsidR="009E1767" w14:paraId="1439D10E" w14:textId="77777777" w:rsidTr="00544326">
      <w:trPr>
        <w:trHeight w:val="213"/>
        <w:jc w:val="center"/>
      </w:trPr>
      <w:tc>
        <w:tcPr>
          <w:tcW w:w="3794" w:type="dxa"/>
          <w:vMerge w:val="restart"/>
          <w:shd w:val="clear" w:color="auto" w:fill="FFFFFF"/>
          <w:tcMar>
            <w:left w:w="0" w:type="dxa"/>
            <w:right w:w="0" w:type="dxa"/>
          </w:tcMar>
        </w:tcPr>
        <w:p w14:paraId="365616FA" w14:textId="77777777" w:rsidR="00ED54E0" w:rsidRPr="0023737C" w:rsidRDefault="00EC728A" w:rsidP="00ED1F9F">
          <w:pPr>
            <w:jc w:val="left"/>
          </w:pPr>
          <w:r>
            <w:rPr>
              <w:noProof/>
              <w:lang w:val="en-US"/>
            </w:rPr>
            <w:drawing>
              <wp:inline distT="0" distB="0" distL="0" distR="0" wp14:anchorId="2F0C2614" wp14:editId="001D9A2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3534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BC41EC" w14:textId="77777777" w:rsidR="00ED54E0" w:rsidRPr="0023737C" w:rsidRDefault="00ED54E0" w:rsidP="00ED1F9F">
          <w:pPr>
            <w:jc w:val="right"/>
            <w:rPr>
              <w:b/>
              <w:szCs w:val="16"/>
            </w:rPr>
          </w:pPr>
        </w:p>
      </w:tc>
    </w:tr>
    <w:tr w:rsidR="009E1767" w14:paraId="546A755E" w14:textId="77777777" w:rsidTr="00544326">
      <w:trPr>
        <w:trHeight w:val="868"/>
        <w:jc w:val="center"/>
      </w:trPr>
      <w:tc>
        <w:tcPr>
          <w:tcW w:w="3794" w:type="dxa"/>
          <w:vMerge/>
          <w:shd w:val="clear" w:color="auto" w:fill="FFFFFF"/>
          <w:tcMar>
            <w:left w:w="108" w:type="dxa"/>
            <w:right w:w="108" w:type="dxa"/>
          </w:tcMar>
        </w:tcPr>
        <w:p w14:paraId="0915C328"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1FA30D38" w14:textId="77777777" w:rsidR="0033384A" w:rsidRDefault="0033384A" w:rsidP="00ED1F9F">
          <w:pPr>
            <w:jc w:val="right"/>
            <w:rPr>
              <w:b/>
              <w:szCs w:val="16"/>
            </w:rPr>
          </w:pPr>
          <w:bookmarkStart w:id="20" w:name="bmkSymbols"/>
          <w:r>
            <w:rPr>
              <w:b/>
              <w:szCs w:val="16"/>
            </w:rPr>
            <w:t>IP/N/1/TTO/4</w:t>
          </w:r>
        </w:p>
        <w:p w14:paraId="01C06D38" w14:textId="77777777" w:rsidR="0033384A" w:rsidRDefault="0033384A" w:rsidP="00ED1F9F">
          <w:pPr>
            <w:jc w:val="right"/>
            <w:rPr>
              <w:b/>
              <w:szCs w:val="16"/>
            </w:rPr>
          </w:pPr>
          <w:r>
            <w:rPr>
              <w:b/>
              <w:szCs w:val="16"/>
            </w:rPr>
            <w:t>IP/N/1/TTO/T/4</w:t>
          </w:r>
        </w:p>
        <w:bookmarkEnd w:id="20"/>
        <w:p w14:paraId="678780F0" w14:textId="4D3EEABF" w:rsidR="009E1767" w:rsidRDefault="009E1767" w:rsidP="00ED1F9F">
          <w:pPr>
            <w:jc w:val="right"/>
            <w:rPr>
              <w:b/>
              <w:szCs w:val="16"/>
            </w:rPr>
          </w:pPr>
        </w:p>
      </w:tc>
    </w:tr>
    <w:tr w:rsidR="009E1767" w14:paraId="67E73B14" w14:textId="77777777" w:rsidTr="00544326">
      <w:trPr>
        <w:trHeight w:val="240"/>
        <w:jc w:val="center"/>
      </w:trPr>
      <w:tc>
        <w:tcPr>
          <w:tcW w:w="3794" w:type="dxa"/>
          <w:vMerge/>
          <w:shd w:val="clear" w:color="auto" w:fill="FFFFFF"/>
          <w:tcMar>
            <w:left w:w="108" w:type="dxa"/>
            <w:right w:w="108" w:type="dxa"/>
          </w:tcMar>
          <w:vAlign w:val="center"/>
        </w:tcPr>
        <w:p w14:paraId="13256C7F" w14:textId="77777777" w:rsidR="00ED54E0" w:rsidRPr="0023737C" w:rsidRDefault="00ED54E0" w:rsidP="00ED1F9F"/>
      </w:tc>
      <w:tc>
        <w:tcPr>
          <w:tcW w:w="5448" w:type="dxa"/>
          <w:gridSpan w:val="2"/>
          <w:shd w:val="clear" w:color="auto" w:fill="FFFFFF"/>
          <w:tcMar>
            <w:left w:w="108" w:type="dxa"/>
            <w:right w:w="108" w:type="dxa"/>
          </w:tcMar>
          <w:vAlign w:val="center"/>
        </w:tcPr>
        <w:p w14:paraId="1DBFF358" w14:textId="77777777" w:rsidR="00ED54E0" w:rsidRPr="0023737C" w:rsidRDefault="00EC728A" w:rsidP="00FB117C">
          <w:pPr>
            <w:jc w:val="right"/>
            <w:rPr>
              <w:szCs w:val="16"/>
            </w:rPr>
          </w:pPr>
          <w:bookmarkStart w:id="21" w:name="bmkDate"/>
          <w:r w:rsidRPr="00FB117C">
            <w:rPr>
              <w:szCs w:val="16"/>
            </w:rPr>
            <w:t>23 June 2022</w:t>
          </w:r>
          <w:bookmarkEnd w:id="21"/>
        </w:p>
      </w:tc>
    </w:tr>
    <w:tr w:rsidR="009E1767" w14:paraId="26FDACD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D24C61" w14:textId="71B39567" w:rsidR="00ED54E0" w:rsidRPr="00827B0A" w:rsidRDefault="00EC728A" w:rsidP="00ED1F9F">
          <w:pPr>
            <w:jc w:val="left"/>
            <w:rPr>
              <w:color w:val="FF0000"/>
            </w:rPr>
          </w:pPr>
          <w:bookmarkStart w:id="22" w:name="bmkSerial"/>
          <w:r w:rsidRPr="00827B0A">
            <w:rPr>
              <w:color w:val="FF0000"/>
            </w:rPr>
            <w:t>(</w:t>
          </w:r>
          <w:r w:rsidR="00F85685">
            <w:rPr>
              <w:color w:val="FF0000"/>
            </w:rPr>
            <w:t>22-</w:t>
          </w:r>
          <w:r w:rsidR="00AC30AE">
            <w:rPr>
              <w:color w:val="FF0000"/>
            </w:rPr>
            <w:t>4867</w:t>
          </w:r>
          <w:r w:rsidRPr="00827B0A">
            <w:rPr>
              <w:color w:val="FF0000"/>
            </w:rPr>
            <w:t>)</w:t>
          </w:r>
          <w:bookmarkEnd w:id="22"/>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14:paraId="1AC8DE1D" w14:textId="77777777" w:rsidR="00ED54E0" w:rsidRPr="0023737C" w:rsidRDefault="00EC728A"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9E1767" w14:paraId="4897CBB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0193FC" w14:textId="77777777" w:rsidR="0033384A" w:rsidRDefault="0033384A" w:rsidP="00370C3C">
          <w:pPr>
            <w:jc w:val="left"/>
            <w:rPr>
              <w:b/>
            </w:rPr>
          </w:pPr>
          <w:bookmarkStart w:id="24" w:name="bmkCommittee"/>
          <w:r>
            <w:rPr>
              <w:b/>
            </w:rPr>
            <w:t>Council for Trade-Related Aspects of</w:t>
          </w:r>
        </w:p>
        <w:p w14:paraId="65B3FDC6" w14:textId="5B970283" w:rsidR="00ED54E0" w:rsidRPr="0023737C" w:rsidRDefault="0033384A"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vAlign w:val="center"/>
        </w:tcPr>
        <w:p w14:paraId="451B6FAB" w14:textId="40C8C92E" w:rsidR="00154C64" w:rsidRPr="0023737C" w:rsidRDefault="0033384A" w:rsidP="00ED1F9F">
          <w:pPr>
            <w:jc w:val="right"/>
            <w:rPr>
              <w:bCs/>
              <w:szCs w:val="18"/>
            </w:rPr>
          </w:pPr>
          <w:bookmarkStart w:id="25" w:name="bmkLanguage"/>
          <w:r>
            <w:rPr>
              <w:szCs w:val="18"/>
            </w:rPr>
            <w:t>Original: English</w:t>
          </w:r>
          <w:bookmarkEnd w:id="25"/>
        </w:p>
      </w:tc>
    </w:tr>
  </w:tbl>
  <w:p w14:paraId="026DED3E"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AE59E0">
      <w:start w:val="1"/>
      <w:numFmt w:val="decimal"/>
      <w:pStyle w:val="SummaryText"/>
      <w:lvlText w:val="%1."/>
      <w:lvlJc w:val="left"/>
      <w:pPr>
        <w:ind w:left="360" w:hanging="360"/>
      </w:pPr>
    </w:lvl>
    <w:lvl w:ilvl="1" w:tplc="4546F704" w:tentative="1">
      <w:start w:val="1"/>
      <w:numFmt w:val="lowerLetter"/>
      <w:lvlText w:val="%2."/>
      <w:lvlJc w:val="left"/>
      <w:pPr>
        <w:ind w:left="1080" w:hanging="360"/>
      </w:pPr>
    </w:lvl>
    <w:lvl w:ilvl="2" w:tplc="0D527574" w:tentative="1">
      <w:start w:val="1"/>
      <w:numFmt w:val="lowerRoman"/>
      <w:lvlText w:val="%3."/>
      <w:lvlJc w:val="right"/>
      <w:pPr>
        <w:ind w:left="1800" w:hanging="180"/>
      </w:pPr>
    </w:lvl>
    <w:lvl w:ilvl="3" w:tplc="4C5E1238" w:tentative="1">
      <w:start w:val="1"/>
      <w:numFmt w:val="decimal"/>
      <w:lvlText w:val="%4."/>
      <w:lvlJc w:val="left"/>
      <w:pPr>
        <w:ind w:left="2520" w:hanging="360"/>
      </w:pPr>
    </w:lvl>
    <w:lvl w:ilvl="4" w:tplc="41A0FFD2" w:tentative="1">
      <w:start w:val="1"/>
      <w:numFmt w:val="lowerLetter"/>
      <w:lvlText w:val="%5."/>
      <w:lvlJc w:val="left"/>
      <w:pPr>
        <w:ind w:left="3240" w:hanging="360"/>
      </w:pPr>
    </w:lvl>
    <w:lvl w:ilvl="5" w:tplc="B1D4B356" w:tentative="1">
      <w:start w:val="1"/>
      <w:numFmt w:val="lowerRoman"/>
      <w:lvlText w:val="%6."/>
      <w:lvlJc w:val="right"/>
      <w:pPr>
        <w:ind w:left="3960" w:hanging="180"/>
      </w:pPr>
    </w:lvl>
    <w:lvl w:ilvl="6" w:tplc="9E2C91DE" w:tentative="1">
      <w:start w:val="1"/>
      <w:numFmt w:val="decimal"/>
      <w:lvlText w:val="%7."/>
      <w:lvlJc w:val="left"/>
      <w:pPr>
        <w:ind w:left="4680" w:hanging="360"/>
      </w:pPr>
    </w:lvl>
    <w:lvl w:ilvl="7" w:tplc="87740BBE" w:tentative="1">
      <w:start w:val="1"/>
      <w:numFmt w:val="lowerLetter"/>
      <w:lvlText w:val="%8."/>
      <w:lvlJc w:val="left"/>
      <w:pPr>
        <w:ind w:left="5400" w:hanging="360"/>
      </w:pPr>
    </w:lvl>
    <w:lvl w:ilvl="8" w:tplc="BD0AA1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evenAndOddHeaders/>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629A"/>
    <w:rsid w:val="00037AC4"/>
    <w:rsid w:val="000423BF"/>
    <w:rsid w:val="0006390F"/>
    <w:rsid w:val="000773F6"/>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D7318"/>
    <w:rsid w:val="001E291F"/>
    <w:rsid w:val="00226EB6"/>
    <w:rsid w:val="00233408"/>
    <w:rsid w:val="0023737C"/>
    <w:rsid w:val="0027067B"/>
    <w:rsid w:val="002838D1"/>
    <w:rsid w:val="002C020D"/>
    <w:rsid w:val="002C6C49"/>
    <w:rsid w:val="002D4C26"/>
    <w:rsid w:val="002E5107"/>
    <w:rsid w:val="003147FB"/>
    <w:rsid w:val="003156C6"/>
    <w:rsid w:val="003202BA"/>
    <w:rsid w:val="003301A2"/>
    <w:rsid w:val="0033384A"/>
    <w:rsid w:val="00335DFE"/>
    <w:rsid w:val="003572B4"/>
    <w:rsid w:val="003641B0"/>
    <w:rsid w:val="00370C3C"/>
    <w:rsid w:val="0037387A"/>
    <w:rsid w:val="00392A56"/>
    <w:rsid w:val="003A033C"/>
    <w:rsid w:val="003B23B9"/>
    <w:rsid w:val="003C0DA1"/>
    <w:rsid w:val="003D642A"/>
    <w:rsid w:val="003E7681"/>
    <w:rsid w:val="003E7F48"/>
    <w:rsid w:val="0040285F"/>
    <w:rsid w:val="00424551"/>
    <w:rsid w:val="00424C2D"/>
    <w:rsid w:val="00424C9C"/>
    <w:rsid w:val="00467032"/>
    <w:rsid w:val="0046754A"/>
    <w:rsid w:val="004908BE"/>
    <w:rsid w:val="0049522C"/>
    <w:rsid w:val="00496152"/>
    <w:rsid w:val="004F203A"/>
    <w:rsid w:val="005336B8"/>
    <w:rsid w:val="00544326"/>
    <w:rsid w:val="00547B5F"/>
    <w:rsid w:val="0055026D"/>
    <w:rsid w:val="00587482"/>
    <w:rsid w:val="005B04B9"/>
    <w:rsid w:val="005B6446"/>
    <w:rsid w:val="005B68C7"/>
    <w:rsid w:val="005B7054"/>
    <w:rsid w:val="005D03AE"/>
    <w:rsid w:val="005D5981"/>
    <w:rsid w:val="005E59F7"/>
    <w:rsid w:val="005F30CB"/>
    <w:rsid w:val="0060084D"/>
    <w:rsid w:val="00601873"/>
    <w:rsid w:val="00612644"/>
    <w:rsid w:val="0063222A"/>
    <w:rsid w:val="0063774B"/>
    <w:rsid w:val="00640528"/>
    <w:rsid w:val="00650102"/>
    <w:rsid w:val="00674CCD"/>
    <w:rsid w:val="0068687F"/>
    <w:rsid w:val="00687B9B"/>
    <w:rsid w:val="00693AEA"/>
    <w:rsid w:val="006B338F"/>
    <w:rsid w:val="006E6430"/>
    <w:rsid w:val="006F5826"/>
    <w:rsid w:val="00700181"/>
    <w:rsid w:val="00705813"/>
    <w:rsid w:val="007141CF"/>
    <w:rsid w:val="00735E51"/>
    <w:rsid w:val="00745146"/>
    <w:rsid w:val="007577E3"/>
    <w:rsid w:val="00760DB3"/>
    <w:rsid w:val="00773EDC"/>
    <w:rsid w:val="0077523F"/>
    <w:rsid w:val="007842BB"/>
    <w:rsid w:val="0079229B"/>
    <w:rsid w:val="007E0D8A"/>
    <w:rsid w:val="007E6507"/>
    <w:rsid w:val="007F2B8E"/>
    <w:rsid w:val="007F6396"/>
    <w:rsid w:val="00801121"/>
    <w:rsid w:val="00807247"/>
    <w:rsid w:val="00827B0A"/>
    <w:rsid w:val="0084059E"/>
    <w:rsid w:val="00840C2B"/>
    <w:rsid w:val="00867820"/>
    <w:rsid w:val="0087094D"/>
    <w:rsid w:val="008739FD"/>
    <w:rsid w:val="00893E85"/>
    <w:rsid w:val="008A7A10"/>
    <w:rsid w:val="008B4661"/>
    <w:rsid w:val="008C1781"/>
    <w:rsid w:val="008E372C"/>
    <w:rsid w:val="00901C01"/>
    <w:rsid w:val="00903B31"/>
    <w:rsid w:val="0094116C"/>
    <w:rsid w:val="00966797"/>
    <w:rsid w:val="0097607B"/>
    <w:rsid w:val="009A6F54"/>
    <w:rsid w:val="009D057F"/>
    <w:rsid w:val="009E1767"/>
    <w:rsid w:val="009E5CCD"/>
    <w:rsid w:val="00A12884"/>
    <w:rsid w:val="00A16211"/>
    <w:rsid w:val="00A6057A"/>
    <w:rsid w:val="00A74017"/>
    <w:rsid w:val="00A80B72"/>
    <w:rsid w:val="00A84B20"/>
    <w:rsid w:val="00AA332C"/>
    <w:rsid w:val="00AA6093"/>
    <w:rsid w:val="00AC27F8"/>
    <w:rsid w:val="00AC30AE"/>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5C0C"/>
    <w:rsid w:val="00C808FC"/>
    <w:rsid w:val="00CC7961"/>
    <w:rsid w:val="00CD2A59"/>
    <w:rsid w:val="00CD3722"/>
    <w:rsid w:val="00CD7D97"/>
    <w:rsid w:val="00CE3EE6"/>
    <w:rsid w:val="00CE4BA1"/>
    <w:rsid w:val="00CF7C52"/>
    <w:rsid w:val="00D000C7"/>
    <w:rsid w:val="00D221B8"/>
    <w:rsid w:val="00D25447"/>
    <w:rsid w:val="00D34EC1"/>
    <w:rsid w:val="00D52A9D"/>
    <w:rsid w:val="00D55AAD"/>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81087"/>
    <w:rsid w:val="00EA5D4F"/>
    <w:rsid w:val="00EB6C56"/>
    <w:rsid w:val="00EC728A"/>
    <w:rsid w:val="00ED1F9F"/>
    <w:rsid w:val="00ED54E0"/>
    <w:rsid w:val="00ED7BC5"/>
    <w:rsid w:val="00EF3B0E"/>
    <w:rsid w:val="00EF7972"/>
    <w:rsid w:val="00F05681"/>
    <w:rsid w:val="00F12B88"/>
    <w:rsid w:val="00F30EAB"/>
    <w:rsid w:val="00F32397"/>
    <w:rsid w:val="00F40595"/>
    <w:rsid w:val="00F46B21"/>
    <w:rsid w:val="00F51930"/>
    <w:rsid w:val="00F6406E"/>
    <w:rsid w:val="00F76FC2"/>
    <w:rsid w:val="00F85685"/>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B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basedOn w:val="DefaultParagraphFont"/>
    <w:uiPriority w:val="99"/>
    <w:rsid w:val="00EC7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staff/Pages/SS/directdoc.aspx?filename=q:/IP/N/1TTO2.pdf&amp;Open=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documents.info/2022/IP/TTO/22_4241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o.gov.t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ipo.gov.t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po.gov.tt/downloads/Trademark/border_enforcement_measure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1</TotalTime>
  <Pages>2</Pages>
  <Words>590</Words>
  <Characters>3257</Characters>
  <Application>Microsoft Office Word</Application>
  <DocSecurity>0</DocSecurity>
  <Lines>109</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2022-06-23T09:18:00Z</dcterms:created>
  <dcterms:modified xsi:type="dcterms:W3CDTF">2022-06-23T10:04:00Z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e67039d3-a351-4d5b-86d5-6717acad8d30</vt:lpwstr>
  </property>
  <property fmtid="{D5CDD505-2E9C-101B-9397-08002B2CF9AE}" pid="3" name="WTOCLASSIFICATION">
    <vt:lpwstr>WTO OFFICIAL</vt:lpwstr>
  </property>
  <property fmtid="{D5CDD505-2E9C-101B-9397-08002B2CF9AE}" pid="4" name="Symbol1">
    <vt:lpwstr>IP/N/1/TTO/4</vt:lpwstr>
  </property>
  <property fmtid="{D5CDD505-2E9C-101B-9397-08002B2CF9AE}" pid="5" name="Symbol2">
    <vt:lpwstr>IP/N/1/TTO/T/4</vt:lpwstr>
  </property>
</Properties>
</file>