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16AB" w14:textId="0282B08E" w:rsidR="00FE32C8" w:rsidRPr="00E80AAA" w:rsidRDefault="00FE32C8" w:rsidP="006939A8">
      <w:pPr>
        <w:pStyle w:val="Title"/>
        <w:spacing w:before="480"/>
        <w:rPr>
          <w:rFonts w:ascii="Verdana" w:hAnsi="Verdana"/>
          <w:sz w:val="18"/>
          <w:szCs w:val="18"/>
          <w:lang w:val="en-GB"/>
        </w:rPr>
      </w:pPr>
      <w:r w:rsidRPr="00E80AAA">
        <w:rPr>
          <w:rFonts w:ascii="Verdana" w:hAnsi="Verdana"/>
          <w:sz w:val="18"/>
          <w:szCs w:val="18"/>
          <w:lang w:val="en-GB"/>
        </w:rPr>
        <w:t xml:space="preserve">submission </w:t>
      </w:r>
      <w:r w:rsidR="00E33FFD">
        <w:rPr>
          <w:rFonts w:ascii="Verdana" w:hAnsi="Verdana"/>
          <w:sz w:val="18"/>
          <w:szCs w:val="18"/>
          <w:lang w:val="en-GB"/>
        </w:rPr>
        <w:t>by</w:t>
      </w:r>
      <w:r w:rsidRPr="00E80AAA">
        <w:rPr>
          <w:rFonts w:ascii="Verdana" w:hAnsi="Verdana"/>
          <w:sz w:val="18"/>
          <w:szCs w:val="18"/>
          <w:lang w:val="en-GB"/>
        </w:rPr>
        <w:t xml:space="preserve"> Brazil</w:t>
      </w:r>
    </w:p>
    <w:p w14:paraId="09192702" w14:textId="2E788A35" w:rsidR="006939A8" w:rsidRPr="00E80AAA" w:rsidRDefault="006939A8" w:rsidP="006939A8">
      <w:pPr>
        <w:pStyle w:val="Title2"/>
        <w:spacing w:line="240" w:lineRule="auto"/>
        <w:rPr>
          <w:rFonts w:ascii="Verdana" w:hAnsi="Verdana"/>
          <w:sz w:val="18"/>
          <w:lang w:val="en-GB"/>
        </w:rPr>
      </w:pPr>
      <w:r w:rsidRPr="00E80AAA">
        <w:rPr>
          <w:rFonts w:ascii="Verdana" w:hAnsi="Verdana"/>
          <w:sz w:val="18"/>
          <w:lang w:val="en-GB"/>
        </w:rPr>
        <w:t>ARTICLE 6.2 OF THE AGREEMENT ON AGRICULTURE (AOA) IN PERSPECTIVE</w:t>
      </w:r>
    </w:p>
    <w:p w14:paraId="615AEF0A" w14:textId="371B9086" w:rsidR="006939A8" w:rsidRPr="00E80AAA" w:rsidRDefault="006939A8" w:rsidP="006939A8">
      <w:pPr>
        <w:spacing w:after="0" w:line="240" w:lineRule="auto"/>
        <w:jc w:val="both"/>
        <w:rPr>
          <w:rFonts w:ascii="Verdana" w:hAnsi="Verdana"/>
          <w:sz w:val="18"/>
          <w:szCs w:val="18"/>
          <w:lang w:val="en-GB" w:eastAsia="en-GB"/>
        </w:rPr>
      </w:pPr>
      <w:r w:rsidRPr="00E80AAA">
        <w:rPr>
          <w:rFonts w:ascii="Verdana" w:hAnsi="Verdana"/>
          <w:sz w:val="18"/>
          <w:szCs w:val="18"/>
          <w:lang w:val="en-GB" w:eastAsia="en-GB"/>
        </w:rPr>
        <w:t xml:space="preserve">The following submission, dated 11 May 2021, is being circulated at the request of the delegation of </w:t>
      </w:r>
      <w:r w:rsidRPr="00E80AAA">
        <w:rPr>
          <w:rFonts w:ascii="Verdana" w:hAnsi="Verdana"/>
          <w:sz w:val="18"/>
          <w:szCs w:val="18"/>
          <w:u w:val="single"/>
          <w:lang w:val="en-GB" w:eastAsia="en-GB"/>
        </w:rPr>
        <w:t>Brazil</w:t>
      </w:r>
      <w:r w:rsidRPr="00E80AAA">
        <w:rPr>
          <w:rFonts w:ascii="Verdana" w:hAnsi="Verdana"/>
          <w:sz w:val="18"/>
          <w:szCs w:val="18"/>
          <w:lang w:val="en-GB" w:eastAsia="en-GB"/>
        </w:rPr>
        <w:t>.</w:t>
      </w:r>
    </w:p>
    <w:p w14:paraId="37844869" w14:textId="77777777" w:rsidR="006939A8" w:rsidRPr="00E80AAA" w:rsidRDefault="006939A8" w:rsidP="006939A8">
      <w:pPr>
        <w:spacing w:after="0" w:line="240" w:lineRule="auto"/>
        <w:rPr>
          <w:rFonts w:ascii="Verdana" w:hAnsi="Verdana"/>
          <w:sz w:val="18"/>
          <w:szCs w:val="18"/>
          <w:lang w:val="en-GB" w:eastAsia="en-GB"/>
        </w:rPr>
      </w:pPr>
    </w:p>
    <w:p w14:paraId="0FEF4532" w14:textId="168388C0" w:rsidR="00FE32C8" w:rsidRPr="00E80AAA" w:rsidRDefault="00FE32C8" w:rsidP="006939A8">
      <w:pPr>
        <w:spacing w:after="0" w:line="240" w:lineRule="auto"/>
        <w:jc w:val="center"/>
        <w:rPr>
          <w:rFonts w:ascii="Verdana" w:hAnsi="Verdana"/>
          <w:b/>
          <w:sz w:val="18"/>
          <w:szCs w:val="18"/>
          <w:lang w:val="en-GB"/>
        </w:rPr>
      </w:pPr>
      <w:r w:rsidRPr="00E80AAA">
        <w:rPr>
          <w:rFonts w:ascii="Verdana" w:hAnsi="Verdana"/>
          <w:b/>
          <w:sz w:val="18"/>
          <w:szCs w:val="18"/>
          <w:lang w:val="en-GB"/>
        </w:rPr>
        <w:t>_______________</w:t>
      </w:r>
    </w:p>
    <w:p w14:paraId="20CB14CC" w14:textId="1768805C" w:rsidR="00FE32C8" w:rsidRPr="00E80AAA" w:rsidRDefault="00FE32C8" w:rsidP="006939A8">
      <w:pPr>
        <w:spacing w:after="0" w:line="240" w:lineRule="auto"/>
        <w:jc w:val="both"/>
        <w:rPr>
          <w:rFonts w:ascii="Verdana" w:hAnsi="Verdana"/>
          <w:sz w:val="18"/>
          <w:szCs w:val="18"/>
          <w:lang w:val="en-GB"/>
        </w:rPr>
      </w:pPr>
    </w:p>
    <w:p w14:paraId="1F110358" w14:textId="77777777" w:rsidR="00FE32C8" w:rsidRPr="00E80AAA" w:rsidRDefault="00FE32C8" w:rsidP="006939A8">
      <w:pPr>
        <w:spacing w:after="0" w:line="240" w:lineRule="auto"/>
        <w:jc w:val="both"/>
        <w:rPr>
          <w:rFonts w:ascii="Verdana" w:hAnsi="Verdana"/>
          <w:sz w:val="18"/>
          <w:szCs w:val="18"/>
          <w:lang w:val="en-GB"/>
        </w:rPr>
      </w:pPr>
    </w:p>
    <w:p w14:paraId="774C0FF9" w14:textId="0142D667" w:rsidR="00FE32C8" w:rsidRPr="00E80AAA" w:rsidRDefault="00FE32C8" w:rsidP="006939A8">
      <w:pPr>
        <w:pStyle w:val="Heading1"/>
        <w:spacing w:line="240" w:lineRule="auto"/>
        <w:jc w:val="both"/>
        <w:rPr>
          <w:rFonts w:ascii="Verdana" w:hAnsi="Verdana"/>
          <w:sz w:val="18"/>
          <w:szCs w:val="18"/>
          <w:lang w:val="en-GB"/>
        </w:rPr>
      </w:pPr>
      <w:r w:rsidRPr="00E80AAA">
        <w:rPr>
          <w:rFonts w:ascii="Verdana" w:hAnsi="Verdana"/>
          <w:sz w:val="18"/>
          <w:szCs w:val="18"/>
          <w:lang w:val="en-GB"/>
        </w:rPr>
        <w:t>INTRODUCTION</w:t>
      </w:r>
    </w:p>
    <w:p w14:paraId="3C0DC0E3" w14:textId="4D0DA1E8" w:rsidR="00FE32C8" w:rsidRPr="00E80AAA" w:rsidRDefault="00FE32C8" w:rsidP="00E80AAA">
      <w:pPr>
        <w:pStyle w:val="BodyText"/>
        <w:spacing w:line="240" w:lineRule="auto"/>
        <w:ind w:left="0"/>
        <w:jc w:val="both"/>
        <w:outlineLvl w:val="0"/>
        <w:rPr>
          <w:rFonts w:ascii="Verdana" w:hAnsi="Verdana"/>
          <w:sz w:val="18"/>
          <w:szCs w:val="18"/>
          <w:lang w:val="en-GB"/>
        </w:rPr>
      </w:pPr>
      <w:r w:rsidRPr="00E80AAA">
        <w:rPr>
          <w:rFonts w:ascii="Verdana" w:hAnsi="Verdana"/>
          <w:sz w:val="18"/>
          <w:szCs w:val="18"/>
          <w:lang w:val="en-GB"/>
        </w:rPr>
        <w:t xml:space="preserve">In January 2020, a group of Members put forward </w:t>
      </w:r>
      <w:hyperlink r:id="rId8" w:history="1">
        <w:r w:rsidRPr="00F53367">
          <w:rPr>
            <w:rStyle w:val="Hyperlink"/>
            <w:rFonts w:ascii="Verdana" w:hAnsi="Verdana"/>
            <w:sz w:val="18"/>
            <w:szCs w:val="18"/>
            <w:lang w:val="en-GB"/>
          </w:rPr>
          <w:t>JOB/AG/177</w:t>
        </w:r>
      </w:hyperlink>
      <w:r w:rsidR="00DA6066" w:rsidRPr="00BE16A4">
        <w:rPr>
          <w:rStyle w:val="FootnoteReference"/>
          <w:rFonts w:ascii="Verdana" w:hAnsi="Verdana"/>
          <w:sz w:val="18"/>
          <w:szCs w:val="18"/>
          <w:lang w:val="en-GB"/>
        </w:rPr>
        <w:footnoteReference w:id="1"/>
      </w:r>
      <w:r w:rsidRPr="00BE16A4">
        <w:rPr>
          <w:rFonts w:ascii="Verdana" w:hAnsi="Verdana"/>
          <w:sz w:val="18"/>
          <w:szCs w:val="18"/>
          <w:lang w:val="en-GB"/>
        </w:rPr>
        <w:t>, p</w:t>
      </w:r>
      <w:r w:rsidRPr="00E80AAA">
        <w:rPr>
          <w:rFonts w:ascii="Verdana" w:hAnsi="Verdana"/>
          <w:sz w:val="18"/>
          <w:szCs w:val="18"/>
          <w:lang w:val="en-GB"/>
        </w:rPr>
        <w:t xml:space="preserve">roposing a </w:t>
      </w:r>
      <w:r w:rsidR="001372E0">
        <w:rPr>
          <w:rFonts w:ascii="Verdana" w:hAnsi="Verdana"/>
          <w:sz w:val="18"/>
          <w:szCs w:val="18"/>
          <w:lang w:val="en-GB"/>
        </w:rPr>
        <w:t>"</w:t>
      </w:r>
      <w:r w:rsidRPr="00E80AAA">
        <w:rPr>
          <w:rFonts w:ascii="Verdana" w:hAnsi="Verdana"/>
          <w:sz w:val="18"/>
          <w:szCs w:val="18"/>
          <w:lang w:val="en-GB"/>
        </w:rPr>
        <w:t>Framework for Negotiations on Domestic Support</w:t>
      </w:r>
      <w:r w:rsidR="001372E0">
        <w:rPr>
          <w:rFonts w:ascii="Verdana" w:hAnsi="Verdana"/>
          <w:sz w:val="18"/>
          <w:szCs w:val="18"/>
          <w:lang w:val="en-GB"/>
        </w:rPr>
        <w:t>"</w:t>
      </w:r>
      <w:r w:rsidRPr="00E80AAA">
        <w:rPr>
          <w:rFonts w:ascii="Verdana" w:hAnsi="Verdana"/>
          <w:sz w:val="18"/>
          <w:szCs w:val="18"/>
          <w:lang w:val="en-GB"/>
        </w:rPr>
        <w:t xml:space="preserve"> (hereinafter referred to as the Framework). The proponents seek an agreement at the WTO to </w:t>
      </w:r>
      <w:r w:rsidR="001372E0">
        <w:rPr>
          <w:rFonts w:ascii="Verdana" w:hAnsi="Verdana"/>
          <w:sz w:val="18"/>
          <w:szCs w:val="18"/>
          <w:lang w:val="en-GB"/>
        </w:rPr>
        <w:t>"</w:t>
      </w:r>
      <w:r w:rsidRPr="00E80AAA">
        <w:rPr>
          <w:rFonts w:ascii="Verdana" w:hAnsi="Verdana"/>
          <w:sz w:val="18"/>
          <w:szCs w:val="18"/>
          <w:lang w:val="en-GB"/>
        </w:rPr>
        <w:t>cap and reduce the sum of current global agricultural trade- and production-distorting domestic support entitlements by at least half by 2030</w:t>
      </w:r>
      <w:r w:rsidR="001372E0">
        <w:rPr>
          <w:rFonts w:ascii="Verdana" w:hAnsi="Verdana"/>
          <w:sz w:val="18"/>
          <w:szCs w:val="18"/>
          <w:lang w:val="en-GB"/>
        </w:rPr>
        <w:t>"</w:t>
      </w:r>
      <w:r w:rsidRPr="00E80AAA">
        <w:rPr>
          <w:rFonts w:ascii="Verdana" w:hAnsi="Verdana"/>
          <w:sz w:val="18"/>
          <w:szCs w:val="18"/>
          <w:lang w:val="en-GB"/>
        </w:rPr>
        <w:t xml:space="preserve"> in a way that is fair, proportionate and reflective of development needs.</w:t>
      </w:r>
    </w:p>
    <w:p w14:paraId="76ADA100" w14:textId="41F4EF4C" w:rsidR="00FE32C8" w:rsidRPr="00E80AAA" w:rsidRDefault="00FE32C8" w:rsidP="00E80AAA">
      <w:pPr>
        <w:pStyle w:val="BodyText"/>
        <w:spacing w:line="240" w:lineRule="auto"/>
        <w:ind w:left="0"/>
        <w:jc w:val="both"/>
        <w:outlineLvl w:val="0"/>
        <w:rPr>
          <w:rFonts w:ascii="Verdana" w:hAnsi="Verdana"/>
          <w:sz w:val="18"/>
          <w:szCs w:val="18"/>
          <w:lang w:val="en-GB"/>
        </w:rPr>
      </w:pPr>
      <w:r w:rsidRPr="00E80AAA">
        <w:rPr>
          <w:rFonts w:ascii="Verdana" w:hAnsi="Verdana"/>
          <w:sz w:val="18"/>
          <w:szCs w:val="18"/>
          <w:lang w:val="en-GB"/>
        </w:rPr>
        <w:t xml:space="preserve">Co-sponsors also propose that the negotiations for this agreement </w:t>
      </w:r>
      <w:r w:rsidR="001372E0">
        <w:rPr>
          <w:rFonts w:ascii="Verdana" w:hAnsi="Verdana"/>
          <w:sz w:val="18"/>
          <w:szCs w:val="18"/>
          <w:lang w:val="en-GB"/>
        </w:rPr>
        <w:t>"</w:t>
      </w:r>
      <w:r w:rsidRPr="00E80AAA">
        <w:rPr>
          <w:rFonts w:ascii="Verdana" w:hAnsi="Verdana"/>
          <w:sz w:val="18"/>
          <w:szCs w:val="18"/>
          <w:lang w:val="en-GB"/>
        </w:rPr>
        <w:t>shall take into consideration all forms of trade- and production-distorting domestic support under Article 6 of the Agreement on Agriculture</w:t>
      </w:r>
      <w:r w:rsidR="001372E0">
        <w:rPr>
          <w:rFonts w:ascii="Verdana" w:hAnsi="Verdana"/>
          <w:sz w:val="18"/>
          <w:szCs w:val="18"/>
          <w:lang w:val="en-GB"/>
        </w:rPr>
        <w:t>"</w:t>
      </w:r>
      <w:r w:rsidRPr="00E80AAA">
        <w:rPr>
          <w:rFonts w:ascii="Verdana" w:hAnsi="Verdana"/>
          <w:sz w:val="18"/>
          <w:szCs w:val="18"/>
          <w:lang w:val="en-GB"/>
        </w:rPr>
        <w:t xml:space="preserve"> (AoA). The proponents have noted that the Framework does not prescribe any modality to this end, does not prejudge how various elements are included or assume that all forms of support must be treated equally. The modalities for reductions such as scope and coverage, reduction formulae, and definitions of terms are left for separate discussions and negotiations to be determined by Members</w:t>
      </w:r>
      <w:r w:rsidR="004578FB">
        <w:rPr>
          <w:rFonts w:ascii="Verdana" w:hAnsi="Verdana"/>
          <w:sz w:val="18"/>
          <w:szCs w:val="18"/>
          <w:lang w:val="en-GB"/>
        </w:rPr>
        <w:t>.</w:t>
      </w:r>
      <w:r w:rsidRPr="00E80AAA">
        <w:rPr>
          <w:rFonts w:ascii="Verdana" w:hAnsi="Verdana"/>
          <w:sz w:val="18"/>
          <w:szCs w:val="18"/>
          <w:vertAlign w:val="superscript"/>
        </w:rPr>
        <w:footnoteReference w:id="2"/>
      </w:r>
    </w:p>
    <w:p w14:paraId="7E066359" w14:textId="42F4A613" w:rsidR="00FE32C8" w:rsidRPr="00E80AAA" w:rsidRDefault="00FE32C8" w:rsidP="00E80AAA">
      <w:pPr>
        <w:pStyle w:val="BodyText"/>
        <w:spacing w:line="240" w:lineRule="auto"/>
        <w:ind w:left="0"/>
        <w:jc w:val="both"/>
        <w:outlineLvl w:val="0"/>
        <w:rPr>
          <w:rFonts w:ascii="Verdana" w:hAnsi="Verdana" w:cs="Times New Roman"/>
          <w:sz w:val="18"/>
          <w:szCs w:val="18"/>
          <w:lang w:val="en-GB"/>
        </w:rPr>
      </w:pPr>
      <w:r w:rsidRPr="00E80AAA">
        <w:rPr>
          <w:rFonts w:ascii="Verdana" w:hAnsi="Verdana" w:cs="Times New Roman"/>
          <w:sz w:val="18"/>
          <w:szCs w:val="18"/>
          <w:lang w:val="en-GB"/>
        </w:rPr>
        <w:t xml:space="preserve">This document, </w:t>
      </w:r>
      <w:bookmarkStart w:id="0" w:name="_Hlk69756718"/>
      <w:r w:rsidRPr="00E80AAA">
        <w:rPr>
          <w:rFonts w:ascii="Verdana" w:hAnsi="Verdana" w:cs="Times New Roman"/>
          <w:sz w:val="18"/>
          <w:szCs w:val="18"/>
          <w:lang w:val="en-GB"/>
        </w:rPr>
        <w:t xml:space="preserve">which has been written by the Brazilian delegation as a contribution to the debate, </w:t>
      </w:r>
      <w:bookmarkEnd w:id="0"/>
      <w:r w:rsidRPr="00E80AAA">
        <w:rPr>
          <w:rFonts w:ascii="Verdana" w:hAnsi="Verdana" w:cs="Times New Roman"/>
          <w:sz w:val="18"/>
          <w:szCs w:val="18"/>
          <w:lang w:val="en-GB"/>
        </w:rPr>
        <w:t xml:space="preserve">aims to briefly analyse, from a historical perspective, Article 6.2, one of the </w:t>
      </w:r>
      <w:r w:rsidR="001372E0">
        <w:rPr>
          <w:rFonts w:ascii="Verdana" w:hAnsi="Verdana" w:cs="Times New Roman"/>
          <w:sz w:val="18"/>
          <w:szCs w:val="18"/>
          <w:lang w:val="en-GB"/>
        </w:rPr>
        <w:t>"</w:t>
      </w:r>
      <w:r w:rsidRPr="00E80AAA">
        <w:rPr>
          <w:rFonts w:ascii="Verdana" w:hAnsi="Verdana" w:cs="Times New Roman"/>
          <w:sz w:val="18"/>
          <w:szCs w:val="18"/>
          <w:lang w:val="en-GB"/>
        </w:rPr>
        <w:t>uncapped</w:t>
      </w:r>
      <w:r w:rsidR="001372E0">
        <w:rPr>
          <w:rFonts w:ascii="Verdana" w:hAnsi="Verdana" w:cs="Times New Roman"/>
          <w:sz w:val="18"/>
          <w:szCs w:val="18"/>
          <w:lang w:val="en-GB"/>
        </w:rPr>
        <w:t>"</w:t>
      </w:r>
      <w:r w:rsidRPr="00E80AAA">
        <w:rPr>
          <w:rFonts w:ascii="Verdana" w:hAnsi="Verdana" w:cs="Times New Roman"/>
          <w:sz w:val="18"/>
          <w:szCs w:val="18"/>
          <w:lang w:val="en-GB"/>
        </w:rPr>
        <w:t xml:space="preserve"> categories of domestic support under Article 6. Article 6.2 expenditure is exempt from the Current Total Aggregate Measurement of Support (CTAMS) calculations, as well as from quantitative limits and from reduction commitments. </w:t>
      </w:r>
    </w:p>
    <w:p w14:paraId="561E5254" w14:textId="541CAF04" w:rsidR="00FE32C8" w:rsidRPr="00E80AAA" w:rsidRDefault="00FE32C8" w:rsidP="00E80AAA">
      <w:pPr>
        <w:pStyle w:val="BodyText"/>
        <w:spacing w:line="240" w:lineRule="auto"/>
        <w:ind w:left="0"/>
        <w:jc w:val="both"/>
        <w:outlineLvl w:val="0"/>
        <w:rPr>
          <w:rFonts w:ascii="Verdana" w:hAnsi="Verdana" w:cs="Times New Roman"/>
          <w:sz w:val="18"/>
          <w:szCs w:val="18"/>
          <w:lang w:val="en-GB"/>
        </w:rPr>
      </w:pPr>
      <w:r w:rsidRPr="00E80AAA">
        <w:rPr>
          <w:rFonts w:ascii="Verdana" w:hAnsi="Verdana" w:cs="Times New Roman"/>
          <w:sz w:val="18"/>
          <w:szCs w:val="18"/>
          <w:lang w:val="en-GB"/>
        </w:rPr>
        <w:t xml:space="preserve">Statistical data are based mainly on </w:t>
      </w:r>
      <w:r w:rsidR="004578FB">
        <w:rPr>
          <w:rFonts w:ascii="Verdana" w:hAnsi="Verdana" w:cs="Times New Roman"/>
          <w:sz w:val="18"/>
          <w:szCs w:val="18"/>
          <w:lang w:val="en-GB"/>
        </w:rPr>
        <w:t>Canada'</w:t>
      </w:r>
      <w:r w:rsidRPr="00E80AAA">
        <w:rPr>
          <w:rFonts w:ascii="Verdana" w:hAnsi="Verdana" w:cs="Times New Roman"/>
          <w:sz w:val="18"/>
          <w:szCs w:val="18"/>
          <w:lang w:val="en-GB"/>
        </w:rPr>
        <w:t xml:space="preserve">s Analytical Tool on Domestic Support, outlined in </w:t>
      </w:r>
      <w:hyperlink r:id="rId9" w:history="1">
        <w:r w:rsidRPr="004578FB">
          <w:rPr>
            <w:rStyle w:val="Hyperlink"/>
            <w:rFonts w:ascii="Verdana" w:hAnsi="Verdana" w:cs="Times New Roman"/>
            <w:sz w:val="18"/>
            <w:szCs w:val="18"/>
            <w:lang w:val="en-GB"/>
          </w:rPr>
          <w:t>JOB/AG/190</w:t>
        </w:r>
      </w:hyperlink>
      <w:r w:rsidRPr="00E80AAA">
        <w:rPr>
          <w:rFonts w:ascii="Verdana" w:hAnsi="Verdana" w:cs="Times New Roman"/>
          <w:sz w:val="18"/>
          <w:szCs w:val="18"/>
          <w:lang w:val="en-GB"/>
        </w:rPr>
        <w:t>, including the exchange rates, and on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notifications</w:t>
      </w:r>
      <w:r w:rsidR="00CF04F2">
        <w:rPr>
          <w:rFonts w:ascii="Verdana" w:hAnsi="Verdana" w:cs="Times New Roman"/>
          <w:sz w:val="18"/>
          <w:szCs w:val="18"/>
          <w:lang w:val="en-GB"/>
        </w:rPr>
        <w:t>.</w:t>
      </w:r>
      <w:r w:rsidRPr="00E80AAA">
        <w:rPr>
          <w:rStyle w:val="FootnoteReference"/>
          <w:rFonts w:ascii="Verdana" w:hAnsi="Verdana" w:cs="Times New Roman"/>
          <w:sz w:val="18"/>
          <w:szCs w:val="18"/>
          <w:lang w:val="en-GB"/>
        </w:rPr>
        <w:footnoteReference w:id="3"/>
      </w:r>
      <w:r w:rsidRPr="00E80AAA">
        <w:rPr>
          <w:rFonts w:ascii="Verdana" w:hAnsi="Verdana" w:cs="Times New Roman"/>
          <w:sz w:val="18"/>
          <w:szCs w:val="18"/>
          <w:lang w:val="en-GB"/>
        </w:rPr>
        <w:t xml:space="preserve"> A limitation in this analysis, as can be seen in the referred document, is that many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domestic support notifications are outdated. In this regard, through the Framework, co-sponsors stated that </w:t>
      </w:r>
      <w:r w:rsidR="001372E0">
        <w:rPr>
          <w:rFonts w:ascii="Verdana" w:hAnsi="Verdana" w:cs="Times New Roman"/>
          <w:sz w:val="18"/>
          <w:szCs w:val="18"/>
          <w:lang w:val="en-GB"/>
        </w:rPr>
        <w:t>"</w:t>
      </w:r>
      <w:r w:rsidRPr="00E80AAA">
        <w:rPr>
          <w:rFonts w:ascii="Verdana" w:hAnsi="Verdana" w:cs="Times New Roman"/>
          <w:sz w:val="18"/>
          <w:szCs w:val="18"/>
          <w:lang w:val="en-GB"/>
        </w:rPr>
        <w:t>the implementation of existing notification obligations under Article 18 of the Agreement on Agriculture, thus strengthening transparency with respect to existing domestic support commitments, is imperative, and that utmost effort must be made to provide all outstanding DS:1 notifications</w:t>
      </w:r>
      <w:r w:rsidR="001372E0">
        <w:rPr>
          <w:rFonts w:ascii="Verdana" w:hAnsi="Verdana" w:cs="Times New Roman"/>
          <w:sz w:val="18"/>
          <w:szCs w:val="18"/>
          <w:lang w:val="en-GB"/>
        </w:rPr>
        <w:t>"</w:t>
      </w:r>
      <w:r w:rsidRPr="00E80AAA">
        <w:rPr>
          <w:rFonts w:ascii="Verdana" w:hAnsi="Verdana" w:cs="Times New Roman"/>
          <w:sz w:val="18"/>
          <w:szCs w:val="18"/>
          <w:lang w:val="en-GB"/>
        </w:rPr>
        <w:t>.</w:t>
      </w:r>
    </w:p>
    <w:p w14:paraId="64494A3D" w14:textId="77777777" w:rsidR="00FE32C8" w:rsidRPr="00E80AAA" w:rsidRDefault="00FE32C8" w:rsidP="006D4693">
      <w:pPr>
        <w:pStyle w:val="BodyText"/>
        <w:spacing w:line="240" w:lineRule="auto"/>
        <w:ind w:left="0"/>
        <w:jc w:val="both"/>
        <w:outlineLvl w:val="0"/>
        <w:rPr>
          <w:rFonts w:ascii="Verdana" w:hAnsi="Verdana" w:cs="Times New Roman"/>
          <w:sz w:val="18"/>
          <w:szCs w:val="18"/>
          <w:lang w:val="en-GB"/>
        </w:rPr>
      </w:pPr>
      <w:r w:rsidRPr="00E80AAA">
        <w:rPr>
          <w:rFonts w:ascii="Verdana" w:hAnsi="Verdana" w:cs="Times New Roman"/>
          <w:sz w:val="18"/>
          <w:szCs w:val="18"/>
          <w:lang w:val="en-GB"/>
        </w:rPr>
        <w:lastRenderedPageBreak/>
        <w:t>This analysis does not take into full account certain aspects of Article 6.2, such as all concepts included in its definition and Q&amp;A in the Committee of Agriculture in regular session (CoA). We encourage Members to explore these issues further with additional analysis and submissions.</w:t>
      </w:r>
    </w:p>
    <w:p w14:paraId="38D9CC07" w14:textId="47D17B59" w:rsidR="00FE32C8" w:rsidRPr="00E80AAA" w:rsidRDefault="00FE32C8" w:rsidP="006D4693">
      <w:pPr>
        <w:shd w:val="clear" w:color="auto" w:fill="D9D9D9" w:themeFill="background1" w:themeFillShade="D9"/>
        <w:spacing w:after="0" w:line="240" w:lineRule="auto"/>
        <w:jc w:val="both"/>
        <w:rPr>
          <w:rFonts w:ascii="Verdana" w:hAnsi="Verdana" w:cs="Times New Roman"/>
          <w:sz w:val="18"/>
          <w:szCs w:val="18"/>
          <w:lang w:val="en-GB"/>
        </w:rPr>
      </w:pPr>
      <w:r w:rsidRPr="00E80AAA">
        <w:rPr>
          <w:rFonts w:ascii="Verdana" w:hAnsi="Verdana" w:cs="Times New Roman"/>
          <w:sz w:val="18"/>
          <w:szCs w:val="18"/>
          <w:lang w:val="en-GB"/>
        </w:rPr>
        <w:t>The main conclusions of this analysis are as follows:</w:t>
      </w:r>
    </w:p>
    <w:p w14:paraId="4A75E6E3" w14:textId="77777777" w:rsidR="006939A8" w:rsidRPr="00E80AAA" w:rsidRDefault="006939A8" w:rsidP="006D4693">
      <w:pPr>
        <w:shd w:val="clear" w:color="auto" w:fill="D9D9D9" w:themeFill="background1" w:themeFillShade="D9"/>
        <w:spacing w:after="0" w:line="240" w:lineRule="auto"/>
        <w:jc w:val="both"/>
        <w:rPr>
          <w:rFonts w:ascii="Verdana" w:hAnsi="Verdana" w:cs="Times New Roman"/>
          <w:sz w:val="18"/>
          <w:szCs w:val="18"/>
          <w:lang w:val="en-GB"/>
        </w:rPr>
      </w:pPr>
    </w:p>
    <w:p w14:paraId="1674FF50" w14:textId="6D8E9675"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Among Members that are entitled to use Article 6.2, less than half of them have notified at least once the use of such programmes since 2001, and less than a quarter have notified it in the past five years;</w:t>
      </w:r>
    </w:p>
    <w:p w14:paraId="21736094" w14:textId="77777777" w:rsidR="00FE32C8" w:rsidRPr="00E80AAA" w:rsidRDefault="00FE32C8" w:rsidP="00F53367">
      <w:pPr>
        <w:pStyle w:val="ListParagraph"/>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p>
    <w:p w14:paraId="624CD04D" w14:textId="712D3341"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Among Members notifying support under Article 6.2, five of them are responsible for around 90% of expenditures annually;</w:t>
      </w:r>
    </w:p>
    <w:p w14:paraId="37DFFF34" w14:textId="77777777" w:rsidR="00FE32C8" w:rsidRPr="00E80AAA" w:rsidRDefault="00FE32C8" w:rsidP="00F53367">
      <w:pPr>
        <w:shd w:val="clear" w:color="auto" w:fill="D9D9D9" w:themeFill="background1" w:themeFillShade="D9"/>
        <w:spacing w:after="0" w:line="240" w:lineRule="auto"/>
        <w:ind w:left="426" w:hanging="426"/>
        <w:jc w:val="both"/>
        <w:rPr>
          <w:rFonts w:ascii="Verdana" w:hAnsi="Verdana" w:cs="Times New Roman"/>
          <w:sz w:val="18"/>
          <w:szCs w:val="18"/>
          <w:lang w:val="en-US"/>
        </w:rPr>
      </w:pPr>
    </w:p>
    <w:p w14:paraId="274E3094" w14:textId="6E1443C4"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Domestic support under Article 6.2 has exponentially grown during the 2000s. There have since been ebbs and flows, but the 2010 peak has not been surpassed;</w:t>
      </w:r>
    </w:p>
    <w:p w14:paraId="7DAA6A90" w14:textId="77777777" w:rsidR="00FE32C8" w:rsidRPr="00E80AAA" w:rsidRDefault="00FE32C8" w:rsidP="00F53367">
      <w:pPr>
        <w:shd w:val="clear" w:color="auto" w:fill="D9D9D9" w:themeFill="background1" w:themeFillShade="D9"/>
        <w:spacing w:after="0" w:line="240" w:lineRule="auto"/>
        <w:ind w:left="426" w:hanging="426"/>
        <w:jc w:val="both"/>
        <w:rPr>
          <w:rFonts w:ascii="Verdana" w:hAnsi="Verdana" w:cs="Times New Roman"/>
          <w:sz w:val="18"/>
          <w:szCs w:val="18"/>
          <w:lang w:val="en-US"/>
        </w:rPr>
      </w:pPr>
    </w:p>
    <w:p w14:paraId="0DC71D7D" w14:textId="1A78997C"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In aggregate, Article 6.2 expenditure is currently more than a quarter of all trade-distorting domestic support (TDDS)</w:t>
      </w:r>
      <w:r w:rsidRPr="00E80AAA">
        <w:rPr>
          <w:rStyle w:val="FootnoteReference"/>
          <w:rFonts w:ascii="Verdana" w:hAnsi="Verdana" w:cs="Times New Roman"/>
          <w:sz w:val="18"/>
          <w:szCs w:val="18"/>
          <w:lang w:val="en-US"/>
        </w:rPr>
        <w:footnoteReference w:id="4"/>
      </w:r>
      <w:r w:rsidRPr="00E80AAA">
        <w:rPr>
          <w:rFonts w:ascii="Verdana" w:hAnsi="Verdana" w:cs="Times New Roman"/>
          <w:sz w:val="18"/>
          <w:szCs w:val="18"/>
          <w:lang w:val="en-US"/>
        </w:rPr>
        <w:t>;</w:t>
      </w:r>
    </w:p>
    <w:p w14:paraId="2AC2EB99" w14:textId="77777777" w:rsidR="00FE32C8" w:rsidRPr="00E80AAA" w:rsidRDefault="00FE32C8" w:rsidP="00F53367">
      <w:pPr>
        <w:shd w:val="clear" w:color="auto" w:fill="D9D9D9" w:themeFill="background1" w:themeFillShade="D9"/>
        <w:spacing w:after="0" w:line="240" w:lineRule="auto"/>
        <w:ind w:left="426" w:hanging="426"/>
        <w:jc w:val="both"/>
        <w:rPr>
          <w:rFonts w:ascii="Verdana" w:hAnsi="Verdana" w:cs="Times New Roman"/>
          <w:sz w:val="18"/>
          <w:szCs w:val="18"/>
          <w:lang w:val="en-US"/>
        </w:rPr>
      </w:pPr>
    </w:p>
    <w:p w14:paraId="12D52659" w14:textId="4458B5C8"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At the individual level, domestic support under Article 6.2 is relatively small compared to each Member</w:t>
      </w:r>
      <w:r w:rsidR="004578FB">
        <w:rPr>
          <w:rFonts w:ascii="Verdana" w:hAnsi="Verdana" w:cs="Times New Roman"/>
          <w:sz w:val="18"/>
          <w:szCs w:val="18"/>
          <w:lang w:val="en-US"/>
        </w:rPr>
        <w:t>'</w:t>
      </w:r>
      <w:r w:rsidRPr="00E80AAA">
        <w:rPr>
          <w:rFonts w:ascii="Verdana" w:hAnsi="Verdana" w:cs="Times New Roman"/>
          <w:sz w:val="18"/>
          <w:szCs w:val="18"/>
          <w:lang w:val="en-US"/>
        </w:rPr>
        <w:t xml:space="preserve">s caps under Article 6 (both product-specific and non-product-specific </w:t>
      </w:r>
      <w:r w:rsidR="001372E0">
        <w:rPr>
          <w:rFonts w:ascii="Verdana" w:hAnsi="Verdana" w:cs="Times New Roman"/>
          <w:sz w:val="18"/>
          <w:szCs w:val="18"/>
          <w:lang w:val="en-US"/>
        </w:rPr>
        <w:t>"</w:t>
      </w:r>
      <w:r w:rsidRPr="00CF04F2">
        <w:rPr>
          <w:rFonts w:ascii="Verdana" w:hAnsi="Verdana" w:cs="Times New Roman"/>
          <w:i/>
          <w:iCs/>
          <w:sz w:val="18"/>
          <w:szCs w:val="18"/>
          <w:lang w:val="en-US"/>
        </w:rPr>
        <w:t>de minimis</w:t>
      </w:r>
      <w:r w:rsidR="001372E0">
        <w:rPr>
          <w:rFonts w:ascii="Verdana" w:hAnsi="Verdana" w:cs="Times New Roman"/>
          <w:sz w:val="18"/>
          <w:szCs w:val="18"/>
          <w:lang w:val="en-US"/>
        </w:rPr>
        <w:t>"</w:t>
      </w:r>
      <w:r w:rsidRPr="00E80AAA">
        <w:rPr>
          <w:rFonts w:ascii="Verdana" w:hAnsi="Verdana" w:cs="Times New Roman"/>
          <w:sz w:val="18"/>
          <w:szCs w:val="18"/>
          <w:lang w:val="en-US"/>
        </w:rPr>
        <w:t xml:space="preserve"> and, when applicable, FBTAMS);</w:t>
      </w:r>
    </w:p>
    <w:p w14:paraId="162CEF0A" w14:textId="77777777" w:rsidR="00FE32C8" w:rsidRPr="00E80AAA" w:rsidRDefault="00FE32C8" w:rsidP="00F53367">
      <w:pPr>
        <w:pStyle w:val="ListParagraph"/>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p>
    <w:p w14:paraId="54DB09C7" w14:textId="77777777"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In some cases, it is the only form of subsidy provided under Article 6 of the AoA;</w:t>
      </w:r>
    </w:p>
    <w:p w14:paraId="72130B81" w14:textId="77777777" w:rsidR="00FE32C8" w:rsidRPr="00E80AAA" w:rsidRDefault="00FE32C8" w:rsidP="00F53367">
      <w:pPr>
        <w:shd w:val="clear" w:color="auto" w:fill="D9D9D9" w:themeFill="background1" w:themeFillShade="D9"/>
        <w:spacing w:after="0" w:line="240" w:lineRule="auto"/>
        <w:ind w:left="426" w:hanging="426"/>
        <w:jc w:val="both"/>
        <w:rPr>
          <w:rFonts w:ascii="Verdana" w:hAnsi="Verdana" w:cs="Times New Roman"/>
          <w:sz w:val="18"/>
          <w:szCs w:val="18"/>
          <w:lang w:val="en-US"/>
        </w:rPr>
      </w:pPr>
    </w:p>
    <w:p w14:paraId="5FAD4980" w14:textId="09D8E184"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Despite the absence of uniform usage among Members, the share of Latin America and the Caribbean, Africa and the Middle East in global Article 6.2 notified use has remained relatively low since 2001;</w:t>
      </w:r>
    </w:p>
    <w:p w14:paraId="15E9943C" w14:textId="77777777" w:rsidR="00FE32C8" w:rsidRPr="00E80AAA" w:rsidRDefault="00FE32C8" w:rsidP="00F53367">
      <w:pPr>
        <w:pStyle w:val="ListParagraph"/>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p>
    <w:p w14:paraId="3CE88861" w14:textId="00862627"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Whilst the number of investment subsidies measures exceeds the number of agricultural inputs subsidies measures, expenditure is larger in agricultural inputs subsidies than in investment subsidies;</w:t>
      </w:r>
    </w:p>
    <w:p w14:paraId="3FC4CF20" w14:textId="77777777" w:rsidR="00FE32C8" w:rsidRPr="00E80AAA" w:rsidRDefault="00FE32C8" w:rsidP="00F53367">
      <w:pPr>
        <w:pStyle w:val="ListParagraph"/>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p>
    <w:p w14:paraId="7C4AC8F3" w14:textId="1FA4F773"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r w:rsidRPr="00E80AAA">
        <w:rPr>
          <w:rFonts w:ascii="Verdana" w:hAnsi="Verdana" w:cs="Times New Roman"/>
          <w:sz w:val="18"/>
          <w:szCs w:val="18"/>
          <w:lang w:val="en-US"/>
        </w:rPr>
        <w:t>More than 30% of the programmes or measures notified under Article 6.2 since 1995 has a component of product-related specificity;</w:t>
      </w:r>
    </w:p>
    <w:p w14:paraId="5C0C19AC" w14:textId="77777777" w:rsidR="00FE32C8" w:rsidRPr="00E80AAA" w:rsidRDefault="00FE32C8" w:rsidP="00F53367">
      <w:pPr>
        <w:pStyle w:val="ListParagraph"/>
        <w:shd w:val="clear" w:color="auto" w:fill="D9D9D9" w:themeFill="background1" w:themeFillShade="D9"/>
        <w:spacing w:after="0" w:line="240" w:lineRule="auto"/>
        <w:ind w:left="426" w:hanging="426"/>
        <w:contextualSpacing w:val="0"/>
        <w:jc w:val="both"/>
        <w:rPr>
          <w:rFonts w:ascii="Verdana" w:hAnsi="Verdana" w:cs="Times New Roman"/>
          <w:sz w:val="18"/>
          <w:szCs w:val="18"/>
          <w:lang w:val="en-US"/>
        </w:rPr>
      </w:pPr>
    </w:p>
    <w:p w14:paraId="5741BE04" w14:textId="02C3507F" w:rsidR="00FE32C8" w:rsidRPr="00E80AAA" w:rsidRDefault="00FE32C8" w:rsidP="00F53367">
      <w:pPr>
        <w:pStyle w:val="ListParagraph"/>
        <w:numPr>
          <w:ilvl w:val="0"/>
          <w:numId w:val="12"/>
        </w:numPr>
        <w:shd w:val="clear" w:color="auto" w:fill="D9D9D9" w:themeFill="background1" w:themeFillShade="D9"/>
        <w:spacing w:after="0" w:line="240" w:lineRule="auto"/>
        <w:ind w:left="426" w:hanging="426"/>
        <w:contextualSpacing w:val="0"/>
        <w:jc w:val="both"/>
        <w:rPr>
          <w:rFonts w:ascii="Verdana" w:hAnsi="Verdana" w:cs="Times New Roman"/>
          <w:sz w:val="18"/>
          <w:szCs w:val="18"/>
          <w:lang w:val="en-GB"/>
        </w:rPr>
      </w:pPr>
      <w:r w:rsidRPr="00E80AAA">
        <w:rPr>
          <w:rFonts w:ascii="Verdana" w:hAnsi="Verdana" w:cs="Times New Roman"/>
          <w:sz w:val="18"/>
          <w:szCs w:val="18"/>
          <w:lang w:val="en-US"/>
        </w:rPr>
        <w:t>Since this analysis relies on domestic</w:t>
      </w:r>
      <w:r w:rsidRPr="00E80AAA">
        <w:rPr>
          <w:rFonts w:ascii="Verdana" w:hAnsi="Verdana" w:cs="Times New Roman"/>
          <w:sz w:val="18"/>
          <w:szCs w:val="18"/>
          <w:lang w:val="en-GB"/>
        </w:rPr>
        <w:t xml:space="preserve"> support notifications, Members are encouraged to ensure they meet their notification obligations in a timely, accurate and complete manner. This will help advance our collective understanding of the current situation with respect to domestic support, and help inform our ongoing negotiations.</w:t>
      </w:r>
    </w:p>
    <w:p w14:paraId="102373D3" w14:textId="77777777" w:rsidR="00FE32C8" w:rsidRPr="00E80AAA" w:rsidRDefault="00FE32C8" w:rsidP="006D4693">
      <w:pPr>
        <w:spacing w:after="0" w:line="240" w:lineRule="auto"/>
        <w:jc w:val="both"/>
        <w:rPr>
          <w:rFonts w:ascii="Verdana" w:hAnsi="Verdana" w:cs="Times New Roman"/>
          <w:b/>
          <w:bCs/>
          <w:sz w:val="18"/>
          <w:szCs w:val="18"/>
          <w:lang w:val="en-GB"/>
        </w:rPr>
      </w:pPr>
    </w:p>
    <w:p w14:paraId="061A17FF" w14:textId="3DDEE374" w:rsidR="00FE32C8" w:rsidRPr="00E80AAA" w:rsidRDefault="006939A8" w:rsidP="006D4693">
      <w:pPr>
        <w:pStyle w:val="Heading1"/>
        <w:keepNext w:val="0"/>
        <w:keepLines w:val="0"/>
        <w:rPr>
          <w:rFonts w:ascii="Verdana" w:hAnsi="Verdana"/>
          <w:sz w:val="18"/>
          <w:szCs w:val="18"/>
          <w:lang w:val="en-GB"/>
        </w:rPr>
      </w:pPr>
      <w:r w:rsidRPr="00E80AAA">
        <w:rPr>
          <w:rFonts w:ascii="Verdana" w:hAnsi="Verdana"/>
          <w:sz w:val="18"/>
          <w:szCs w:val="18"/>
          <w:lang w:val="en-GB"/>
        </w:rPr>
        <w:t>A</w:t>
      </w:r>
      <w:r w:rsidR="00FE32C8" w:rsidRPr="00E80AAA">
        <w:rPr>
          <w:rFonts w:ascii="Verdana" w:hAnsi="Verdana"/>
          <w:sz w:val="18"/>
          <w:szCs w:val="18"/>
          <w:lang w:val="en-GB"/>
        </w:rPr>
        <w:t>RTICLE 6.2</w:t>
      </w:r>
    </w:p>
    <w:p w14:paraId="40E3054B" w14:textId="77777777" w:rsidR="00FE32C8" w:rsidRPr="00E80AAA" w:rsidRDefault="00FE32C8" w:rsidP="00E80AAA">
      <w:pPr>
        <w:pStyle w:val="Heading2"/>
        <w:rPr>
          <w:rFonts w:ascii="Verdana" w:hAnsi="Verdana"/>
          <w:sz w:val="18"/>
          <w:szCs w:val="18"/>
          <w:lang w:val="en-GB"/>
        </w:rPr>
      </w:pPr>
      <w:r w:rsidRPr="00E80AAA">
        <w:rPr>
          <w:rFonts w:ascii="Verdana" w:hAnsi="Verdana"/>
          <w:sz w:val="18"/>
          <w:szCs w:val="18"/>
          <w:lang w:val="en-GB"/>
        </w:rPr>
        <w:t>DEFINITION</w:t>
      </w:r>
    </w:p>
    <w:p w14:paraId="5046CD5A" w14:textId="77777777" w:rsidR="00FE32C8" w:rsidRPr="00E80AAA" w:rsidRDefault="00FE32C8" w:rsidP="00CF04F2">
      <w:pPr>
        <w:pStyle w:val="BodyText"/>
        <w:spacing w:line="240" w:lineRule="auto"/>
        <w:ind w:left="0"/>
        <w:jc w:val="both"/>
        <w:rPr>
          <w:rFonts w:ascii="Verdana" w:hAnsi="Verdana"/>
          <w:sz w:val="18"/>
          <w:szCs w:val="18"/>
          <w:lang w:val="en-GB"/>
        </w:rPr>
      </w:pPr>
      <w:r w:rsidRPr="00E80AAA">
        <w:rPr>
          <w:rFonts w:ascii="Verdana" w:hAnsi="Verdana"/>
          <w:sz w:val="18"/>
          <w:szCs w:val="18"/>
          <w:lang w:val="en-GB"/>
        </w:rPr>
        <w:t xml:space="preserve">Under the AoA, Aggregate Measurement of Support (AMS) is defined as the annual level of support provided for agricultural production, with the only exception of the support provided under programmes that meet the criteria of Annex 2 to the Agreement. </w:t>
      </w:r>
    </w:p>
    <w:p w14:paraId="4740C798" w14:textId="3928F3B2" w:rsidR="00FE32C8" w:rsidRPr="00E80AAA" w:rsidRDefault="00FE32C8" w:rsidP="00CF04F2">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Nonetheless, domestic support reduction commitments apply to </w:t>
      </w:r>
      <w:r w:rsidR="001372E0">
        <w:rPr>
          <w:rFonts w:ascii="Verdana" w:hAnsi="Verdana" w:cs="Times New Roman"/>
          <w:sz w:val="18"/>
          <w:szCs w:val="18"/>
          <w:lang w:val="en-GB"/>
        </w:rPr>
        <w:t>"</w:t>
      </w:r>
      <w:r w:rsidRPr="00E80AAA">
        <w:rPr>
          <w:rFonts w:ascii="Verdana" w:hAnsi="Verdana" w:cs="Times New Roman"/>
          <w:sz w:val="18"/>
          <w:szCs w:val="18"/>
          <w:lang w:val="en-GB"/>
        </w:rPr>
        <w:t>all of [its] domestic support measures in favour of agricultural producers with the exception of domestic measures which are not subject to reduction in terms of the criteria set out in this Article [Article 6] and in Annex 2 to this Agreement</w:t>
      </w:r>
      <w:r w:rsidR="001372E0">
        <w:rPr>
          <w:rFonts w:ascii="Verdana" w:hAnsi="Verdana" w:cs="Times New Roman"/>
          <w:sz w:val="18"/>
          <w:szCs w:val="18"/>
          <w:lang w:val="en-GB"/>
        </w:rPr>
        <w:t>"</w:t>
      </w:r>
      <w:r w:rsidRPr="00E80AAA">
        <w:rPr>
          <w:rFonts w:ascii="Verdana" w:hAnsi="Verdana" w:cs="Times New Roman"/>
          <w:sz w:val="18"/>
          <w:szCs w:val="18"/>
          <w:lang w:val="en-GB"/>
        </w:rPr>
        <w:t xml:space="preserve">. In what regards to </w:t>
      </w:r>
      <w:r w:rsidR="001372E0">
        <w:rPr>
          <w:rFonts w:ascii="Verdana" w:hAnsi="Verdana" w:cs="Times New Roman"/>
          <w:sz w:val="18"/>
          <w:szCs w:val="18"/>
          <w:lang w:val="en-GB"/>
        </w:rPr>
        <w:t>"</w:t>
      </w:r>
      <w:r w:rsidRPr="00E80AAA">
        <w:rPr>
          <w:rFonts w:ascii="Verdana" w:hAnsi="Verdana" w:cs="Times New Roman"/>
          <w:sz w:val="18"/>
          <w:szCs w:val="18"/>
          <w:lang w:val="en-GB"/>
        </w:rPr>
        <w:t>the criteria set out in this Article</w:t>
      </w:r>
      <w:r w:rsidR="001372E0">
        <w:rPr>
          <w:rFonts w:ascii="Verdana" w:hAnsi="Verdana" w:cs="Times New Roman"/>
          <w:sz w:val="18"/>
          <w:szCs w:val="18"/>
          <w:lang w:val="en-GB"/>
        </w:rPr>
        <w:t>"</w:t>
      </w:r>
      <w:r w:rsidRPr="00E80AAA">
        <w:rPr>
          <w:rFonts w:ascii="Verdana" w:hAnsi="Verdana" w:cs="Times New Roman"/>
          <w:sz w:val="18"/>
          <w:szCs w:val="18"/>
          <w:lang w:val="en-GB"/>
        </w:rPr>
        <w:t xml:space="preserve">, in order to achieve consensus in the AoA negotiations during the Uruguay Round, Members agreed that there would be three forms of domestic expenditures that exclusively developing Members would not be obliged to include in their CTAMS calculations (Table DS:1), but that would also not be part of Annex 2 of the AoA either. </w:t>
      </w:r>
      <w:r w:rsidRPr="00E80AAA">
        <w:rPr>
          <w:rFonts w:ascii="Verdana" w:hAnsi="Verdana" w:cs="Times New Roman"/>
          <w:sz w:val="18"/>
          <w:szCs w:val="18"/>
          <w:lang w:val="en-GB"/>
        </w:rPr>
        <w:lastRenderedPageBreak/>
        <w:t xml:space="preserve">These three forms include investment or input subsidies that are part of development programmes, and crop diversification subsidies that are part of programmes to substitute illicit narcotic crops. </w:t>
      </w:r>
    </w:p>
    <w:p w14:paraId="1B35DA27" w14:textId="392213CF" w:rsidR="00FE32C8" w:rsidRPr="00E80AAA" w:rsidRDefault="00FE32C8" w:rsidP="00CF04F2">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Article 6.2 of the AoA states that: </w:t>
      </w:r>
    </w:p>
    <w:p w14:paraId="7BFECC07" w14:textId="77777777" w:rsidR="00FE32C8" w:rsidRPr="00E80AAA" w:rsidRDefault="00FE32C8" w:rsidP="00CF04F2">
      <w:pPr>
        <w:spacing w:after="120" w:line="240" w:lineRule="auto"/>
        <w:ind w:left="532" w:hanging="14"/>
        <w:jc w:val="both"/>
        <w:rPr>
          <w:rFonts w:ascii="Verdana" w:hAnsi="Verdana" w:cs="Times New Roman"/>
          <w:i/>
          <w:iCs/>
          <w:sz w:val="18"/>
          <w:szCs w:val="18"/>
          <w:lang w:val="en-GB"/>
        </w:rPr>
      </w:pPr>
      <w:r w:rsidRPr="00E80AAA">
        <w:rPr>
          <w:rFonts w:ascii="Verdana" w:hAnsi="Verdana" w:cs="Times New Roman"/>
          <w:i/>
          <w:iCs/>
          <w:sz w:val="18"/>
          <w:szCs w:val="18"/>
          <w:lang w:val="en-GB"/>
        </w:rPr>
        <w:t xml:space="preserve">In accordance with the Mid-Term Review Agreement that government measures of assistance, whether direct or indirect, to encourage agricultural and rural development are an integral part of the development programmes of developing countries, </w:t>
      </w:r>
    </w:p>
    <w:p w14:paraId="78E61BC8" w14:textId="77777777" w:rsidR="00FE32C8" w:rsidRPr="00E80AAA" w:rsidRDefault="00FE32C8" w:rsidP="00CF04F2">
      <w:pPr>
        <w:pStyle w:val="ListParagraph"/>
        <w:numPr>
          <w:ilvl w:val="0"/>
          <w:numId w:val="11"/>
        </w:numPr>
        <w:spacing w:after="120" w:line="240" w:lineRule="auto"/>
        <w:ind w:left="1204" w:hanging="495"/>
        <w:contextualSpacing w:val="0"/>
        <w:jc w:val="both"/>
        <w:rPr>
          <w:rFonts w:ascii="Verdana" w:hAnsi="Verdana" w:cs="Times New Roman"/>
          <w:i/>
          <w:iCs/>
          <w:sz w:val="18"/>
          <w:szCs w:val="18"/>
          <w:lang w:val="en-GB"/>
        </w:rPr>
      </w:pPr>
      <w:r w:rsidRPr="00E80AAA">
        <w:rPr>
          <w:rFonts w:ascii="Verdana" w:hAnsi="Verdana" w:cs="Times New Roman"/>
          <w:i/>
          <w:iCs/>
          <w:sz w:val="18"/>
          <w:szCs w:val="18"/>
          <w:lang w:val="en-GB"/>
        </w:rPr>
        <w:t>investment subsidies which are generally available to agriculture in developing country Members and</w:t>
      </w:r>
    </w:p>
    <w:p w14:paraId="2EC4AF95" w14:textId="77777777" w:rsidR="00FE32C8" w:rsidRPr="00E80AAA" w:rsidRDefault="00FE32C8" w:rsidP="00CF04F2">
      <w:pPr>
        <w:pStyle w:val="ListParagraph"/>
        <w:numPr>
          <w:ilvl w:val="0"/>
          <w:numId w:val="11"/>
        </w:numPr>
        <w:spacing w:after="120" w:line="240" w:lineRule="auto"/>
        <w:ind w:left="1204" w:hanging="495"/>
        <w:contextualSpacing w:val="0"/>
        <w:jc w:val="both"/>
        <w:rPr>
          <w:rFonts w:ascii="Verdana" w:hAnsi="Verdana" w:cs="Times New Roman"/>
          <w:i/>
          <w:iCs/>
          <w:sz w:val="18"/>
          <w:szCs w:val="18"/>
          <w:lang w:val="en-GB"/>
        </w:rPr>
      </w:pPr>
      <w:r w:rsidRPr="00E80AAA">
        <w:rPr>
          <w:rFonts w:ascii="Verdana" w:hAnsi="Verdana" w:cs="Times New Roman"/>
          <w:i/>
          <w:iCs/>
          <w:sz w:val="18"/>
          <w:szCs w:val="18"/>
          <w:lang w:val="en-GB"/>
        </w:rPr>
        <w:t xml:space="preserve">agricultural input subsidies generally available to low-income or resource-poor producers in developing country Members </w:t>
      </w:r>
    </w:p>
    <w:p w14:paraId="4A90BE92" w14:textId="77777777" w:rsidR="00FE32C8" w:rsidRPr="00E80AAA" w:rsidRDefault="00FE32C8" w:rsidP="00CF04F2">
      <w:pPr>
        <w:spacing w:after="120" w:line="240" w:lineRule="auto"/>
        <w:ind w:left="532" w:hanging="14"/>
        <w:jc w:val="both"/>
        <w:rPr>
          <w:rFonts w:ascii="Verdana" w:hAnsi="Verdana" w:cs="Times New Roman"/>
          <w:i/>
          <w:iCs/>
          <w:sz w:val="18"/>
          <w:szCs w:val="18"/>
          <w:lang w:val="en-GB"/>
        </w:rPr>
      </w:pPr>
      <w:r w:rsidRPr="00E80AAA">
        <w:rPr>
          <w:rFonts w:ascii="Verdana" w:hAnsi="Verdana" w:cs="Times New Roman"/>
          <w:i/>
          <w:iCs/>
          <w:sz w:val="18"/>
          <w:szCs w:val="18"/>
          <w:lang w:val="en-GB"/>
        </w:rPr>
        <w:t xml:space="preserve">shall be exempt from domestic support reduction commitments that would otherwise be applicable to such measures, </w:t>
      </w:r>
    </w:p>
    <w:p w14:paraId="2DEBBFE8" w14:textId="77777777" w:rsidR="00FE32C8" w:rsidRPr="00E80AAA" w:rsidRDefault="00FE32C8" w:rsidP="00CF04F2">
      <w:pPr>
        <w:pStyle w:val="ListParagraph"/>
        <w:numPr>
          <w:ilvl w:val="0"/>
          <w:numId w:val="11"/>
        </w:numPr>
        <w:spacing w:after="120" w:line="240" w:lineRule="auto"/>
        <w:ind w:left="1176" w:hanging="476"/>
        <w:contextualSpacing w:val="0"/>
        <w:jc w:val="both"/>
        <w:rPr>
          <w:rFonts w:ascii="Verdana" w:hAnsi="Verdana" w:cs="Times New Roman"/>
          <w:i/>
          <w:iCs/>
          <w:sz w:val="18"/>
          <w:szCs w:val="18"/>
          <w:lang w:val="en-GB"/>
        </w:rPr>
      </w:pPr>
      <w:r w:rsidRPr="00E80AAA">
        <w:rPr>
          <w:rFonts w:ascii="Verdana" w:hAnsi="Verdana" w:cs="Times New Roman"/>
          <w:i/>
          <w:iCs/>
          <w:sz w:val="18"/>
          <w:szCs w:val="18"/>
          <w:lang w:val="en-GB"/>
        </w:rPr>
        <w:t>as shall domestic support to producers in developing country Members to encourage diversification from growing illicit narcotic crops. </w:t>
      </w:r>
    </w:p>
    <w:p w14:paraId="482DEB17" w14:textId="11560F13" w:rsidR="00FE32C8" w:rsidRPr="00E80AAA" w:rsidRDefault="00FE32C8" w:rsidP="00CF04F2">
      <w:pPr>
        <w:spacing w:after="0" w:line="240" w:lineRule="auto"/>
        <w:ind w:left="532" w:hanging="14"/>
        <w:jc w:val="both"/>
        <w:rPr>
          <w:rFonts w:ascii="Verdana" w:hAnsi="Verdana" w:cs="Times New Roman"/>
          <w:i/>
          <w:iCs/>
          <w:sz w:val="18"/>
          <w:szCs w:val="18"/>
          <w:lang w:val="en-GB"/>
        </w:rPr>
      </w:pPr>
      <w:r w:rsidRPr="00E80AAA">
        <w:rPr>
          <w:rFonts w:ascii="Verdana" w:hAnsi="Verdana" w:cs="Times New Roman"/>
          <w:i/>
          <w:iCs/>
          <w:sz w:val="18"/>
          <w:szCs w:val="18"/>
          <w:lang w:val="en-GB"/>
        </w:rPr>
        <w:t>Domestic support meeting the criteria of this paragraph shall not be required to be included in a Member</w:t>
      </w:r>
      <w:r w:rsidR="004578FB">
        <w:rPr>
          <w:rFonts w:ascii="Verdana" w:hAnsi="Verdana" w:cs="Times New Roman"/>
          <w:i/>
          <w:iCs/>
          <w:sz w:val="18"/>
          <w:szCs w:val="18"/>
          <w:lang w:val="en-GB"/>
        </w:rPr>
        <w:t>'</w:t>
      </w:r>
      <w:r w:rsidRPr="00E80AAA">
        <w:rPr>
          <w:rFonts w:ascii="Verdana" w:hAnsi="Verdana" w:cs="Times New Roman"/>
          <w:i/>
          <w:iCs/>
          <w:sz w:val="18"/>
          <w:szCs w:val="18"/>
          <w:lang w:val="en-GB"/>
        </w:rPr>
        <w:t>s calculation of its Current Total AMS.</w:t>
      </w:r>
    </w:p>
    <w:p w14:paraId="24A0B9F5" w14:textId="77777777" w:rsidR="00FE32C8" w:rsidRPr="00E80AAA" w:rsidRDefault="00FE32C8" w:rsidP="006939A8">
      <w:pPr>
        <w:keepNext/>
        <w:spacing w:after="0" w:line="240" w:lineRule="auto"/>
        <w:ind w:firstLine="708"/>
        <w:jc w:val="both"/>
        <w:rPr>
          <w:rFonts w:ascii="Verdana" w:hAnsi="Verdana" w:cs="Times New Roman"/>
          <w:iCs/>
          <w:sz w:val="18"/>
          <w:szCs w:val="18"/>
          <w:lang w:val="en-GB"/>
        </w:rPr>
      </w:pPr>
    </w:p>
    <w:p w14:paraId="450AB55C" w14:textId="77777777" w:rsidR="00FE32C8" w:rsidRPr="00E80AAA" w:rsidRDefault="00FE32C8" w:rsidP="00F8104D">
      <w:pPr>
        <w:pStyle w:val="Heading2"/>
        <w:spacing w:line="240" w:lineRule="auto"/>
        <w:rPr>
          <w:rFonts w:ascii="Verdana" w:hAnsi="Verdana"/>
          <w:iCs/>
          <w:sz w:val="18"/>
          <w:szCs w:val="18"/>
          <w:lang w:val="en-GB"/>
        </w:rPr>
      </w:pPr>
      <w:r w:rsidRPr="00E80AAA">
        <w:rPr>
          <w:rFonts w:ascii="Verdana" w:hAnsi="Verdana"/>
          <w:sz w:val="18"/>
          <w:szCs w:val="18"/>
          <w:lang w:val="en-GB"/>
        </w:rPr>
        <w:t>CONCERNS ABOUT THE CURRENT DEFINITION</w:t>
      </w:r>
    </w:p>
    <w:p w14:paraId="0EFF5B86" w14:textId="56CBA7BA" w:rsidR="00FE32C8" w:rsidRPr="00E80AAA" w:rsidRDefault="00FE32C8" w:rsidP="00E80AAA">
      <w:pPr>
        <w:pStyle w:val="BodyText"/>
        <w:spacing w:line="240" w:lineRule="auto"/>
        <w:ind w:left="0"/>
        <w:jc w:val="both"/>
        <w:rPr>
          <w:rFonts w:ascii="Verdana" w:hAnsi="Verdana"/>
          <w:sz w:val="18"/>
          <w:szCs w:val="18"/>
          <w:lang w:val="en-GB"/>
        </w:rPr>
      </w:pPr>
      <w:r w:rsidRPr="00E80AAA">
        <w:rPr>
          <w:rFonts w:ascii="Verdana" w:hAnsi="Verdana"/>
          <w:sz w:val="18"/>
          <w:szCs w:val="18"/>
          <w:lang w:val="en-GB"/>
        </w:rPr>
        <w:t xml:space="preserve">The discussion about Article 6.2 has been well summarized in </w:t>
      </w:r>
      <w:hyperlink r:id="rId10" w:history="1">
        <w:r w:rsidRPr="00CF04F2">
          <w:rPr>
            <w:rStyle w:val="Hyperlink"/>
            <w:rFonts w:ascii="Verdana" w:hAnsi="Verdana"/>
            <w:sz w:val="18"/>
            <w:szCs w:val="18"/>
            <w:lang w:val="en-GB"/>
          </w:rPr>
          <w:t>JOB/AG/160</w:t>
        </w:r>
      </w:hyperlink>
      <w:r w:rsidRPr="00E80AAA">
        <w:rPr>
          <w:rFonts w:ascii="Verdana" w:hAnsi="Verdana"/>
          <w:sz w:val="18"/>
          <w:szCs w:val="18"/>
          <w:lang w:val="en-GB"/>
        </w:rPr>
        <w:t xml:space="preserve">, which states that despite the legitimate objective of allowing developing country Members </w:t>
      </w:r>
      <w:r w:rsidR="001372E0">
        <w:rPr>
          <w:rFonts w:ascii="Verdana" w:hAnsi="Verdana"/>
          <w:sz w:val="18"/>
          <w:szCs w:val="18"/>
          <w:lang w:val="en-GB"/>
        </w:rPr>
        <w:t>"</w:t>
      </w:r>
      <w:r w:rsidRPr="00E80AAA">
        <w:rPr>
          <w:rFonts w:ascii="Verdana" w:hAnsi="Verdana"/>
          <w:sz w:val="18"/>
          <w:szCs w:val="18"/>
          <w:lang w:val="en-GB"/>
        </w:rPr>
        <w:t>to provide some forms of product specific and non-product specific support, without any reduction commitment, to enable them to pursue legitimate development goals</w:t>
      </w:r>
      <w:r w:rsidR="001372E0">
        <w:rPr>
          <w:rFonts w:ascii="Verdana" w:hAnsi="Verdana"/>
          <w:sz w:val="18"/>
          <w:szCs w:val="18"/>
          <w:lang w:val="en-GB"/>
        </w:rPr>
        <w:t>"</w:t>
      </w:r>
      <w:r w:rsidRPr="00E80AAA">
        <w:rPr>
          <w:rFonts w:ascii="Verdana" w:hAnsi="Verdana"/>
          <w:sz w:val="18"/>
          <w:szCs w:val="18"/>
          <w:lang w:val="en-GB"/>
        </w:rPr>
        <w:t xml:space="preserve">, </w:t>
      </w:r>
      <w:r w:rsidR="001372E0">
        <w:rPr>
          <w:rFonts w:ascii="Verdana" w:hAnsi="Verdana"/>
          <w:sz w:val="18"/>
          <w:szCs w:val="18"/>
          <w:lang w:val="en-GB"/>
        </w:rPr>
        <w:t>"</w:t>
      </w:r>
      <w:r w:rsidRPr="00E80AAA">
        <w:rPr>
          <w:rFonts w:ascii="Verdana" w:hAnsi="Verdana"/>
          <w:sz w:val="18"/>
          <w:szCs w:val="18"/>
          <w:lang w:val="en-GB"/>
        </w:rPr>
        <w:t>when applied in excess or without proper qualification, those subsidies may also be a source of distortions to trade and production of agricultural goods. These concerns are particularly acute in the case of input subsidies</w:t>
      </w:r>
      <w:r w:rsidRPr="00E80AAA">
        <w:rPr>
          <w:rStyle w:val="FootnoteReference"/>
          <w:rFonts w:ascii="Verdana" w:hAnsi="Verdana" w:cs="Times New Roman"/>
          <w:sz w:val="18"/>
          <w:szCs w:val="18"/>
          <w:lang w:val="en-GB"/>
        </w:rPr>
        <w:footnoteReference w:id="5"/>
      </w:r>
      <w:r w:rsidRPr="00E80AAA">
        <w:rPr>
          <w:rFonts w:ascii="Verdana" w:hAnsi="Verdana"/>
          <w:sz w:val="18"/>
          <w:szCs w:val="18"/>
          <w:lang w:val="en-GB"/>
        </w:rPr>
        <w:t>, whereas support for diversification from growing illicit narcotic crops has been less controversial</w:t>
      </w:r>
      <w:r w:rsidR="001372E0">
        <w:rPr>
          <w:rFonts w:ascii="Verdana" w:hAnsi="Verdana"/>
          <w:sz w:val="18"/>
          <w:szCs w:val="18"/>
          <w:lang w:val="en-GB"/>
        </w:rPr>
        <w:t>"</w:t>
      </w:r>
      <w:r w:rsidRPr="00E80AAA">
        <w:rPr>
          <w:rFonts w:ascii="Verdana" w:hAnsi="Verdana"/>
          <w:sz w:val="18"/>
          <w:szCs w:val="18"/>
          <w:lang w:val="en-GB"/>
        </w:rPr>
        <w:t xml:space="preserve">. This assessment becomes more relevant when one observes that </w:t>
      </w:r>
      <w:r w:rsidR="001372E0">
        <w:rPr>
          <w:rFonts w:ascii="Verdana" w:hAnsi="Verdana"/>
          <w:sz w:val="18"/>
          <w:szCs w:val="18"/>
          <w:lang w:val="en-GB"/>
        </w:rPr>
        <w:t>"</w:t>
      </w:r>
      <w:r w:rsidRPr="00E80AAA">
        <w:rPr>
          <w:rFonts w:ascii="Verdana" w:hAnsi="Verdana"/>
          <w:sz w:val="18"/>
          <w:szCs w:val="18"/>
          <w:lang w:val="en-GB"/>
        </w:rPr>
        <w:t>Members classify most of their Article</w:t>
      </w:r>
      <w:r w:rsidR="00CF04F2">
        <w:rPr>
          <w:rFonts w:ascii="Verdana" w:hAnsi="Verdana"/>
          <w:sz w:val="18"/>
          <w:szCs w:val="18"/>
          <w:lang w:val="en-GB"/>
        </w:rPr>
        <w:t> </w:t>
      </w:r>
      <w:r w:rsidRPr="00E80AAA">
        <w:rPr>
          <w:rFonts w:ascii="Verdana" w:hAnsi="Verdana"/>
          <w:sz w:val="18"/>
          <w:szCs w:val="18"/>
          <w:lang w:val="en-GB"/>
        </w:rPr>
        <w:t>6.2 support as input subsidies, less as investment subsidies and still less as support to encourage diversification from growing illicit narcotic crops</w:t>
      </w:r>
      <w:r w:rsidR="001372E0">
        <w:rPr>
          <w:rFonts w:ascii="Verdana" w:hAnsi="Verdana"/>
          <w:sz w:val="18"/>
          <w:szCs w:val="18"/>
          <w:lang w:val="en-GB"/>
        </w:rPr>
        <w:t>"</w:t>
      </w:r>
      <w:r w:rsidRPr="00E80AAA">
        <w:rPr>
          <w:rStyle w:val="FootnoteReference"/>
          <w:rFonts w:ascii="Verdana" w:hAnsi="Verdana" w:cs="Times New Roman"/>
          <w:sz w:val="18"/>
          <w:szCs w:val="18"/>
          <w:lang w:val="en-GB"/>
        </w:rPr>
        <w:footnoteReference w:id="6"/>
      </w:r>
      <w:r w:rsidRPr="00E80AAA">
        <w:rPr>
          <w:rFonts w:ascii="Verdana" w:hAnsi="Verdana"/>
          <w:sz w:val="18"/>
          <w:szCs w:val="18"/>
          <w:lang w:val="en-GB"/>
        </w:rPr>
        <w:t xml:space="preserve">, as it will be discussed ahead in this document. </w:t>
      </w:r>
    </w:p>
    <w:p w14:paraId="7566EC35" w14:textId="21F0D9F4"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Another source of possible concern, as pointed out in </w:t>
      </w:r>
      <w:hyperlink r:id="rId11" w:history="1">
        <w:r w:rsidRPr="00CF04F2">
          <w:rPr>
            <w:rStyle w:val="Hyperlink"/>
            <w:rFonts w:ascii="Verdana" w:hAnsi="Verdana" w:cs="Times New Roman"/>
            <w:sz w:val="18"/>
            <w:szCs w:val="18"/>
            <w:lang w:val="en-GB"/>
          </w:rPr>
          <w:t>JOB/AG/160</w:t>
        </w:r>
      </w:hyperlink>
      <w:r w:rsidRPr="00E80AAA">
        <w:rPr>
          <w:rFonts w:ascii="Verdana" w:hAnsi="Verdana" w:cs="Times New Roman"/>
          <w:sz w:val="18"/>
          <w:szCs w:val="18"/>
          <w:lang w:val="en-GB"/>
        </w:rPr>
        <w:t xml:space="preserve">, is the meaning or the scope of some pivotal terms of Article 6.2: which kind of restriction would render the programme not "generally available? What kind of producer is "low-income or resource-poor"? Should support go directly to producers and not suppliers of inputs (e.g. electrical utilities, or fertilizer suppliers)? The document also points to a possible set of enhanced transparency obligations, such as more complete programme descriptions; more complete breakdowns of expenditure – i.e. programme by programme; more information to show how criteria are met, in order to guarantee that solely the support meeting the criteria of paragraph 6.2 is excluded from the Member's calculation of its CTAMS. To that list, one may add the fulfilment of the current obligation of submitting a DS:2 notification for any new support measure or modifications to an existing measure as in </w:t>
      </w:r>
      <w:hyperlink r:id="rId12" w:history="1">
        <w:r w:rsidRPr="00CF04F2">
          <w:rPr>
            <w:rStyle w:val="Hyperlink"/>
            <w:rFonts w:ascii="Verdana" w:hAnsi="Verdana" w:cs="Times New Roman"/>
            <w:sz w:val="18"/>
            <w:szCs w:val="18"/>
            <w:lang w:val="en-GB"/>
          </w:rPr>
          <w:t>G/AG/2</w:t>
        </w:r>
      </w:hyperlink>
      <w:r w:rsidRPr="00E80AAA">
        <w:rPr>
          <w:rFonts w:ascii="Verdana" w:hAnsi="Verdana" w:cs="Times New Roman"/>
          <w:sz w:val="18"/>
          <w:szCs w:val="18"/>
          <w:lang w:val="en-GB"/>
        </w:rPr>
        <w:t>.</w:t>
      </w:r>
    </w:p>
    <w:p w14:paraId="4A8E3EA2" w14:textId="33B855B1" w:rsidR="00FE32C8" w:rsidRPr="00E80AAA" w:rsidRDefault="00FE32C8" w:rsidP="00E80AAA">
      <w:pPr>
        <w:pStyle w:val="Heading2"/>
        <w:rPr>
          <w:rFonts w:ascii="Verdana" w:hAnsi="Verdana"/>
          <w:sz w:val="18"/>
          <w:szCs w:val="18"/>
          <w:lang w:val="en-GB"/>
        </w:rPr>
      </w:pPr>
      <w:r w:rsidRPr="00E80AAA">
        <w:rPr>
          <w:rFonts w:ascii="Verdana" w:hAnsi="Verdana"/>
          <w:sz w:val="18"/>
          <w:szCs w:val="18"/>
          <w:lang w:val="en-GB"/>
        </w:rPr>
        <w:lastRenderedPageBreak/>
        <w:t>USERS</w:t>
      </w:r>
    </w:p>
    <w:p w14:paraId="47ADDEEF" w14:textId="41BC3527"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With few exceptions</w:t>
      </w:r>
      <w:r w:rsidRPr="00E80AAA">
        <w:rPr>
          <w:rStyle w:val="FootnoteReference"/>
          <w:rFonts w:ascii="Verdana" w:hAnsi="Verdana" w:cs="Times New Roman"/>
          <w:sz w:val="18"/>
          <w:szCs w:val="18"/>
          <w:lang w:val="en-GB"/>
        </w:rPr>
        <w:footnoteReference w:id="7"/>
      </w:r>
      <w:r w:rsidRPr="00E80AAA">
        <w:rPr>
          <w:rFonts w:ascii="Verdana" w:hAnsi="Verdana" w:cs="Times New Roman"/>
          <w:sz w:val="18"/>
          <w:szCs w:val="18"/>
          <w:lang w:val="en-GB"/>
        </w:rPr>
        <w:t>, potentially every self-declaring developing Member at the WTO</w:t>
      </w:r>
      <w:r w:rsidRPr="00E80AAA">
        <w:rPr>
          <w:rStyle w:val="FootnoteReference"/>
          <w:rFonts w:ascii="Verdana" w:hAnsi="Verdana" w:cs="Times New Roman"/>
          <w:sz w:val="18"/>
          <w:szCs w:val="18"/>
          <w:lang w:val="en-GB"/>
        </w:rPr>
        <w:footnoteReference w:id="8"/>
      </w:r>
      <w:r w:rsidRPr="00E80AAA">
        <w:rPr>
          <w:rFonts w:ascii="Verdana" w:hAnsi="Verdana" w:cs="Times New Roman"/>
          <w:sz w:val="18"/>
          <w:szCs w:val="18"/>
          <w:lang w:val="en-GB"/>
        </w:rPr>
        <w:t xml:space="preserve"> has the right to adopt and notify measures under the Article 6.2 of the AoA as long as the classification criteria are met. Under those circumstances, those measures may be exempt from the calculation of its CTAMS.</w:t>
      </w:r>
    </w:p>
    <w:p w14:paraId="744E45F2" w14:textId="0FF30E4F" w:rsidR="00FE32C8" w:rsidRPr="00E80AAA" w:rsidRDefault="00CF04F2" w:rsidP="00E80AAA">
      <w:pPr>
        <w:pStyle w:val="BodyText"/>
        <w:spacing w:line="240" w:lineRule="auto"/>
        <w:ind w:left="0"/>
        <w:jc w:val="both"/>
        <w:rPr>
          <w:rFonts w:ascii="Verdana" w:hAnsi="Verdana" w:cs="Times New Roman"/>
          <w:sz w:val="18"/>
          <w:szCs w:val="18"/>
          <w:lang w:val="en-GB"/>
        </w:rPr>
      </w:pPr>
      <w:r>
        <w:rPr>
          <w:rFonts w:ascii="Verdana" w:hAnsi="Verdana" w:cs="Times New Roman"/>
          <w:sz w:val="18"/>
          <w:szCs w:val="18"/>
          <w:lang w:val="en-GB"/>
        </w:rPr>
        <w:t>Fifty (</w:t>
      </w:r>
      <w:r w:rsidR="00FE32C8" w:rsidRPr="00E80AAA">
        <w:rPr>
          <w:rFonts w:ascii="Verdana" w:hAnsi="Verdana" w:cs="Times New Roman"/>
          <w:sz w:val="18"/>
          <w:szCs w:val="18"/>
          <w:lang w:val="en-GB"/>
        </w:rPr>
        <w:t>50</w:t>
      </w:r>
      <w:r>
        <w:rPr>
          <w:rFonts w:ascii="Verdana" w:hAnsi="Verdana" w:cs="Times New Roman"/>
          <w:sz w:val="18"/>
          <w:szCs w:val="18"/>
          <w:lang w:val="en-GB"/>
        </w:rPr>
        <w:t>)</w:t>
      </w:r>
      <w:r w:rsidR="00FE32C8" w:rsidRPr="00E80AAA">
        <w:rPr>
          <w:rFonts w:ascii="Verdana" w:hAnsi="Verdana" w:cs="Times New Roman"/>
          <w:sz w:val="18"/>
          <w:szCs w:val="18"/>
          <w:lang w:val="en-GB"/>
        </w:rPr>
        <w:t xml:space="preserve"> developing Members have notified measures under this category at least once since 2001 (see Table 1), and 27 Members – including 12 LDCs - have notified such measures in the last five years. </w:t>
      </w:r>
    </w:p>
    <w:p w14:paraId="2B698B7C" w14:textId="71E466C8" w:rsidR="00FE32C8" w:rsidRPr="00E80AAA" w:rsidRDefault="00FE32C8" w:rsidP="00E80AAA">
      <w:pPr>
        <w:pStyle w:val="Caption"/>
        <w:spacing w:before="0" w:line="240" w:lineRule="auto"/>
        <w:rPr>
          <w:rFonts w:ascii="Verdana" w:hAnsi="Verdana"/>
          <w:sz w:val="18"/>
          <w:szCs w:val="18"/>
          <w:lang w:val="en-GB"/>
        </w:rPr>
      </w:pPr>
      <w:r w:rsidRPr="00E80AAA">
        <w:rPr>
          <w:rFonts w:ascii="Verdana" w:hAnsi="Verdana"/>
          <w:sz w:val="18"/>
          <w:szCs w:val="18"/>
          <w:lang w:val="en-GB"/>
        </w:rPr>
        <w:t>Table 1: M</w:t>
      </w:r>
      <w:r w:rsidR="00CF04F2">
        <w:rPr>
          <w:rFonts w:ascii="Verdana" w:hAnsi="Verdana"/>
          <w:sz w:val="18"/>
          <w:szCs w:val="18"/>
          <w:lang w:val="en-GB"/>
        </w:rPr>
        <w:t>embers that have notified 6.2 support since 2001</w:t>
      </w:r>
    </w:p>
    <w:tbl>
      <w:tblPr>
        <w:tblStyle w:val="WTOTable2"/>
        <w:tblW w:w="5000" w:type="pct"/>
        <w:tblLook w:val="04A0" w:firstRow="1" w:lastRow="0" w:firstColumn="1" w:lastColumn="0" w:noHBand="0" w:noVBand="1"/>
      </w:tblPr>
      <w:tblGrid>
        <w:gridCol w:w="2104"/>
        <w:gridCol w:w="2127"/>
        <w:gridCol w:w="1703"/>
        <w:gridCol w:w="1557"/>
        <w:gridCol w:w="1489"/>
      </w:tblGrid>
      <w:tr w:rsidR="00FE32C8" w:rsidRPr="00E80AAA" w14:paraId="44F6B37A" w14:textId="77777777" w:rsidTr="00F8104D">
        <w:trPr>
          <w:cnfStyle w:val="100000000000" w:firstRow="1" w:lastRow="0" w:firstColumn="0" w:lastColumn="0" w:oddVBand="0" w:evenVBand="0" w:oddHBand="0" w:evenHBand="0" w:firstRowFirstColumn="0" w:firstRowLastColumn="0" w:lastRowFirstColumn="0" w:lastRowLastColumn="0"/>
        </w:trPr>
        <w:tc>
          <w:tcPr>
            <w:tcW w:w="1171" w:type="pct"/>
            <w:vAlign w:val="center"/>
          </w:tcPr>
          <w:p w14:paraId="52AADA55" w14:textId="77777777" w:rsidR="00FE32C8" w:rsidRPr="00E80AAA" w:rsidRDefault="00FE32C8" w:rsidP="00E80AAA">
            <w:pPr>
              <w:widowControl w:val="0"/>
              <w:spacing w:after="0" w:line="240" w:lineRule="auto"/>
              <w:rPr>
                <w:sz w:val="18"/>
                <w:lang w:val="en-GB"/>
              </w:rPr>
            </w:pPr>
            <w:r w:rsidRPr="00E80AAA">
              <w:rPr>
                <w:sz w:val="18"/>
                <w:lang w:val="en-GB"/>
              </w:rPr>
              <w:t>Kingdom of Bahrain</w:t>
            </w:r>
          </w:p>
        </w:tc>
        <w:tc>
          <w:tcPr>
            <w:tcW w:w="1184" w:type="pct"/>
            <w:vAlign w:val="center"/>
          </w:tcPr>
          <w:p w14:paraId="7F86C39F" w14:textId="77777777" w:rsidR="00FE32C8" w:rsidRPr="00E80AAA" w:rsidRDefault="00FE32C8" w:rsidP="00E80AAA">
            <w:pPr>
              <w:widowControl w:val="0"/>
              <w:spacing w:after="0" w:line="240" w:lineRule="auto"/>
              <w:rPr>
                <w:sz w:val="18"/>
                <w:lang w:val="en-GB"/>
              </w:rPr>
            </w:pPr>
            <w:r w:rsidRPr="00E80AAA">
              <w:rPr>
                <w:sz w:val="18"/>
                <w:lang w:val="en-GB"/>
              </w:rPr>
              <w:t>Bangladesh</w:t>
            </w:r>
          </w:p>
        </w:tc>
        <w:tc>
          <w:tcPr>
            <w:tcW w:w="948" w:type="pct"/>
            <w:vAlign w:val="center"/>
          </w:tcPr>
          <w:p w14:paraId="700B954F" w14:textId="77777777" w:rsidR="00FE32C8" w:rsidRPr="00E80AAA" w:rsidRDefault="00FE32C8" w:rsidP="00E80AAA">
            <w:pPr>
              <w:widowControl w:val="0"/>
              <w:spacing w:after="0" w:line="240" w:lineRule="auto"/>
              <w:rPr>
                <w:sz w:val="18"/>
                <w:lang w:val="en-GB"/>
              </w:rPr>
            </w:pPr>
            <w:r w:rsidRPr="00E80AAA">
              <w:rPr>
                <w:sz w:val="18"/>
                <w:lang w:val="en-GB"/>
              </w:rPr>
              <w:t>Barbados</w:t>
            </w:r>
          </w:p>
        </w:tc>
        <w:tc>
          <w:tcPr>
            <w:tcW w:w="867" w:type="pct"/>
            <w:vAlign w:val="center"/>
          </w:tcPr>
          <w:p w14:paraId="076BDCEE" w14:textId="77777777" w:rsidR="00FE32C8" w:rsidRPr="00E80AAA" w:rsidRDefault="00FE32C8" w:rsidP="00E80AAA">
            <w:pPr>
              <w:widowControl w:val="0"/>
              <w:spacing w:after="0" w:line="240" w:lineRule="auto"/>
              <w:rPr>
                <w:sz w:val="18"/>
                <w:lang w:val="en-GB"/>
              </w:rPr>
            </w:pPr>
            <w:r w:rsidRPr="00E80AAA">
              <w:rPr>
                <w:sz w:val="18"/>
                <w:lang w:val="en-GB"/>
              </w:rPr>
              <w:t>Botswana</w:t>
            </w:r>
          </w:p>
        </w:tc>
        <w:tc>
          <w:tcPr>
            <w:tcW w:w="829" w:type="pct"/>
            <w:vAlign w:val="center"/>
          </w:tcPr>
          <w:p w14:paraId="50075939" w14:textId="77777777" w:rsidR="00FE32C8" w:rsidRPr="00E80AAA" w:rsidRDefault="00FE32C8" w:rsidP="00E80AAA">
            <w:pPr>
              <w:widowControl w:val="0"/>
              <w:spacing w:after="0" w:line="240" w:lineRule="auto"/>
              <w:rPr>
                <w:sz w:val="18"/>
                <w:lang w:val="en-GB"/>
              </w:rPr>
            </w:pPr>
            <w:r w:rsidRPr="00E80AAA">
              <w:rPr>
                <w:sz w:val="18"/>
                <w:lang w:val="en-GB"/>
              </w:rPr>
              <w:t>Brazil</w:t>
            </w:r>
          </w:p>
        </w:tc>
      </w:tr>
      <w:tr w:rsidR="00FE32C8" w:rsidRPr="00E80AAA" w14:paraId="62D81A68" w14:textId="77777777" w:rsidTr="00F8104D">
        <w:tc>
          <w:tcPr>
            <w:tcW w:w="1171" w:type="pct"/>
            <w:vAlign w:val="center"/>
          </w:tcPr>
          <w:p w14:paraId="47502C02" w14:textId="77777777" w:rsidR="00FE32C8" w:rsidRPr="00E80AAA" w:rsidRDefault="00FE32C8" w:rsidP="00E80AAA">
            <w:pPr>
              <w:widowControl w:val="0"/>
              <w:spacing w:after="0" w:line="240" w:lineRule="auto"/>
              <w:rPr>
                <w:sz w:val="18"/>
                <w:lang w:val="en-GB"/>
              </w:rPr>
            </w:pPr>
            <w:r w:rsidRPr="00E80AAA">
              <w:rPr>
                <w:sz w:val="18"/>
                <w:lang w:val="en-GB"/>
              </w:rPr>
              <w:t>Burundi</w:t>
            </w:r>
          </w:p>
        </w:tc>
        <w:tc>
          <w:tcPr>
            <w:tcW w:w="1184" w:type="pct"/>
            <w:vAlign w:val="center"/>
          </w:tcPr>
          <w:p w14:paraId="69B516A6" w14:textId="77777777" w:rsidR="00FE32C8" w:rsidRPr="00E80AAA" w:rsidRDefault="00FE32C8" w:rsidP="00E80AAA">
            <w:pPr>
              <w:widowControl w:val="0"/>
              <w:spacing w:after="0" w:line="240" w:lineRule="auto"/>
              <w:rPr>
                <w:sz w:val="18"/>
                <w:lang w:val="en-GB"/>
              </w:rPr>
            </w:pPr>
            <w:r w:rsidRPr="00E80AAA">
              <w:rPr>
                <w:sz w:val="18"/>
                <w:lang w:val="en-GB"/>
              </w:rPr>
              <w:t>Chad</w:t>
            </w:r>
          </w:p>
        </w:tc>
        <w:tc>
          <w:tcPr>
            <w:tcW w:w="948" w:type="pct"/>
            <w:vAlign w:val="center"/>
          </w:tcPr>
          <w:p w14:paraId="6332DAE9" w14:textId="77777777" w:rsidR="00FE32C8" w:rsidRPr="00E80AAA" w:rsidRDefault="00FE32C8" w:rsidP="00E80AAA">
            <w:pPr>
              <w:widowControl w:val="0"/>
              <w:spacing w:after="0" w:line="240" w:lineRule="auto"/>
              <w:rPr>
                <w:sz w:val="18"/>
                <w:lang w:val="en-GB"/>
              </w:rPr>
            </w:pPr>
            <w:r w:rsidRPr="00E80AAA">
              <w:rPr>
                <w:sz w:val="18"/>
                <w:lang w:val="en-GB"/>
              </w:rPr>
              <w:t>Chile</w:t>
            </w:r>
          </w:p>
        </w:tc>
        <w:tc>
          <w:tcPr>
            <w:tcW w:w="867" w:type="pct"/>
            <w:vAlign w:val="center"/>
          </w:tcPr>
          <w:p w14:paraId="3104F91B" w14:textId="77777777" w:rsidR="00FE32C8" w:rsidRPr="00E80AAA" w:rsidRDefault="00FE32C8" w:rsidP="00E80AAA">
            <w:pPr>
              <w:widowControl w:val="0"/>
              <w:spacing w:after="0" w:line="240" w:lineRule="auto"/>
              <w:rPr>
                <w:sz w:val="18"/>
                <w:lang w:val="en-GB"/>
              </w:rPr>
            </w:pPr>
            <w:r w:rsidRPr="00E80AAA">
              <w:rPr>
                <w:sz w:val="18"/>
                <w:lang w:val="en-GB"/>
              </w:rPr>
              <w:t>Colombia</w:t>
            </w:r>
          </w:p>
        </w:tc>
        <w:tc>
          <w:tcPr>
            <w:tcW w:w="829" w:type="pct"/>
            <w:vAlign w:val="center"/>
          </w:tcPr>
          <w:p w14:paraId="26D56032" w14:textId="77777777" w:rsidR="00FE32C8" w:rsidRPr="00E80AAA" w:rsidRDefault="00FE32C8" w:rsidP="00E80AAA">
            <w:pPr>
              <w:widowControl w:val="0"/>
              <w:spacing w:after="0" w:line="240" w:lineRule="auto"/>
              <w:rPr>
                <w:sz w:val="18"/>
                <w:lang w:val="en-GB"/>
              </w:rPr>
            </w:pPr>
            <w:r w:rsidRPr="00E80AAA">
              <w:rPr>
                <w:sz w:val="18"/>
                <w:lang w:val="en-GB"/>
              </w:rPr>
              <w:t>Costa Rica</w:t>
            </w:r>
          </w:p>
        </w:tc>
      </w:tr>
      <w:tr w:rsidR="00FE32C8" w:rsidRPr="00E80AAA" w14:paraId="7BF1D354" w14:textId="77777777" w:rsidTr="00F8104D">
        <w:tc>
          <w:tcPr>
            <w:tcW w:w="1171" w:type="pct"/>
            <w:vAlign w:val="center"/>
          </w:tcPr>
          <w:p w14:paraId="1779E31F" w14:textId="77777777" w:rsidR="00FE32C8" w:rsidRPr="00E80AAA" w:rsidRDefault="00FE32C8" w:rsidP="00E80AAA">
            <w:pPr>
              <w:widowControl w:val="0"/>
              <w:spacing w:after="0" w:line="240" w:lineRule="auto"/>
              <w:rPr>
                <w:sz w:val="18"/>
                <w:lang w:val="en-GB"/>
              </w:rPr>
            </w:pPr>
            <w:r w:rsidRPr="00E80AAA">
              <w:rPr>
                <w:sz w:val="18"/>
                <w:lang w:val="en-GB"/>
              </w:rPr>
              <w:t>Cuba</w:t>
            </w:r>
          </w:p>
        </w:tc>
        <w:tc>
          <w:tcPr>
            <w:tcW w:w="1184" w:type="pct"/>
            <w:vAlign w:val="center"/>
          </w:tcPr>
          <w:p w14:paraId="3A0ADFD9" w14:textId="77777777" w:rsidR="00FE32C8" w:rsidRPr="00E80AAA" w:rsidRDefault="00FE32C8" w:rsidP="00E80AAA">
            <w:pPr>
              <w:widowControl w:val="0"/>
              <w:spacing w:after="0" w:line="240" w:lineRule="auto"/>
              <w:rPr>
                <w:sz w:val="18"/>
                <w:lang w:val="en-GB"/>
              </w:rPr>
            </w:pPr>
            <w:r w:rsidRPr="00E80AAA">
              <w:rPr>
                <w:sz w:val="18"/>
                <w:lang w:val="en-GB"/>
              </w:rPr>
              <w:t>Dominican Republic</w:t>
            </w:r>
          </w:p>
        </w:tc>
        <w:tc>
          <w:tcPr>
            <w:tcW w:w="948" w:type="pct"/>
            <w:vAlign w:val="center"/>
          </w:tcPr>
          <w:p w14:paraId="4E3A5B87" w14:textId="77777777" w:rsidR="00FE32C8" w:rsidRPr="00E80AAA" w:rsidRDefault="00FE32C8" w:rsidP="00E80AAA">
            <w:pPr>
              <w:widowControl w:val="0"/>
              <w:spacing w:after="0" w:line="240" w:lineRule="auto"/>
              <w:rPr>
                <w:sz w:val="18"/>
                <w:lang w:val="en-GB"/>
              </w:rPr>
            </w:pPr>
            <w:r w:rsidRPr="00E80AAA">
              <w:rPr>
                <w:sz w:val="18"/>
                <w:lang w:val="en-GB"/>
              </w:rPr>
              <w:t>Ecuador</w:t>
            </w:r>
          </w:p>
        </w:tc>
        <w:tc>
          <w:tcPr>
            <w:tcW w:w="867" w:type="pct"/>
            <w:vAlign w:val="center"/>
          </w:tcPr>
          <w:p w14:paraId="2FD61FC3" w14:textId="77777777" w:rsidR="00FE32C8" w:rsidRPr="00E80AAA" w:rsidRDefault="00FE32C8" w:rsidP="00E80AAA">
            <w:pPr>
              <w:widowControl w:val="0"/>
              <w:spacing w:after="0" w:line="240" w:lineRule="auto"/>
              <w:rPr>
                <w:sz w:val="18"/>
                <w:lang w:val="en-GB"/>
              </w:rPr>
            </w:pPr>
            <w:r w:rsidRPr="00E80AAA">
              <w:rPr>
                <w:sz w:val="18"/>
                <w:lang w:val="en-GB"/>
              </w:rPr>
              <w:t>Egypt</w:t>
            </w:r>
          </w:p>
        </w:tc>
        <w:tc>
          <w:tcPr>
            <w:tcW w:w="829" w:type="pct"/>
            <w:vAlign w:val="center"/>
          </w:tcPr>
          <w:p w14:paraId="448D4DE3" w14:textId="77777777" w:rsidR="00FE32C8" w:rsidRPr="00E80AAA" w:rsidRDefault="00FE32C8" w:rsidP="00E80AAA">
            <w:pPr>
              <w:widowControl w:val="0"/>
              <w:spacing w:after="0" w:line="240" w:lineRule="auto"/>
              <w:rPr>
                <w:sz w:val="18"/>
                <w:lang w:val="en-GB"/>
              </w:rPr>
            </w:pPr>
            <w:r w:rsidRPr="00E80AAA">
              <w:rPr>
                <w:sz w:val="18"/>
                <w:lang w:val="en-GB"/>
              </w:rPr>
              <w:t>El Salvador</w:t>
            </w:r>
          </w:p>
        </w:tc>
      </w:tr>
      <w:tr w:rsidR="00FE32C8" w:rsidRPr="00E80AAA" w14:paraId="543B7E0B" w14:textId="77777777" w:rsidTr="00F8104D">
        <w:tc>
          <w:tcPr>
            <w:tcW w:w="1171" w:type="pct"/>
            <w:vAlign w:val="center"/>
          </w:tcPr>
          <w:p w14:paraId="074543DE" w14:textId="77777777" w:rsidR="00FE32C8" w:rsidRPr="00E80AAA" w:rsidRDefault="00FE32C8" w:rsidP="00E80AAA">
            <w:pPr>
              <w:widowControl w:val="0"/>
              <w:spacing w:after="0" w:line="240" w:lineRule="auto"/>
              <w:rPr>
                <w:sz w:val="18"/>
                <w:lang w:val="en-GB"/>
              </w:rPr>
            </w:pPr>
            <w:r w:rsidRPr="00E80AAA">
              <w:rPr>
                <w:sz w:val="18"/>
                <w:lang w:val="en-GB"/>
              </w:rPr>
              <w:t>Guatemala</w:t>
            </w:r>
          </w:p>
        </w:tc>
        <w:tc>
          <w:tcPr>
            <w:tcW w:w="1184" w:type="pct"/>
            <w:vAlign w:val="center"/>
          </w:tcPr>
          <w:p w14:paraId="074942FD" w14:textId="77777777" w:rsidR="00FE32C8" w:rsidRPr="00E80AAA" w:rsidRDefault="00FE32C8" w:rsidP="00E80AAA">
            <w:pPr>
              <w:widowControl w:val="0"/>
              <w:spacing w:after="0" w:line="240" w:lineRule="auto"/>
              <w:rPr>
                <w:sz w:val="18"/>
                <w:lang w:val="en-GB"/>
              </w:rPr>
            </w:pPr>
            <w:r w:rsidRPr="00E80AAA">
              <w:rPr>
                <w:sz w:val="18"/>
                <w:lang w:val="en-GB"/>
              </w:rPr>
              <w:t>Honduras</w:t>
            </w:r>
          </w:p>
        </w:tc>
        <w:tc>
          <w:tcPr>
            <w:tcW w:w="948" w:type="pct"/>
            <w:vAlign w:val="center"/>
          </w:tcPr>
          <w:p w14:paraId="209BA540" w14:textId="77777777" w:rsidR="00FE32C8" w:rsidRPr="00E80AAA" w:rsidRDefault="00FE32C8" w:rsidP="00E80AAA">
            <w:pPr>
              <w:widowControl w:val="0"/>
              <w:spacing w:after="0" w:line="240" w:lineRule="auto"/>
              <w:rPr>
                <w:sz w:val="18"/>
                <w:lang w:val="en-GB"/>
              </w:rPr>
            </w:pPr>
            <w:r w:rsidRPr="00E80AAA">
              <w:rPr>
                <w:sz w:val="18"/>
                <w:lang w:val="en-GB"/>
              </w:rPr>
              <w:t>India</w:t>
            </w:r>
          </w:p>
        </w:tc>
        <w:tc>
          <w:tcPr>
            <w:tcW w:w="867" w:type="pct"/>
            <w:vAlign w:val="center"/>
          </w:tcPr>
          <w:p w14:paraId="0E1F4AB7" w14:textId="77777777" w:rsidR="00FE32C8" w:rsidRPr="00E80AAA" w:rsidRDefault="00FE32C8" w:rsidP="00E80AAA">
            <w:pPr>
              <w:widowControl w:val="0"/>
              <w:spacing w:after="0" w:line="240" w:lineRule="auto"/>
              <w:rPr>
                <w:sz w:val="18"/>
                <w:lang w:val="en-GB"/>
              </w:rPr>
            </w:pPr>
            <w:r w:rsidRPr="00E80AAA">
              <w:rPr>
                <w:sz w:val="18"/>
                <w:lang w:val="en-GB"/>
              </w:rPr>
              <w:t>Indonesia</w:t>
            </w:r>
          </w:p>
        </w:tc>
        <w:tc>
          <w:tcPr>
            <w:tcW w:w="829" w:type="pct"/>
            <w:vAlign w:val="center"/>
          </w:tcPr>
          <w:p w14:paraId="61820660" w14:textId="77777777" w:rsidR="00FE32C8" w:rsidRPr="00E80AAA" w:rsidRDefault="00FE32C8" w:rsidP="00E80AAA">
            <w:pPr>
              <w:widowControl w:val="0"/>
              <w:spacing w:after="0" w:line="240" w:lineRule="auto"/>
              <w:rPr>
                <w:sz w:val="18"/>
                <w:lang w:val="en-GB"/>
              </w:rPr>
            </w:pPr>
            <w:r w:rsidRPr="00E80AAA">
              <w:rPr>
                <w:sz w:val="18"/>
                <w:lang w:val="en-GB"/>
              </w:rPr>
              <w:t>Jordan</w:t>
            </w:r>
          </w:p>
        </w:tc>
      </w:tr>
      <w:tr w:rsidR="00FE32C8" w:rsidRPr="00E80AAA" w14:paraId="7C51CBF7" w14:textId="77777777" w:rsidTr="00F8104D">
        <w:tc>
          <w:tcPr>
            <w:tcW w:w="1171" w:type="pct"/>
            <w:vAlign w:val="center"/>
          </w:tcPr>
          <w:p w14:paraId="095F5ECA" w14:textId="77777777" w:rsidR="00FE32C8" w:rsidRPr="00E80AAA" w:rsidRDefault="00FE32C8" w:rsidP="00E80AAA">
            <w:pPr>
              <w:widowControl w:val="0"/>
              <w:spacing w:after="0" w:line="240" w:lineRule="auto"/>
              <w:rPr>
                <w:sz w:val="18"/>
                <w:lang w:val="en-GB"/>
              </w:rPr>
            </w:pPr>
            <w:r w:rsidRPr="00E80AAA">
              <w:rPr>
                <w:sz w:val="18"/>
                <w:lang w:val="en-GB"/>
              </w:rPr>
              <w:t>Republic of Korea</w:t>
            </w:r>
          </w:p>
        </w:tc>
        <w:tc>
          <w:tcPr>
            <w:tcW w:w="1184" w:type="pct"/>
            <w:vAlign w:val="center"/>
          </w:tcPr>
          <w:p w14:paraId="2AC4295A" w14:textId="77777777" w:rsidR="00FE32C8" w:rsidRPr="00E80AAA" w:rsidRDefault="00FE32C8" w:rsidP="00E80AAA">
            <w:pPr>
              <w:widowControl w:val="0"/>
              <w:spacing w:after="0" w:line="240" w:lineRule="auto"/>
              <w:rPr>
                <w:sz w:val="18"/>
                <w:lang w:val="en-GB"/>
              </w:rPr>
            </w:pPr>
            <w:r w:rsidRPr="00E80AAA">
              <w:rPr>
                <w:sz w:val="18"/>
                <w:lang w:val="en-GB"/>
              </w:rPr>
              <w:t>Lao People's Democratic Republic</w:t>
            </w:r>
          </w:p>
        </w:tc>
        <w:tc>
          <w:tcPr>
            <w:tcW w:w="948" w:type="pct"/>
            <w:vAlign w:val="center"/>
          </w:tcPr>
          <w:p w14:paraId="42731D7D" w14:textId="77777777" w:rsidR="00FE32C8" w:rsidRPr="00E80AAA" w:rsidRDefault="00FE32C8" w:rsidP="00E80AAA">
            <w:pPr>
              <w:widowControl w:val="0"/>
              <w:spacing w:after="0" w:line="240" w:lineRule="auto"/>
              <w:rPr>
                <w:sz w:val="18"/>
                <w:lang w:val="en-GB"/>
              </w:rPr>
            </w:pPr>
            <w:r w:rsidRPr="00E80AAA">
              <w:rPr>
                <w:sz w:val="18"/>
                <w:lang w:val="en-GB"/>
              </w:rPr>
              <w:t>Lesotho</w:t>
            </w:r>
          </w:p>
        </w:tc>
        <w:tc>
          <w:tcPr>
            <w:tcW w:w="867" w:type="pct"/>
            <w:vAlign w:val="center"/>
          </w:tcPr>
          <w:p w14:paraId="553F1C4D" w14:textId="77777777" w:rsidR="00FE32C8" w:rsidRPr="00E80AAA" w:rsidRDefault="00FE32C8" w:rsidP="00E80AAA">
            <w:pPr>
              <w:widowControl w:val="0"/>
              <w:spacing w:after="0" w:line="240" w:lineRule="auto"/>
              <w:rPr>
                <w:sz w:val="18"/>
                <w:lang w:val="en-GB"/>
              </w:rPr>
            </w:pPr>
            <w:r w:rsidRPr="00E80AAA">
              <w:rPr>
                <w:sz w:val="18"/>
                <w:lang w:val="en-GB"/>
              </w:rPr>
              <w:t>Madagascar</w:t>
            </w:r>
          </w:p>
        </w:tc>
        <w:tc>
          <w:tcPr>
            <w:tcW w:w="829" w:type="pct"/>
            <w:vAlign w:val="center"/>
          </w:tcPr>
          <w:p w14:paraId="712D9248" w14:textId="77777777" w:rsidR="00FE32C8" w:rsidRPr="00E80AAA" w:rsidRDefault="00FE32C8" w:rsidP="00E80AAA">
            <w:pPr>
              <w:widowControl w:val="0"/>
              <w:spacing w:after="0" w:line="240" w:lineRule="auto"/>
              <w:rPr>
                <w:sz w:val="18"/>
                <w:lang w:val="en-GB"/>
              </w:rPr>
            </w:pPr>
            <w:r w:rsidRPr="00E80AAA">
              <w:rPr>
                <w:sz w:val="18"/>
                <w:lang w:val="en-GB"/>
              </w:rPr>
              <w:t>Malawi</w:t>
            </w:r>
          </w:p>
        </w:tc>
      </w:tr>
      <w:tr w:rsidR="00FE32C8" w:rsidRPr="00E80AAA" w14:paraId="661A8E34" w14:textId="77777777" w:rsidTr="00F8104D">
        <w:tc>
          <w:tcPr>
            <w:tcW w:w="1171" w:type="pct"/>
            <w:vAlign w:val="center"/>
          </w:tcPr>
          <w:p w14:paraId="690AADA7" w14:textId="77777777" w:rsidR="00FE32C8" w:rsidRPr="00E80AAA" w:rsidRDefault="00FE32C8" w:rsidP="00E80AAA">
            <w:pPr>
              <w:widowControl w:val="0"/>
              <w:spacing w:after="0" w:line="240" w:lineRule="auto"/>
              <w:rPr>
                <w:sz w:val="18"/>
                <w:lang w:val="en-GB"/>
              </w:rPr>
            </w:pPr>
            <w:r w:rsidRPr="00E80AAA">
              <w:rPr>
                <w:sz w:val="18"/>
                <w:lang w:val="en-GB"/>
              </w:rPr>
              <w:t>Malaysia</w:t>
            </w:r>
          </w:p>
        </w:tc>
        <w:tc>
          <w:tcPr>
            <w:tcW w:w="1184" w:type="pct"/>
            <w:vAlign w:val="center"/>
          </w:tcPr>
          <w:p w14:paraId="59B4C14C" w14:textId="77777777" w:rsidR="00FE32C8" w:rsidRPr="00E80AAA" w:rsidRDefault="00FE32C8" w:rsidP="00E80AAA">
            <w:pPr>
              <w:widowControl w:val="0"/>
              <w:spacing w:after="0" w:line="240" w:lineRule="auto"/>
              <w:rPr>
                <w:sz w:val="18"/>
                <w:lang w:val="en-GB"/>
              </w:rPr>
            </w:pPr>
            <w:r w:rsidRPr="00E80AAA">
              <w:rPr>
                <w:sz w:val="18"/>
                <w:lang w:val="en-GB"/>
              </w:rPr>
              <w:t>Mali</w:t>
            </w:r>
          </w:p>
        </w:tc>
        <w:tc>
          <w:tcPr>
            <w:tcW w:w="948" w:type="pct"/>
            <w:vAlign w:val="center"/>
          </w:tcPr>
          <w:p w14:paraId="06687474" w14:textId="77777777" w:rsidR="00FE32C8" w:rsidRPr="00E80AAA" w:rsidRDefault="00FE32C8" w:rsidP="00E80AAA">
            <w:pPr>
              <w:widowControl w:val="0"/>
              <w:spacing w:after="0" w:line="240" w:lineRule="auto"/>
              <w:rPr>
                <w:sz w:val="18"/>
                <w:lang w:val="en-GB"/>
              </w:rPr>
            </w:pPr>
            <w:r w:rsidRPr="00E80AAA">
              <w:rPr>
                <w:sz w:val="18"/>
                <w:lang w:val="en-GB"/>
              </w:rPr>
              <w:t>Mauritius</w:t>
            </w:r>
          </w:p>
        </w:tc>
        <w:tc>
          <w:tcPr>
            <w:tcW w:w="867" w:type="pct"/>
            <w:vAlign w:val="center"/>
          </w:tcPr>
          <w:p w14:paraId="70483292" w14:textId="77777777" w:rsidR="00FE32C8" w:rsidRPr="00E80AAA" w:rsidRDefault="00FE32C8" w:rsidP="00E80AAA">
            <w:pPr>
              <w:widowControl w:val="0"/>
              <w:spacing w:after="0" w:line="240" w:lineRule="auto"/>
              <w:rPr>
                <w:sz w:val="18"/>
                <w:lang w:val="en-GB"/>
              </w:rPr>
            </w:pPr>
            <w:r w:rsidRPr="00E80AAA">
              <w:rPr>
                <w:sz w:val="18"/>
                <w:lang w:val="en-GB"/>
              </w:rPr>
              <w:t>Mexico</w:t>
            </w:r>
          </w:p>
        </w:tc>
        <w:tc>
          <w:tcPr>
            <w:tcW w:w="829" w:type="pct"/>
            <w:vAlign w:val="center"/>
          </w:tcPr>
          <w:p w14:paraId="1CC9003B" w14:textId="77777777" w:rsidR="00FE32C8" w:rsidRPr="00E80AAA" w:rsidRDefault="00FE32C8" w:rsidP="00E80AAA">
            <w:pPr>
              <w:widowControl w:val="0"/>
              <w:spacing w:after="0" w:line="240" w:lineRule="auto"/>
              <w:rPr>
                <w:sz w:val="18"/>
                <w:lang w:val="en-GB"/>
              </w:rPr>
            </w:pPr>
            <w:r w:rsidRPr="00E80AAA">
              <w:rPr>
                <w:sz w:val="18"/>
                <w:lang w:val="en-GB"/>
              </w:rPr>
              <w:t>Mongolia</w:t>
            </w:r>
          </w:p>
        </w:tc>
      </w:tr>
      <w:tr w:rsidR="00FE32C8" w:rsidRPr="00E80AAA" w14:paraId="33E5EFF2" w14:textId="77777777" w:rsidTr="00F8104D">
        <w:tc>
          <w:tcPr>
            <w:tcW w:w="1171" w:type="pct"/>
            <w:vAlign w:val="center"/>
          </w:tcPr>
          <w:p w14:paraId="23CE58A1" w14:textId="77777777" w:rsidR="00FE32C8" w:rsidRPr="00E80AAA" w:rsidRDefault="00FE32C8" w:rsidP="00E80AAA">
            <w:pPr>
              <w:widowControl w:val="0"/>
              <w:spacing w:after="0" w:line="240" w:lineRule="auto"/>
              <w:rPr>
                <w:sz w:val="18"/>
                <w:lang w:val="en-GB"/>
              </w:rPr>
            </w:pPr>
            <w:r w:rsidRPr="00E80AAA">
              <w:rPr>
                <w:sz w:val="18"/>
                <w:lang w:val="en-GB"/>
              </w:rPr>
              <w:t>Morocco</w:t>
            </w:r>
          </w:p>
        </w:tc>
        <w:tc>
          <w:tcPr>
            <w:tcW w:w="1184" w:type="pct"/>
            <w:vAlign w:val="center"/>
          </w:tcPr>
          <w:p w14:paraId="3E2AD601" w14:textId="77777777" w:rsidR="00FE32C8" w:rsidRPr="00E80AAA" w:rsidRDefault="00FE32C8" w:rsidP="00E80AAA">
            <w:pPr>
              <w:widowControl w:val="0"/>
              <w:spacing w:after="0" w:line="240" w:lineRule="auto"/>
              <w:rPr>
                <w:sz w:val="18"/>
                <w:lang w:val="en-GB"/>
              </w:rPr>
            </w:pPr>
            <w:r w:rsidRPr="00E80AAA">
              <w:rPr>
                <w:sz w:val="18"/>
                <w:lang w:val="en-GB"/>
              </w:rPr>
              <w:t>Namibia</w:t>
            </w:r>
          </w:p>
        </w:tc>
        <w:tc>
          <w:tcPr>
            <w:tcW w:w="948" w:type="pct"/>
            <w:vAlign w:val="center"/>
          </w:tcPr>
          <w:p w14:paraId="0C60C313" w14:textId="77777777" w:rsidR="00FE32C8" w:rsidRPr="00E80AAA" w:rsidRDefault="00FE32C8" w:rsidP="00E80AAA">
            <w:pPr>
              <w:widowControl w:val="0"/>
              <w:spacing w:after="0" w:line="240" w:lineRule="auto"/>
              <w:rPr>
                <w:sz w:val="18"/>
                <w:lang w:val="en-GB"/>
              </w:rPr>
            </w:pPr>
            <w:r w:rsidRPr="00E80AAA">
              <w:rPr>
                <w:sz w:val="18"/>
                <w:lang w:val="en-GB"/>
              </w:rPr>
              <w:t>Nepal</w:t>
            </w:r>
          </w:p>
        </w:tc>
        <w:tc>
          <w:tcPr>
            <w:tcW w:w="867" w:type="pct"/>
            <w:vAlign w:val="center"/>
          </w:tcPr>
          <w:p w14:paraId="77287A27" w14:textId="77777777" w:rsidR="00FE32C8" w:rsidRPr="00E80AAA" w:rsidRDefault="00FE32C8" w:rsidP="00E80AAA">
            <w:pPr>
              <w:widowControl w:val="0"/>
              <w:spacing w:after="0" w:line="240" w:lineRule="auto"/>
              <w:rPr>
                <w:sz w:val="18"/>
                <w:lang w:val="en-GB"/>
              </w:rPr>
            </w:pPr>
            <w:r w:rsidRPr="00E80AAA">
              <w:rPr>
                <w:sz w:val="18"/>
                <w:lang w:val="en-GB"/>
              </w:rPr>
              <w:t>Oman</w:t>
            </w:r>
          </w:p>
        </w:tc>
        <w:tc>
          <w:tcPr>
            <w:tcW w:w="829" w:type="pct"/>
            <w:vAlign w:val="center"/>
          </w:tcPr>
          <w:p w14:paraId="66E32A98" w14:textId="77777777" w:rsidR="00FE32C8" w:rsidRPr="00E80AAA" w:rsidRDefault="00FE32C8" w:rsidP="00E80AAA">
            <w:pPr>
              <w:widowControl w:val="0"/>
              <w:spacing w:after="0" w:line="240" w:lineRule="auto"/>
              <w:rPr>
                <w:sz w:val="18"/>
                <w:lang w:val="en-GB"/>
              </w:rPr>
            </w:pPr>
            <w:r w:rsidRPr="00E80AAA">
              <w:rPr>
                <w:sz w:val="18"/>
                <w:lang w:val="en-GB"/>
              </w:rPr>
              <w:t>Panama</w:t>
            </w:r>
          </w:p>
        </w:tc>
      </w:tr>
      <w:tr w:rsidR="00FE32C8" w:rsidRPr="00E80AAA" w14:paraId="227E7F47" w14:textId="77777777" w:rsidTr="00F8104D">
        <w:tc>
          <w:tcPr>
            <w:tcW w:w="1171" w:type="pct"/>
            <w:vAlign w:val="center"/>
          </w:tcPr>
          <w:p w14:paraId="1732F1E1" w14:textId="77777777" w:rsidR="00FE32C8" w:rsidRPr="00E80AAA" w:rsidRDefault="00FE32C8" w:rsidP="00E80AAA">
            <w:pPr>
              <w:widowControl w:val="0"/>
              <w:spacing w:after="0" w:line="240" w:lineRule="auto"/>
              <w:rPr>
                <w:sz w:val="18"/>
                <w:lang w:val="en-GB"/>
              </w:rPr>
            </w:pPr>
            <w:r w:rsidRPr="00E80AAA">
              <w:rPr>
                <w:sz w:val="18"/>
                <w:lang w:val="en-GB"/>
              </w:rPr>
              <w:t>Paraguay</w:t>
            </w:r>
          </w:p>
        </w:tc>
        <w:tc>
          <w:tcPr>
            <w:tcW w:w="1184" w:type="pct"/>
            <w:vAlign w:val="center"/>
          </w:tcPr>
          <w:p w14:paraId="18760BD9" w14:textId="77777777" w:rsidR="00FE32C8" w:rsidRPr="00E80AAA" w:rsidRDefault="00FE32C8" w:rsidP="00E80AAA">
            <w:pPr>
              <w:widowControl w:val="0"/>
              <w:spacing w:after="0" w:line="240" w:lineRule="auto"/>
              <w:rPr>
                <w:sz w:val="18"/>
                <w:lang w:val="en-GB"/>
              </w:rPr>
            </w:pPr>
            <w:r w:rsidRPr="00E80AAA">
              <w:rPr>
                <w:sz w:val="18"/>
                <w:lang w:val="en-GB"/>
              </w:rPr>
              <w:t>Peru</w:t>
            </w:r>
          </w:p>
        </w:tc>
        <w:tc>
          <w:tcPr>
            <w:tcW w:w="948" w:type="pct"/>
            <w:vAlign w:val="center"/>
          </w:tcPr>
          <w:p w14:paraId="03B145C6" w14:textId="6A7A7389" w:rsidR="00FE32C8" w:rsidRPr="00E80AAA" w:rsidRDefault="00FE32C8" w:rsidP="00E80AAA">
            <w:pPr>
              <w:widowControl w:val="0"/>
              <w:spacing w:after="0" w:line="240" w:lineRule="auto"/>
              <w:rPr>
                <w:sz w:val="18"/>
                <w:lang w:val="en-GB"/>
              </w:rPr>
            </w:pPr>
            <w:r w:rsidRPr="00E80AAA">
              <w:rPr>
                <w:sz w:val="18"/>
                <w:lang w:val="en-GB"/>
              </w:rPr>
              <w:t>Philippines</w:t>
            </w:r>
          </w:p>
        </w:tc>
        <w:tc>
          <w:tcPr>
            <w:tcW w:w="867" w:type="pct"/>
            <w:vAlign w:val="center"/>
          </w:tcPr>
          <w:p w14:paraId="42CE6A69" w14:textId="77777777" w:rsidR="00FE32C8" w:rsidRPr="00E80AAA" w:rsidRDefault="00FE32C8" w:rsidP="00E80AAA">
            <w:pPr>
              <w:widowControl w:val="0"/>
              <w:spacing w:after="0" w:line="240" w:lineRule="auto"/>
              <w:rPr>
                <w:sz w:val="18"/>
                <w:lang w:val="en-GB"/>
              </w:rPr>
            </w:pPr>
            <w:r w:rsidRPr="00E80AAA">
              <w:rPr>
                <w:sz w:val="18"/>
                <w:lang w:val="en-GB"/>
              </w:rPr>
              <w:t>Qatar</w:t>
            </w:r>
          </w:p>
        </w:tc>
        <w:tc>
          <w:tcPr>
            <w:tcW w:w="829" w:type="pct"/>
            <w:vAlign w:val="center"/>
          </w:tcPr>
          <w:p w14:paraId="03D521CE" w14:textId="77777777" w:rsidR="00FE32C8" w:rsidRPr="00E80AAA" w:rsidRDefault="00FE32C8" w:rsidP="00E80AAA">
            <w:pPr>
              <w:widowControl w:val="0"/>
              <w:spacing w:after="0" w:line="240" w:lineRule="auto"/>
              <w:rPr>
                <w:sz w:val="18"/>
                <w:lang w:val="en-GB"/>
              </w:rPr>
            </w:pPr>
            <w:r w:rsidRPr="00E80AAA">
              <w:rPr>
                <w:sz w:val="18"/>
                <w:lang w:val="en-GB"/>
              </w:rPr>
              <w:t>Senegal</w:t>
            </w:r>
          </w:p>
        </w:tc>
      </w:tr>
      <w:tr w:rsidR="00FE32C8" w:rsidRPr="00E80AAA" w14:paraId="2FDA45E0" w14:textId="77777777" w:rsidTr="00CF04F2">
        <w:tc>
          <w:tcPr>
            <w:tcW w:w="1171" w:type="pct"/>
            <w:tcBorders>
              <w:bottom w:val="single" w:sz="4" w:space="0" w:color="auto"/>
            </w:tcBorders>
            <w:vAlign w:val="center"/>
          </w:tcPr>
          <w:p w14:paraId="69E59D68" w14:textId="77777777" w:rsidR="00FE32C8" w:rsidRPr="00E80AAA" w:rsidRDefault="00FE32C8" w:rsidP="00E80AAA">
            <w:pPr>
              <w:widowControl w:val="0"/>
              <w:spacing w:after="0" w:line="240" w:lineRule="auto"/>
              <w:rPr>
                <w:sz w:val="18"/>
                <w:lang w:val="en-GB"/>
              </w:rPr>
            </w:pPr>
            <w:r w:rsidRPr="00E80AAA">
              <w:rPr>
                <w:sz w:val="18"/>
                <w:lang w:val="en-GB"/>
              </w:rPr>
              <w:t>Seychelles</w:t>
            </w:r>
          </w:p>
        </w:tc>
        <w:tc>
          <w:tcPr>
            <w:tcW w:w="1184" w:type="pct"/>
            <w:tcBorders>
              <w:bottom w:val="single" w:sz="4" w:space="0" w:color="auto"/>
            </w:tcBorders>
            <w:vAlign w:val="center"/>
          </w:tcPr>
          <w:p w14:paraId="28D49E16" w14:textId="77777777" w:rsidR="00FE32C8" w:rsidRPr="00E80AAA" w:rsidRDefault="00FE32C8" w:rsidP="00E80AAA">
            <w:pPr>
              <w:widowControl w:val="0"/>
              <w:spacing w:after="0" w:line="240" w:lineRule="auto"/>
              <w:rPr>
                <w:sz w:val="18"/>
                <w:lang w:val="en-GB"/>
              </w:rPr>
            </w:pPr>
            <w:r w:rsidRPr="00E80AAA">
              <w:rPr>
                <w:sz w:val="18"/>
                <w:lang w:val="en-GB"/>
              </w:rPr>
              <w:t>Sri Lanka</w:t>
            </w:r>
          </w:p>
        </w:tc>
        <w:tc>
          <w:tcPr>
            <w:tcW w:w="948" w:type="pct"/>
            <w:tcBorders>
              <w:bottom w:val="single" w:sz="4" w:space="0" w:color="auto"/>
            </w:tcBorders>
            <w:vAlign w:val="center"/>
          </w:tcPr>
          <w:p w14:paraId="7FC17CC4" w14:textId="77777777" w:rsidR="00FE32C8" w:rsidRPr="00E80AAA" w:rsidRDefault="00FE32C8" w:rsidP="00E80AAA">
            <w:pPr>
              <w:widowControl w:val="0"/>
              <w:spacing w:after="0" w:line="240" w:lineRule="auto"/>
              <w:rPr>
                <w:sz w:val="18"/>
                <w:lang w:val="en-GB"/>
              </w:rPr>
            </w:pPr>
            <w:r w:rsidRPr="00E80AAA">
              <w:rPr>
                <w:sz w:val="18"/>
                <w:lang w:val="en-GB"/>
              </w:rPr>
              <w:t>Thailand</w:t>
            </w:r>
          </w:p>
        </w:tc>
        <w:tc>
          <w:tcPr>
            <w:tcW w:w="867" w:type="pct"/>
            <w:tcBorders>
              <w:bottom w:val="single" w:sz="4" w:space="0" w:color="auto"/>
            </w:tcBorders>
            <w:vAlign w:val="center"/>
          </w:tcPr>
          <w:p w14:paraId="3CDC760C" w14:textId="77777777" w:rsidR="00FE32C8" w:rsidRPr="00E80AAA" w:rsidRDefault="00FE32C8" w:rsidP="00E80AAA">
            <w:pPr>
              <w:widowControl w:val="0"/>
              <w:spacing w:after="0" w:line="240" w:lineRule="auto"/>
              <w:rPr>
                <w:sz w:val="18"/>
                <w:lang w:val="en-GB"/>
              </w:rPr>
            </w:pPr>
            <w:r w:rsidRPr="00E80AAA">
              <w:rPr>
                <w:sz w:val="18"/>
                <w:lang w:val="en-GB"/>
              </w:rPr>
              <w:t>Togo</w:t>
            </w:r>
          </w:p>
        </w:tc>
        <w:tc>
          <w:tcPr>
            <w:tcW w:w="829" w:type="pct"/>
            <w:tcBorders>
              <w:bottom w:val="single" w:sz="4" w:space="0" w:color="auto"/>
            </w:tcBorders>
            <w:vAlign w:val="center"/>
          </w:tcPr>
          <w:p w14:paraId="70A97429" w14:textId="77777777" w:rsidR="00FE32C8" w:rsidRPr="00E80AAA" w:rsidRDefault="00FE32C8" w:rsidP="00E80AAA">
            <w:pPr>
              <w:widowControl w:val="0"/>
              <w:spacing w:after="0" w:line="240" w:lineRule="auto"/>
              <w:rPr>
                <w:sz w:val="18"/>
                <w:lang w:val="en-GB"/>
              </w:rPr>
            </w:pPr>
            <w:r w:rsidRPr="00E80AAA">
              <w:rPr>
                <w:sz w:val="18"/>
                <w:lang w:val="en-GB"/>
              </w:rPr>
              <w:t>Tunisia</w:t>
            </w:r>
          </w:p>
        </w:tc>
      </w:tr>
      <w:tr w:rsidR="00FE32C8" w:rsidRPr="00E80AAA" w14:paraId="6D09351E" w14:textId="77777777" w:rsidTr="00CF04F2">
        <w:tc>
          <w:tcPr>
            <w:tcW w:w="1171" w:type="pct"/>
            <w:tcBorders>
              <w:bottom w:val="double" w:sz="4" w:space="0" w:color="auto"/>
            </w:tcBorders>
            <w:vAlign w:val="center"/>
          </w:tcPr>
          <w:p w14:paraId="63B77B50" w14:textId="77777777" w:rsidR="00FE32C8" w:rsidRPr="00E80AAA" w:rsidRDefault="00FE32C8" w:rsidP="00E80AAA">
            <w:pPr>
              <w:widowControl w:val="0"/>
              <w:spacing w:after="0" w:line="240" w:lineRule="auto"/>
              <w:rPr>
                <w:sz w:val="18"/>
                <w:lang w:val="en-GB"/>
              </w:rPr>
            </w:pPr>
            <w:r w:rsidRPr="00E80AAA">
              <w:rPr>
                <w:sz w:val="18"/>
                <w:lang w:val="en-GB"/>
              </w:rPr>
              <w:t>Turkey</w:t>
            </w:r>
          </w:p>
        </w:tc>
        <w:tc>
          <w:tcPr>
            <w:tcW w:w="1184" w:type="pct"/>
            <w:tcBorders>
              <w:bottom w:val="double" w:sz="4" w:space="0" w:color="auto"/>
            </w:tcBorders>
            <w:vAlign w:val="center"/>
          </w:tcPr>
          <w:p w14:paraId="11029D35" w14:textId="77777777" w:rsidR="00FE32C8" w:rsidRPr="00E80AAA" w:rsidRDefault="00FE32C8" w:rsidP="00E80AAA">
            <w:pPr>
              <w:widowControl w:val="0"/>
              <w:spacing w:after="0" w:line="240" w:lineRule="auto"/>
              <w:rPr>
                <w:sz w:val="18"/>
                <w:lang w:val="en-GB"/>
              </w:rPr>
            </w:pPr>
            <w:r w:rsidRPr="00E80AAA">
              <w:rPr>
                <w:sz w:val="18"/>
                <w:lang w:val="en-GB"/>
              </w:rPr>
              <w:t>United Arab Emirates</w:t>
            </w:r>
          </w:p>
        </w:tc>
        <w:tc>
          <w:tcPr>
            <w:tcW w:w="948" w:type="pct"/>
            <w:tcBorders>
              <w:bottom w:val="double" w:sz="4" w:space="0" w:color="auto"/>
            </w:tcBorders>
            <w:vAlign w:val="center"/>
          </w:tcPr>
          <w:p w14:paraId="2C55B85F" w14:textId="77777777" w:rsidR="00FE32C8" w:rsidRPr="00E80AAA" w:rsidRDefault="00FE32C8" w:rsidP="00E80AAA">
            <w:pPr>
              <w:widowControl w:val="0"/>
              <w:spacing w:after="0" w:line="240" w:lineRule="auto"/>
              <w:rPr>
                <w:sz w:val="18"/>
                <w:lang w:val="en-GB"/>
              </w:rPr>
            </w:pPr>
            <w:r w:rsidRPr="00E80AAA">
              <w:rPr>
                <w:sz w:val="18"/>
                <w:lang w:val="en-GB"/>
              </w:rPr>
              <w:t>Uruguay</w:t>
            </w:r>
          </w:p>
        </w:tc>
        <w:tc>
          <w:tcPr>
            <w:tcW w:w="867" w:type="pct"/>
            <w:tcBorders>
              <w:bottom w:val="double" w:sz="4" w:space="0" w:color="auto"/>
            </w:tcBorders>
            <w:vAlign w:val="center"/>
          </w:tcPr>
          <w:p w14:paraId="6F8EDE3D" w14:textId="77777777" w:rsidR="00FE32C8" w:rsidRPr="00E80AAA" w:rsidRDefault="00FE32C8" w:rsidP="00E80AAA">
            <w:pPr>
              <w:widowControl w:val="0"/>
              <w:spacing w:after="0" w:line="240" w:lineRule="auto"/>
              <w:rPr>
                <w:sz w:val="18"/>
                <w:lang w:val="en-GB"/>
              </w:rPr>
            </w:pPr>
            <w:r w:rsidRPr="00E80AAA">
              <w:rPr>
                <w:sz w:val="18"/>
                <w:lang w:val="en-GB"/>
              </w:rPr>
              <w:t>Viet Nam</w:t>
            </w:r>
          </w:p>
        </w:tc>
        <w:tc>
          <w:tcPr>
            <w:tcW w:w="829" w:type="pct"/>
            <w:tcBorders>
              <w:bottom w:val="double" w:sz="4" w:space="0" w:color="auto"/>
            </w:tcBorders>
            <w:vAlign w:val="center"/>
          </w:tcPr>
          <w:p w14:paraId="56F0C02C" w14:textId="77777777" w:rsidR="00FE32C8" w:rsidRPr="00E80AAA" w:rsidRDefault="00FE32C8" w:rsidP="00E80AAA">
            <w:pPr>
              <w:widowControl w:val="0"/>
              <w:spacing w:after="0" w:line="240" w:lineRule="auto"/>
              <w:rPr>
                <w:sz w:val="18"/>
                <w:lang w:val="en-GB"/>
              </w:rPr>
            </w:pPr>
            <w:r w:rsidRPr="00E80AAA">
              <w:rPr>
                <w:sz w:val="18"/>
                <w:lang w:val="en-GB"/>
              </w:rPr>
              <w:t>Zambia</w:t>
            </w:r>
          </w:p>
        </w:tc>
      </w:tr>
    </w:tbl>
    <w:p w14:paraId="7B5CA5E1" w14:textId="3AF82DD7" w:rsidR="00FE32C8" w:rsidRPr="00E80AAA" w:rsidRDefault="00FE32C8" w:rsidP="00E80AAA">
      <w:pPr>
        <w:pStyle w:val="BodyText"/>
        <w:spacing w:before="240" w:line="240" w:lineRule="auto"/>
        <w:ind w:left="0"/>
        <w:jc w:val="both"/>
        <w:rPr>
          <w:rFonts w:ascii="Verdana" w:hAnsi="Verdana"/>
          <w:sz w:val="18"/>
          <w:szCs w:val="18"/>
          <w:lang w:val="en-GB"/>
        </w:rPr>
      </w:pPr>
      <w:r w:rsidRPr="00E80AAA">
        <w:rPr>
          <w:rFonts w:ascii="Verdana" w:hAnsi="Verdana"/>
          <w:sz w:val="18"/>
          <w:szCs w:val="18"/>
          <w:lang w:val="en-GB"/>
        </w:rPr>
        <w:t>Expenditure under Article 6.2 is heavily concentrated in a few Members. For instance, in 2016</w:t>
      </w:r>
      <w:r w:rsidRPr="00E80AAA">
        <w:rPr>
          <w:rFonts w:ascii="Verdana" w:hAnsi="Verdana"/>
          <w:sz w:val="18"/>
          <w:szCs w:val="18"/>
          <w:vertAlign w:val="superscript"/>
        </w:rPr>
        <w:footnoteReference w:id="9"/>
      </w:r>
      <w:r w:rsidRPr="00E80AAA">
        <w:rPr>
          <w:rFonts w:ascii="Verdana" w:hAnsi="Verdana"/>
          <w:sz w:val="18"/>
          <w:szCs w:val="18"/>
          <w:lang w:val="en-GB"/>
        </w:rPr>
        <w:t xml:space="preserve">, five Members accounted for 94% of the domestic support notified under Article 6.2 (see Graph 1). According to </w:t>
      </w:r>
      <w:r w:rsidR="004578FB">
        <w:rPr>
          <w:rFonts w:ascii="Verdana" w:hAnsi="Verdana"/>
          <w:sz w:val="18"/>
          <w:szCs w:val="18"/>
          <w:lang w:val="en-GB"/>
        </w:rPr>
        <w:t>Canada'</w:t>
      </w:r>
      <w:r w:rsidRPr="00E80AAA">
        <w:rPr>
          <w:rFonts w:ascii="Verdana" w:hAnsi="Verdana"/>
          <w:sz w:val="18"/>
          <w:szCs w:val="18"/>
          <w:lang w:val="en-GB"/>
        </w:rPr>
        <w:t>s Analytical Tool on Domestic Support, one major Member (A) accounted for 73.9% in 2016, while the other top four Members accounted for 8.9% (B), 5.9% (C), 2.7% (D), and 2.4% (E).</w:t>
      </w:r>
    </w:p>
    <w:p w14:paraId="43F3B920" w14:textId="715FDA02" w:rsidR="00FE32C8" w:rsidRPr="00E80AAA" w:rsidRDefault="00FE32C8" w:rsidP="00CA7710">
      <w:pPr>
        <w:pStyle w:val="Caption"/>
        <w:spacing w:before="0" w:line="240" w:lineRule="auto"/>
        <w:rPr>
          <w:rFonts w:ascii="Verdana" w:hAnsi="Verdana"/>
          <w:sz w:val="18"/>
          <w:szCs w:val="18"/>
          <w:lang w:val="en-GB"/>
        </w:rPr>
      </w:pPr>
      <w:r w:rsidRPr="00E80AAA">
        <w:rPr>
          <w:rFonts w:ascii="Verdana" w:hAnsi="Verdana"/>
          <w:sz w:val="18"/>
          <w:szCs w:val="18"/>
          <w:lang w:val="en-GB"/>
        </w:rPr>
        <w:t>Graph 1: D</w:t>
      </w:r>
      <w:r w:rsidR="00E80AAA">
        <w:rPr>
          <w:rFonts w:ascii="Verdana" w:hAnsi="Verdana"/>
          <w:sz w:val="18"/>
          <w:szCs w:val="18"/>
          <w:lang w:val="en-GB"/>
        </w:rPr>
        <w:t>omestic support expenditures under Article 6.2 in 2016</w:t>
      </w:r>
    </w:p>
    <w:p w14:paraId="75FD5585" w14:textId="113934FC" w:rsidR="00DA6066" w:rsidRDefault="00DA6066" w:rsidP="00DA6066">
      <w:pPr>
        <w:rPr>
          <w:lang w:val="en-GB"/>
        </w:rPr>
      </w:pPr>
      <w:r w:rsidRPr="00DA6066">
        <w:rPr>
          <w:noProof/>
        </w:rPr>
        <w:drawing>
          <wp:inline distT="0" distB="0" distL="0" distR="0" wp14:anchorId="5DB61A31" wp14:editId="48010129">
            <wp:extent cx="4251325" cy="2481542"/>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5626" cy="2501564"/>
                    </a:xfrm>
                    <a:prstGeom prst="rect">
                      <a:avLst/>
                    </a:prstGeom>
                    <a:noFill/>
                    <a:ln>
                      <a:noFill/>
                    </a:ln>
                  </pic:spPr>
                </pic:pic>
              </a:graphicData>
            </a:graphic>
          </wp:inline>
        </w:drawing>
      </w:r>
    </w:p>
    <w:p w14:paraId="54A83FA0" w14:textId="449D926A" w:rsidR="00FE32C8" w:rsidRPr="00E80AAA" w:rsidRDefault="00FE32C8" w:rsidP="00E80AAA">
      <w:pPr>
        <w:pStyle w:val="BodyText"/>
        <w:spacing w:before="240"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lastRenderedPageBreak/>
        <w:t>Article 6.2 support is also the main support category notified by several WTO Members. For example, in 2016 Article 6.2 expenditure represented the only expenditure under Article 6 notified by twelve</w:t>
      </w:r>
      <w:r w:rsidRPr="00E80AAA">
        <w:rPr>
          <w:rStyle w:val="FootnoteReference"/>
          <w:rFonts w:ascii="Verdana" w:hAnsi="Verdana" w:cs="Times New Roman"/>
          <w:sz w:val="18"/>
          <w:szCs w:val="18"/>
          <w:lang w:val="en-GB"/>
        </w:rPr>
        <w:footnoteReference w:id="10"/>
      </w:r>
      <w:r w:rsidRPr="00E80AAA">
        <w:rPr>
          <w:rFonts w:ascii="Verdana" w:hAnsi="Verdana" w:cs="Times New Roman"/>
          <w:sz w:val="18"/>
          <w:szCs w:val="18"/>
          <w:lang w:val="en-GB"/>
        </w:rPr>
        <w:t xml:space="preserve"> developing Members and the most important type of support for some major developing Members. Article 6.2 accounted for 80.3% of the biggest user</w:t>
      </w:r>
      <w:r w:rsidR="004578FB">
        <w:rPr>
          <w:rFonts w:ascii="Verdana" w:hAnsi="Verdana" w:cs="Times New Roman"/>
          <w:sz w:val="18"/>
          <w:szCs w:val="18"/>
          <w:lang w:val="en-GB"/>
        </w:rPr>
        <w:t>'</w:t>
      </w:r>
      <w:r w:rsidRPr="00E80AAA">
        <w:rPr>
          <w:rFonts w:ascii="Verdana" w:hAnsi="Verdana" w:cs="Times New Roman"/>
          <w:sz w:val="18"/>
          <w:szCs w:val="18"/>
          <w:lang w:val="en-GB"/>
        </w:rPr>
        <w:t>s Article 6 expenditure on domestic support (A), while for other major users it accounted for 94.6% (B), 93.3% (C), 29.1% (D), and 25.5% (E) (see Graph 2 and Annex 1).</w:t>
      </w:r>
    </w:p>
    <w:p w14:paraId="1D7B5F2C" w14:textId="23E58974" w:rsidR="00FE32C8" w:rsidRPr="00E80AAA" w:rsidRDefault="00FE32C8" w:rsidP="00E80AAA">
      <w:pPr>
        <w:pStyle w:val="Caption"/>
        <w:spacing w:before="0" w:line="240" w:lineRule="auto"/>
        <w:rPr>
          <w:rFonts w:ascii="Verdana" w:hAnsi="Verdana"/>
          <w:sz w:val="18"/>
          <w:szCs w:val="18"/>
          <w:lang w:val="en-GB"/>
        </w:rPr>
      </w:pPr>
      <w:r w:rsidRPr="00E80AAA">
        <w:rPr>
          <w:rFonts w:ascii="Verdana" w:hAnsi="Verdana"/>
          <w:sz w:val="18"/>
          <w:szCs w:val="18"/>
          <w:lang w:val="en-GB"/>
        </w:rPr>
        <w:t>Graph 2: T</w:t>
      </w:r>
      <w:r w:rsidR="00A16C5B" w:rsidRPr="00E80AAA">
        <w:rPr>
          <w:rFonts w:ascii="Verdana" w:hAnsi="Verdana"/>
          <w:sz w:val="18"/>
          <w:szCs w:val="18"/>
          <w:lang w:val="en-GB"/>
        </w:rPr>
        <w:t xml:space="preserve">op five users of Article 6.2 support as a share of trade-distorting domestic support </w:t>
      </w:r>
      <w:r w:rsidRPr="00E80AAA">
        <w:rPr>
          <w:rFonts w:ascii="Verdana" w:hAnsi="Verdana"/>
          <w:sz w:val="18"/>
          <w:szCs w:val="18"/>
          <w:lang w:val="en-GB"/>
        </w:rPr>
        <w:t xml:space="preserve">(TDDS) </w:t>
      </w:r>
      <w:r w:rsidR="00A16C5B" w:rsidRPr="00E80AAA">
        <w:rPr>
          <w:rFonts w:ascii="Verdana" w:hAnsi="Verdana"/>
          <w:sz w:val="18"/>
          <w:szCs w:val="18"/>
          <w:lang w:val="en-GB"/>
        </w:rPr>
        <w:t xml:space="preserve">in </w:t>
      </w:r>
      <w:r w:rsidRPr="00E80AAA">
        <w:rPr>
          <w:rFonts w:ascii="Verdana" w:hAnsi="Verdana"/>
          <w:sz w:val="18"/>
          <w:szCs w:val="18"/>
          <w:lang w:val="en-GB"/>
        </w:rPr>
        <w:t>2016</w:t>
      </w:r>
    </w:p>
    <w:p w14:paraId="2D119EF9" w14:textId="0F883DE2" w:rsidR="00DA6066" w:rsidRPr="00E80AAA" w:rsidRDefault="00DA6066" w:rsidP="00E80AAA">
      <w:pPr>
        <w:rPr>
          <w:rFonts w:ascii="Verdana" w:hAnsi="Verdana"/>
          <w:sz w:val="18"/>
          <w:szCs w:val="18"/>
          <w:lang w:val="en-GB" w:eastAsia="en-GB"/>
        </w:rPr>
      </w:pPr>
      <w:r w:rsidRPr="00E80AAA">
        <w:rPr>
          <w:rFonts w:ascii="Verdana" w:hAnsi="Verdana"/>
          <w:noProof/>
          <w:sz w:val="18"/>
          <w:szCs w:val="18"/>
        </w:rPr>
        <w:drawing>
          <wp:inline distT="0" distB="0" distL="0" distR="0" wp14:anchorId="32DEBB84" wp14:editId="63676C95">
            <wp:extent cx="4079231" cy="2315239"/>
            <wp:effectExtent l="0" t="0" r="0" b="889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1045" cy="2316269"/>
                    </a:xfrm>
                    <a:prstGeom prst="rect">
                      <a:avLst/>
                    </a:prstGeom>
                    <a:noFill/>
                    <a:ln>
                      <a:noFill/>
                    </a:ln>
                  </pic:spPr>
                </pic:pic>
              </a:graphicData>
            </a:graphic>
          </wp:inline>
        </w:drawing>
      </w:r>
    </w:p>
    <w:p w14:paraId="05BEB31D" w14:textId="539C96D9"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There is no uniform use among developing countries of the most different regions. Africa, for example, has 46 Members and represents 37% of all developing Members, but only two African countries</w:t>
      </w:r>
      <w:r w:rsidRPr="00E80AAA">
        <w:rPr>
          <w:rStyle w:val="FootnoteReference"/>
          <w:rFonts w:ascii="Verdana" w:hAnsi="Verdana" w:cs="Times New Roman"/>
          <w:sz w:val="18"/>
          <w:szCs w:val="18"/>
          <w:lang w:val="en-GB"/>
        </w:rPr>
        <w:footnoteReference w:id="11"/>
      </w:r>
      <w:r w:rsidRPr="00E80AAA">
        <w:rPr>
          <w:rFonts w:ascii="Verdana" w:hAnsi="Verdana" w:cs="Times New Roman"/>
          <w:sz w:val="18"/>
          <w:szCs w:val="18"/>
          <w:lang w:val="en-GB"/>
        </w:rPr>
        <w:t xml:space="preserve"> appeared among the top 10 greatest users of this box in any year during the past decade.</w:t>
      </w:r>
    </w:p>
    <w:p w14:paraId="7FEA1242" w14:textId="095062AA"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Despite the absence of uniform usage among Members, a regional analysis demonstrates that Asia is at the forefront of expenditures, being responsible for at least 85% of expenditures in every year since 2001, except for 2002 and 2019 (see Graph 3). Expenditures in Latin America and the Caribbean as well as in Africa and the Middle East have remained relatively low throughout the entire period.</w:t>
      </w:r>
    </w:p>
    <w:p w14:paraId="6317D0A1" w14:textId="36BD9700" w:rsidR="00FE32C8" w:rsidRPr="00E80AAA" w:rsidRDefault="00FE32C8" w:rsidP="00E80AAA">
      <w:pPr>
        <w:pStyle w:val="Caption"/>
        <w:keepNext w:val="0"/>
        <w:spacing w:before="0" w:line="240" w:lineRule="auto"/>
        <w:rPr>
          <w:rFonts w:ascii="Verdana" w:hAnsi="Verdana"/>
          <w:sz w:val="18"/>
          <w:szCs w:val="18"/>
          <w:lang w:val="en-GB"/>
        </w:rPr>
      </w:pPr>
      <w:r w:rsidRPr="00E80AAA">
        <w:rPr>
          <w:rFonts w:ascii="Verdana" w:hAnsi="Verdana"/>
          <w:sz w:val="18"/>
          <w:szCs w:val="18"/>
          <w:lang w:val="en-GB"/>
        </w:rPr>
        <w:t>Graph 3: S</w:t>
      </w:r>
      <w:r w:rsidR="00E80AAA">
        <w:rPr>
          <w:rFonts w:ascii="Verdana" w:hAnsi="Verdana"/>
          <w:sz w:val="18"/>
          <w:szCs w:val="18"/>
          <w:lang w:val="en-GB"/>
        </w:rPr>
        <w:t>hare of notified 6.2 support per region</w:t>
      </w:r>
      <w:r w:rsidRPr="00E80AAA">
        <w:rPr>
          <w:rStyle w:val="FootnoteReference"/>
          <w:rFonts w:ascii="Verdana" w:hAnsi="Verdana"/>
          <w:sz w:val="18"/>
          <w:szCs w:val="18"/>
          <w:lang w:val="en-GB"/>
        </w:rPr>
        <w:footnoteReference w:id="12"/>
      </w:r>
    </w:p>
    <w:p w14:paraId="6F12A3C2" w14:textId="4E045B45" w:rsidR="00A16C5B" w:rsidRPr="00E80AAA" w:rsidRDefault="00A16C5B" w:rsidP="00E80AAA">
      <w:pPr>
        <w:rPr>
          <w:rFonts w:ascii="Verdana" w:hAnsi="Verdana"/>
          <w:sz w:val="18"/>
          <w:szCs w:val="18"/>
          <w:lang w:val="en-GB" w:eastAsia="en-GB"/>
        </w:rPr>
      </w:pPr>
      <w:r w:rsidRPr="00E80AAA">
        <w:rPr>
          <w:rFonts w:ascii="Verdana" w:hAnsi="Verdana"/>
          <w:noProof/>
          <w:sz w:val="18"/>
          <w:szCs w:val="18"/>
        </w:rPr>
        <w:drawing>
          <wp:inline distT="0" distB="0" distL="0" distR="0" wp14:anchorId="09B68BA6" wp14:editId="491B3F7A">
            <wp:extent cx="4493172" cy="2258305"/>
            <wp:effectExtent l="0" t="0" r="571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3172" cy="2258305"/>
                    </a:xfrm>
                    <a:prstGeom prst="rect">
                      <a:avLst/>
                    </a:prstGeom>
                    <a:noFill/>
                    <a:ln>
                      <a:noFill/>
                    </a:ln>
                  </pic:spPr>
                </pic:pic>
              </a:graphicData>
            </a:graphic>
          </wp:inline>
        </w:drawing>
      </w:r>
    </w:p>
    <w:p w14:paraId="23AB9F76" w14:textId="77777777" w:rsidR="00FE32C8" w:rsidRPr="00E80AAA" w:rsidRDefault="00FE32C8" w:rsidP="00E80AAA">
      <w:pPr>
        <w:pStyle w:val="Heading2"/>
        <w:keepNext w:val="0"/>
        <w:keepLines w:val="0"/>
        <w:spacing w:before="240" w:line="240" w:lineRule="auto"/>
        <w:rPr>
          <w:rFonts w:ascii="Verdana" w:hAnsi="Verdana"/>
          <w:sz w:val="18"/>
          <w:szCs w:val="18"/>
          <w:lang w:val="en-GB"/>
        </w:rPr>
      </w:pPr>
      <w:r w:rsidRPr="00E80AAA">
        <w:rPr>
          <w:rFonts w:ascii="Verdana" w:hAnsi="Verdana"/>
          <w:sz w:val="18"/>
          <w:szCs w:val="18"/>
          <w:lang w:val="en-GB"/>
        </w:rPr>
        <w:lastRenderedPageBreak/>
        <w:t>ARTICLE 6.2 NOTIFIED USE SINCE 2001</w:t>
      </w:r>
    </w:p>
    <w:p w14:paraId="4EE0D1FE" w14:textId="3FF0E55D"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Article 6.2 domestic support increased from US</w:t>
      </w:r>
      <w:r w:rsidR="00D0769E">
        <w:rPr>
          <w:rFonts w:ascii="Verdana" w:hAnsi="Verdana" w:cs="Times New Roman"/>
          <w:sz w:val="18"/>
          <w:szCs w:val="18"/>
          <w:lang w:val="en-GB"/>
        </w:rPr>
        <w:t>D</w:t>
      </w:r>
      <w:r w:rsidRPr="00E80AAA">
        <w:rPr>
          <w:rFonts w:ascii="Verdana" w:hAnsi="Verdana" w:cs="Times New Roman"/>
          <w:sz w:val="18"/>
          <w:szCs w:val="18"/>
          <w:lang w:val="en-GB"/>
        </w:rPr>
        <w:t xml:space="preserve"> 9.6 billion in 2001 to a maximum of </w:t>
      </w:r>
      <w:r w:rsidR="00D0769E">
        <w:rPr>
          <w:rFonts w:ascii="Verdana" w:hAnsi="Verdana" w:cs="Times New Roman"/>
          <w:sz w:val="18"/>
          <w:szCs w:val="18"/>
          <w:lang w:val="en-GB"/>
        </w:rPr>
        <w:t>USD </w:t>
      </w:r>
      <w:r w:rsidRPr="00E80AAA">
        <w:rPr>
          <w:rFonts w:ascii="Verdana" w:hAnsi="Verdana" w:cs="Times New Roman"/>
          <w:sz w:val="18"/>
          <w:szCs w:val="18"/>
          <w:lang w:val="en-GB"/>
        </w:rPr>
        <w:t>39.3 billion in 2010 (see Graph 3 above). Since then, it has stabilized closer to the US</w:t>
      </w:r>
      <w:r w:rsidR="00D0769E">
        <w:rPr>
          <w:rFonts w:ascii="Verdana" w:hAnsi="Verdana" w:cs="Times New Roman"/>
          <w:sz w:val="18"/>
          <w:szCs w:val="18"/>
          <w:lang w:val="en-GB"/>
        </w:rPr>
        <w:t>D </w:t>
      </w:r>
      <w:r w:rsidRPr="00E80AAA">
        <w:rPr>
          <w:rFonts w:ascii="Verdana" w:hAnsi="Verdana" w:cs="Times New Roman"/>
          <w:sz w:val="18"/>
          <w:szCs w:val="18"/>
          <w:lang w:val="en-GB"/>
        </w:rPr>
        <w:t>30</w:t>
      </w:r>
      <w:r w:rsidR="00D0769E">
        <w:rPr>
          <w:rFonts w:ascii="Verdana" w:hAnsi="Verdana" w:cs="Times New Roman"/>
          <w:sz w:val="18"/>
          <w:szCs w:val="18"/>
          <w:lang w:val="en-GB"/>
        </w:rPr>
        <w:t> </w:t>
      </w:r>
      <w:r w:rsidRPr="00E80AAA">
        <w:rPr>
          <w:rFonts w:ascii="Verdana" w:hAnsi="Verdana" w:cs="Times New Roman"/>
          <w:sz w:val="18"/>
          <w:szCs w:val="18"/>
          <w:lang w:val="en-GB"/>
        </w:rPr>
        <w:t>billion-dollar mark. In 2018, Members notified US</w:t>
      </w:r>
      <w:r w:rsidR="00D0769E">
        <w:rPr>
          <w:rFonts w:ascii="Verdana" w:hAnsi="Verdana" w:cs="Times New Roman"/>
          <w:sz w:val="18"/>
          <w:szCs w:val="18"/>
          <w:lang w:val="en-GB"/>
        </w:rPr>
        <w:t>D</w:t>
      </w:r>
      <w:r w:rsidRPr="00E80AAA">
        <w:rPr>
          <w:rFonts w:ascii="Verdana" w:hAnsi="Verdana" w:cs="Times New Roman"/>
          <w:sz w:val="18"/>
          <w:szCs w:val="18"/>
          <w:lang w:val="en-GB"/>
        </w:rPr>
        <w:t xml:space="preserve"> 28.8 billion, a number that would probably increase as more developing Members update their domestic support notifications. </w:t>
      </w:r>
    </w:p>
    <w:p w14:paraId="21E4E86C" w14:textId="1FB3D5FD" w:rsidR="00FE32C8" w:rsidRPr="00E80AAA" w:rsidRDefault="00FE32C8" w:rsidP="00E80AA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Most changes in total expenditure can be explained by changes in expenditure of the biggest user of support (A) under Article 6.2 (see Graph 4). This Member increased its notified expenditure from US</w:t>
      </w:r>
      <w:r w:rsidR="00D0769E">
        <w:rPr>
          <w:rFonts w:ascii="Verdana" w:hAnsi="Verdana" w:cs="Times New Roman"/>
          <w:sz w:val="18"/>
          <w:szCs w:val="18"/>
          <w:lang w:val="en-GB"/>
        </w:rPr>
        <w:t>D</w:t>
      </w:r>
      <w:r w:rsidRPr="00E80AAA">
        <w:rPr>
          <w:rFonts w:ascii="Verdana" w:hAnsi="Verdana" w:cs="Times New Roman"/>
          <w:sz w:val="18"/>
          <w:szCs w:val="18"/>
          <w:lang w:val="en-GB"/>
        </w:rPr>
        <w:t xml:space="preserve"> 8.3 billion in 2001 to a maximum of US</w:t>
      </w:r>
      <w:r w:rsidR="00D0769E">
        <w:rPr>
          <w:rFonts w:ascii="Verdana" w:hAnsi="Verdana" w:cs="Times New Roman"/>
          <w:sz w:val="18"/>
          <w:szCs w:val="18"/>
          <w:lang w:val="en-GB"/>
        </w:rPr>
        <w:t>D</w:t>
      </w:r>
      <w:r w:rsidRPr="00E80AAA">
        <w:rPr>
          <w:rFonts w:ascii="Verdana" w:hAnsi="Verdana" w:cs="Times New Roman"/>
          <w:sz w:val="18"/>
          <w:szCs w:val="18"/>
          <w:lang w:val="en-GB"/>
        </w:rPr>
        <w:t xml:space="preserve"> 31.6 billion in 2010, and then decreased it back until it reached US</w:t>
      </w:r>
      <w:r w:rsidR="00D0769E">
        <w:rPr>
          <w:rFonts w:ascii="Verdana" w:hAnsi="Verdana" w:cs="Times New Roman"/>
          <w:sz w:val="18"/>
          <w:szCs w:val="18"/>
          <w:lang w:val="en-GB"/>
        </w:rPr>
        <w:t>D</w:t>
      </w:r>
      <w:r w:rsidRPr="00E80AAA">
        <w:rPr>
          <w:rFonts w:ascii="Verdana" w:hAnsi="Verdana" w:cs="Times New Roman"/>
          <w:sz w:val="18"/>
          <w:szCs w:val="18"/>
          <w:lang w:val="en-GB"/>
        </w:rPr>
        <w:t xml:space="preserve"> 24.2 billion in 2018. </w:t>
      </w:r>
    </w:p>
    <w:p w14:paraId="767E6862" w14:textId="25A5BFFB" w:rsidR="00FE32C8" w:rsidRPr="00E80AAA" w:rsidRDefault="00FE32C8" w:rsidP="00A16C5B">
      <w:pPr>
        <w:pStyle w:val="Caption"/>
        <w:keepNext w:val="0"/>
        <w:spacing w:before="0" w:line="240" w:lineRule="auto"/>
        <w:rPr>
          <w:rFonts w:ascii="Verdana" w:hAnsi="Verdana"/>
          <w:sz w:val="18"/>
          <w:szCs w:val="18"/>
          <w:lang w:val="en-GB"/>
        </w:rPr>
      </w:pPr>
      <w:r w:rsidRPr="00E80AAA">
        <w:rPr>
          <w:rFonts w:ascii="Verdana" w:hAnsi="Verdana"/>
          <w:sz w:val="18"/>
          <w:szCs w:val="18"/>
          <w:lang w:val="en-GB"/>
        </w:rPr>
        <w:t>Graph 4: A</w:t>
      </w:r>
      <w:r w:rsidR="00AC2F3A">
        <w:rPr>
          <w:rFonts w:ascii="Verdana" w:hAnsi="Verdana"/>
          <w:sz w:val="18"/>
          <w:szCs w:val="18"/>
          <w:lang w:val="en-GB"/>
        </w:rPr>
        <w:t>rticle 6.2 support since 2001</w:t>
      </w:r>
      <w:r w:rsidRPr="00E80AAA">
        <w:rPr>
          <w:rFonts w:ascii="Verdana" w:hAnsi="Verdana"/>
          <w:sz w:val="18"/>
          <w:szCs w:val="18"/>
          <w:lang w:val="en-GB"/>
        </w:rPr>
        <w:t xml:space="preserve"> – </w:t>
      </w:r>
      <w:r w:rsidR="00AC2F3A" w:rsidRPr="00E80AAA">
        <w:rPr>
          <w:rFonts w:ascii="Verdana" w:hAnsi="Verdana"/>
          <w:sz w:val="18"/>
          <w:szCs w:val="18"/>
          <w:lang w:val="en-GB"/>
        </w:rPr>
        <w:t>A</w:t>
      </w:r>
      <w:r w:rsidR="00AC2F3A">
        <w:rPr>
          <w:rFonts w:ascii="Verdana" w:hAnsi="Verdana"/>
          <w:sz w:val="18"/>
          <w:szCs w:val="18"/>
          <w:lang w:val="en-GB"/>
        </w:rPr>
        <w:t xml:space="preserve">ggregate and biggest </w:t>
      </w:r>
      <w:r w:rsidR="00AC2F3A" w:rsidRPr="00BE16A4">
        <w:rPr>
          <w:rFonts w:ascii="Verdana" w:hAnsi="Verdana"/>
          <w:sz w:val="18"/>
          <w:szCs w:val="18"/>
          <w:lang w:val="en-GB"/>
        </w:rPr>
        <w:t>user's</w:t>
      </w:r>
      <w:r w:rsidR="00AC2F3A">
        <w:rPr>
          <w:rFonts w:ascii="Verdana" w:hAnsi="Verdana"/>
          <w:sz w:val="18"/>
          <w:szCs w:val="18"/>
          <w:lang w:val="en-GB"/>
        </w:rPr>
        <w:t xml:space="preserve"> notified expenditure</w:t>
      </w:r>
    </w:p>
    <w:p w14:paraId="2D64C9EA" w14:textId="0EA2E31D" w:rsidR="00A16C5B" w:rsidRPr="00E80AAA" w:rsidRDefault="00A16C5B" w:rsidP="00A16C5B">
      <w:pPr>
        <w:jc w:val="both"/>
        <w:rPr>
          <w:rFonts w:ascii="Verdana" w:hAnsi="Verdana" w:cs="Times New Roman"/>
          <w:sz w:val="18"/>
          <w:szCs w:val="18"/>
          <w:lang w:val="en-GB"/>
        </w:rPr>
      </w:pPr>
      <w:r w:rsidRPr="00E80AAA">
        <w:rPr>
          <w:rFonts w:ascii="Verdana" w:hAnsi="Verdana"/>
          <w:noProof/>
          <w:sz w:val="18"/>
          <w:szCs w:val="18"/>
        </w:rPr>
        <w:drawing>
          <wp:inline distT="0" distB="0" distL="0" distR="0" wp14:anchorId="4C79363D" wp14:editId="2C6CB66F">
            <wp:extent cx="5387302" cy="2049517"/>
            <wp:effectExtent l="0" t="0" r="4445" b="825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833" cy="2053904"/>
                    </a:xfrm>
                    <a:prstGeom prst="rect">
                      <a:avLst/>
                    </a:prstGeom>
                    <a:noFill/>
                    <a:ln>
                      <a:noFill/>
                    </a:ln>
                  </pic:spPr>
                </pic:pic>
              </a:graphicData>
            </a:graphic>
          </wp:inline>
        </w:drawing>
      </w:r>
    </w:p>
    <w:p w14:paraId="6A777601" w14:textId="411DC03D" w:rsidR="00FE32C8" w:rsidRPr="00AC2F3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The </w:t>
      </w:r>
      <w:r w:rsidRPr="00AC2F3A">
        <w:rPr>
          <w:rFonts w:ascii="Verdana" w:hAnsi="Verdana" w:cs="Times New Roman"/>
          <w:sz w:val="18"/>
          <w:szCs w:val="18"/>
          <w:lang w:val="en-GB"/>
        </w:rPr>
        <w:t xml:space="preserve">number of Members notifying Article 6.2 expenditure should also be taken into account, especially since the number of DS:1 notifications dropped after 2014. This may indicate that notified support is underestimating the actual support provided </w:t>
      </w:r>
      <w:r w:rsidRPr="00AC2F3A">
        <w:rPr>
          <w:rFonts w:ascii="Verdana" w:hAnsi="Verdana" w:cs="Times New Roman"/>
          <w:sz w:val="18"/>
          <w:szCs w:val="18"/>
          <w:lang w:val="en-US"/>
        </w:rPr>
        <w:t xml:space="preserve">in </w:t>
      </w:r>
      <w:r w:rsidRPr="00AC2F3A">
        <w:rPr>
          <w:rFonts w:ascii="Verdana" w:hAnsi="Verdana" w:cs="Times New Roman"/>
          <w:sz w:val="18"/>
          <w:szCs w:val="18"/>
          <w:lang w:val="en-GB"/>
        </w:rPr>
        <w:t>the last five years.</w:t>
      </w:r>
    </w:p>
    <w:p w14:paraId="332FA61D" w14:textId="77777777" w:rsidR="00FE32C8" w:rsidRPr="00AC2F3A" w:rsidRDefault="00FE32C8" w:rsidP="00AC2F3A">
      <w:pPr>
        <w:pStyle w:val="Heading2"/>
        <w:rPr>
          <w:rFonts w:ascii="Verdana" w:hAnsi="Verdana"/>
          <w:sz w:val="18"/>
          <w:szCs w:val="18"/>
          <w:lang w:val="fr-FR"/>
        </w:rPr>
      </w:pPr>
      <w:r w:rsidRPr="00AC2F3A">
        <w:rPr>
          <w:rFonts w:ascii="Verdana" w:hAnsi="Verdana"/>
          <w:sz w:val="18"/>
          <w:szCs w:val="18"/>
          <w:lang w:val="fr-FR"/>
        </w:rPr>
        <w:t xml:space="preserve">ARTICLE 6.2 SUPPORT </w:t>
      </w:r>
      <w:r w:rsidRPr="0000209C">
        <w:rPr>
          <w:rFonts w:ascii="Verdana" w:hAnsi="Verdana"/>
          <w:i/>
          <w:iCs/>
          <w:sz w:val="18"/>
          <w:szCs w:val="18"/>
          <w:lang w:val="fr-FR"/>
        </w:rPr>
        <w:t>VIS-À-VIS</w:t>
      </w:r>
      <w:r w:rsidRPr="00AC2F3A">
        <w:rPr>
          <w:rFonts w:ascii="Verdana" w:hAnsi="Verdana"/>
          <w:sz w:val="18"/>
          <w:szCs w:val="18"/>
          <w:lang w:val="fr-FR"/>
        </w:rPr>
        <w:t xml:space="preserve"> ARTICLE 6 AND VOP</w:t>
      </w:r>
    </w:p>
    <w:p w14:paraId="32091F3A" w14:textId="112AB634" w:rsidR="00FE32C8" w:rsidRPr="00AC2F3A" w:rsidRDefault="00FE32C8" w:rsidP="00AC2F3A">
      <w:pPr>
        <w:pStyle w:val="BodyText"/>
        <w:spacing w:line="240" w:lineRule="auto"/>
        <w:ind w:left="0"/>
        <w:jc w:val="both"/>
        <w:rPr>
          <w:rFonts w:ascii="Verdana" w:hAnsi="Verdana" w:cs="Times New Roman"/>
          <w:sz w:val="18"/>
          <w:szCs w:val="18"/>
          <w:lang w:val="en-GB"/>
        </w:rPr>
      </w:pPr>
      <w:r w:rsidRPr="00AC2F3A">
        <w:rPr>
          <w:rFonts w:ascii="Verdana" w:hAnsi="Verdana" w:cs="Times New Roman"/>
          <w:sz w:val="18"/>
          <w:szCs w:val="18"/>
          <w:lang w:val="en-GB"/>
        </w:rPr>
        <w:t>Even if support in absolute terms has stabilized, Article 6.2 support as a percentage of all support provided under Article 6 has recently shown an upward trend (see Graph 5). In 2001, it represented 9.1% - US</w:t>
      </w:r>
      <w:r w:rsidR="00D0769E">
        <w:rPr>
          <w:rFonts w:ascii="Verdana" w:hAnsi="Verdana" w:cs="Times New Roman"/>
          <w:sz w:val="18"/>
          <w:szCs w:val="18"/>
          <w:lang w:val="en-GB"/>
        </w:rPr>
        <w:t>D</w:t>
      </w:r>
      <w:r w:rsidRPr="00AC2F3A">
        <w:rPr>
          <w:rFonts w:ascii="Verdana" w:hAnsi="Verdana" w:cs="Times New Roman"/>
          <w:sz w:val="18"/>
          <w:szCs w:val="18"/>
          <w:lang w:val="en-GB"/>
        </w:rPr>
        <w:t xml:space="preserve"> 9.6 billion out of US</w:t>
      </w:r>
      <w:r w:rsidR="00D0769E">
        <w:rPr>
          <w:rFonts w:ascii="Verdana" w:hAnsi="Verdana" w:cs="Times New Roman"/>
          <w:sz w:val="18"/>
          <w:szCs w:val="18"/>
          <w:lang w:val="en-GB"/>
        </w:rPr>
        <w:t>D</w:t>
      </w:r>
      <w:r w:rsidRPr="00AC2F3A">
        <w:rPr>
          <w:rFonts w:ascii="Verdana" w:hAnsi="Verdana" w:cs="Times New Roman"/>
          <w:sz w:val="18"/>
          <w:szCs w:val="18"/>
          <w:lang w:val="en-GB"/>
        </w:rPr>
        <w:t xml:space="preserve"> 105.9 billion. In 2016</w:t>
      </w:r>
      <w:r w:rsidRPr="00AC2F3A">
        <w:rPr>
          <w:rStyle w:val="FootnoteReference"/>
          <w:rFonts w:ascii="Verdana" w:hAnsi="Verdana" w:cs="Times New Roman"/>
          <w:sz w:val="18"/>
          <w:szCs w:val="18"/>
          <w:lang w:val="en-GB"/>
        </w:rPr>
        <w:footnoteReference w:id="13"/>
      </w:r>
      <w:r w:rsidRPr="00AC2F3A">
        <w:rPr>
          <w:rFonts w:ascii="Verdana" w:hAnsi="Verdana" w:cs="Times New Roman"/>
          <w:sz w:val="18"/>
          <w:szCs w:val="18"/>
          <w:lang w:val="en-GB"/>
        </w:rPr>
        <w:t>, support under Article 6 reached US</w:t>
      </w:r>
      <w:r w:rsidR="00D0769E">
        <w:rPr>
          <w:rFonts w:ascii="Verdana" w:hAnsi="Verdana" w:cs="Times New Roman"/>
          <w:sz w:val="18"/>
          <w:szCs w:val="18"/>
          <w:lang w:val="en-GB"/>
        </w:rPr>
        <w:t>D</w:t>
      </w:r>
      <w:r w:rsidRPr="00AC2F3A">
        <w:rPr>
          <w:rFonts w:ascii="Verdana" w:hAnsi="Verdana" w:cs="Times New Roman"/>
          <w:sz w:val="18"/>
          <w:szCs w:val="18"/>
          <w:lang w:val="en-GB"/>
        </w:rPr>
        <w:t xml:space="preserve"> 121.7 billion, and Article 6.2 support accounted for US</w:t>
      </w:r>
      <w:r w:rsidR="00D0769E">
        <w:rPr>
          <w:rFonts w:ascii="Verdana" w:hAnsi="Verdana" w:cs="Times New Roman"/>
          <w:sz w:val="18"/>
          <w:szCs w:val="18"/>
          <w:lang w:val="en-GB"/>
        </w:rPr>
        <w:t>D</w:t>
      </w:r>
      <w:r w:rsidRPr="00AC2F3A">
        <w:rPr>
          <w:rFonts w:ascii="Verdana" w:hAnsi="Verdana" w:cs="Times New Roman"/>
          <w:sz w:val="18"/>
          <w:szCs w:val="18"/>
          <w:lang w:val="en-GB"/>
        </w:rPr>
        <w:t xml:space="preserve"> 30.9 billion and 25.4% of the total. </w:t>
      </w:r>
    </w:p>
    <w:p w14:paraId="474F5A90" w14:textId="7CBBB673" w:rsidR="00FE32C8" w:rsidRPr="00AC2F3A" w:rsidRDefault="00FE32C8" w:rsidP="00AC2F3A">
      <w:pPr>
        <w:pStyle w:val="Caption"/>
        <w:rPr>
          <w:rFonts w:ascii="Verdana" w:hAnsi="Verdana"/>
          <w:sz w:val="18"/>
          <w:szCs w:val="18"/>
          <w:lang w:val="en-GB"/>
        </w:rPr>
      </w:pPr>
      <w:r w:rsidRPr="00AC2F3A">
        <w:rPr>
          <w:rFonts w:ascii="Verdana" w:hAnsi="Verdana"/>
          <w:sz w:val="18"/>
          <w:szCs w:val="18"/>
          <w:lang w:val="en-GB"/>
        </w:rPr>
        <w:lastRenderedPageBreak/>
        <w:t>Graph 5: A</w:t>
      </w:r>
      <w:r w:rsidR="00AC2F3A">
        <w:rPr>
          <w:rFonts w:ascii="Verdana" w:hAnsi="Verdana"/>
          <w:sz w:val="18"/>
          <w:szCs w:val="18"/>
          <w:lang w:val="en-GB"/>
        </w:rPr>
        <w:t>rticle 6.2 support as a share of TDDS since 2001</w:t>
      </w:r>
      <w:r w:rsidRPr="00AC2F3A">
        <w:rPr>
          <w:rStyle w:val="FootnoteReference"/>
          <w:rFonts w:ascii="Verdana" w:hAnsi="Verdana"/>
          <w:sz w:val="18"/>
          <w:szCs w:val="18"/>
          <w:lang w:val="en-GB"/>
        </w:rPr>
        <w:footnoteReference w:id="14"/>
      </w:r>
    </w:p>
    <w:p w14:paraId="1BDA3B66" w14:textId="3F5F10AD" w:rsidR="00A16C5B" w:rsidRPr="00AC2F3A" w:rsidRDefault="00A16C5B" w:rsidP="00AC2F3A">
      <w:pPr>
        <w:rPr>
          <w:rFonts w:ascii="Verdana" w:hAnsi="Verdana"/>
          <w:sz w:val="18"/>
          <w:szCs w:val="18"/>
          <w:lang w:val="en-GB"/>
        </w:rPr>
      </w:pPr>
      <w:r w:rsidRPr="00AC2F3A">
        <w:rPr>
          <w:rFonts w:ascii="Verdana" w:hAnsi="Verdana"/>
          <w:noProof/>
          <w:sz w:val="18"/>
          <w:szCs w:val="18"/>
        </w:rPr>
        <w:drawing>
          <wp:inline distT="0" distB="0" distL="0" distR="0" wp14:anchorId="69054C53" wp14:editId="58A99DC7">
            <wp:extent cx="5170976" cy="2743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1877" cy="2759593"/>
                    </a:xfrm>
                    <a:prstGeom prst="rect">
                      <a:avLst/>
                    </a:prstGeom>
                    <a:noFill/>
                    <a:ln>
                      <a:noFill/>
                    </a:ln>
                  </pic:spPr>
                </pic:pic>
              </a:graphicData>
            </a:graphic>
          </wp:inline>
        </w:drawing>
      </w:r>
    </w:p>
    <w:p w14:paraId="33B1DEA7" w14:textId="1A5A78FA" w:rsidR="00FE32C8" w:rsidRPr="00AC2F3A" w:rsidRDefault="00FE32C8" w:rsidP="00AC2F3A">
      <w:pPr>
        <w:pStyle w:val="BodyText"/>
        <w:spacing w:line="240" w:lineRule="auto"/>
        <w:ind w:left="0"/>
        <w:jc w:val="both"/>
        <w:rPr>
          <w:rFonts w:ascii="Verdana" w:hAnsi="Verdana" w:cs="Times New Roman"/>
          <w:sz w:val="18"/>
          <w:szCs w:val="18"/>
          <w:lang w:val="en-GB"/>
        </w:rPr>
      </w:pPr>
      <w:r w:rsidRPr="00AC2F3A">
        <w:rPr>
          <w:rFonts w:ascii="Verdana" w:hAnsi="Verdana" w:cs="Times New Roman"/>
          <w:sz w:val="18"/>
          <w:szCs w:val="18"/>
          <w:lang w:val="en-GB"/>
        </w:rPr>
        <w:t>Interestingly, support under Article 6.2 as a percentage of the value of production (VoP) is not significant for most users. According to Brink and Orden</w:t>
      </w:r>
      <w:r w:rsidRPr="00AC2F3A">
        <w:rPr>
          <w:rStyle w:val="FootnoteReference"/>
          <w:rFonts w:ascii="Verdana" w:hAnsi="Verdana" w:cs="Times New Roman"/>
          <w:sz w:val="18"/>
          <w:szCs w:val="18"/>
          <w:lang w:val="en-GB"/>
        </w:rPr>
        <w:footnoteReference w:id="15"/>
      </w:r>
      <w:r w:rsidRPr="00AC2F3A">
        <w:rPr>
          <w:rFonts w:ascii="Verdana" w:hAnsi="Verdana" w:cs="Times New Roman"/>
          <w:sz w:val="18"/>
          <w:szCs w:val="18"/>
          <w:lang w:val="en-GB"/>
        </w:rPr>
        <w:t xml:space="preserve">, as to support provided under this box in 2014-2016, </w:t>
      </w:r>
      <w:r w:rsidR="004578FB">
        <w:rPr>
          <w:rFonts w:ascii="Verdana" w:hAnsi="Verdana" w:cs="Times New Roman"/>
          <w:sz w:val="18"/>
          <w:szCs w:val="18"/>
          <w:lang w:val="en-GB"/>
        </w:rPr>
        <w:t>"</w:t>
      </w:r>
      <w:r w:rsidRPr="00AC2F3A">
        <w:rPr>
          <w:rFonts w:ascii="Verdana" w:hAnsi="Verdana" w:cs="Times New Roman"/>
          <w:sz w:val="18"/>
          <w:szCs w:val="18"/>
          <w:lang w:val="en-GB"/>
        </w:rPr>
        <w:t xml:space="preserve">for many </w:t>
      </w:r>
      <w:r w:rsidR="009A7B20">
        <w:rPr>
          <w:rFonts w:ascii="Verdana" w:hAnsi="Verdana" w:cs="Times New Roman"/>
          <w:sz w:val="18"/>
          <w:szCs w:val="18"/>
          <w:lang w:val="en-GB"/>
        </w:rPr>
        <w:t>M</w:t>
      </w:r>
      <w:r w:rsidRPr="00AC2F3A">
        <w:rPr>
          <w:rFonts w:ascii="Verdana" w:hAnsi="Verdana" w:cs="Times New Roman"/>
          <w:sz w:val="18"/>
          <w:szCs w:val="18"/>
          <w:lang w:val="en-GB"/>
        </w:rPr>
        <w:t>embers</w:t>
      </w:r>
      <w:r w:rsidRPr="00AC2F3A">
        <w:rPr>
          <w:rStyle w:val="FootnoteReference"/>
          <w:rFonts w:ascii="Verdana" w:hAnsi="Verdana" w:cs="Times New Roman"/>
          <w:sz w:val="18"/>
          <w:szCs w:val="18"/>
          <w:lang w:val="en-GB"/>
        </w:rPr>
        <w:footnoteReference w:id="16"/>
      </w:r>
      <w:r w:rsidRPr="00AC2F3A">
        <w:rPr>
          <w:rFonts w:ascii="Verdana" w:hAnsi="Verdana" w:cs="Times New Roman"/>
          <w:sz w:val="18"/>
          <w:szCs w:val="18"/>
          <w:lang w:val="en-GB"/>
        </w:rPr>
        <w:t xml:space="preserve"> the amount exempted corresponds to only a few percent of VoP in agriculture</w:t>
      </w:r>
      <w:r w:rsidR="004578FB">
        <w:rPr>
          <w:rFonts w:ascii="Verdana" w:hAnsi="Verdana" w:cs="Times New Roman"/>
          <w:sz w:val="18"/>
          <w:szCs w:val="18"/>
          <w:lang w:val="en-GB"/>
        </w:rPr>
        <w:t>"</w:t>
      </w:r>
      <w:r w:rsidRPr="00AC2F3A">
        <w:rPr>
          <w:rFonts w:ascii="Verdana" w:hAnsi="Verdana" w:cs="Times New Roman"/>
          <w:sz w:val="18"/>
          <w:szCs w:val="18"/>
          <w:lang w:val="en-GB"/>
        </w:rPr>
        <w:t>. In fact, Article 6.2 support as a percentage of VoP has been on the decline for most (Members A, D, E and F) of the major users (see Graph 6).</w:t>
      </w:r>
    </w:p>
    <w:p w14:paraId="1CD04785" w14:textId="327682AC" w:rsidR="00FE32C8" w:rsidRPr="00AC2F3A" w:rsidRDefault="00FE32C8" w:rsidP="00AC2F3A">
      <w:pPr>
        <w:pStyle w:val="Caption"/>
        <w:rPr>
          <w:rFonts w:ascii="Verdana" w:hAnsi="Verdana"/>
          <w:sz w:val="18"/>
          <w:szCs w:val="18"/>
          <w:lang w:val="en-GB"/>
        </w:rPr>
      </w:pPr>
      <w:r w:rsidRPr="00AC2F3A">
        <w:rPr>
          <w:rFonts w:ascii="Verdana" w:hAnsi="Verdana"/>
          <w:sz w:val="18"/>
          <w:szCs w:val="18"/>
          <w:lang w:val="en-GB"/>
        </w:rPr>
        <w:t>Graph 6: A</w:t>
      </w:r>
      <w:r w:rsidR="00AC2F3A">
        <w:rPr>
          <w:rFonts w:ascii="Verdana" w:hAnsi="Verdana"/>
          <w:sz w:val="18"/>
          <w:szCs w:val="18"/>
          <w:lang w:val="en-GB"/>
        </w:rPr>
        <w:t xml:space="preserve">rticle 6.2 major users' expenditure as a percentage (%) of their </w:t>
      </w:r>
      <w:r w:rsidRPr="00AC2F3A">
        <w:rPr>
          <w:rFonts w:ascii="Verdana" w:hAnsi="Verdana"/>
          <w:sz w:val="18"/>
          <w:szCs w:val="18"/>
          <w:lang w:val="en-GB"/>
        </w:rPr>
        <w:t xml:space="preserve">VOP </w:t>
      </w:r>
    </w:p>
    <w:p w14:paraId="0D41F415" w14:textId="7C86430B" w:rsidR="00A16C5B" w:rsidRPr="00AC2F3A" w:rsidRDefault="00A16C5B" w:rsidP="00AC2F3A">
      <w:pPr>
        <w:rPr>
          <w:rFonts w:ascii="Verdana" w:hAnsi="Verdana"/>
          <w:sz w:val="18"/>
          <w:szCs w:val="18"/>
          <w:lang w:val="en-GB" w:eastAsia="en-GB"/>
        </w:rPr>
      </w:pPr>
      <w:r w:rsidRPr="00AC2F3A">
        <w:rPr>
          <w:rFonts w:ascii="Verdana" w:hAnsi="Verdana"/>
          <w:noProof/>
          <w:sz w:val="18"/>
          <w:szCs w:val="18"/>
        </w:rPr>
        <w:drawing>
          <wp:inline distT="0" distB="0" distL="0" distR="0" wp14:anchorId="075AFF86" wp14:editId="6C57B9F8">
            <wp:extent cx="5343525" cy="269557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2695575"/>
                    </a:xfrm>
                    <a:prstGeom prst="rect">
                      <a:avLst/>
                    </a:prstGeom>
                    <a:noFill/>
                    <a:ln>
                      <a:noFill/>
                    </a:ln>
                  </pic:spPr>
                </pic:pic>
              </a:graphicData>
            </a:graphic>
          </wp:inline>
        </w:drawing>
      </w:r>
    </w:p>
    <w:p w14:paraId="7D546EA9" w14:textId="77777777" w:rsidR="00FE32C8" w:rsidRPr="00AC2F3A" w:rsidRDefault="00FE32C8" w:rsidP="00AC2F3A">
      <w:pPr>
        <w:pStyle w:val="BodyText"/>
        <w:spacing w:line="240" w:lineRule="auto"/>
        <w:ind w:left="0"/>
        <w:jc w:val="both"/>
        <w:rPr>
          <w:rFonts w:ascii="Verdana" w:hAnsi="Verdana" w:cs="Times New Roman"/>
          <w:sz w:val="18"/>
          <w:szCs w:val="18"/>
          <w:lang w:val="en-GB"/>
        </w:rPr>
      </w:pPr>
      <w:r w:rsidRPr="00AC2F3A">
        <w:rPr>
          <w:rFonts w:ascii="Verdana" w:hAnsi="Verdana" w:cs="Times New Roman"/>
          <w:sz w:val="18"/>
          <w:szCs w:val="18"/>
          <w:lang w:val="en-GB"/>
        </w:rPr>
        <w:t xml:space="preserve">The reasons behind these changes are multiple: increasing VoP; reduction in Article 6.2 expenditure in absolute terms; and/or increase in Article 6.2 does not catch up with the growth in the VoP, resulting in a reduction in the indicator (see Annex 2). </w:t>
      </w:r>
    </w:p>
    <w:p w14:paraId="2B265630" w14:textId="1B3B865A" w:rsidR="00FE32C8" w:rsidRPr="00AC2F3A" w:rsidRDefault="00FE32C8" w:rsidP="00AC2F3A">
      <w:pPr>
        <w:pStyle w:val="BodyText"/>
        <w:spacing w:line="240" w:lineRule="auto"/>
        <w:ind w:left="0"/>
        <w:jc w:val="both"/>
        <w:rPr>
          <w:rFonts w:ascii="Verdana" w:hAnsi="Verdana" w:cs="Times New Roman"/>
          <w:sz w:val="18"/>
          <w:szCs w:val="18"/>
          <w:lang w:val="en-GB"/>
        </w:rPr>
      </w:pPr>
      <w:r w:rsidRPr="00AC2F3A">
        <w:rPr>
          <w:rFonts w:ascii="Verdana" w:hAnsi="Verdana" w:cs="Times New Roman"/>
          <w:sz w:val="18"/>
          <w:szCs w:val="18"/>
          <w:lang w:val="en-GB"/>
        </w:rPr>
        <w:t xml:space="preserve">As the VoP grows, </w:t>
      </w:r>
      <w:r w:rsidR="004578FB">
        <w:rPr>
          <w:rFonts w:ascii="Verdana" w:hAnsi="Verdana" w:cs="Times New Roman"/>
          <w:sz w:val="18"/>
          <w:szCs w:val="18"/>
          <w:lang w:val="en-GB"/>
        </w:rPr>
        <w:t>"</w:t>
      </w:r>
      <w:r w:rsidRPr="00D0769E">
        <w:rPr>
          <w:rFonts w:ascii="Verdana" w:hAnsi="Verdana" w:cs="Times New Roman"/>
          <w:i/>
          <w:iCs/>
          <w:sz w:val="18"/>
          <w:szCs w:val="18"/>
          <w:lang w:val="en-GB"/>
        </w:rPr>
        <w:t>de minimis</w:t>
      </w:r>
      <w:r w:rsidR="004578FB">
        <w:rPr>
          <w:rFonts w:ascii="Verdana" w:hAnsi="Verdana" w:cs="Times New Roman"/>
          <w:sz w:val="18"/>
          <w:szCs w:val="18"/>
          <w:lang w:val="en-GB"/>
        </w:rPr>
        <w:t>"</w:t>
      </w:r>
      <w:r w:rsidRPr="00AC2F3A">
        <w:rPr>
          <w:rFonts w:ascii="Verdana" w:hAnsi="Verdana" w:cs="Times New Roman"/>
          <w:sz w:val="18"/>
          <w:szCs w:val="18"/>
          <w:lang w:val="en-GB"/>
        </w:rPr>
        <w:t xml:space="preserve"> entitlements can better accommodate the expenditure that is usually notified under Article 6.2. According to Brink and Orden, for those whose Article 6.2 support </w:t>
      </w:r>
      <w:r w:rsidRPr="00AC2F3A">
        <w:rPr>
          <w:rFonts w:ascii="Verdana" w:hAnsi="Verdana" w:cs="Times New Roman"/>
          <w:sz w:val="18"/>
          <w:szCs w:val="18"/>
          <w:lang w:val="en-GB"/>
        </w:rPr>
        <w:lastRenderedPageBreak/>
        <w:t xml:space="preserve">is relatively high, those </w:t>
      </w:r>
      <w:r w:rsidR="004578FB">
        <w:rPr>
          <w:rFonts w:ascii="Verdana" w:hAnsi="Verdana" w:cs="Times New Roman"/>
          <w:sz w:val="18"/>
          <w:szCs w:val="18"/>
          <w:lang w:val="en-GB"/>
        </w:rPr>
        <w:t>"</w:t>
      </w:r>
      <w:r w:rsidRPr="00AC2F3A">
        <w:rPr>
          <w:rFonts w:ascii="Verdana" w:hAnsi="Verdana" w:cs="Times New Roman"/>
          <w:sz w:val="18"/>
          <w:szCs w:val="18"/>
          <w:lang w:val="en-GB"/>
        </w:rPr>
        <w:t>exemptions thus free up significant room for potential AMS support within their limits</w:t>
      </w:r>
      <w:r w:rsidR="004578FB">
        <w:rPr>
          <w:rFonts w:ascii="Verdana" w:hAnsi="Verdana" w:cs="Times New Roman"/>
          <w:sz w:val="18"/>
          <w:szCs w:val="18"/>
          <w:lang w:val="en-GB"/>
        </w:rPr>
        <w:t>".</w:t>
      </w:r>
      <w:r w:rsidRPr="00AC2F3A">
        <w:rPr>
          <w:rStyle w:val="FootnoteReference"/>
          <w:rFonts w:ascii="Verdana" w:hAnsi="Verdana" w:cs="Times New Roman"/>
          <w:sz w:val="18"/>
          <w:szCs w:val="18"/>
          <w:lang w:val="en-GB"/>
        </w:rPr>
        <w:footnoteReference w:id="17"/>
      </w:r>
    </w:p>
    <w:p w14:paraId="78C52E99" w14:textId="77777777" w:rsidR="00FE32C8" w:rsidRPr="00AC2F3A" w:rsidRDefault="00FE32C8" w:rsidP="00AC2F3A">
      <w:pPr>
        <w:pStyle w:val="BodyText"/>
        <w:spacing w:line="240" w:lineRule="auto"/>
        <w:ind w:left="0"/>
        <w:jc w:val="both"/>
        <w:rPr>
          <w:rFonts w:ascii="Verdana" w:hAnsi="Verdana" w:cs="Times New Roman"/>
          <w:sz w:val="18"/>
          <w:szCs w:val="18"/>
          <w:lang w:val="en-GB"/>
        </w:rPr>
      </w:pPr>
      <w:r w:rsidRPr="00AC2F3A">
        <w:rPr>
          <w:rFonts w:ascii="Verdana" w:hAnsi="Verdana" w:cs="Times New Roman"/>
          <w:sz w:val="18"/>
          <w:szCs w:val="18"/>
          <w:lang w:val="en-GB"/>
        </w:rPr>
        <w:t>Data indicate that most Members implementing development programmes have notified expenditure levels that are relatively low in terms of their Amber Box</w:t>
      </w:r>
      <w:r w:rsidRPr="00AC2F3A">
        <w:rPr>
          <w:rStyle w:val="FootnoteReference"/>
          <w:rFonts w:ascii="Verdana" w:hAnsi="Verdana" w:cs="Times New Roman"/>
          <w:sz w:val="18"/>
          <w:szCs w:val="18"/>
          <w:lang w:val="en-GB"/>
        </w:rPr>
        <w:footnoteReference w:id="18"/>
      </w:r>
      <w:r w:rsidRPr="00AC2F3A">
        <w:rPr>
          <w:rFonts w:ascii="Verdana" w:hAnsi="Verdana" w:cs="Times New Roman"/>
          <w:sz w:val="18"/>
          <w:szCs w:val="18"/>
          <w:lang w:val="en-GB"/>
        </w:rPr>
        <w:t xml:space="preserve"> entitlements (see Graph 7). </w:t>
      </w:r>
    </w:p>
    <w:p w14:paraId="6CCF547D" w14:textId="548FC5C4" w:rsidR="00FE32C8" w:rsidRPr="00AC2F3A" w:rsidRDefault="00FE32C8" w:rsidP="00F53367">
      <w:pPr>
        <w:pStyle w:val="Caption"/>
        <w:spacing w:before="0" w:line="240" w:lineRule="auto"/>
        <w:rPr>
          <w:rFonts w:ascii="Verdana" w:hAnsi="Verdana"/>
          <w:sz w:val="18"/>
          <w:szCs w:val="18"/>
          <w:lang w:val="en-GB"/>
        </w:rPr>
      </w:pPr>
      <w:r w:rsidRPr="00AC2F3A">
        <w:rPr>
          <w:rFonts w:ascii="Verdana" w:hAnsi="Verdana"/>
          <w:sz w:val="18"/>
          <w:szCs w:val="18"/>
          <w:lang w:val="en-GB"/>
        </w:rPr>
        <w:t>Graph 7: A</w:t>
      </w:r>
      <w:r w:rsidR="00AC2F3A">
        <w:rPr>
          <w:rFonts w:ascii="Verdana" w:hAnsi="Verdana"/>
          <w:sz w:val="18"/>
          <w:szCs w:val="18"/>
          <w:lang w:val="en-GB"/>
        </w:rPr>
        <w:t>rticle 6.2 main users' expenditure (latest notification</w:t>
      </w:r>
      <w:r w:rsidRPr="00AC2F3A">
        <w:rPr>
          <w:rStyle w:val="FootnoteReference"/>
          <w:rFonts w:ascii="Verdana" w:hAnsi="Verdana"/>
          <w:sz w:val="18"/>
          <w:szCs w:val="18"/>
          <w:lang w:val="en-GB"/>
        </w:rPr>
        <w:footnoteReference w:id="19"/>
      </w:r>
      <w:r w:rsidRPr="00AC2F3A">
        <w:rPr>
          <w:rFonts w:ascii="Verdana" w:hAnsi="Verdana"/>
          <w:sz w:val="18"/>
          <w:szCs w:val="18"/>
          <w:lang w:val="en-GB"/>
        </w:rPr>
        <w:t xml:space="preserve">) </w:t>
      </w:r>
      <w:r w:rsidR="00AC2F3A">
        <w:rPr>
          <w:rFonts w:ascii="Verdana" w:hAnsi="Verdana"/>
          <w:sz w:val="18"/>
          <w:szCs w:val="18"/>
          <w:lang w:val="en-GB"/>
        </w:rPr>
        <w:t>versus Amber Box entitlements</w:t>
      </w:r>
      <w:r w:rsidRPr="00AC2F3A">
        <w:rPr>
          <w:rFonts w:ascii="Verdana" w:hAnsi="Verdana"/>
          <w:sz w:val="18"/>
          <w:szCs w:val="18"/>
          <w:lang w:val="en-GB"/>
        </w:rPr>
        <w:t xml:space="preserve"> (</w:t>
      </w:r>
      <w:r w:rsidR="00AC2F3A">
        <w:rPr>
          <w:rFonts w:ascii="Verdana" w:hAnsi="Verdana"/>
          <w:sz w:val="18"/>
          <w:szCs w:val="18"/>
          <w:lang w:val="en-GB"/>
        </w:rPr>
        <w:t>latest VOP available</w:t>
      </w:r>
      <w:r w:rsidRPr="00AC2F3A">
        <w:rPr>
          <w:rFonts w:ascii="Verdana" w:hAnsi="Verdana"/>
          <w:sz w:val="18"/>
          <w:szCs w:val="18"/>
          <w:lang w:val="en-GB"/>
        </w:rPr>
        <w:t>)</w:t>
      </w:r>
    </w:p>
    <w:p w14:paraId="5B7D13F3" w14:textId="381D68D0" w:rsidR="00F53367" w:rsidRDefault="00F53367" w:rsidP="00F53367">
      <w:pPr>
        <w:rPr>
          <w:lang w:val="en-GB"/>
        </w:rPr>
      </w:pPr>
      <w:r>
        <w:rPr>
          <w:noProof/>
        </w:rPr>
        <w:drawing>
          <wp:inline distT="0" distB="0" distL="0" distR="0" wp14:anchorId="5B4AC84E" wp14:editId="5EF342E2">
            <wp:extent cx="5429250"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29250" cy="4514850"/>
                    </a:xfrm>
                    <a:prstGeom prst="rect">
                      <a:avLst/>
                    </a:prstGeom>
                  </pic:spPr>
                </pic:pic>
              </a:graphicData>
            </a:graphic>
          </wp:inline>
        </w:drawing>
      </w:r>
    </w:p>
    <w:p w14:paraId="233B092C" w14:textId="3C791E1B" w:rsidR="00FE32C8" w:rsidRPr="00AC2F3A" w:rsidRDefault="00FE32C8" w:rsidP="00F53367">
      <w:pPr>
        <w:pStyle w:val="Heading2"/>
        <w:spacing w:line="240" w:lineRule="auto"/>
        <w:rPr>
          <w:rFonts w:ascii="Verdana" w:hAnsi="Verdana"/>
          <w:sz w:val="18"/>
          <w:szCs w:val="18"/>
          <w:lang w:val="en-GB"/>
        </w:rPr>
      </w:pPr>
      <w:r w:rsidRPr="00AC2F3A">
        <w:rPr>
          <w:rFonts w:ascii="Verdana" w:hAnsi="Verdana"/>
          <w:sz w:val="18"/>
          <w:szCs w:val="18"/>
          <w:lang w:val="en-GB"/>
        </w:rPr>
        <w:t>ARTICLE 6.2 SUB-CATEGORIES</w:t>
      </w:r>
    </w:p>
    <w:p w14:paraId="491B98AC" w14:textId="21BBE3E6" w:rsidR="00FE32C8" w:rsidRPr="00AC2F3A" w:rsidRDefault="00FE32C8" w:rsidP="00AC2F3A">
      <w:pPr>
        <w:pStyle w:val="BodyText"/>
        <w:spacing w:line="240" w:lineRule="auto"/>
        <w:ind w:left="0"/>
        <w:jc w:val="both"/>
        <w:rPr>
          <w:rFonts w:ascii="Verdana" w:hAnsi="Verdana" w:cs="Times New Roman"/>
          <w:sz w:val="18"/>
          <w:szCs w:val="18"/>
          <w:lang w:val="en-US"/>
        </w:rPr>
      </w:pPr>
      <w:r w:rsidRPr="00AC2F3A">
        <w:rPr>
          <w:rFonts w:ascii="Verdana" w:hAnsi="Verdana" w:cs="Times New Roman"/>
          <w:sz w:val="18"/>
          <w:szCs w:val="18"/>
          <w:lang w:val="en-US"/>
        </w:rPr>
        <w:t>Since 1995, a total of 1,715 measures have been notified in Supporting Table DS:2 (</w:t>
      </w:r>
      <w:r w:rsidR="004578FB">
        <w:rPr>
          <w:rFonts w:ascii="Verdana" w:hAnsi="Verdana" w:cs="Times New Roman"/>
          <w:sz w:val="18"/>
          <w:szCs w:val="18"/>
          <w:lang w:val="en-US"/>
        </w:rPr>
        <w:t>"</w:t>
      </w:r>
      <w:r w:rsidRPr="00AC2F3A">
        <w:rPr>
          <w:rFonts w:ascii="Verdana" w:hAnsi="Verdana" w:cs="Times New Roman"/>
          <w:sz w:val="18"/>
          <w:szCs w:val="18"/>
          <w:lang w:val="en-US"/>
        </w:rPr>
        <w:t>Measures exempt from the reduction commitment - Special and Differential Treatment</w:t>
      </w:r>
      <w:r w:rsidR="004578FB">
        <w:rPr>
          <w:rFonts w:ascii="Verdana" w:hAnsi="Verdana" w:cs="Times New Roman"/>
          <w:sz w:val="18"/>
          <w:szCs w:val="18"/>
          <w:lang w:val="en-US"/>
        </w:rPr>
        <w:t>"</w:t>
      </w:r>
      <w:r w:rsidRPr="00AC2F3A">
        <w:rPr>
          <w:rFonts w:ascii="Verdana" w:hAnsi="Verdana" w:cs="Times New Roman"/>
          <w:sz w:val="18"/>
          <w:szCs w:val="18"/>
          <w:lang w:val="en-US"/>
        </w:rPr>
        <w:t>). Of this total, 963 were investment subsidies (56%); 696 were agricultural input subsidies (41%); and 52 were diversification from growing illicit narcotic crops subsidies (3%) (see Graphs 8 and 9).</w:t>
      </w:r>
    </w:p>
    <w:p w14:paraId="42BCC84A" w14:textId="77777777"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Government support has been granted for the acquisition of both general forms of inputs, such as electricity or fuel, and specific ones, like seeds, fertilizers, or feed. In general, government support for investments has been less detailed than support for inputs, but it is oftentimes related to improvements in production sites. Diversification subsidies are much less frequent, and there was </w:t>
      </w:r>
      <w:r w:rsidRPr="00E80AAA">
        <w:rPr>
          <w:rFonts w:ascii="Verdana" w:hAnsi="Verdana" w:cs="Times New Roman"/>
          <w:sz w:val="18"/>
          <w:szCs w:val="18"/>
          <w:lang w:val="en-GB"/>
        </w:rPr>
        <w:lastRenderedPageBreak/>
        <w:t>only one occasion in which a Member specified which type of production it was favouring to, appropriately, replace illicit narcotic crops.</w:t>
      </w:r>
    </w:p>
    <w:p w14:paraId="7DE02870" w14:textId="087F3DAE" w:rsidR="00FE32C8" w:rsidRPr="00E80AAA" w:rsidRDefault="00FE32C8" w:rsidP="00AC2F3A">
      <w:pPr>
        <w:pStyle w:val="Caption"/>
        <w:rPr>
          <w:rFonts w:ascii="Verdana" w:hAnsi="Verdana"/>
          <w:sz w:val="18"/>
          <w:szCs w:val="18"/>
          <w:lang w:val="en-US"/>
        </w:rPr>
      </w:pPr>
      <w:r w:rsidRPr="00E80AAA">
        <w:rPr>
          <w:rFonts w:ascii="Verdana" w:hAnsi="Verdana"/>
          <w:sz w:val="18"/>
          <w:szCs w:val="18"/>
          <w:lang w:val="en-US"/>
        </w:rPr>
        <w:t>Graph 8: A</w:t>
      </w:r>
      <w:r w:rsidR="00AC2F3A">
        <w:rPr>
          <w:rFonts w:ascii="Verdana" w:hAnsi="Verdana"/>
          <w:sz w:val="18"/>
          <w:szCs w:val="18"/>
          <w:lang w:val="en-US"/>
        </w:rPr>
        <w:t>rticle 6.2 notified measures since 1995</w:t>
      </w:r>
      <w:r w:rsidRPr="00E80AAA">
        <w:rPr>
          <w:rFonts w:ascii="Verdana" w:hAnsi="Verdana"/>
          <w:sz w:val="18"/>
          <w:szCs w:val="18"/>
          <w:lang w:val="en-US"/>
        </w:rPr>
        <w:t xml:space="preserve"> – </w:t>
      </w:r>
      <w:r w:rsidR="00AC2F3A">
        <w:rPr>
          <w:rFonts w:ascii="Verdana" w:hAnsi="Verdana"/>
          <w:sz w:val="18"/>
          <w:szCs w:val="18"/>
          <w:lang w:val="en-US"/>
        </w:rPr>
        <w:t>per sub-category</w:t>
      </w:r>
    </w:p>
    <w:p w14:paraId="59E63932" w14:textId="00C43F90" w:rsidR="00A16C5B" w:rsidRPr="00E80AAA" w:rsidRDefault="00A16C5B" w:rsidP="00AC2F3A">
      <w:pPr>
        <w:rPr>
          <w:rFonts w:ascii="Verdana" w:hAnsi="Verdana"/>
          <w:sz w:val="18"/>
          <w:szCs w:val="18"/>
          <w:lang w:val="en-US"/>
        </w:rPr>
      </w:pPr>
      <w:r w:rsidRPr="00E80AAA">
        <w:rPr>
          <w:rFonts w:ascii="Verdana" w:hAnsi="Verdana"/>
          <w:noProof/>
          <w:sz w:val="18"/>
          <w:szCs w:val="18"/>
        </w:rPr>
        <w:drawing>
          <wp:inline distT="0" distB="0" distL="0" distR="0" wp14:anchorId="74A4CDB6" wp14:editId="6CC63406">
            <wp:extent cx="5533599" cy="2756847"/>
            <wp:effectExtent l="0" t="0" r="0" b="571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0796" cy="2760432"/>
                    </a:xfrm>
                    <a:prstGeom prst="rect">
                      <a:avLst/>
                    </a:prstGeom>
                    <a:noFill/>
                    <a:ln>
                      <a:noFill/>
                    </a:ln>
                  </pic:spPr>
                </pic:pic>
              </a:graphicData>
            </a:graphic>
          </wp:inline>
        </w:drawing>
      </w:r>
    </w:p>
    <w:p w14:paraId="0C3EA6B1" w14:textId="77777777" w:rsidR="00A16C5B" w:rsidRPr="00E80AAA" w:rsidRDefault="00A16C5B" w:rsidP="00AC2F3A">
      <w:pPr>
        <w:widowControl w:val="0"/>
        <w:spacing w:after="0" w:line="240" w:lineRule="auto"/>
        <w:rPr>
          <w:rFonts w:ascii="Verdana" w:hAnsi="Verdana" w:cs="Times New Roman"/>
          <w:b/>
          <w:bCs/>
          <w:sz w:val="18"/>
          <w:szCs w:val="18"/>
          <w:lang w:val="en-US"/>
        </w:rPr>
      </w:pPr>
    </w:p>
    <w:p w14:paraId="08F646A6" w14:textId="51070C96" w:rsidR="00FE32C8" w:rsidRPr="00E80AAA" w:rsidRDefault="00FE32C8" w:rsidP="00AC2F3A">
      <w:pPr>
        <w:pStyle w:val="Caption"/>
        <w:spacing w:before="0" w:line="240" w:lineRule="auto"/>
        <w:rPr>
          <w:rFonts w:ascii="Verdana" w:hAnsi="Verdana"/>
          <w:sz w:val="18"/>
          <w:szCs w:val="18"/>
          <w:lang w:val="en-US"/>
        </w:rPr>
      </w:pPr>
      <w:r w:rsidRPr="00E80AAA">
        <w:rPr>
          <w:rFonts w:ascii="Verdana" w:hAnsi="Verdana"/>
          <w:sz w:val="18"/>
          <w:szCs w:val="18"/>
          <w:lang w:val="en-US"/>
        </w:rPr>
        <w:t>Graph 9: S</w:t>
      </w:r>
      <w:r w:rsidR="00AC2F3A">
        <w:rPr>
          <w:rFonts w:ascii="Verdana" w:hAnsi="Verdana"/>
          <w:sz w:val="18"/>
          <w:szCs w:val="18"/>
          <w:lang w:val="en-US"/>
        </w:rPr>
        <w:t>hare of each sub-category in notified Article 6.2 support since 1995</w:t>
      </w:r>
      <w:r w:rsidRPr="00E80AAA">
        <w:rPr>
          <w:rFonts w:ascii="Verdana" w:hAnsi="Verdana"/>
          <w:sz w:val="18"/>
          <w:szCs w:val="18"/>
          <w:lang w:val="en-US"/>
        </w:rPr>
        <w:t xml:space="preserve"> – </w:t>
      </w:r>
      <w:r w:rsidR="00AC2F3A">
        <w:rPr>
          <w:rFonts w:ascii="Verdana" w:hAnsi="Verdana"/>
          <w:sz w:val="18"/>
          <w:szCs w:val="18"/>
          <w:lang w:val="en-US"/>
        </w:rPr>
        <w:t>per</w:t>
      </w:r>
      <w:r w:rsidRPr="00E80AAA">
        <w:rPr>
          <w:rFonts w:ascii="Verdana" w:hAnsi="Verdana"/>
          <w:sz w:val="18"/>
          <w:szCs w:val="18"/>
          <w:lang w:val="en-US"/>
        </w:rPr>
        <w:t xml:space="preserve"> </w:t>
      </w:r>
      <w:r w:rsidR="00AC2F3A">
        <w:rPr>
          <w:rFonts w:ascii="Verdana" w:hAnsi="Verdana"/>
          <w:sz w:val="18"/>
          <w:szCs w:val="18"/>
          <w:lang w:val="en-US"/>
        </w:rPr>
        <w:t>number of programmes or measures</w:t>
      </w:r>
    </w:p>
    <w:p w14:paraId="7CDDDEE8" w14:textId="7186B4F7" w:rsidR="00A16C5B" w:rsidRPr="00E80AAA" w:rsidRDefault="00A16C5B" w:rsidP="00AC2F3A">
      <w:pPr>
        <w:rPr>
          <w:rFonts w:ascii="Verdana" w:hAnsi="Verdana"/>
          <w:sz w:val="18"/>
          <w:szCs w:val="18"/>
          <w:lang w:val="en-US"/>
        </w:rPr>
      </w:pPr>
      <w:r w:rsidRPr="00E80AAA">
        <w:rPr>
          <w:rFonts w:ascii="Verdana" w:hAnsi="Verdana"/>
          <w:noProof/>
          <w:sz w:val="18"/>
          <w:szCs w:val="18"/>
        </w:rPr>
        <w:drawing>
          <wp:inline distT="0" distB="0" distL="0" distR="0" wp14:anchorId="05CB18C1" wp14:editId="25E352C1">
            <wp:extent cx="5344462" cy="2429301"/>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4718" cy="2433963"/>
                    </a:xfrm>
                    <a:prstGeom prst="rect">
                      <a:avLst/>
                    </a:prstGeom>
                    <a:noFill/>
                    <a:ln>
                      <a:noFill/>
                    </a:ln>
                  </pic:spPr>
                </pic:pic>
              </a:graphicData>
            </a:graphic>
          </wp:inline>
        </w:drawing>
      </w:r>
    </w:p>
    <w:p w14:paraId="2E52B387" w14:textId="77777777" w:rsidR="00A16C5B" w:rsidRPr="00E80AAA" w:rsidRDefault="00A16C5B" w:rsidP="00AC2F3A">
      <w:pPr>
        <w:widowControl w:val="0"/>
        <w:spacing w:after="0" w:line="240" w:lineRule="auto"/>
        <w:jc w:val="both"/>
        <w:rPr>
          <w:rFonts w:ascii="Verdana" w:hAnsi="Verdana" w:cs="Times New Roman"/>
          <w:sz w:val="18"/>
          <w:szCs w:val="18"/>
          <w:lang w:val="en-US"/>
        </w:rPr>
      </w:pPr>
    </w:p>
    <w:p w14:paraId="205ACB15" w14:textId="1934131B" w:rsidR="00FE32C8" w:rsidRPr="00E80AAA" w:rsidRDefault="00FE32C8" w:rsidP="00AC2F3A">
      <w:pPr>
        <w:pStyle w:val="BodyText"/>
        <w:spacing w:line="240" w:lineRule="auto"/>
        <w:ind w:left="0"/>
        <w:jc w:val="both"/>
        <w:rPr>
          <w:rFonts w:ascii="Verdana" w:hAnsi="Verdana" w:cs="Times New Roman"/>
          <w:sz w:val="18"/>
          <w:szCs w:val="18"/>
          <w:lang w:val="en-US"/>
        </w:rPr>
      </w:pPr>
      <w:r w:rsidRPr="00E80AAA">
        <w:rPr>
          <w:rFonts w:ascii="Verdana" w:hAnsi="Verdana" w:cs="Times New Roman"/>
          <w:sz w:val="18"/>
          <w:szCs w:val="18"/>
          <w:lang w:val="en-US"/>
        </w:rPr>
        <w:t xml:space="preserve">Even if the number of investment subsidies programmes surpasses the number of input subsidies programmes, between 2001 and 2019, total expenditure in the latter is more than </w:t>
      </w:r>
      <w:r w:rsidR="00D0769E">
        <w:rPr>
          <w:rFonts w:ascii="Verdana" w:hAnsi="Verdana" w:cs="Times New Roman"/>
          <w:sz w:val="18"/>
          <w:szCs w:val="18"/>
          <w:lang w:val="en-US"/>
        </w:rPr>
        <w:t>eight</w:t>
      </w:r>
      <w:r w:rsidRPr="00E80AAA">
        <w:rPr>
          <w:rFonts w:ascii="Verdana" w:hAnsi="Verdana" w:cs="Times New Roman"/>
          <w:sz w:val="18"/>
          <w:szCs w:val="18"/>
          <w:lang w:val="en-US"/>
        </w:rPr>
        <w:t xml:space="preserve"> times bigger than in the former (see Graph 10).</w:t>
      </w:r>
    </w:p>
    <w:p w14:paraId="7ED40EDF" w14:textId="563FC9AC" w:rsidR="00FE32C8" w:rsidRPr="00E80AAA" w:rsidRDefault="00FE32C8" w:rsidP="00AC2F3A">
      <w:pPr>
        <w:pStyle w:val="Caption"/>
        <w:spacing w:before="0" w:line="240" w:lineRule="auto"/>
        <w:rPr>
          <w:rFonts w:ascii="Verdana" w:hAnsi="Verdana"/>
          <w:sz w:val="18"/>
          <w:szCs w:val="18"/>
          <w:lang w:val="en-US"/>
        </w:rPr>
      </w:pPr>
      <w:r w:rsidRPr="00E80AAA">
        <w:rPr>
          <w:rFonts w:ascii="Verdana" w:hAnsi="Verdana"/>
          <w:sz w:val="18"/>
          <w:szCs w:val="18"/>
          <w:lang w:val="en-US"/>
        </w:rPr>
        <w:lastRenderedPageBreak/>
        <w:t>Graph 10: E</w:t>
      </w:r>
      <w:r w:rsidR="00AC2F3A">
        <w:rPr>
          <w:rFonts w:ascii="Verdana" w:hAnsi="Verdana"/>
          <w:sz w:val="18"/>
          <w:szCs w:val="18"/>
          <w:lang w:val="en-US"/>
        </w:rPr>
        <w:t>xpenditure notified under Article 6.2 since 2001</w:t>
      </w:r>
      <w:r w:rsidRPr="00E80AAA">
        <w:rPr>
          <w:rFonts w:ascii="Verdana" w:hAnsi="Verdana"/>
          <w:sz w:val="18"/>
          <w:szCs w:val="18"/>
          <w:lang w:val="en-US"/>
        </w:rPr>
        <w:t xml:space="preserve"> – </w:t>
      </w:r>
      <w:r w:rsidR="00AC2F3A">
        <w:rPr>
          <w:rFonts w:ascii="Verdana" w:hAnsi="Verdana"/>
          <w:sz w:val="18"/>
          <w:szCs w:val="18"/>
          <w:lang w:val="en-US"/>
        </w:rPr>
        <w:t>per sub-category</w:t>
      </w:r>
      <w:r w:rsidRPr="00E80AAA">
        <w:rPr>
          <w:rFonts w:ascii="Verdana" w:hAnsi="Verdana"/>
          <w:sz w:val="18"/>
          <w:szCs w:val="18"/>
          <w:lang w:val="en-US"/>
        </w:rPr>
        <w:t xml:space="preserve"> </w:t>
      </w:r>
    </w:p>
    <w:p w14:paraId="677BA35D" w14:textId="69D5D227" w:rsidR="00A16C5B" w:rsidRPr="00E80AAA" w:rsidRDefault="00A16C5B" w:rsidP="00A16C5B">
      <w:pPr>
        <w:rPr>
          <w:rFonts w:ascii="Verdana" w:hAnsi="Verdana"/>
          <w:sz w:val="18"/>
          <w:szCs w:val="18"/>
          <w:lang w:val="en-GB"/>
        </w:rPr>
      </w:pPr>
      <w:r w:rsidRPr="00E80AAA">
        <w:rPr>
          <w:rFonts w:ascii="Verdana" w:hAnsi="Verdana"/>
          <w:noProof/>
          <w:sz w:val="18"/>
          <w:szCs w:val="18"/>
        </w:rPr>
        <w:drawing>
          <wp:inline distT="0" distB="0" distL="0" distR="0" wp14:anchorId="70FC35D1" wp14:editId="44F3222C">
            <wp:extent cx="4874806" cy="2770496"/>
            <wp:effectExtent l="0" t="0" r="254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5672" cy="2776671"/>
                    </a:xfrm>
                    <a:prstGeom prst="rect">
                      <a:avLst/>
                    </a:prstGeom>
                    <a:noFill/>
                    <a:ln>
                      <a:noFill/>
                    </a:ln>
                  </pic:spPr>
                </pic:pic>
              </a:graphicData>
            </a:graphic>
          </wp:inline>
        </w:drawing>
      </w:r>
    </w:p>
    <w:p w14:paraId="0B6B425A" w14:textId="69A92A4F"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It is possible to identify a component of product-related specificity in 519 programmes or measures notified since 1995 (see Graph 11). Out of the 963 investment subsidies measures, 191 (18.9%) had some sort of product-related specificity</w:t>
      </w:r>
      <w:r w:rsidRPr="00E80AAA">
        <w:rPr>
          <w:rStyle w:val="FootnoteReference"/>
          <w:rFonts w:ascii="Verdana" w:hAnsi="Verdana" w:cs="Times New Roman"/>
          <w:sz w:val="18"/>
          <w:szCs w:val="18"/>
          <w:lang w:val="en-GB"/>
        </w:rPr>
        <w:footnoteReference w:id="20"/>
      </w:r>
      <w:r w:rsidRPr="00E80AAA">
        <w:rPr>
          <w:rFonts w:ascii="Verdana" w:hAnsi="Verdana" w:cs="Times New Roman"/>
          <w:sz w:val="18"/>
          <w:szCs w:val="18"/>
          <w:lang w:val="en-GB"/>
        </w:rPr>
        <w:t xml:space="preserve"> component included in the description provided in the notification. Out of the 696 agricultural input subsidies measures, 326 (46.9%) had some sort of product-related specificity component. Only 2 (3.6%) of the 56 </w:t>
      </w:r>
      <w:r w:rsidRPr="00E80AAA">
        <w:rPr>
          <w:rFonts w:ascii="Verdana" w:hAnsi="Verdana" w:cs="Times New Roman"/>
          <w:sz w:val="18"/>
          <w:szCs w:val="18"/>
          <w:lang w:val="en-US"/>
        </w:rPr>
        <w:t xml:space="preserve">diversification from growing illicit narcotic crops subsidies measures had </w:t>
      </w:r>
      <w:r w:rsidRPr="00E80AAA">
        <w:rPr>
          <w:rFonts w:ascii="Verdana" w:hAnsi="Verdana" w:cs="Times New Roman"/>
          <w:sz w:val="18"/>
          <w:szCs w:val="18"/>
          <w:lang w:val="en-GB"/>
        </w:rPr>
        <w:t>some sort of product-related specificity component.</w:t>
      </w:r>
    </w:p>
    <w:p w14:paraId="2CDD3197" w14:textId="25D45E5E" w:rsidR="00FE32C8" w:rsidRPr="00E80AAA" w:rsidRDefault="00FE32C8" w:rsidP="00AC2F3A">
      <w:pPr>
        <w:pStyle w:val="Caption"/>
        <w:rPr>
          <w:rFonts w:ascii="Verdana" w:hAnsi="Verdana"/>
          <w:sz w:val="18"/>
          <w:szCs w:val="18"/>
          <w:lang w:val="en-GB"/>
        </w:rPr>
      </w:pPr>
      <w:r w:rsidRPr="00E80AAA">
        <w:rPr>
          <w:rFonts w:ascii="Verdana" w:hAnsi="Verdana"/>
          <w:sz w:val="18"/>
          <w:szCs w:val="18"/>
          <w:lang w:val="en-GB"/>
        </w:rPr>
        <w:t>Graph 11: N</w:t>
      </w:r>
      <w:r w:rsidR="00AC2F3A">
        <w:rPr>
          <w:rFonts w:ascii="Verdana" w:hAnsi="Verdana"/>
          <w:sz w:val="18"/>
          <w:szCs w:val="18"/>
          <w:lang w:val="en-GB"/>
        </w:rPr>
        <w:t>otified 6.2 support expenditure with a product-specific reference since 1995</w:t>
      </w:r>
      <w:r w:rsidRPr="00E80AAA">
        <w:rPr>
          <w:rFonts w:ascii="Verdana" w:hAnsi="Verdana"/>
          <w:sz w:val="18"/>
          <w:szCs w:val="18"/>
          <w:lang w:val="en-GB"/>
        </w:rPr>
        <w:t xml:space="preserve"> – </w:t>
      </w:r>
      <w:r w:rsidR="00AC2F3A">
        <w:rPr>
          <w:rFonts w:ascii="Verdana" w:hAnsi="Verdana"/>
          <w:sz w:val="18"/>
          <w:szCs w:val="18"/>
          <w:lang w:val="en-GB"/>
        </w:rPr>
        <w:t>per sub-category</w:t>
      </w:r>
    </w:p>
    <w:p w14:paraId="616C870A" w14:textId="52B8AF74" w:rsidR="00A16C5B" w:rsidRPr="00E80AAA" w:rsidRDefault="00A16C5B" w:rsidP="00AC2F3A">
      <w:pPr>
        <w:rPr>
          <w:rFonts w:ascii="Verdana" w:hAnsi="Verdana"/>
          <w:sz w:val="18"/>
          <w:szCs w:val="18"/>
          <w:lang w:val="en-GB"/>
        </w:rPr>
      </w:pPr>
      <w:r w:rsidRPr="00E80AAA">
        <w:rPr>
          <w:rFonts w:ascii="Verdana" w:hAnsi="Verdana"/>
          <w:noProof/>
          <w:sz w:val="18"/>
          <w:szCs w:val="18"/>
        </w:rPr>
        <w:drawing>
          <wp:inline distT="0" distB="0" distL="0" distR="0" wp14:anchorId="1EA39036" wp14:editId="31DCBCDD">
            <wp:extent cx="5133656" cy="2224585"/>
            <wp:effectExtent l="0" t="0" r="0" b="444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778" cy="2228971"/>
                    </a:xfrm>
                    <a:prstGeom prst="rect">
                      <a:avLst/>
                    </a:prstGeom>
                    <a:noFill/>
                    <a:ln>
                      <a:noFill/>
                    </a:ln>
                  </pic:spPr>
                </pic:pic>
              </a:graphicData>
            </a:graphic>
          </wp:inline>
        </w:drawing>
      </w:r>
    </w:p>
    <w:p w14:paraId="18387289" w14:textId="335C719A"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The majority of product-related specificity relates to </w:t>
      </w:r>
      <w:r w:rsidR="004578FB">
        <w:rPr>
          <w:rFonts w:ascii="Verdana" w:hAnsi="Verdana" w:cs="Times New Roman"/>
          <w:sz w:val="18"/>
          <w:szCs w:val="18"/>
          <w:lang w:val="en-GB"/>
        </w:rPr>
        <w:t>"</w:t>
      </w:r>
      <w:r w:rsidRPr="00E80AAA">
        <w:rPr>
          <w:rFonts w:ascii="Verdana" w:hAnsi="Verdana" w:cs="Times New Roman"/>
          <w:sz w:val="18"/>
          <w:szCs w:val="18"/>
          <w:lang w:val="en-GB"/>
        </w:rPr>
        <w:t>crops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(211 measures), followed by </w:t>
      </w:r>
      <w:r w:rsidR="004578FB">
        <w:rPr>
          <w:rFonts w:ascii="Verdana" w:hAnsi="Verdana" w:cs="Times New Roman"/>
          <w:sz w:val="18"/>
          <w:szCs w:val="18"/>
          <w:lang w:val="en-GB"/>
        </w:rPr>
        <w:t>"</w:t>
      </w:r>
      <w:r w:rsidRPr="00E80AAA">
        <w:rPr>
          <w:rFonts w:ascii="Verdana" w:hAnsi="Verdana" w:cs="Times New Roman"/>
          <w:sz w:val="18"/>
          <w:szCs w:val="18"/>
          <w:lang w:val="en-GB"/>
        </w:rPr>
        <w:t>livestock</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(107 measures) support. There was a relevant number of measures related to </w:t>
      </w:r>
      <w:r w:rsidR="004578FB">
        <w:rPr>
          <w:rFonts w:ascii="Verdana" w:hAnsi="Verdana" w:cs="Times New Roman"/>
          <w:sz w:val="18"/>
          <w:szCs w:val="18"/>
          <w:lang w:val="en-GB"/>
        </w:rPr>
        <w:t>"</w:t>
      </w:r>
      <w:r w:rsidRPr="00E80AAA">
        <w:rPr>
          <w:rFonts w:ascii="Verdana" w:hAnsi="Verdana" w:cs="Times New Roman"/>
          <w:sz w:val="18"/>
          <w:szCs w:val="18"/>
          <w:lang w:val="en-GB"/>
        </w:rPr>
        <w:t>fruits/nuts/vegetables/horticulture</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(67); </w:t>
      </w:r>
      <w:r w:rsidR="004578FB">
        <w:rPr>
          <w:rFonts w:ascii="Verdana" w:hAnsi="Verdana" w:cs="Times New Roman"/>
          <w:sz w:val="18"/>
          <w:szCs w:val="18"/>
          <w:lang w:val="en-GB"/>
        </w:rPr>
        <w:t>"</w:t>
      </w:r>
      <w:r w:rsidRPr="00E80AAA">
        <w:rPr>
          <w:rFonts w:ascii="Verdana" w:hAnsi="Verdana" w:cs="Times New Roman"/>
          <w:sz w:val="18"/>
          <w:szCs w:val="18"/>
          <w:lang w:val="en-GB"/>
        </w:rPr>
        <w:t>spices/teas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(41); </w:t>
      </w:r>
      <w:r w:rsidR="004578FB">
        <w:rPr>
          <w:rFonts w:ascii="Verdana" w:hAnsi="Verdana" w:cs="Times New Roman"/>
          <w:sz w:val="18"/>
          <w:szCs w:val="18"/>
          <w:lang w:val="en-GB"/>
        </w:rPr>
        <w:t>"</w:t>
      </w:r>
      <w:r w:rsidRPr="00E80AAA">
        <w:rPr>
          <w:rFonts w:ascii="Verdana" w:hAnsi="Verdana" w:cs="Times New Roman"/>
          <w:sz w:val="18"/>
          <w:szCs w:val="18"/>
          <w:lang w:val="en-GB"/>
        </w:rPr>
        <w:t>rice</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(22); </w:t>
      </w:r>
      <w:r w:rsidR="004578FB">
        <w:rPr>
          <w:rFonts w:ascii="Verdana" w:hAnsi="Verdana" w:cs="Times New Roman"/>
          <w:sz w:val="18"/>
          <w:szCs w:val="18"/>
          <w:lang w:val="en-GB"/>
        </w:rPr>
        <w:t>"</w:t>
      </w:r>
      <w:r w:rsidRPr="00E80AAA">
        <w:rPr>
          <w:rFonts w:ascii="Verdana" w:hAnsi="Verdana" w:cs="Times New Roman"/>
          <w:sz w:val="18"/>
          <w:szCs w:val="18"/>
          <w:lang w:val="en-GB"/>
        </w:rPr>
        <w:t>coffee</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(19); </w:t>
      </w:r>
      <w:r w:rsidR="004578FB">
        <w:rPr>
          <w:rFonts w:ascii="Verdana" w:hAnsi="Verdana" w:cs="Times New Roman"/>
          <w:sz w:val="18"/>
          <w:szCs w:val="18"/>
          <w:lang w:val="en-GB"/>
        </w:rPr>
        <w:t>"</w:t>
      </w:r>
      <w:r w:rsidRPr="00E80AAA">
        <w:rPr>
          <w:rFonts w:ascii="Verdana" w:hAnsi="Verdana" w:cs="Times New Roman"/>
          <w:sz w:val="18"/>
          <w:szCs w:val="18"/>
          <w:lang w:val="en-GB"/>
        </w:rPr>
        <w:t>dairy/milk</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(15); and </w:t>
      </w:r>
      <w:r w:rsidR="004578FB">
        <w:rPr>
          <w:rFonts w:ascii="Verdana" w:hAnsi="Verdana" w:cs="Times New Roman"/>
          <w:sz w:val="18"/>
          <w:szCs w:val="18"/>
          <w:lang w:val="en-GB"/>
        </w:rPr>
        <w:t>"</w:t>
      </w:r>
      <w:r w:rsidRPr="00E80AAA">
        <w:rPr>
          <w:rFonts w:ascii="Verdana" w:hAnsi="Verdana" w:cs="Times New Roman"/>
          <w:sz w:val="18"/>
          <w:szCs w:val="18"/>
          <w:lang w:val="en-GB"/>
        </w:rPr>
        <w:t>cotton/silk</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(11) (see Graph 12).</w:t>
      </w:r>
    </w:p>
    <w:p w14:paraId="26882F7B" w14:textId="17CB9F9A" w:rsidR="00FE32C8" w:rsidRPr="00E80AAA" w:rsidRDefault="00FE32C8" w:rsidP="00AC2F3A">
      <w:pPr>
        <w:pStyle w:val="Caption"/>
        <w:spacing w:before="0" w:line="240" w:lineRule="auto"/>
        <w:rPr>
          <w:rFonts w:ascii="Verdana" w:hAnsi="Verdana"/>
          <w:sz w:val="18"/>
          <w:szCs w:val="18"/>
          <w:lang w:val="en-GB"/>
        </w:rPr>
      </w:pPr>
      <w:r w:rsidRPr="00E80AAA">
        <w:rPr>
          <w:rFonts w:ascii="Verdana" w:hAnsi="Verdana"/>
          <w:sz w:val="18"/>
          <w:szCs w:val="18"/>
          <w:lang w:val="en-GB"/>
        </w:rPr>
        <w:lastRenderedPageBreak/>
        <w:t xml:space="preserve">Graph 12: </w:t>
      </w:r>
      <w:r w:rsidR="00005990" w:rsidRPr="00E80AAA">
        <w:rPr>
          <w:rFonts w:ascii="Verdana" w:hAnsi="Verdana"/>
          <w:sz w:val="18"/>
          <w:szCs w:val="18"/>
          <w:lang w:val="en-GB"/>
        </w:rPr>
        <w:t>"Product-specific" versus "Generally available" programmes or measures</w:t>
      </w:r>
      <w:r w:rsidRPr="00E80AAA">
        <w:rPr>
          <w:rFonts w:ascii="Verdana" w:hAnsi="Verdana"/>
          <w:sz w:val="18"/>
          <w:szCs w:val="18"/>
          <w:lang w:val="en-GB"/>
        </w:rPr>
        <w:t xml:space="preserve"> – </w:t>
      </w:r>
      <w:r w:rsidR="00005990" w:rsidRPr="00E80AAA">
        <w:rPr>
          <w:rFonts w:ascii="Verdana" w:hAnsi="Verdana"/>
          <w:sz w:val="18"/>
          <w:szCs w:val="18"/>
          <w:lang w:val="en-GB"/>
        </w:rPr>
        <w:t>since</w:t>
      </w:r>
      <w:r w:rsidRPr="00E80AAA">
        <w:rPr>
          <w:rFonts w:ascii="Verdana" w:hAnsi="Verdana"/>
          <w:sz w:val="18"/>
          <w:szCs w:val="18"/>
          <w:lang w:val="en-GB"/>
        </w:rPr>
        <w:t xml:space="preserve"> 1995</w:t>
      </w:r>
    </w:p>
    <w:p w14:paraId="07735D49" w14:textId="50D30694" w:rsidR="00A16C5B" w:rsidRPr="00E80AAA" w:rsidRDefault="00A16C5B" w:rsidP="00AC2F3A">
      <w:pPr>
        <w:rPr>
          <w:rFonts w:ascii="Verdana" w:hAnsi="Verdana"/>
          <w:sz w:val="18"/>
          <w:szCs w:val="18"/>
          <w:lang w:val="en-GB"/>
        </w:rPr>
      </w:pPr>
      <w:r w:rsidRPr="00E80AAA">
        <w:rPr>
          <w:rFonts w:ascii="Verdana" w:hAnsi="Verdana"/>
          <w:noProof/>
          <w:sz w:val="18"/>
          <w:szCs w:val="18"/>
        </w:rPr>
        <w:drawing>
          <wp:inline distT="0" distB="0" distL="0" distR="0" wp14:anchorId="37047A11" wp14:editId="2C9E5296">
            <wp:extent cx="5000625" cy="334327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3343275"/>
                    </a:xfrm>
                    <a:prstGeom prst="rect">
                      <a:avLst/>
                    </a:prstGeom>
                    <a:noFill/>
                    <a:ln>
                      <a:noFill/>
                    </a:ln>
                  </pic:spPr>
                </pic:pic>
              </a:graphicData>
            </a:graphic>
          </wp:inline>
        </w:drawing>
      </w:r>
    </w:p>
    <w:p w14:paraId="56859860" w14:textId="77777777" w:rsidR="00A16C5B" w:rsidRPr="00E80AAA" w:rsidRDefault="00A16C5B" w:rsidP="00AC2F3A">
      <w:pPr>
        <w:spacing w:after="0" w:line="240" w:lineRule="auto"/>
        <w:jc w:val="both"/>
        <w:rPr>
          <w:rFonts w:ascii="Verdana" w:hAnsi="Verdana" w:cs="Times New Roman"/>
          <w:sz w:val="18"/>
          <w:szCs w:val="18"/>
          <w:lang w:val="en-GB"/>
        </w:rPr>
      </w:pPr>
    </w:p>
    <w:p w14:paraId="020A1F61" w14:textId="6F4FF035" w:rsidR="00FE32C8" w:rsidRPr="00E80AAA" w:rsidRDefault="00FE32C8" w:rsidP="00AC2F3A">
      <w:pPr>
        <w:pStyle w:val="Heading1"/>
        <w:spacing w:line="240" w:lineRule="auto"/>
        <w:rPr>
          <w:rFonts w:ascii="Verdana" w:hAnsi="Verdana"/>
          <w:sz w:val="18"/>
          <w:szCs w:val="18"/>
          <w:lang w:val="en-GB"/>
        </w:rPr>
      </w:pPr>
      <w:r w:rsidRPr="00E80AAA">
        <w:rPr>
          <w:rFonts w:ascii="Verdana" w:hAnsi="Verdana"/>
          <w:sz w:val="18"/>
          <w:szCs w:val="18"/>
          <w:lang w:val="en-GB"/>
        </w:rPr>
        <w:t xml:space="preserve"> FINAL REMARKS</w:t>
      </w:r>
    </w:p>
    <w:p w14:paraId="33C475E8" w14:textId="592DEA70"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This document aims to contribute to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discussions by offering a comprehensive view (on the basis of DS:1 notifications) on the usage of domestic support under the Article 6.2.</w:t>
      </w:r>
    </w:p>
    <w:p w14:paraId="12EC020D" w14:textId="45D25513"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Such discussion is needed, because, although figures cannot be analysed without paying full attention to the development component of Article 6.2, data suggest that this kind of support both in absolute terms and as a share of all support provided under Article 6 has been higher in recent years in comparison with the beginning of this century.</w:t>
      </w:r>
      <w:r w:rsidRPr="00E80AAA">
        <w:rPr>
          <w:rFonts w:ascii="Verdana" w:hAnsi="Verdana" w:cs="Times New Roman"/>
          <w:color w:val="FF0000"/>
          <w:sz w:val="18"/>
          <w:szCs w:val="18"/>
          <w:lang w:val="en-GB"/>
        </w:rPr>
        <w:t xml:space="preserve"> </w:t>
      </w:r>
      <w:r w:rsidRPr="00E80AAA">
        <w:rPr>
          <w:rFonts w:ascii="Verdana" w:hAnsi="Verdana" w:cs="Times New Roman"/>
          <w:sz w:val="18"/>
          <w:szCs w:val="18"/>
          <w:lang w:val="en-US"/>
        </w:rPr>
        <w:t>Expenditure in agricultural inputs subsidies, which surpass in value expenditure in investment subsidies, has been amassing a large portion of domestic support in general.</w:t>
      </w:r>
      <w:r w:rsidRPr="00E80AAA">
        <w:rPr>
          <w:rFonts w:ascii="Verdana" w:hAnsi="Verdana" w:cs="Times New Roman"/>
          <w:sz w:val="18"/>
          <w:szCs w:val="18"/>
          <w:lang w:val="en-GB"/>
        </w:rPr>
        <w:t xml:space="preserve"> In terms of the future of domestic support negotiations as determined by Article 20 of the AoA, excluding more than a quarter of notified TDDS from future rules and modalities would render the outcome outdated from its outset.</w:t>
      </w:r>
    </w:p>
    <w:p w14:paraId="03176C1E" w14:textId="13B0619F"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In addition, data indicate that most Article 6.2 users – which account for less than half of the Members who are entitled to use it and only a quarter if only the previous five years are taken into account - have notified low levels of expenditure both relative to their Amber Box entitlements and their value of production. Even major users - five of the Members that notified domestic support under Article 6.2 are responsible for around 90% of expenditures annually - are seeing a reduction in the relative importance of Article 6.2 compared to both their Amber Box entitlements and their VoP, which comes coupled with changes in their domestic policies and the growth in their </w:t>
      </w:r>
      <w:r w:rsidR="004578FB">
        <w:rPr>
          <w:rFonts w:ascii="Verdana" w:hAnsi="Verdana" w:cs="Times New Roman"/>
          <w:sz w:val="18"/>
          <w:szCs w:val="18"/>
          <w:lang w:val="en-GB"/>
        </w:rPr>
        <w:t>"</w:t>
      </w:r>
      <w:r w:rsidRPr="00D0769E">
        <w:rPr>
          <w:rFonts w:ascii="Verdana" w:hAnsi="Verdana" w:cs="Times New Roman"/>
          <w:i/>
          <w:iCs/>
          <w:sz w:val="18"/>
          <w:szCs w:val="18"/>
          <w:lang w:val="en-GB"/>
        </w:rPr>
        <w:t>de minimis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space. Therefore, if reform is achieved through a </w:t>
      </w:r>
      <w:r w:rsidR="004578FB">
        <w:rPr>
          <w:rFonts w:ascii="Verdana" w:hAnsi="Verdana" w:cs="Times New Roman"/>
          <w:sz w:val="18"/>
          <w:szCs w:val="18"/>
          <w:lang w:val="en-GB"/>
        </w:rPr>
        <w:t>"</w:t>
      </w:r>
      <w:r w:rsidRPr="00E80AAA">
        <w:rPr>
          <w:rFonts w:ascii="Verdana" w:hAnsi="Verdana" w:cs="Times New Roman"/>
          <w:sz w:val="18"/>
          <w:szCs w:val="18"/>
          <w:lang w:val="en-GB"/>
        </w:rPr>
        <w:t>cap-and-reduce</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approach that considers all policy space derived from Article 6, the inclusion of Article 6.2 would not unduly limit the policy space available to developing Members. Agricultural programmes that will allow </w:t>
      </w:r>
      <w:r w:rsidR="004578FB">
        <w:rPr>
          <w:rFonts w:ascii="Verdana" w:hAnsi="Verdana" w:cs="Times New Roman"/>
          <w:sz w:val="18"/>
          <w:szCs w:val="18"/>
          <w:lang w:val="en-GB"/>
        </w:rPr>
        <w:t>"</w:t>
      </w:r>
      <w:r w:rsidRPr="00E80AAA">
        <w:rPr>
          <w:rFonts w:ascii="Verdana" w:hAnsi="Verdana" w:cs="Times New Roman"/>
          <w:sz w:val="18"/>
          <w:szCs w:val="18"/>
          <w:lang w:val="en-GB"/>
        </w:rPr>
        <w:t xml:space="preserve">farmers to have the opportunity to </w:t>
      </w:r>
      <w:r w:rsidR="004578FB">
        <w:rPr>
          <w:rFonts w:ascii="Verdana" w:hAnsi="Verdana" w:cs="Times New Roman"/>
          <w:sz w:val="18"/>
          <w:szCs w:val="18"/>
          <w:lang w:val="en-GB"/>
        </w:rPr>
        <w:t>(</w:t>
      </w:r>
      <w:r w:rsidRPr="00E80AAA">
        <w:rPr>
          <w:rFonts w:ascii="Verdana" w:hAnsi="Verdana" w:cs="Times New Roman"/>
          <w:sz w:val="18"/>
          <w:szCs w:val="18"/>
          <w:lang w:val="en-GB"/>
        </w:rPr>
        <w:t>i</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engage and benefit from the economic development, </w:t>
      </w:r>
      <w:r w:rsidR="004578FB">
        <w:rPr>
          <w:rFonts w:ascii="Verdana" w:hAnsi="Verdana" w:cs="Times New Roman"/>
          <w:sz w:val="18"/>
          <w:szCs w:val="18"/>
          <w:lang w:val="en-GB"/>
        </w:rPr>
        <w:t>(</w:t>
      </w:r>
      <w:r w:rsidRPr="00E80AAA">
        <w:rPr>
          <w:rFonts w:ascii="Verdana" w:hAnsi="Verdana" w:cs="Times New Roman"/>
          <w:sz w:val="18"/>
          <w:szCs w:val="18"/>
          <w:lang w:val="en-GB"/>
        </w:rPr>
        <w:t>ii</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have decent work in a level playing field, and </w:t>
      </w:r>
      <w:r w:rsidR="004578FB">
        <w:rPr>
          <w:rFonts w:ascii="Verdana" w:hAnsi="Verdana" w:cs="Times New Roman"/>
          <w:sz w:val="18"/>
          <w:szCs w:val="18"/>
          <w:lang w:val="en-GB"/>
        </w:rPr>
        <w:t>(</w:t>
      </w:r>
      <w:r w:rsidRPr="00E80AAA">
        <w:rPr>
          <w:rFonts w:ascii="Verdana" w:hAnsi="Verdana" w:cs="Times New Roman"/>
          <w:sz w:val="18"/>
          <w:szCs w:val="18"/>
          <w:lang w:val="en-GB"/>
        </w:rPr>
        <w:t>iii</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be able to obtain and control resources to maintain livelihood</w:t>
      </w:r>
      <w:r w:rsidRPr="00E80AAA">
        <w:rPr>
          <w:rFonts w:ascii="Verdana" w:hAnsi="Verdana" w:cs="Times New Roman"/>
          <w:sz w:val="18"/>
          <w:szCs w:val="18"/>
          <w:vertAlign w:val="superscript"/>
          <w:lang w:val="en-GB"/>
        </w:rPr>
        <w:footnoteReference w:id="21"/>
      </w:r>
      <w:r w:rsidR="004578FB">
        <w:rPr>
          <w:rFonts w:ascii="Verdana" w:hAnsi="Verdana" w:cs="Times New Roman"/>
          <w:sz w:val="18"/>
          <w:szCs w:val="18"/>
          <w:lang w:val="en-GB"/>
        </w:rPr>
        <w:t>"</w:t>
      </w:r>
      <w:r w:rsidRPr="00E80AAA">
        <w:rPr>
          <w:rFonts w:ascii="Verdana" w:hAnsi="Verdana" w:cs="Times New Roman"/>
          <w:sz w:val="18"/>
          <w:szCs w:val="18"/>
          <w:lang w:val="en-GB"/>
        </w:rPr>
        <w:t xml:space="preserve"> will still be available for Members to pursue the Sustainable Development Goals.</w:t>
      </w:r>
    </w:p>
    <w:p w14:paraId="349B61A3" w14:textId="5B86234D"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lastRenderedPageBreak/>
        <w:t>In terms of negotiation modalities, any discipline that only takes into account Amber Box entitlements will misestimate significantly the weight of certain Members in assessing their distortion potentials in production and world trade. Hence, the exclusion of Article 6.2 seems detrimental to modalities that seek to ascribe obligations that correspond to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role in the current distortion of the international agricultural trading system and would be harmful to the interests of the majority of WTO Members. Moreover, several Members have expressed the need to clarify some concepts and/or to establish additional transparency dispositions to limit the potential distortive impact of this type of subsidies on international trade and production. Taking into account mainly data communicated by Members through notifications, this document shows some areas in which further and better information is needed for better assessments within the ongoing negotiations.</w:t>
      </w:r>
    </w:p>
    <w:p w14:paraId="47FD8089" w14:textId="1C327161"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Regardless of the approach that would be applied to the reduction of Article 6 entitlements and the manner in which Article 6.2 will be considered in the negotiations, the result should be consistent with the principle of proportionality in the reductions, in line with the guidelines proposed by the </w:t>
      </w:r>
      <w:r w:rsidR="004578FB">
        <w:rPr>
          <w:rFonts w:ascii="Verdana" w:hAnsi="Verdana" w:cs="Times New Roman"/>
          <w:sz w:val="18"/>
          <w:szCs w:val="18"/>
          <w:lang w:val="en-GB"/>
        </w:rPr>
        <w:t>"</w:t>
      </w:r>
      <w:r w:rsidRPr="00E80AAA">
        <w:rPr>
          <w:rFonts w:ascii="Verdana" w:hAnsi="Verdana" w:cs="Times New Roman"/>
          <w:sz w:val="18"/>
          <w:szCs w:val="18"/>
          <w:lang w:val="en-GB"/>
        </w:rPr>
        <w:t>Framework for Negotiations on Domestic Support</w:t>
      </w:r>
      <w:r w:rsidR="004578FB">
        <w:rPr>
          <w:rFonts w:ascii="Verdana" w:hAnsi="Verdana" w:cs="Times New Roman"/>
          <w:sz w:val="18"/>
          <w:szCs w:val="18"/>
          <w:lang w:val="en-GB"/>
        </w:rPr>
        <w:t>"</w:t>
      </w:r>
      <w:r w:rsidRPr="00E80AAA">
        <w:rPr>
          <w:rFonts w:ascii="Verdana" w:hAnsi="Verdana" w:cs="Times New Roman"/>
          <w:sz w:val="18"/>
          <w:szCs w:val="18"/>
          <w:lang w:val="en-GB"/>
        </w:rPr>
        <w:t>. The use of a proportional approach ensures that the greater a Member's participation in the global trade distorting potential</w:t>
      </w:r>
      <w:r w:rsidRPr="00E80AAA">
        <w:rPr>
          <w:rFonts w:ascii="Verdana" w:hAnsi="Verdana" w:cs="Times New Roman"/>
          <w:sz w:val="18"/>
          <w:szCs w:val="18"/>
          <w:vertAlign w:val="superscript"/>
          <w:lang w:val="en-GB"/>
        </w:rPr>
        <w:footnoteReference w:id="22"/>
      </w:r>
      <w:r w:rsidRPr="00E80AAA">
        <w:rPr>
          <w:rFonts w:ascii="Verdana" w:hAnsi="Verdana" w:cs="Times New Roman"/>
          <w:sz w:val="18"/>
          <w:szCs w:val="18"/>
          <w:lang w:val="en-GB"/>
        </w:rPr>
        <w:t xml:space="preserve">, the greater its contribution to the reduction efforts should be. The successful implementation of this principle has the greatest potential to generate a </w:t>
      </w:r>
      <w:r w:rsidR="004578FB">
        <w:rPr>
          <w:rFonts w:ascii="Verdana" w:hAnsi="Verdana" w:cs="Times New Roman"/>
          <w:sz w:val="18"/>
          <w:szCs w:val="18"/>
          <w:lang w:val="en-GB"/>
        </w:rPr>
        <w:t>"</w:t>
      </w:r>
      <w:r w:rsidRPr="00E80AAA">
        <w:rPr>
          <w:rFonts w:ascii="Verdana" w:hAnsi="Verdana" w:cs="Times New Roman"/>
          <w:sz w:val="18"/>
          <w:szCs w:val="18"/>
          <w:lang w:val="en-GB"/>
        </w:rPr>
        <w:t>level playing field</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in the international agricultural system. Along with the other elements in the Framework, it would prevent leakages or excessive burdens in terms of the reforms that would be required. </w:t>
      </w:r>
    </w:p>
    <w:p w14:paraId="6338DBD6" w14:textId="77777777"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Moving forward, Members will have to discuss how to properly assess when domestic support classified under Article 6.2 is truly benefiting low-income or resource-poor farmers, who produce for subsistence, for local markets or in the context of social programmes, being, in this sense, players in combating hunger and food insecurity at a national level. </w:t>
      </w:r>
    </w:p>
    <w:p w14:paraId="1756994E" w14:textId="67872FDB"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This assessment is of the utmost importance, for Members to be able to craft rules that tend to meet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individual development needs, providing them with a policy space that, albeit under some sort of limitation, does not impair Members</w:t>
      </w:r>
      <w:r w:rsidR="004578FB">
        <w:rPr>
          <w:rFonts w:ascii="Verdana" w:hAnsi="Verdana" w:cs="Times New Roman"/>
          <w:sz w:val="18"/>
          <w:szCs w:val="18"/>
          <w:lang w:val="en-GB"/>
        </w:rPr>
        <w:t>'</w:t>
      </w:r>
      <w:r w:rsidRPr="00E80AAA">
        <w:rPr>
          <w:rFonts w:ascii="Verdana" w:hAnsi="Verdana" w:cs="Times New Roman"/>
          <w:sz w:val="18"/>
          <w:szCs w:val="18"/>
          <w:lang w:val="en-GB"/>
        </w:rPr>
        <w:t xml:space="preserve"> agricultural programmes for low-income or resource-poor farmers. At the same time, this policy space cannot be a tool for Members to disguise support</w:t>
      </w:r>
      <w:r w:rsidRPr="00E80AAA" w:rsidDel="00D81E32">
        <w:rPr>
          <w:rFonts w:ascii="Verdana" w:hAnsi="Verdana" w:cs="Times New Roman"/>
          <w:sz w:val="18"/>
          <w:szCs w:val="18"/>
          <w:lang w:val="en-GB"/>
        </w:rPr>
        <w:t xml:space="preserve"> </w:t>
      </w:r>
      <w:r w:rsidRPr="00E80AAA">
        <w:rPr>
          <w:rFonts w:ascii="Verdana" w:hAnsi="Verdana" w:cs="Times New Roman"/>
          <w:sz w:val="18"/>
          <w:szCs w:val="18"/>
          <w:lang w:val="en-GB"/>
        </w:rPr>
        <w:t>provided under import substitution programmes or for highly exported agricultural products as Article 6.2 support.</w:t>
      </w:r>
    </w:p>
    <w:p w14:paraId="704402C6" w14:textId="77777777" w:rsidR="00FE32C8" w:rsidRPr="00E80AAA" w:rsidRDefault="00FE32C8" w:rsidP="00AC2F3A">
      <w:pPr>
        <w:pStyle w:val="BodyText"/>
        <w:spacing w:line="240" w:lineRule="auto"/>
        <w:ind w:left="0"/>
        <w:jc w:val="both"/>
        <w:rPr>
          <w:rFonts w:ascii="Verdana" w:hAnsi="Verdana" w:cs="Times New Roman"/>
          <w:sz w:val="18"/>
          <w:szCs w:val="18"/>
          <w:lang w:val="en-GB"/>
        </w:rPr>
      </w:pPr>
      <w:r w:rsidRPr="00E80AAA">
        <w:rPr>
          <w:rFonts w:ascii="Verdana" w:hAnsi="Verdana" w:cs="Times New Roman"/>
          <w:sz w:val="18"/>
          <w:szCs w:val="18"/>
          <w:lang w:val="en-GB"/>
        </w:rPr>
        <w:t xml:space="preserve">The WTO is the competent fora for Members to define the rules for domestic support that will allow low-income or resource-poor farmers to play, in a dignified way, their role in agricultural value chains, contributing for improved availability of and access to food. These rules will need to address not only policy space, but they will also need to correct and prevent trade restrictions and distortions in world agricultural markets, as stated in SDG 2. </w:t>
      </w:r>
    </w:p>
    <w:p w14:paraId="0FA453E6" w14:textId="77777777" w:rsidR="007E3658" w:rsidRDefault="007E3658" w:rsidP="007E3658">
      <w:pPr>
        <w:spacing w:after="0" w:line="240" w:lineRule="auto"/>
        <w:jc w:val="center"/>
        <w:rPr>
          <w:rFonts w:ascii="Verdana" w:hAnsi="Verdana" w:cs="Times New Roman"/>
          <w:b/>
          <w:sz w:val="18"/>
          <w:szCs w:val="18"/>
          <w:lang w:val="en-GB"/>
        </w:rPr>
      </w:pPr>
      <w:r>
        <w:rPr>
          <w:rFonts w:ascii="Verdana" w:hAnsi="Verdana" w:cs="Times New Roman"/>
          <w:b/>
          <w:sz w:val="18"/>
          <w:szCs w:val="18"/>
          <w:lang w:val="en-GB"/>
        </w:rPr>
        <w:t>_______________</w:t>
      </w:r>
    </w:p>
    <w:p w14:paraId="034EBE07" w14:textId="77777777" w:rsidR="007E3658" w:rsidRDefault="007E3658" w:rsidP="007E3658">
      <w:pPr>
        <w:spacing w:after="0" w:line="240" w:lineRule="auto"/>
        <w:jc w:val="both"/>
        <w:rPr>
          <w:rFonts w:ascii="Verdana" w:hAnsi="Verdana" w:cs="Times New Roman"/>
          <w:sz w:val="18"/>
          <w:szCs w:val="18"/>
          <w:lang w:val="en-GB"/>
        </w:rPr>
      </w:pPr>
    </w:p>
    <w:p w14:paraId="7864968E" w14:textId="2E335B9F" w:rsidR="007E3658" w:rsidRPr="007E3658" w:rsidRDefault="007E3658" w:rsidP="007E3658">
      <w:pPr>
        <w:spacing w:after="0" w:line="240" w:lineRule="auto"/>
        <w:jc w:val="both"/>
        <w:rPr>
          <w:rFonts w:ascii="Verdana" w:hAnsi="Verdana" w:cs="Times New Roman"/>
          <w:sz w:val="18"/>
          <w:szCs w:val="18"/>
          <w:lang w:val="en-GB"/>
        </w:rPr>
        <w:sectPr w:rsidR="007E3658" w:rsidRPr="007E3658" w:rsidSect="00BE16A4">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701" w:right="1440" w:bottom="1440" w:left="1440" w:header="720" w:footer="720" w:gutter="0"/>
          <w:cols w:space="708"/>
          <w:titlePg/>
          <w:docGrid w:linePitch="360"/>
        </w:sectPr>
      </w:pPr>
    </w:p>
    <w:p w14:paraId="14EF1C15" w14:textId="77777777" w:rsidR="00005990" w:rsidRPr="00E80AAA" w:rsidRDefault="00FE32C8" w:rsidP="00E80AAA">
      <w:pPr>
        <w:pStyle w:val="Title"/>
        <w:rPr>
          <w:rStyle w:val="TitleChar"/>
          <w:rFonts w:ascii="Verdana" w:hAnsi="Verdana"/>
          <w:b/>
          <w:bCs/>
          <w:caps/>
          <w:sz w:val="18"/>
          <w:szCs w:val="18"/>
        </w:rPr>
      </w:pPr>
      <w:r w:rsidRPr="00E80AAA">
        <w:rPr>
          <w:rStyle w:val="TitleChar"/>
          <w:rFonts w:ascii="Verdana" w:hAnsi="Verdana"/>
          <w:b/>
          <w:bCs/>
          <w:caps/>
          <w:sz w:val="18"/>
          <w:szCs w:val="18"/>
        </w:rPr>
        <w:lastRenderedPageBreak/>
        <w:t>Annex 1</w:t>
      </w:r>
    </w:p>
    <w:p w14:paraId="27A97BB9" w14:textId="058BE923" w:rsidR="00FE32C8" w:rsidRPr="00E80AAA" w:rsidRDefault="00FE32C8" w:rsidP="00E80AAA">
      <w:pPr>
        <w:pStyle w:val="Title2"/>
        <w:spacing w:after="240" w:line="240" w:lineRule="auto"/>
        <w:rPr>
          <w:rFonts w:ascii="Verdana" w:hAnsi="Verdana"/>
          <w:sz w:val="18"/>
          <w:lang w:val="en-GB"/>
        </w:rPr>
      </w:pPr>
      <w:r w:rsidRPr="00E80AAA">
        <w:rPr>
          <w:rStyle w:val="TitleChar"/>
          <w:rFonts w:ascii="Verdana" w:hAnsi="Verdana"/>
          <w:b w:val="0"/>
          <w:bCs w:val="0"/>
          <w:sz w:val="18"/>
          <w:szCs w:val="18"/>
        </w:rPr>
        <w:t>DOMESTIC SUPPORT BY MAIN USERS OF ARTICLE 6.2 SUP</w:t>
      </w:r>
      <w:r w:rsidRPr="00E80AAA">
        <w:rPr>
          <w:rFonts w:ascii="Verdana" w:hAnsi="Verdana"/>
          <w:sz w:val="18"/>
          <w:lang w:val="en-GB"/>
        </w:rPr>
        <w:t>PORT</w:t>
      </w:r>
      <w:r w:rsidRPr="00E80AAA">
        <w:rPr>
          <w:rStyle w:val="FootnoteReference"/>
          <w:rFonts w:ascii="Verdana" w:hAnsi="Verdana"/>
          <w:sz w:val="18"/>
          <w:lang w:val="en-GB"/>
        </w:rPr>
        <w:footnoteReference w:id="23"/>
      </w:r>
    </w:p>
    <w:p w14:paraId="02C74E5A" w14:textId="4B602664" w:rsidR="00FE32C8" w:rsidRPr="00E80AAA" w:rsidRDefault="00FE32C8" w:rsidP="005A72EA">
      <w:pPr>
        <w:spacing w:after="0" w:line="240" w:lineRule="auto"/>
        <w:jc w:val="both"/>
        <w:rPr>
          <w:rFonts w:ascii="Verdana" w:hAnsi="Verdana" w:cs="Times New Roman"/>
          <w:bCs/>
          <w:sz w:val="18"/>
          <w:szCs w:val="18"/>
          <w:lang w:val="en-GB"/>
        </w:rPr>
      </w:pPr>
      <w:r w:rsidRPr="00E80AAA">
        <w:rPr>
          <w:rFonts w:ascii="Verdana" w:hAnsi="Verdana" w:cs="Times New Roman"/>
          <w:bCs/>
          <w:sz w:val="18"/>
          <w:szCs w:val="18"/>
          <w:lang w:val="en-GB"/>
        </w:rPr>
        <w:t xml:space="preserve">For the graphs below, IISD and IFPRI classified Green Box as support notified falling under Annex 2 of the AoA; AMS ceiling as FBTAMS limits; Article 6.2 as support notified under Article 6.2 of the AoA; </w:t>
      </w:r>
      <w:r w:rsidR="004578FB">
        <w:rPr>
          <w:rFonts w:ascii="Verdana" w:hAnsi="Verdana" w:cs="Times New Roman"/>
          <w:bCs/>
          <w:sz w:val="18"/>
          <w:szCs w:val="18"/>
          <w:lang w:val="en-GB"/>
        </w:rPr>
        <w:t>"</w:t>
      </w:r>
      <w:r w:rsidR="009A7B20" w:rsidRPr="009A7B20">
        <w:rPr>
          <w:rFonts w:ascii="Verdana" w:hAnsi="Verdana" w:cs="Times New Roman"/>
          <w:bCs/>
          <w:i/>
          <w:iCs/>
          <w:sz w:val="18"/>
          <w:szCs w:val="18"/>
          <w:lang w:val="en-GB"/>
        </w:rPr>
        <w:t>d</w:t>
      </w:r>
      <w:r w:rsidRPr="009A7B20">
        <w:rPr>
          <w:rFonts w:ascii="Verdana" w:hAnsi="Verdana" w:cs="Times New Roman"/>
          <w:bCs/>
          <w:i/>
          <w:iCs/>
          <w:sz w:val="18"/>
          <w:szCs w:val="18"/>
          <w:lang w:val="en-GB"/>
        </w:rPr>
        <w:t>e minimis</w:t>
      </w:r>
      <w:r w:rsidR="004578FB">
        <w:rPr>
          <w:rFonts w:ascii="Verdana" w:hAnsi="Verdana" w:cs="Times New Roman"/>
          <w:bCs/>
          <w:sz w:val="18"/>
          <w:szCs w:val="18"/>
          <w:lang w:val="en-GB"/>
        </w:rPr>
        <w:t>"</w:t>
      </w:r>
      <w:r w:rsidRPr="00E80AAA">
        <w:rPr>
          <w:rFonts w:ascii="Verdana" w:hAnsi="Verdana" w:cs="Times New Roman"/>
          <w:bCs/>
          <w:sz w:val="18"/>
          <w:szCs w:val="18"/>
          <w:lang w:val="en-GB"/>
        </w:rPr>
        <w:t xml:space="preserve"> as support notified below PS and NPS </w:t>
      </w:r>
      <w:r w:rsidR="004578FB">
        <w:rPr>
          <w:rFonts w:ascii="Verdana" w:hAnsi="Verdana" w:cs="Times New Roman"/>
          <w:bCs/>
          <w:sz w:val="18"/>
          <w:szCs w:val="18"/>
          <w:lang w:val="en-GB"/>
        </w:rPr>
        <w:t>"</w:t>
      </w:r>
      <w:r w:rsidRPr="004F37B4">
        <w:rPr>
          <w:rFonts w:ascii="Verdana" w:hAnsi="Verdana" w:cs="Times New Roman"/>
          <w:bCs/>
          <w:i/>
          <w:iCs/>
          <w:sz w:val="18"/>
          <w:szCs w:val="18"/>
          <w:lang w:val="en-GB"/>
        </w:rPr>
        <w:t>de minimis</w:t>
      </w:r>
      <w:r w:rsidR="004578FB">
        <w:rPr>
          <w:rFonts w:ascii="Verdana" w:hAnsi="Verdana" w:cs="Times New Roman"/>
          <w:bCs/>
          <w:sz w:val="18"/>
          <w:szCs w:val="18"/>
          <w:lang w:val="en-GB"/>
        </w:rPr>
        <w:t>"</w:t>
      </w:r>
      <w:r w:rsidRPr="00E80AAA">
        <w:rPr>
          <w:rFonts w:ascii="Verdana" w:hAnsi="Verdana" w:cs="Times New Roman"/>
          <w:bCs/>
          <w:sz w:val="18"/>
          <w:szCs w:val="18"/>
          <w:lang w:val="en-GB"/>
        </w:rPr>
        <w:t xml:space="preserve"> levels; and Amber Box (AMS) as only CTAMS.</w:t>
      </w:r>
    </w:p>
    <w:p w14:paraId="5C6450AC" w14:textId="77777777" w:rsidR="00FE32C8" w:rsidRPr="00E80AAA" w:rsidRDefault="00FE32C8" w:rsidP="00E80AAA">
      <w:pPr>
        <w:pStyle w:val="Caption"/>
        <w:rPr>
          <w:rFonts w:ascii="Verdana" w:hAnsi="Verdana"/>
          <w:sz w:val="18"/>
          <w:szCs w:val="18"/>
          <w:lang w:val="en-GB"/>
        </w:rPr>
      </w:pPr>
      <w:r w:rsidRPr="00E80AAA">
        <w:rPr>
          <w:rFonts w:ascii="Verdana" w:hAnsi="Verdana"/>
          <w:sz w:val="18"/>
          <w:szCs w:val="18"/>
          <w:lang w:val="en-GB"/>
        </w:rPr>
        <w:t>Member A</w:t>
      </w:r>
    </w:p>
    <w:p w14:paraId="0F77CE86" w14:textId="18B63760" w:rsidR="00FE32C8" w:rsidRPr="00E80AAA" w:rsidRDefault="005A72EA" w:rsidP="005A72EA">
      <w:pPr>
        <w:spacing w:after="0" w:line="240" w:lineRule="auto"/>
        <w:jc w:val="both"/>
        <w:rPr>
          <w:rFonts w:ascii="Verdana" w:hAnsi="Verdana" w:cs="Times New Roman"/>
          <w:bCs/>
          <w:sz w:val="18"/>
          <w:szCs w:val="18"/>
          <w:u w:val="single"/>
          <w:lang w:val="en-GB"/>
        </w:rPr>
      </w:pPr>
      <w:r w:rsidRPr="00E80AAA">
        <w:rPr>
          <w:rFonts w:ascii="Verdana" w:hAnsi="Verdana"/>
          <w:noProof/>
          <w:sz w:val="18"/>
          <w:szCs w:val="18"/>
        </w:rPr>
        <w:drawing>
          <wp:inline distT="0" distB="0" distL="0" distR="0" wp14:anchorId="21771673" wp14:editId="0BC09D14">
            <wp:extent cx="4933507" cy="1833458"/>
            <wp:effectExtent l="0" t="0" r="63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39282" cy="1835604"/>
                    </a:xfrm>
                    <a:prstGeom prst="rect">
                      <a:avLst/>
                    </a:prstGeom>
                  </pic:spPr>
                </pic:pic>
              </a:graphicData>
            </a:graphic>
          </wp:inline>
        </w:drawing>
      </w:r>
    </w:p>
    <w:p w14:paraId="023A9DB6" w14:textId="77777777" w:rsidR="00FE32C8" w:rsidRPr="00E80AAA" w:rsidRDefault="00FE32C8" w:rsidP="00E80AAA">
      <w:pPr>
        <w:pStyle w:val="Caption"/>
        <w:rPr>
          <w:rFonts w:ascii="Verdana" w:hAnsi="Verdana"/>
          <w:sz w:val="18"/>
          <w:szCs w:val="18"/>
          <w:lang w:val="en-GB"/>
        </w:rPr>
      </w:pPr>
      <w:r w:rsidRPr="00E80AAA">
        <w:rPr>
          <w:rFonts w:ascii="Verdana" w:hAnsi="Verdana"/>
          <w:sz w:val="18"/>
          <w:szCs w:val="18"/>
          <w:lang w:val="en-GB"/>
        </w:rPr>
        <w:t>Member B</w:t>
      </w:r>
    </w:p>
    <w:p w14:paraId="1DC0F6FB" w14:textId="7C693A02" w:rsidR="00FE32C8" w:rsidRPr="00E80AAA" w:rsidRDefault="005A72EA" w:rsidP="006939A8">
      <w:pPr>
        <w:spacing w:after="0" w:line="240" w:lineRule="auto"/>
        <w:jc w:val="both"/>
        <w:rPr>
          <w:rFonts w:ascii="Verdana" w:hAnsi="Verdana" w:cs="Times New Roman"/>
          <w:sz w:val="18"/>
          <w:szCs w:val="18"/>
          <w:lang w:val="en-GB"/>
        </w:rPr>
      </w:pPr>
      <w:r w:rsidRPr="00E80AAA">
        <w:rPr>
          <w:rFonts w:ascii="Verdana" w:hAnsi="Verdana"/>
          <w:noProof/>
          <w:sz w:val="18"/>
          <w:szCs w:val="18"/>
        </w:rPr>
        <w:drawing>
          <wp:inline distT="0" distB="0" distL="0" distR="0" wp14:anchorId="6BE34EBE" wp14:editId="66417D92">
            <wp:extent cx="4720856" cy="1804772"/>
            <wp:effectExtent l="0" t="0" r="3810" b="508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32045" cy="1809049"/>
                    </a:xfrm>
                    <a:prstGeom prst="rect">
                      <a:avLst/>
                    </a:prstGeom>
                  </pic:spPr>
                </pic:pic>
              </a:graphicData>
            </a:graphic>
          </wp:inline>
        </w:drawing>
      </w:r>
    </w:p>
    <w:p w14:paraId="2A6542FA" w14:textId="094D873C" w:rsidR="00FE32C8" w:rsidRPr="00E80AAA" w:rsidRDefault="00FE32C8" w:rsidP="00E80AAA">
      <w:pPr>
        <w:pStyle w:val="Caption"/>
        <w:rPr>
          <w:rFonts w:ascii="Verdana" w:hAnsi="Verdana"/>
          <w:sz w:val="18"/>
          <w:szCs w:val="18"/>
          <w:lang w:val="en-GB"/>
        </w:rPr>
      </w:pPr>
      <w:r w:rsidRPr="00E80AAA">
        <w:rPr>
          <w:rFonts w:ascii="Verdana" w:hAnsi="Verdana"/>
          <w:sz w:val="18"/>
          <w:szCs w:val="18"/>
          <w:lang w:val="en-GB"/>
        </w:rPr>
        <w:t>Member E</w:t>
      </w:r>
    </w:p>
    <w:p w14:paraId="7E49C1F7" w14:textId="4EE7FB1A" w:rsidR="005A72EA" w:rsidRPr="00E80AAA" w:rsidRDefault="005A72EA" w:rsidP="005A72EA">
      <w:pPr>
        <w:spacing w:after="0" w:line="240" w:lineRule="auto"/>
        <w:jc w:val="both"/>
        <w:rPr>
          <w:rFonts w:ascii="Verdana" w:hAnsi="Verdana" w:cs="Times New Roman"/>
          <w:sz w:val="18"/>
          <w:szCs w:val="18"/>
          <w:lang w:val="en-GB"/>
        </w:rPr>
      </w:pPr>
      <w:r w:rsidRPr="00E80AAA">
        <w:rPr>
          <w:rFonts w:ascii="Verdana" w:hAnsi="Verdana"/>
          <w:noProof/>
          <w:sz w:val="18"/>
          <w:szCs w:val="18"/>
        </w:rPr>
        <w:drawing>
          <wp:inline distT="0" distB="0" distL="0" distR="0" wp14:anchorId="3498F8DA" wp14:editId="7B703E40">
            <wp:extent cx="4827181" cy="196465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45853" cy="1972253"/>
                    </a:xfrm>
                    <a:prstGeom prst="rect">
                      <a:avLst/>
                    </a:prstGeom>
                  </pic:spPr>
                </pic:pic>
              </a:graphicData>
            </a:graphic>
          </wp:inline>
        </w:drawing>
      </w:r>
    </w:p>
    <w:p w14:paraId="6A577B75" w14:textId="39281B76" w:rsidR="007E3658" w:rsidRDefault="007E3658" w:rsidP="007E3658">
      <w:pPr>
        <w:spacing w:after="0" w:line="240" w:lineRule="auto"/>
        <w:jc w:val="center"/>
        <w:rPr>
          <w:rFonts w:ascii="Verdana" w:hAnsi="Verdana" w:cs="Times New Roman"/>
          <w:bCs/>
          <w:sz w:val="18"/>
          <w:szCs w:val="18"/>
          <w:lang w:val="en-US"/>
        </w:rPr>
      </w:pPr>
      <w:r>
        <w:rPr>
          <w:rFonts w:ascii="Verdana" w:hAnsi="Verdana" w:cs="Times New Roman"/>
          <w:b/>
          <w:bCs/>
          <w:sz w:val="18"/>
          <w:szCs w:val="18"/>
          <w:lang w:val="en-US"/>
        </w:rPr>
        <w:t>_______________</w:t>
      </w:r>
    </w:p>
    <w:p w14:paraId="05DF9301" w14:textId="19C9B5FD" w:rsidR="007E3658" w:rsidRPr="007E3658" w:rsidRDefault="007E3658" w:rsidP="007E3658">
      <w:pPr>
        <w:spacing w:after="0" w:line="240" w:lineRule="auto"/>
        <w:jc w:val="both"/>
        <w:rPr>
          <w:rFonts w:ascii="Verdana" w:hAnsi="Verdana" w:cs="Times New Roman"/>
          <w:bCs/>
          <w:sz w:val="18"/>
          <w:szCs w:val="18"/>
          <w:lang w:val="en-US"/>
        </w:rPr>
        <w:sectPr w:rsidR="007E3658" w:rsidRPr="007E3658" w:rsidSect="005A72EA">
          <w:footnotePr>
            <w:numRestart w:val="eachSect"/>
          </w:footnotePr>
          <w:endnotePr>
            <w:numRestart w:val="eachSect"/>
          </w:endnotePr>
          <w:pgSz w:w="11906" w:h="16838" w:code="9"/>
          <w:pgMar w:top="1701" w:right="1440" w:bottom="1440" w:left="1440" w:header="720" w:footer="720" w:gutter="0"/>
          <w:cols w:space="708"/>
          <w:docGrid w:linePitch="360"/>
        </w:sectPr>
      </w:pPr>
    </w:p>
    <w:p w14:paraId="58787351" w14:textId="5A7707C3" w:rsidR="00E80AAA" w:rsidRPr="00E80AAA" w:rsidRDefault="00FE32C8" w:rsidP="00E80AAA">
      <w:pPr>
        <w:pStyle w:val="Title"/>
        <w:rPr>
          <w:rFonts w:ascii="Verdana" w:hAnsi="Verdana"/>
          <w:sz w:val="18"/>
          <w:szCs w:val="18"/>
          <w:lang w:val="fr-FR"/>
        </w:rPr>
      </w:pPr>
      <w:r w:rsidRPr="00E80AAA">
        <w:rPr>
          <w:rFonts w:ascii="Verdana" w:hAnsi="Verdana"/>
          <w:bCs w:val="0"/>
          <w:sz w:val="18"/>
          <w:szCs w:val="18"/>
          <w:lang w:val="fr-FR"/>
        </w:rPr>
        <w:lastRenderedPageBreak/>
        <w:t>Annex 2</w:t>
      </w:r>
    </w:p>
    <w:p w14:paraId="3C3A9612" w14:textId="1C112300" w:rsidR="00FE32C8" w:rsidRPr="00E80AAA" w:rsidRDefault="00FE32C8" w:rsidP="00E80AAA">
      <w:pPr>
        <w:pStyle w:val="Title2"/>
        <w:rPr>
          <w:rFonts w:ascii="Verdana" w:hAnsi="Verdana"/>
          <w:sz w:val="18"/>
          <w:lang w:val="fr-FR"/>
        </w:rPr>
      </w:pPr>
      <w:r w:rsidRPr="00E80AAA">
        <w:rPr>
          <w:rFonts w:ascii="Verdana" w:hAnsi="Verdana"/>
          <w:sz w:val="18"/>
          <w:lang w:val="fr-FR"/>
        </w:rPr>
        <w:t>ARTICLE 6.2 EXPENDITURE VERSUS VOP</w:t>
      </w:r>
    </w:p>
    <w:p w14:paraId="3E5F9222" w14:textId="594A8588" w:rsidR="005A72EA" w:rsidRPr="00E80AAA" w:rsidRDefault="005A72EA" w:rsidP="005A72EA">
      <w:pPr>
        <w:rPr>
          <w:rFonts w:ascii="Verdana" w:hAnsi="Verdana"/>
          <w:sz w:val="18"/>
          <w:szCs w:val="18"/>
          <w:lang w:val="fr-FR"/>
        </w:rPr>
      </w:pPr>
      <w:r w:rsidRPr="00E80AAA">
        <w:rPr>
          <w:rFonts w:ascii="Verdana" w:hAnsi="Verdana"/>
          <w:noProof/>
          <w:sz w:val="18"/>
          <w:szCs w:val="18"/>
        </w:rPr>
        <w:drawing>
          <wp:inline distT="0" distB="0" distL="0" distR="0" wp14:anchorId="1AF18774" wp14:editId="18F512AE">
            <wp:extent cx="5132715" cy="3732028"/>
            <wp:effectExtent l="0" t="0" r="0" b="190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39310" cy="3736823"/>
                    </a:xfrm>
                    <a:prstGeom prst="rect">
                      <a:avLst/>
                    </a:prstGeom>
                    <a:noFill/>
                    <a:ln>
                      <a:noFill/>
                    </a:ln>
                  </pic:spPr>
                </pic:pic>
              </a:graphicData>
            </a:graphic>
          </wp:inline>
        </w:drawing>
      </w:r>
    </w:p>
    <w:p w14:paraId="10F10E9F" w14:textId="6A67D5DE" w:rsidR="005A72EA" w:rsidRPr="00E80AAA" w:rsidRDefault="005A72EA" w:rsidP="005A72EA">
      <w:pPr>
        <w:rPr>
          <w:rFonts w:ascii="Verdana" w:hAnsi="Verdana"/>
          <w:sz w:val="18"/>
          <w:szCs w:val="18"/>
          <w:lang w:val="fr-FR"/>
        </w:rPr>
      </w:pPr>
      <w:r w:rsidRPr="00E80AAA">
        <w:rPr>
          <w:rFonts w:ascii="Verdana" w:hAnsi="Verdana"/>
          <w:noProof/>
          <w:sz w:val="18"/>
          <w:szCs w:val="18"/>
        </w:rPr>
        <w:drawing>
          <wp:inline distT="0" distB="0" distL="0" distR="0" wp14:anchorId="5DFFD8FE" wp14:editId="215FD8CF">
            <wp:extent cx="5132705" cy="4079842"/>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5729" cy="4090195"/>
                    </a:xfrm>
                    <a:prstGeom prst="rect">
                      <a:avLst/>
                    </a:prstGeom>
                    <a:noFill/>
                    <a:ln>
                      <a:noFill/>
                    </a:ln>
                  </pic:spPr>
                </pic:pic>
              </a:graphicData>
            </a:graphic>
          </wp:inline>
        </w:drawing>
      </w:r>
    </w:p>
    <w:p w14:paraId="1F7840E5" w14:textId="6E1C7DFB" w:rsidR="005A72EA" w:rsidRDefault="005A72EA" w:rsidP="005A72EA">
      <w:pPr>
        <w:rPr>
          <w:lang w:val="fr-FR"/>
        </w:rPr>
      </w:pPr>
      <w:r w:rsidRPr="005A72EA">
        <w:rPr>
          <w:noProof/>
        </w:rPr>
        <w:lastRenderedPageBreak/>
        <w:drawing>
          <wp:inline distT="0" distB="0" distL="0" distR="0" wp14:anchorId="134D0B03" wp14:editId="425FBE83">
            <wp:extent cx="5372100" cy="403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2100" cy="4038600"/>
                    </a:xfrm>
                    <a:prstGeom prst="rect">
                      <a:avLst/>
                    </a:prstGeom>
                    <a:noFill/>
                    <a:ln>
                      <a:noFill/>
                    </a:ln>
                  </pic:spPr>
                </pic:pic>
              </a:graphicData>
            </a:graphic>
          </wp:inline>
        </w:drawing>
      </w:r>
    </w:p>
    <w:p w14:paraId="3F171B64" w14:textId="5BB917F2" w:rsidR="005A72EA" w:rsidRDefault="005A72EA" w:rsidP="005A72EA">
      <w:pPr>
        <w:rPr>
          <w:lang w:val="fr-FR"/>
        </w:rPr>
      </w:pPr>
    </w:p>
    <w:p w14:paraId="25F83108" w14:textId="5473F6A7" w:rsidR="007E3658" w:rsidRPr="007E3658" w:rsidRDefault="005A72EA" w:rsidP="007E3658">
      <w:pPr>
        <w:jc w:val="center"/>
        <w:rPr>
          <w:rFonts w:ascii="Verdana" w:hAnsi="Verdana" w:cs="Times New Roman"/>
          <w:sz w:val="18"/>
          <w:szCs w:val="18"/>
          <w:lang w:val="fr-FR"/>
        </w:rPr>
      </w:pPr>
      <w:r w:rsidRPr="005A72EA">
        <w:rPr>
          <w:noProof/>
        </w:rPr>
        <w:drawing>
          <wp:inline distT="0" distB="0" distL="0" distR="0" wp14:anchorId="07F5864C" wp14:editId="393218A0">
            <wp:extent cx="5410200" cy="40100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0200" cy="4010025"/>
                    </a:xfrm>
                    <a:prstGeom prst="rect">
                      <a:avLst/>
                    </a:prstGeom>
                    <a:noFill/>
                    <a:ln>
                      <a:noFill/>
                    </a:ln>
                  </pic:spPr>
                </pic:pic>
              </a:graphicData>
            </a:graphic>
          </wp:inline>
        </w:drawing>
      </w:r>
      <w:r w:rsidR="007E3658">
        <w:rPr>
          <w:rFonts w:ascii="Verdana" w:hAnsi="Verdana" w:cs="Times New Roman"/>
          <w:b/>
          <w:sz w:val="18"/>
          <w:szCs w:val="18"/>
          <w:lang w:val="fr-FR"/>
        </w:rPr>
        <w:t>_______________</w:t>
      </w:r>
    </w:p>
    <w:p w14:paraId="4862C310" w14:textId="77777777" w:rsidR="005A72EA" w:rsidRDefault="005A72EA" w:rsidP="006939A8">
      <w:pPr>
        <w:spacing w:after="0" w:line="240" w:lineRule="auto"/>
        <w:jc w:val="both"/>
        <w:rPr>
          <w:rFonts w:ascii="Verdana" w:hAnsi="Verdana" w:cs="Times New Roman"/>
          <w:b/>
          <w:bCs/>
          <w:sz w:val="18"/>
          <w:szCs w:val="18"/>
          <w:lang w:val="fr-FR"/>
        </w:rPr>
        <w:sectPr w:rsidR="005A72EA" w:rsidSect="005A72EA">
          <w:footnotePr>
            <w:numRestart w:val="eachSect"/>
          </w:footnotePr>
          <w:pgSz w:w="11906" w:h="16838" w:code="9"/>
          <w:pgMar w:top="1701" w:right="1440" w:bottom="1440" w:left="1440" w:header="720" w:footer="720" w:gutter="0"/>
          <w:cols w:space="708"/>
          <w:docGrid w:linePitch="360"/>
        </w:sectPr>
      </w:pPr>
    </w:p>
    <w:p w14:paraId="6F4E6354" w14:textId="77CF2ACD" w:rsidR="00E80AAA" w:rsidRPr="0000209C" w:rsidRDefault="00FE32C8" w:rsidP="001A4499">
      <w:pPr>
        <w:pStyle w:val="Title"/>
        <w:spacing w:before="0" w:after="120"/>
        <w:rPr>
          <w:rFonts w:ascii="Verdana" w:hAnsi="Verdana"/>
          <w:sz w:val="18"/>
          <w:szCs w:val="18"/>
          <w:lang w:val="fr-FR"/>
        </w:rPr>
      </w:pPr>
      <w:r w:rsidRPr="0000209C">
        <w:rPr>
          <w:rFonts w:ascii="Verdana" w:hAnsi="Verdana"/>
          <w:sz w:val="18"/>
          <w:szCs w:val="18"/>
          <w:lang w:val="fr-FR"/>
        </w:rPr>
        <w:lastRenderedPageBreak/>
        <w:t>Annex 3</w:t>
      </w:r>
    </w:p>
    <w:p w14:paraId="5E2C7A0C" w14:textId="61AA0191" w:rsidR="00FE32C8" w:rsidRPr="0000209C" w:rsidRDefault="00FE32C8" w:rsidP="001A4499">
      <w:pPr>
        <w:pStyle w:val="Title2"/>
        <w:spacing w:after="120" w:line="240" w:lineRule="auto"/>
        <w:rPr>
          <w:rFonts w:ascii="Verdana" w:hAnsi="Verdana"/>
          <w:sz w:val="18"/>
          <w:lang w:val="fr-FR"/>
        </w:rPr>
      </w:pPr>
      <w:r w:rsidRPr="0000209C">
        <w:rPr>
          <w:rFonts w:ascii="Verdana" w:hAnsi="Verdana"/>
          <w:sz w:val="18"/>
          <w:lang w:val="fr-FR"/>
        </w:rPr>
        <w:t>ARTICLE 6.2 VERSUS AMBER BOX SUPPORT</w:t>
      </w:r>
      <w:r w:rsidRPr="0000209C">
        <w:rPr>
          <w:rStyle w:val="FootnoteReference"/>
          <w:rFonts w:ascii="Verdana" w:hAnsi="Verdana"/>
          <w:sz w:val="18"/>
          <w:lang w:val="en-GB"/>
        </w:rPr>
        <w:footnoteReference w:id="24"/>
      </w:r>
    </w:p>
    <w:tbl>
      <w:tblPr>
        <w:tblStyle w:val="WTOTable1"/>
        <w:tblW w:w="5000" w:type="pct"/>
        <w:tblLook w:val="04A0" w:firstRow="1" w:lastRow="0" w:firstColumn="1" w:lastColumn="0" w:noHBand="0" w:noVBand="1"/>
      </w:tblPr>
      <w:tblGrid>
        <w:gridCol w:w="897"/>
        <w:gridCol w:w="2030"/>
        <w:gridCol w:w="2030"/>
        <w:gridCol w:w="2030"/>
        <w:gridCol w:w="2029"/>
      </w:tblGrid>
      <w:tr w:rsidR="00FE32C8" w:rsidRPr="001A4499" w14:paraId="690BEFED" w14:textId="77777777" w:rsidTr="001A4499">
        <w:trPr>
          <w:cnfStyle w:val="100000000000" w:firstRow="1" w:lastRow="0" w:firstColumn="0" w:lastColumn="0" w:oddVBand="0" w:evenVBand="0" w:oddHBand="0" w:evenHBand="0" w:firstRowFirstColumn="0" w:firstRowLastColumn="0" w:lastRowFirstColumn="0" w:lastRowLastColumn="0"/>
          <w:tblHeader/>
        </w:trPr>
        <w:tc>
          <w:tcPr>
            <w:tcW w:w="497" w:type="pct"/>
            <w:vAlign w:val="center"/>
          </w:tcPr>
          <w:p w14:paraId="6B530070" w14:textId="77777777" w:rsidR="00FE32C8" w:rsidRPr="001A4499" w:rsidRDefault="00FE32C8" w:rsidP="00E80AAA">
            <w:pPr>
              <w:spacing w:after="0" w:line="240" w:lineRule="auto"/>
              <w:rPr>
                <w:color w:val="FFFFFF" w:themeColor="background1"/>
                <w:sz w:val="15"/>
                <w:szCs w:val="15"/>
                <w:lang w:val="fr-FR"/>
              </w:rPr>
            </w:pPr>
            <w:r w:rsidRPr="001A4499">
              <w:rPr>
                <w:color w:val="FFFFFF" w:themeColor="background1"/>
                <w:sz w:val="15"/>
                <w:szCs w:val="15"/>
                <w:lang w:val="fr-FR"/>
              </w:rPr>
              <w:t>Member</w:t>
            </w:r>
          </w:p>
        </w:tc>
        <w:tc>
          <w:tcPr>
            <w:tcW w:w="1126" w:type="pct"/>
            <w:vAlign w:val="center"/>
          </w:tcPr>
          <w:p w14:paraId="6A44BFF9" w14:textId="4832C2A0" w:rsidR="00FE32C8" w:rsidRPr="001A4499" w:rsidRDefault="00FE32C8" w:rsidP="00CC232A">
            <w:pPr>
              <w:spacing w:after="0" w:line="240" w:lineRule="auto"/>
              <w:rPr>
                <w:color w:val="FFFFFF" w:themeColor="background1"/>
                <w:sz w:val="15"/>
                <w:szCs w:val="15"/>
                <w:lang w:val="en-GB"/>
              </w:rPr>
            </w:pPr>
            <w:r w:rsidRPr="001A4499">
              <w:rPr>
                <w:color w:val="FFFFFF" w:themeColor="background1"/>
                <w:sz w:val="15"/>
                <w:szCs w:val="15"/>
                <w:lang w:val="en-GB"/>
              </w:rPr>
              <w:t>Article 6.2 expenditures (largest amount notified)/Amber Box expenditures (latest notification</w:t>
            </w:r>
            <w:r w:rsidRPr="001A4499">
              <w:rPr>
                <w:rStyle w:val="FootnoteReference"/>
                <w:color w:val="FFFFFF" w:themeColor="background1"/>
                <w:sz w:val="15"/>
                <w:szCs w:val="15"/>
                <w:lang w:val="en-GB"/>
              </w:rPr>
              <w:footnoteReference w:id="25"/>
            </w:r>
            <w:r w:rsidRPr="001A4499">
              <w:rPr>
                <w:color w:val="FFFFFF" w:themeColor="background1"/>
                <w:sz w:val="15"/>
                <w:szCs w:val="15"/>
                <w:lang w:val="en-GB"/>
              </w:rPr>
              <w:t>)</w:t>
            </w:r>
          </w:p>
        </w:tc>
        <w:tc>
          <w:tcPr>
            <w:tcW w:w="1126" w:type="pct"/>
            <w:vAlign w:val="center"/>
          </w:tcPr>
          <w:p w14:paraId="6A8593E3" w14:textId="58D73C0B" w:rsidR="00FE32C8" w:rsidRPr="001A4499" w:rsidRDefault="00FE32C8" w:rsidP="00CC232A">
            <w:pPr>
              <w:spacing w:after="0" w:line="240" w:lineRule="auto"/>
              <w:rPr>
                <w:color w:val="FFFFFF" w:themeColor="background1"/>
                <w:sz w:val="15"/>
                <w:szCs w:val="15"/>
                <w:lang w:val="en-GB"/>
              </w:rPr>
            </w:pPr>
            <w:r w:rsidRPr="001A4499">
              <w:rPr>
                <w:color w:val="FFFFFF" w:themeColor="background1"/>
                <w:sz w:val="15"/>
                <w:szCs w:val="15"/>
                <w:lang w:val="en-GB"/>
              </w:rPr>
              <w:t>Article 6.2 expenditures (latest notification</w:t>
            </w:r>
            <w:r w:rsidRPr="001A4499">
              <w:rPr>
                <w:rStyle w:val="FootnoteReference"/>
                <w:color w:val="FFFFFF" w:themeColor="background1"/>
                <w:sz w:val="15"/>
                <w:szCs w:val="15"/>
                <w:lang w:val="en-GB"/>
              </w:rPr>
              <w:footnoteReference w:id="26"/>
            </w:r>
            <w:r w:rsidRPr="001A4499">
              <w:rPr>
                <w:color w:val="FFFFFF" w:themeColor="background1"/>
                <w:sz w:val="15"/>
                <w:szCs w:val="15"/>
                <w:lang w:val="en-GB"/>
              </w:rPr>
              <w:t>)/ Amber Box expenditures (latest notification</w:t>
            </w:r>
            <w:r w:rsidR="00F87B91" w:rsidRPr="001A4499">
              <w:rPr>
                <w:color w:val="FFFFFF" w:themeColor="background1"/>
                <w:sz w:val="15"/>
                <w:szCs w:val="15"/>
                <w:vertAlign w:val="superscript"/>
                <w:lang w:val="en-GB"/>
              </w:rPr>
              <w:t>3</w:t>
            </w:r>
            <w:r w:rsidRPr="001A4499">
              <w:rPr>
                <w:color w:val="FFFFFF" w:themeColor="background1"/>
                <w:sz w:val="15"/>
                <w:szCs w:val="15"/>
                <w:lang w:val="en-GB"/>
              </w:rPr>
              <w:t>)</w:t>
            </w:r>
          </w:p>
        </w:tc>
        <w:tc>
          <w:tcPr>
            <w:tcW w:w="1126" w:type="pct"/>
            <w:vAlign w:val="center"/>
          </w:tcPr>
          <w:p w14:paraId="218762E7" w14:textId="7A3EB4C6" w:rsidR="00FE32C8" w:rsidRPr="001A4499" w:rsidRDefault="00FE32C8" w:rsidP="00CC232A">
            <w:pPr>
              <w:spacing w:after="0" w:line="240" w:lineRule="auto"/>
              <w:rPr>
                <w:color w:val="FFFFFF" w:themeColor="background1"/>
                <w:sz w:val="15"/>
                <w:szCs w:val="15"/>
                <w:lang w:val="en-GB"/>
              </w:rPr>
            </w:pPr>
            <w:r w:rsidRPr="001A4499">
              <w:rPr>
                <w:color w:val="FFFFFF" w:themeColor="background1"/>
                <w:sz w:val="15"/>
                <w:szCs w:val="15"/>
                <w:lang w:val="en-GB"/>
              </w:rPr>
              <w:t>Article 6.2 expenditures (largest amount notified)/Amber Box entitlements</w:t>
            </w:r>
            <w:r w:rsidRPr="001A4499">
              <w:rPr>
                <w:rStyle w:val="FootnoteReference"/>
                <w:color w:val="FFFFFF" w:themeColor="background1"/>
                <w:sz w:val="15"/>
                <w:szCs w:val="15"/>
                <w:lang w:val="en-GB"/>
              </w:rPr>
              <w:footnoteReference w:id="27"/>
            </w:r>
            <w:r w:rsidRPr="001A4499">
              <w:rPr>
                <w:color w:val="FFFFFF" w:themeColor="background1"/>
                <w:sz w:val="15"/>
                <w:szCs w:val="15"/>
                <w:lang w:val="en-GB"/>
              </w:rPr>
              <w:t xml:space="preserve"> (based on latest VoP available</w:t>
            </w:r>
            <w:r w:rsidRPr="001A4499">
              <w:rPr>
                <w:rStyle w:val="FootnoteReference"/>
                <w:color w:val="FFFFFF" w:themeColor="background1"/>
                <w:sz w:val="15"/>
                <w:szCs w:val="15"/>
                <w:lang w:val="en-GB"/>
              </w:rPr>
              <w:footnoteReference w:id="28"/>
            </w:r>
            <w:r w:rsidRPr="001A4499">
              <w:rPr>
                <w:color w:val="FFFFFF" w:themeColor="background1"/>
                <w:sz w:val="15"/>
                <w:szCs w:val="15"/>
                <w:lang w:val="en-GB"/>
              </w:rPr>
              <w:t>)</w:t>
            </w:r>
          </w:p>
        </w:tc>
        <w:tc>
          <w:tcPr>
            <w:tcW w:w="1126" w:type="pct"/>
            <w:vAlign w:val="center"/>
          </w:tcPr>
          <w:p w14:paraId="61E9FFEC" w14:textId="548803BB" w:rsidR="00FE32C8" w:rsidRPr="001A4499" w:rsidRDefault="00FE32C8" w:rsidP="00CC232A">
            <w:pPr>
              <w:spacing w:after="0" w:line="240" w:lineRule="auto"/>
              <w:rPr>
                <w:color w:val="FFFFFF" w:themeColor="background1"/>
                <w:sz w:val="15"/>
                <w:szCs w:val="15"/>
                <w:lang w:val="en-GB"/>
              </w:rPr>
            </w:pPr>
            <w:r w:rsidRPr="001A4499">
              <w:rPr>
                <w:color w:val="FFFFFF" w:themeColor="background1"/>
                <w:sz w:val="15"/>
                <w:szCs w:val="15"/>
                <w:lang w:val="en-GB"/>
              </w:rPr>
              <w:t>Article 6.2 expenditures (latest notification</w:t>
            </w:r>
            <w:r w:rsidR="00F87B91" w:rsidRPr="001A4499">
              <w:rPr>
                <w:color w:val="FFFFFF" w:themeColor="background1"/>
                <w:sz w:val="15"/>
                <w:szCs w:val="15"/>
                <w:vertAlign w:val="superscript"/>
                <w:lang w:val="en-GB"/>
              </w:rPr>
              <w:t>3</w:t>
            </w:r>
            <w:r w:rsidRPr="001A4499">
              <w:rPr>
                <w:color w:val="FFFFFF" w:themeColor="background1"/>
                <w:sz w:val="15"/>
                <w:szCs w:val="15"/>
                <w:lang w:val="en-GB"/>
              </w:rPr>
              <w:t>)/ Amber Box entitlements</w:t>
            </w:r>
            <w:r w:rsidR="00F87B91" w:rsidRPr="001A4499">
              <w:rPr>
                <w:color w:val="FFFFFF" w:themeColor="background1"/>
                <w:sz w:val="15"/>
                <w:szCs w:val="15"/>
                <w:vertAlign w:val="superscript"/>
                <w:lang w:val="en-GB"/>
              </w:rPr>
              <w:t>4</w:t>
            </w:r>
            <w:r w:rsidRPr="001A4499">
              <w:rPr>
                <w:color w:val="FFFFFF" w:themeColor="background1"/>
                <w:sz w:val="15"/>
                <w:szCs w:val="15"/>
                <w:lang w:val="en-GB"/>
              </w:rPr>
              <w:t xml:space="preserve"> (based on latest VoP available</w:t>
            </w:r>
            <w:r w:rsidR="00F87B91" w:rsidRPr="001A4499">
              <w:rPr>
                <w:color w:val="FFFFFF" w:themeColor="background1"/>
                <w:sz w:val="15"/>
                <w:szCs w:val="15"/>
                <w:vertAlign w:val="superscript"/>
                <w:lang w:val="en-GB"/>
              </w:rPr>
              <w:t>5</w:t>
            </w:r>
            <w:r w:rsidRPr="001A4499">
              <w:rPr>
                <w:color w:val="FFFFFF" w:themeColor="background1"/>
                <w:sz w:val="15"/>
                <w:szCs w:val="15"/>
                <w:lang w:val="en-GB"/>
              </w:rPr>
              <w:t>)</w:t>
            </w:r>
          </w:p>
        </w:tc>
      </w:tr>
      <w:tr w:rsidR="00FE32C8" w:rsidRPr="001A4499" w14:paraId="480BBCB2" w14:textId="77777777" w:rsidTr="001A4499">
        <w:tc>
          <w:tcPr>
            <w:tcW w:w="497" w:type="pct"/>
          </w:tcPr>
          <w:p w14:paraId="0A004638" w14:textId="40B5D592" w:rsidR="00FE32C8" w:rsidRPr="001A4499" w:rsidRDefault="00FE32C8" w:rsidP="00E80AAA">
            <w:pPr>
              <w:spacing w:after="0" w:line="240" w:lineRule="auto"/>
              <w:jc w:val="center"/>
              <w:rPr>
                <w:strike/>
                <w:sz w:val="15"/>
                <w:szCs w:val="15"/>
                <w:lang w:val="en-GB"/>
              </w:rPr>
            </w:pPr>
            <w:bookmarkStart w:id="7" w:name="RANGE!A1"/>
            <w:r w:rsidRPr="001A4499">
              <w:rPr>
                <w:color w:val="000000"/>
                <w:sz w:val="15"/>
                <w:szCs w:val="15"/>
                <w:lang w:val="en-GB"/>
              </w:rPr>
              <w:t>A</w:t>
            </w:r>
            <w:bookmarkEnd w:id="7"/>
          </w:p>
        </w:tc>
        <w:tc>
          <w:tcPr>
            <w:tcW w:w="1126" w:type="pct"/>
            <w:vAlign w:val="center"/>
          </w:tcPr>
          <w:p w14:paraId="47929421"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323.8%</w:t>
            </w:r>
          </w:p>
        </w:tc>
        <w:tc>
          <w:tcPr>
            <w:tcW w:w="1126" w:type="pct"/>
            <w:vAlign w:val="center"/>
          </w:tcPr>
          <w:p w14:paraId="5D49A24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247.8%</w:t>
            </w:r>
          </w:p>
        </w:tc>
        <w:tc>
          <w:tcPr>
            <w:tcW w:w="1126" w:type="pct"/>
            <w:vAlign w:val="center"/>
          </w:tcPr>
          <w:p w14:paraId="6CE2A9D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38.6%</w:t>
            </w:r>
          </w:p>
        </w:tc>
        <w:tc>
          <w:tcPr>
            <w:tcW w:w="1126" w:type="pct"/>
            <w:vAlign w:val="center"/>
          </w:tcPr>
          <w:p w14:paraId="4E9BBF6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29.6%</w:t>
            </w:r>
          </w:p>
        </w:tc>
      </w:tr>
      <w:tr w:rsidR="00FE32C8" w:rsidRPr="001A4499" w14:paraId="19D98C2C"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0552DB6C"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B</w:t>
            </w:r>
          </w:p>
        </w:tc>
        <w:tc>
          <w:tcPr>
            <w:tcW w:w="1126" w:type="pct"/>
            <w:vAlign w:val="center"/>
          </w:tcPr>
          <w:p w14:paraId="56B88125"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1,189.4%</w:t>
            </w:r>
          </w:p>
        </w:tc>
        <w:tc>
          <w:tcPr>
            <w:tcW w:w="1126" w:type="pct"/>
            <w:vAlign w:val="center"/>
          </w:tcPr>
          <w:p w14:paraId="7F3F4A2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1,189.4%</w:t>
            </w:r>
          </w:p>
        </w:tc>
        <w:tc>
          <w:tcPr>
            <w:tcW w:w="1126" w:type="pct"/>
            <w:vAlign w:val="center"/>
          </w:tcPr>
          <w:p w14:paraId="3A0C684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11.2%</w:t>
            </w:r>
          </w:p>
        </w:tc>
        <w:tc>
          <w:tcPr>
            <w:tcW w:w="1126" w:type="pct"/>
            <w:vAlign w:val="center"/>
          </w:tcPr>
          <w:p w14:paraId="09082E0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11.2%</w:t>
            </w:r>
          </w:p>
        </w:tc>
      </w:tr>
      <w:tr w:rsidR="00FE32C8" w:rsidRPr="001A4499" w14:paraId="76AAFCAC" w14:textId="77777777" w:rsidTr="001A4499">
        <w:tc>
          <w:tcPr>
            <w:tcW w:w="497" w:type="pct"/>
          </w:tcPr>
          <w:p w14:paraId="49E3231D" w14:textId="3EF2DD1A"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C</w:t>
            </w:r>
          </w:p>
        </w:tc>
        <w:tc>
          <w:tcPr>
            <w:tcW w:w="1126" w:type="pct"/>
            <w:vAlign w:val="center"/>
          </w:tcPr>
          <w:p w14:paraId="29C6F30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1,410.0%</w:t>
            </w:r>
          </w:p>
        </w:tc>
        <w:tc>
          <w:tcPr>
            <w:tcW w:w="1126" w:type="pct"/>
            <w:vAlign w:val="center"/>
          </w:tcPr>
          <w:p w14:paraId="5066A8D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1,410.0%</w:t>
            </w:r>
          </w:p>
        </w:tc>
        <w:tc>
          <w:tcPr>
            <w:tcW w:w="1126" w:type="pct"/>
            <w:vAlign w:val="center"/>
          </w:tcPr>
          <w:p w14:paraId="0D69052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29.1%</w:t>
            </w:r>
          </w:p>
        </w:tc>
        <w:tc>
          <w:tcPr>
            <w:tcW w:w="1126" w:type="pct"/>
            <w:vAlign w:val="center"/>
          </w:tcPr>
          <w:p w14:paraId="10F734A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29.1%</w:t>
            </w:r>
          </w:p>
        </w:tc>
      </w:tr>
      <w:tr w:rsidR="00FE32C8" w:rsidRPr="001A4499" w14:paraId="473FD460"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18AC39D0" w14:textId="06191301"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D</w:t>
            </w:r>
          </w:p>
        </w:tc>
        <w:tc>
          <w:tcPr>
            <w:tcW w:w="1126" w:type="pct"/>
            <w:vAlign w:val="center"/>
          </w:tcPr>
          <w:p w14:paraId="2232A69F"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54.1%</w:t>
            </w:r>
          </w:p>
        </w:tc>
        <w:tc>
          <w:tcPr>
            <w:tcW w:w="1126" w:type="pct"/>
            <w:vAlign w:val="center"/>
          </w:tcPr>
          <w:p w14:paraId="0C2EF53C" w14:textId="06B13BB3"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41.1</w:t>
            </w:r>
            <w:r w:rsidR="00F53367" w:rsidRPr="001A4499">
              <w:rPr>
                <w:color w:val="000000"/>
                <w:sz w:val="15"/>
                <w:szCs w:val="15"/>
                <w:lang w:val="en-GB"/>
              </w:rPr>
              <w:t>%</w:t>
            </w:r>
          </w:p>
        </w:tc>
        <w:tc>
          <w:tcPr>
            <w:tcW w:w="1126" w:type="pct"/>
            <w:vAlign w:val="center"/>
          </w:tcPr>
          <w:p w14:paraId="0082BF9D" w14:textId="2ECBE116"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6.1</w:t>
            </w:r>
            <w:r w:rsidR="00F53367" w:rsidRPr="001A4499">
              <w:rPr>
                <w:color w:val="000000"/>
                <w:sz w:val="15"/>
                <w:szCs w:val="15"/>
                <w:lang w:val="en-GB"/>
              </w:rPr>
              <w:t>%</w:t>
            </w:r>
          </w:p>
        </w:tc>
        <w:tc>
          <w:tcPr>
            <w:tcW w:w="1126" w:type="pct"/>
            <w:vAlign w:val="center"/>
          </w:tcPr>
          <w:p w14:paraId="32FDA215" w14:textId="5E86CFF3"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4.6</w:t>
            </w:r>
            <w:r w:rsidR="00F53367" w:rsidRPr="001A4499">
              <w:rPr>
                <w:color w:val="000000"/>
                <w:sz w:val="15"/>
                <w:szCs w:val="15"/>
                <w:lang w:val="en-GB"/>
              </w:rPr>
              <w:t>%</w:t>
            </w:r>
          </w:p>
        </w:tc>
      </w:tr>
      <w:tr w:rsidR="00FE32C8" w:rsidRPr="001A4499" w14:paraId="51966CEA" w14:textId="77777777" w:rsidTr="001A4499">
        <w:tc>
          <w:tcPr>
            <w:tcW w:w="497" w:type="pct"/>
          </w:tcPr>
          <w:p w14:paraId="76C3368F" w14:textId="0AFAB7B4"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E</w:t>
            </w:r>
          </w:p>
        </w:tc>
        <w:tc>
          <w:tcPr>
            <w:tcW w:w="1126" w:type="pct"/>
            <w:vAlign w:val="center"/>
          </w:tcPr>
          <w:p w14:paraId="3A10FFA4"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163.5%</w:t>
            </w:r>
          </w:p>
        </w:tc>
        <w:tc>
          <w:tcPr>
            <w:tcW w:w="1126" w:type="pct"/>
            <w:vAlign w:val="center"/>
          </w:tcPr>
          <w:p w14:paraId="392BFB7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9.4%</w:t>
            </w:r>
          </w:p>
        </w:tc>
        <w:tc>
          <w:tcPr>
            <w:tcW w:w="1126" w:type="pct"/>
            <w:vAlign w:val="center"/>
          </w:tcPr>
          <w:p w14:paraId="6759CEC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6.2%</w:t>
            </w:r>
          </w:p>
        </w:tc>
        <w:tc>
          <w:tcPr>
            <w:tcW w:w="1126" w:type="pct"/>
            <w:vAlign w:val="center"/>
          </w:tcPr>
          <w:p w14:paraId="7B5D9E7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0.4%</w:t>
            </w:r>
          </w:p>
        </w:tc>
      </w:tr>
      <w:tr w:rsidR="00FE32C8" w:rsidRPr="001A4499" w14:paraId="61D33BCE"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12DD33BD" w14:textId="4F66198E"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F</w:t>
            </w:r>
            <w:r w:rsidRPr="001A4499">
              <w:rPr>
                <w:rStyle w:val="FootnoteReference"/>
                <w:color w:val="000000"/>
                <w:sz w:val="15"/>
                <w:szCs w:val="15"/>
                <w:lang w:val="en-GB"/>
              </w:rPr>
              <w:footnoteReference w:id="29"/>
            </w:r>
          </w:p>
        </w:tc>
        <w:tc>
          <w:tcPr>
            <w:tcW w:w="1126" w:type="pct"/>
            <w:vAlign w:val="center"/>
          </w:tcPr>
          <w:p w14:paraId="4B168E42"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315.7%</w:t>
            </w:r>
          </w:p>
        </w:tc>
        <w:tc>
          <w:tcPr>
            <w:tcW w:w="1126" w:type="pct"/>
            <w:vAlign w:val="center"/>
          </w:tcPr>
          <w:p w14:paraId="3B5C677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160.3%</w:t>
            </w:r>
          </w:p>
        </w:tc>
        <w:tc>
          <w:tcPr>
            <w:tcW w:w="1126" w:type="pct"/>
            <w:vAlign w:val="center"/>
          </w:tcPr>
          <w:p w14:paraId="62F968B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5.2%</w:t>
            </w:r>
          </w:p>
        </w:tc>
        <w:tc>
          <w:tcPr>
            <w:tcW w:w="1126" w:type="pct"/>
            <w:vAlign w:val="center"/>
          </w:tcPr>
          <w:p w14:paraId="1533085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2.6%</w:t>
            </w:r>
          </w:p>
        </w:tc>
      </w:tr>
      <w:tr w:rsidR="00FE32C8" w:rsidRPr="001A4499" w14:paraId="2EA59E49" w14:textId="77777777" w:rsidTr="001A4499">
        <w:tc>
          <w:tcPr>
            <w:tcW w:w="497" w:type="pct"/>
          </w:tcPr>
          <w:p w14:paraId="7FAA3E00" w14:textId="1AEF3A06"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G</w:t>
            </w:r>
          </w:p>
        </w:tc>
        <w:tc>
          <w:tcPr>
            <w:tcW w:w="1126" w:type="pct"/>
            <w:vAlign w:val="center"/>
          </w:tcPr>
          <w:p w14:paraId="411982F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199.5%</w:t>
            </w:r>
          </w:p>
        </w:tc>
        <w:tc>
          <w:tcPr>
            <w:tcW w:w="1126" w:type="pct"/>
            <w:vAlign w:val="center"/>
          </w:tcPr>
          <w:p w14:paraId="0AC2B02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143.6%</w:t>
            </w:r>
          </w:p>
        </w:tc>
        <w:tc>
          <w:tcPr>
            <w:tcW w:w="1126" w:type="pct"/>
            <w:vAlign w:val="center"/>
          </w:tcPr>
          <w:p w14:paraId="69EB8667"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6.2%</w:t>
            </w:r>
          </w:p>
        </w:tc>
        <w:tc>
          <w:tcPr>
            <w:tcW w:w="1126" w:type="pct"/>
            <w:vAlign w:val="center"/>
          </w:tcPr>
          <w:p w14:paraId="0B9001E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4.4%</w:t>
            </w:r>
          </w:p>
        </w:tc>
      </w:tr>
      <w:tr w:rsidR="00FE32C8" w:rsidRPr="001A4499" w14:paraId="0FBEBEE7"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22B6262C"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H</w:t>
            </w:r>
          </w:p>
        </w:tc>
        <w:tc>
          <w:tcPr>
            <w:tcW w:w="1126" w:type="pct"/>
            <w:vAlign w:val="center"/>
          </w:tcPr>
          <w:p w14:paraId="40E31CAF"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4,469.2%</w:t>
            </w:r>
          </w:p>
        </w:tc>
        <w:tc>
          <w:tcPr>
            <w:tcW w:w="1126" w:type="pct"/>
            <w:vAlign w:val="center"/>
          </w:tcPr>
          <w:p w14:paraId="63D02FF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2,515.4%</w:t>
            </w:r>
          </w:p>
        </w:tc>
        <w:tc>
          <w:tcPr>
            <w:tcW w:w="1126" w:type="pct"/>
            <w:vAlign w:val="center"/>
          </w:tcPr>
          <w:p w14:paraId="44CD71D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12.3%</w:t>
            </w:r>
          </w:p>
        </w:tc>
        <w:tc>
          <w:tcPr>
            <w:tcW w:w="1126" w:type="pct"/>
            <w:vAlign w:val="center"/>
          </w:tcPr>
          <w:p w14:paraId="189463A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6.9%</w:t>
            </w:r>
          </w:p>
        </w:tc>
      </w:tr>
      <w:tr w:rsidR="00FE32C8" w:rsidRPr="001A4499" w14:paraId="06ECFB44" w14:textId="77777777" w:rsidTr="001A4499">
        <w:tc>
          <w:tcPr>
            <w:tcW w:w="497" w:type="pct"/>
          </w:tcPr>
          <w:p w14:paraId="23AE6C3A" w14:textId="6691BF0F"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I</w:t>
            </w:r>
          </w:p>
        </w:tc>
        <w:tc>
          <w:tcPr>
            <w:tcW w:w="1126" w:type="pct"/>
            <w:vAlign w:val="center"/>
          </w:tcPr>
          <w:p w14:paraId="757AAB68"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4,560.0%</w:t>
            </w:r>
          </w:p>
        </w:tc>
        <w:tc>
          <w:tcPr>
            <w:tcW w:w="1126" w:type="pct"/>
            <w:vAlign w:val="center"/>
          </w:tcPr>
          <w:p w14:paraId="7E0EB9C7"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4,560.0%</w:t>
            </w:r>
          </w:p>
        </w:tc>
        <w:tc>
          <w:tcPr>
            <w:tcW w:w="1126" w:type="pct"/>
            <w:vAlign w:val="center"/>
          </w:tcPr>
          <w:p w14:paraId="15F9F10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7.6%</w:t>
            </w:r>
          </w:p>
        </w:tc>
        <w:tc>
          <w:tcPr>
            <w:tcW w:w="1126" w:type="pct"/>
            <w:vAlign w:val="center"/>
          </w:tcPr>
          <w:p w14:paraId="30A00BA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7.6%</w:t>
            </w:r>
          </w:p>
        </w:tc>
      </w:tr>
      <w:tr w:rsidR="00FE32C8" w:rsidRPr="001A4499" w14:paraId="72ADD115"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4C700624" w14:textId="005B9C36"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J</w:t>
            </w:r>
          </w:p>
        </w:tc>
        <w:tc>
          <w:tcPr>
            <w:tcW w:w="1126" w:type="pct"/>
            <w:vAlign w:val="center"/>
          </w:tcPr>
          <w:p w14:paraId="00A873E4"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5972990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C65083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40.4%</w:t>
            </w:r>
          </w:p>
        </w:tc>
        <w:tc>
          <w:tcPr>
            <w:tcW w:w="1126" w:type="pct"/>
            <w:vAlign w:val="center"/>
          </w:tcPr>
          <w:p w14:paraId="6AF9228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20.9%</w:t>
            </w:r>
          </w:p>
        </w:tc>
      </w:tr>
      <w:tr w:rsidR="00FE32C8" w:rsidRPr="001A4499" w14:paraId="12AFD14F" w14:textId="77777777" w:rsidTr="001A4499">
        <w:tc>
          <w:tcPr>
            <w:tcW w:w="497" w:type="pct"/>
          </w:tcPr>
          <w:p w14:paraId="113AF636" w14:textId="55847D76"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K</w:t>
            </w:r>
          </w:p>
        </w:tc>
        <w:tc>
          <w:tcPr>
            <w:tcW w:w="1126" w:type="pct"/>
            <w:vAlign w:val="center"/>
          </w:tcPr>
          <w:p w14:paraId="1E043888"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77.6%</w:t>
            </w:r>
          </w:p>
        </w:tc>
        <w:tc>
          <w:tcPr>
            <w:tcW w:w="1126" w:type="pct"/>
            <w:vAlign w:val="center"/>
          </w:tcPr>
          <w:p w14:paraId="22F974C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21.7%</w:t>
            </w:r>
          </w:p>
        </w:tc>
        <w:tc>
          <w:tcPr>
            <w:tcW w:w="1126" w:type="pct"/>
            <w:vAlign w:val="center"/>
          </w:tcPr>
          <w:p w14:paraId="5700BE3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10.4%</w:t>
            </w:r>
          </w:p>
        </w:tc>
        <w:tc>
          <w:tcPr>
            <w:tcW w:w="1126" w:type="pct"/>
            <w:vAlign w:val="center"/>
          </w:tcPr>
          <w:p w14:paraId="528D52D7"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2.9%</w:t>
            </w:r>
          </w:p>
        </w:tc>
      </w:tr>
      <w:tr w:rsidR="00FE32C8" w:rsidRPr="001A4499" w14:paraId="2A7E470A"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7DFD76F2" w14:textId="56CDFA66"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L</w:t>
            </w:r>
          </w:p>
        </w:tc>
        <w:tc>
          <w:tcPr>
            <w:tcW w:w="1126" w:type="pct"/>
            <w:vAlign w:val="center"/>
          </w:tcPr>
          <w:p w14:paraId="7FC92B67"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63931A9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D70A6D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5.4%</w:t>
            </w:r>
          </w:p>
        </w:tc>
        <w:tc>
          <w:tcPr>
            <w:tcW w:w="1126" w:type="pct"/>
            <w:vAlign w:val="center"/>
          </w:tcPr>
          <w:p w14:paraId="05BC791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3.1%</w:t>
            </w:r>
          </w:p>
        </w:tc>
      </w:tr>
      <w:tr w:rsidR="00FE32C8" w:rsidRPr="001A4499" w14:paraId="1E6C922E" w14:textId="77777777" w:rsidTr="001A4499">
        <w:tc>
          <w:tcPr>
            <w:tcW w:w="497" w:type="pct"/>
          </w:tcPr>
          <w:p w14:paraId="497822C0" w14:textId="370BFDD0"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M</w:t>
            </w:r>
          </w:p>
        </w:tc>
        <w:tc>
          <w:tcPr>
            <w:tcW w:w="1126" w:type="pct"/>
            <w:vAlign w:val="center"/>
          </w:tcPr>
          <w:p w14:paraId="20D9EA9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630A016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1E4454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768.5%</w:t>
            </w:r>
          </w:p>
        </w:tc>
        <w:tc>
          <w:tcPr>
            <w:tcW w:w="1126" w:type="pct"/>
            <w:vAlign w:val="center"/>
          </w:tcPr>
          <w:p w14:paraId="7D436AF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768.5%</w:t>
            </w:r>
          </w:p>
        </w:tc>
      </w:tr>
      <w:tr w:rsidR="00FE32C8" w:rsidRPr="001A4499" w14:paraId="08E5B874"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4630A496"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N</w:t>
            </w:r>
          </w:p>
        </w:tc>
        <w:tc>
          <w:tcPr>
            <w:tcW w:w="1126" w:type="pct"/>
            <w:vAlign w:val="center"/>
          </w:tcPr>
          <w:p w14:paraId="5326D8F8"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888.9%</w:t>
            </w:r>
          </w:p>
        </w:tc>
        <w:tc>
          <w:tcPr>
            <w:tcW w:w="1126" w:type="pct"/>
            <w:vAlign w:val="center"/>
          </w:tcPr>
          <w:p w14:paraId="145E911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888.9%</w:t>
            </w:r>
          </w:p>
        </w:tc>
        <w:tc>
          <w:tcPr>
            <w:tcW w:w="1126" w:type="pct"/>
            <w:vAlign w:val="center"/>
          </w:tcPr>
          <w:p w14:paraId="0AEFED0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7.4%</w:t>
            </w:r>
          </w:p>
        </w:tc>
        <w:tc>
          <w:tcPr>
            <w:tcW w:w="1126" w:type="pct"/>
            <w:vAlign w:val="center"/>
          </w:tcPr>
          <w:p w14:paraId="3164F3B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7.4%</w:t>
            </w:r>
          </w:p>
        </w:tc>
      </w:tr>
      <w:tr w:rsidR="00FE32C8" w:rsidRPr="001A4499" w14:paraId="377AFE71" w14:textId="77777777" w:rsidTr="001A4499">
        <w:tc>
          <w:tcPr>
            <w:tcW w:w="497" w:type="pct"/>
          </w:tcPr>
          <w:p w14:paraId="6FE1E3E0"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O*</w:t>
            </w:r>
            <w:r w:rsidRPr="001A4499">
              <w:rPr>
                <w:rStyle w:val="FootnoteReference"/>
                <w:color w:val="000000"/>
                <w:sz w:val="15"/>
                <w:szCs w:val="15"/>
                <w:lang w:val="en-GB"/>
              </w:rPr>
              <w:footnoteReference w:id="30"/>
            </w:r>
          </w:p>
        </w:tc>
        <w:tc>
          <w:tcPr>
            <w:tcW w:w="1126" w:type="pct"/>
            <w:vAlign w:val="center"/>
          </w:tcPr>
          <w:p w14:paraId="47EFE8E2"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59C5FE2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BB3955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4.3%</w:t>
            </w:r>
          </w:p>
        </w:tc>
        <w:tc>
          <w:tcPr>
            <w:tcW w:w="1126" w:type="pct"/>
            <w:vAlign w:val="center"/>
          </w:tcPr>
          <w:p w14:paraId="537480B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4.3%</w:t>
            </w:r>
          </w:p>
        </w:tc>
      </w:tr>
      <w:tr w:rsidR="00FE32C8" w:rsidRPr="001A4499" w14:paraId="544339F1"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0480089A"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P *</w:t>
            </w:r>
          </w:p>
        </w:tc>
        <w:tc>
          <w:tcPr>
            <w:tcW w:w="1126" w:type="pct"/>
            <w:vAlign w:val="center"/>
          </w:tcPr>
          <w:p w14:paraId="3ED69D5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4A5FD31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5931550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3.1%</w:t>
            </w:r>
          </w:p>
        </w:tc>
        <w:tc>
          <w:tcPr>
            <w:tcW w:w="1126" w:type="pct"/>
            <w:vAlign w:val="center"/>
          </w:tcPr>
          <w:p w14:paraId="549787D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3.1%</w:t>
            </w:r>
          </w:p>
        </w:tc>
      </w:tr>
      <w:tr w:rsidR="00FE32C8" w:rsidRPr="001A4499" w14:paraId="5FFDF7A7" w14:textId="77777777" w:rsidTr="001A4499">
        <w:tc>
          <w:tcPr>
            <w:tcW w:w="497" w:type="pct"/>
          </w:tcPr>
          <w:p w14:paraId="3212AF8A" w14:textId="6214D779"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Q</w:t>
            </w:r>
          </w:p>
        </w:tc>
        <w:tc>
          <w:tcPr>
            <w:tcW w:w="1126" w:type="pct"/>
            <w:vAlign w:val="center"/>
          </w:tcPr>
          <w:p w14:paraId="11E50492"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237.0%</w:t>
            </w:r>
          </w:p>
        </w:tc>
        <w:tc>
          <w:tcPr>
            <w:tcW w:w="1126" w:type="pct"/>
            <w:vAlign w:val="center"/>
          </w:tcPr>
          <w:p w14:paraId="19ED1AC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237.0%</w:t>
            </w:r>
          </w:p>
        </w:tc>
        <w:tc>
          <w:tcPr>
            <w:tcW w:w="1126" w:type="pct"/>
            <w:vAlign w:val="center"/>
          </w:tcPr>
          <w:p w14:paraId="3829E212"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12.8%</w:t>
            </w:r>
          </w:p>
        </w:tc>
        <w:tc>
          <w:tcPr>
            <w:tcW w:w="1126" w:type="pct"/>
            <w:vAlign w:val="center"/>
          </w:tcPr>
          <w:p w14:paraId="39D29DD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12.8%</w:t>
            </w:r>
          </w:p>
        </w:tc>
      </w:tr>
      <w:tr w:rsidR="00FE32C8" w:rsidRPr="001A4499" w14:paraId="6614C121"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2D12A480"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R</w:t>
            </w:r>
          </w:p>
        </w:tc>
        <w:tc>
          <w:tcPr>
            <w:tcW w:w="1126" w:type="pct"/>
            <w:vAlign w:val="center"/>
          </w:tcPr>
          <w:p w14:paraId="3F3D8C61"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1136.4%</w:t>
            </w:r>
          </w:p>
        </w:tc>
        <w:tc>
          <w:tcPr>
            <w:tcW w:w="1126" w:type="pct"/>
            <w:vAlign w:val="center"/>
          </w:tcPr>
          <w:p w14:paraId="373F42D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536.4%</w:t>
            </w:r>
          </w:p>
        </w:tc>
        <w:tc>
          <w:tcPr>
            <w:tcW w:w="1126" w:type="pct"/>
            <w:vAlign w:val="center"/>
          </w:tcPr>
          <w:p w14:paraId="10F36D7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4.0%</w:t>
            </w:r>
          </w:p>
        </w:tc>
        <w:tc>
          <w:tcPr>
            <w:tcW w:w="1126" w:type="pct"/>
            <w:vAlign w:val="center"/>
          </w:tcPr>
          <w:p w14:paraId="65BB861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1.9%</w:t>
            </w:r>
          </w:p>
        </w:tc>
      </w:tr>
      <w:tr w:rsidR="00FE32C8" w:rsidRPr="001A4499" w14:paraId="2F3DF137" w14:textId="77777777" w:rsidTr="001A4499">
        <w:tc>
          <w:tcPr>
            <w:tcW w:w="497" w:type="pct"/>
          </w:tcPr>
          <w:p w14:paraId="4541EA7A"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S*</w:t>
            </w:r>
          </w:p>
        </w:tc>
        <w:tc>
          <w:tcPr>
            <w:tcW w:w="1126" w:type="pct"/>
            <w:vAlign w:val="center"/>
          </w:tcPr>
          <w:p w14:paraId="0CCD1BD9"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3B1F8E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4DA74C3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14.4%</w:t>
            </w:r>
          </w:p>
        </w:tc>
        <w:tc>
          <w:tcPr>
            <w:tcW w:w="1126" w:type="pct"/>
            <w:vAlign w:val="center"/>
          </w:tcPr>
          <w:p w14:paraId="262331E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2.4%</w:t>
            </w:r>
          </w:p>
        </w:tc>
      </w:tr>
      <w:tr w:rsidR="00FE32C8" w:rsidRPr="001A4499" w14:paraId="24C71361"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765B8858"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T*</w:t>
            </w:r>
          </w:p>
        </w:tc>
        <w:tc>
          <w:tcPr>
            <w:tcW w:w="1126" w:type="pct"/>
            <w:vAlign w:val="center"/>
          </w:tcPr>
          <w:p w14:paraId="308A8F1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4EA0D17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0A90366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40.8%</w:t>
            </w:r>
          </w:p>
        </w:tc>
        <w:tc>
          <w:tcPr>
            <w:tcW w:w="1126" w:type="pct"/>
            <w:vAlign w:val="center"/>
          </w:tcPr>
          <w:p w14:paraId="59837FB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14.9%</w:t>
            </w:r>
          </w:p>
        </w:tc>
      </w:tr>
      <w:tr w:rsidR="00FE32C8" w:rsidRPr="001A4499" w14:paraId="62800017" w14:textId="77777777" w:rsidTr="001A4499">
        <w:tc>
          <w:tcPr>
            <w:tcW w:w="497" w:type="pct"/>
          </w:tcPr>
          <w:p w14:paraId="043F34CD"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U</w:t>
            </w:r>
          </w:p>
        </w:tc>
        <w:tc>
          <w:tcPr>
            <w:tcW w:w="1126" w:type="pct"/>
            <w:vAlign w:val="center"/>
          </w:tcPr>
          <w:p w14:paraId="07D957A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80501A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31C546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1.2%</w:t>
            </w:r>
          </w:p>
        </w:tc>
        <w:tc>
          <w:tcPr>
            <w:tcW w:w="1126" w:type="pct"/>
            <w:vAlign w:val="center"/>
          </w:tcPr>
          <w:p w14:paraId="60DEE83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0.8%</w:t>
            </w:r>
          </w:p>
        </w:tc>
      </w:tr>
      <w:tr w:rsidR="00FE32C8" w:rsidRPr="001A4499" w14:paraId="4E998E23"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63905855"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V</w:t>
            </w:r>
          </w:p>
        </w:tc>
        <w:tc>
          <w:tcPr>
            <w:tcW w:w="1126" w:type="pct"/>
            <w:vAlign w:val="center"/>
          </w:tcPr>
          <w:p w14:paraId="339996E3"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263E4C6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F06896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13.0%</w:t>
            </w:r>
          </w:p>
        </w:tc>
        <w:tc>
          <w:tcPr>
            <w:tcW w:w="1126" w:type="pct"/>
            <w:vAlign w:val="center"/>
          </w:tcPr>
          <w:p w14:paraId="78D2EB4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9.5%</w:t>
            </w:r>
          </w:p>
        </w:tc>
      </w:tr>
      <w:tr w:rsidR="00FE32C8" w:rsidRPr="001A4499" w14:paraId="45CD0261" w14:textId="77777777" w:rsidTr="001A4499">
        <w:tc>
          <w:tcPr>
            <w:tcW w:w="497" w:type="pct"/>
          </w:tcPr>
          <w:p w14:paraId="73EEB226" w14:textId="549B1EAA"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W</w:t>
            </w:r>
          </w:p>
        </w:tc>
        <w:tc>
          <w:tcPr>
            <w:tcW w:w="1126" w:type="pct"/>
            <w:vAlign w:val="center"/>
          </w:tcPr>
          <w:p w14:paraId="2735490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171.4%</w:t>
            </w:r>
          </w:p>
        </w:tc>
        <w:tc>
          <w:tcPr>
            <w:tcW w:w="1126" w:type="pct"/>
            <w:vAlign w:val="center"/>
          </w:tcPr>
          <w:p w14:paraId="42404B4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135.7%</w:t>
            </w:r>
          </w:p>
        </w:tc>
        <w:tc>
          <w:tcPr>
            <w:tcW w:w="1126" w:type="pct"/>
            <w:vAlign w:val="center"/>
          </w:tcPr>
          <w:p w14:paraId="37945DD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1.1%</w:t>
            </w:r>
          </w:p>
        </w:tc>
        <w:tc>
          <w:tcPr>
            <w:tcW w:w="1126" w:type="pct"/>
            <w:vAlign w:val="center"/>
          </w:tcPr>
          <w:p w14:paraId="51E1281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0.8%</w:t>
            </w:r>
          </w:p>
        </w:tc>
      </w:tr>
      <w:tr w:rsidR="00FE32C8" w:rsidRPr="001A4499" w14:paraId="3104900E"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64E12A43" w14:textId="5DF43433"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X</w:t>
            </w:r>
          </w:p>
        </w:tc>
        <w:tc>
          <w:tcPr>
            <w:tcW w:w="1126" w:type="pct"/>
            <w:vAlign w:val="center"/>
          </w:tcPr>
          <w:p w14:paraId="2D1F432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57.7%</w:t>
            </w:r>
          </w:p>
        </w:tc>
        <w:tc>
          <w:tcPr>
            <w:tcW w:w="1126" w:type="pct"/>
            <w:vAlign w:val="center"/>
          </w:tcPr>
          <w:p w14:paraId="2360F25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17.9%</w:t>
            </w:r>
          </w:p>
        </w:tc>
        <w:tc>
          <w:tcPr>
            <w:tcW w:w="1126" w:type="pct"/>
            <w:vAlign w:val="center"/>
          </w:tcPr>
          <w:p w14:paraId="593D90A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1.6%</w:t>
            </w:r>
          </w:p>
        </w:tc>
        <w:tc>
          <w:tcPr>
            <w:tcW w:w="1126" w:type="pct"/>
            <w:vAlign w:val="center"/>
          </w:tcPr>
          <w:p w14:paraId="29E428F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0.5%</w:t>
            </w:r>
          </w:p>
        </w:tc>
      </w:tr>
      <w:tr w:rsidR="00FE32C8" w:rsidRPr="001A4499" w14:paraId="2DDD94F9" w14:textId="77777777" w:rsidTr="001A4499">
        <w:tc>
          <w:tcPr>
            <w:tcW w:w="497" w:type="pct"/>
          </w:tcPr>
          <w:p w14:paraId="17173A63" w14:textId="7C837D90"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Y</w:t>
            </w:r>
          </w:p>
        </w:tc>
        <w:tc>
          <w:tcPr>
            <w:tcW w:w="1126" w:type="pct"/>
            <w:vAlign w:val="center"/>
          </w:tcPr>
          <w:p w14:paraId="71279E83"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17F8EA6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4345FB3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3.3%</w:t>
            </w:r>
          </w:p>
        </w:tc>
        <w:tc>
          <w:tcPr>
            <w:tcW w:w="1126" w:type="pct"/>
            <w:vAlign w:val="center"/>
          </w:tcPr>
          <w:p w14:paraId="6EC244F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2.8%</w:t>
            </w:r>
          </w:p>
        </w:tc>
      </w:tr>
      <w:tr w:rsidR="00FE32C8" w:rsidRPr="001A4499" w14:paraId="06C92309"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28A8E010" w14:textId="77777777" w:rsidR="00FE32C8" w:rsidRPr="001A4499" w:rsidRDefault="00FE32C8" w:rsidP="00E80AAA">
            <w:pPr>
              <w:spacing w:after="0" w:line="240" w:lineRule="auto"/>
              <w:jc w:val="center"/>
              <w:rPr>
                <w:sz w:val="15"/>
                <w:szCs w:val="15"/>
                <w:lang w:val="en-GB"/>
              </w:rPr>
            </w:pPr>
            <w:r w:rsidRPr="001A4499">
              <w:rPr>
                <w:color w:val="000000"/>
                <w:sz w:val="15"/>
                <w:szCs w:val="15"/>
                <w:lang w:val="en-GB"/>
              </w:rPr>
              <w:t>Z*</w:t>
            </w:r>
          </w:p>
        </w:tc>
        <w:tc>
          <w:tcPr>
            <w:tcW w:w="1126" w:type="pct"/>
            <w:vAlign w:val="center"/>
          </w:tcPr>
          <w:p w14:paraId="71A883DA"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68D72B5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21A5BCA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6E42768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r>
      <w:tr w:rsidR="00FE32C8" w:rsidRPr="001A4499" w14:paraId="361FE0A6" w14:textId="77777777" w:rsidTr="001A4499">
        <w:tc>
          <w:tcPr>
            <w:tcW w:w="497" w:type="pct"/>
          </w:tcPr>
          <w:p w14:paraId="6D51C099" w14:textId="5B74F2E0" w:rsidR="00FE32C8" w:rsidRPr="001A4499" w:rsidRDefault="00FE32C8" w:rsidP="00E80AAA">
            <w:pPr>
              <w:spacing w:after="0" w:line="240" w:lineRule="auto"/>
              <w:jc w:val="center"/>
              <w:rPr>
                <w:sz w:val="15"/>
                <w:szCs w:val="15"/>
                <w:lang w:val="en-GB"/>
              </w:rPr>
            </w:pPr>
            <w:r w:rsidRPr="001A4499">
              <w:rPr>
                <w:color w:val="000000"/>
                <w:sz w:val="15"/>
                <w:szCs w:val="15"/>
                <w:lang w:val="en-GB"/>
              </w:rPr>
              <w:t>AA</w:t>
            </w:r>
          </w:p>
        </w:tc>
        <w:tc>
          <w:tcPr>
            <w:tcW w:w="1126" w:type="pct"/>
            <w:vAlign w:val="center"/>
          </w:tcPr>
          <w:p w14:paraId="74568D7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77EE16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99B1DE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19.8%</w:t>
            </w:r>
          </w:p>
        </w:tc>
        <w:tc>
          <w:tcPr>
            <w:tcW w:w="1126" w:type="pct"/>
            <w:vAlign w:val="center"/>
          </w:tcPr>
          <w:p w14:paraId="6ED6810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14.9%</w:t>
            </w:r>
          </w:p>
        </w:tc>
      </w:tr>
      <w:tr w:rsidR="00FE32C8" w:rsidRPr="001A4499" w14:paraId="1ACEAC6A"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7FFA1FAF" w14:textId="77777777" w:rsidR="00FE32C8" w:rsidRPr="001A4499" w:rsidRDefault="00FE32C8" w:rsidP="00E80AAA">
            <w:pPr>
              <w:spacing w:after="0" w:line="240" w:lineRule="auto"/>
              <w:jc w:val="center"/>
              <w:rPr>
                <w:sz w:val="15"/>
                <w:szCs w:val="15"/>
                <w:lang w:val="en-GB"/>
              </w:rPr>
            </w:pPr>
            <w:r w:rsidRPr="001A4499">
              <w:rPr>
                <w:color w:val="000000"/>
                <w:sz w:val="15"/>
                <w:szCs w:val="15"/>
                <w:lang w:val="en-GB"/>
              </w:rPr>
              <w:t>AB*</w:t>
            </w:r>
          </w:p>
        </w:tc>
        <w:tc>
          <w:tcPr>
            <w:tcW w:w="1126" w:type="pct"/>
            <w:vAlign w:val="center"/>
          </w:tcPr>
          <w:p w14:paraId="399E858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117600D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770AD55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1.3%</w:t>
            </w:r>
          </w:p>
        </w:tc>
        <w:tc>
          <w:tcPr>
            <w:tcW w:w="1126" w:type="pct"/>
            <w:vAlign w:val="center"/>
          </w:tcPr>
          <w:p w14:paraId="75A6CB3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0.7%</w:t>
            </w:r>
          </w:p>
        </w:tc>
      </w:tr>
      <w:tr w:rsidR="00FE32C8" w:rsidRPr="001A4499" w14:paraId="7435CDFA" w14:textId="77777777" w:rsidTr="001A4499">
        <w:tc>
          <w:tcPr>
            <w:tcW w:w="497" w:type="pct"/>
          </w:tcPr>
          <w:p w14:paraId="05B9113D" w14:textId="77777777" w:rsidR="00FE32C8" w:rsidRPr="001A4499" w:rsidRDefault="00FE32C8" w:rsidP="00E80AAA">
            <w:pPr>
              <w:spacing w:after="0" w:line="240" w:lineRule="auto"/>
              <w:jc w:val="center"/>
              <w:rPr>
                <w:sz w:val="15"/>
                <w:szCs w:val="15"/>
                <w:lang w:val="en-GB"/>
              </w:rPr>
            </w:pPr>
            <w:r w:rsidRPr="001A4499">
              <w:rPr>
                <w:color w:val="000000"/>
                <w:sz w:val="15"/>
                <w:szCs w:val="15"/>
                <w:lang w:val="en-GB"/>
              </w:rPr>
              <w:t>AC*</w:t>
            </w:r>
          </w:p>
        </w:tc>
        <w:tc>
          <w:tcPr>
            <w:tcW w:w="1126" w:type="pct"/>
            <w:vAlign w:val="center"/>
          </w:tcPr>
          <w:p w14:paraId="27D70384"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7EAE94D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0A90537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3.8%</w:t>
            </w:r>
          </w:p>
        </w:tc>
        <w:tc>
          <w:tcPr>
            <w:tcW w:w="1126" w:type="pct"/>
            <w:vAlign w:val="center"/>
          </w:tcPr>
          <w:p w14:paraId="5DDFF7E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2.1%</w:t>
            </w:r>
          </w:p>
        </w:tc>
      </w:tr>
      <w:tr w:rsidR="00FE32C8" w:rsidRPr="001A4499" w14:paraId="63C0E4D0"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4F2BDC17"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AD</w:t>
            </w:r>
          </w:p>
        </w:tc>
        <w:tc>
          <w:tcPr>
            <w:tcW w:w="1126" w:type="pct"/>
            <w:vAlign w:val="center"/>
          </w:tcPr>
          <w:p w14:paraId="60A74A53"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0CDB488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537AAFA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2.8%</w:t>
            </w:r>
          </w:p>
        </w:tc>
        <w:tc>
          <w:tcPr>
            <w:tcW w:w="1126" w:type="pct"/>
            <w:vAlign w:val="center"/>
          </w:tcPr>
          <w:p w14:paraId="24B235A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0.6%</w:t>
            </w:r>
          </w:p>
        </w:tc>
      </w:tr>
      <w:tr w:rsidR="00FE32C8" w:rsidRPr="001A4499" w14:paraId="691D00D9" w14:textId="77777777" w:rsidTr="001A4499">
        <w:tc>
          <w:tcPr>
            <w:tcW w:w="497" w:type="pct"/>
          </w:tcPr>
          <w:p w14:paraId="7A16F2A6" w14:textId="30965511"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AE</w:t>
            </w:r>
          </w:p>
        </w:tc>
        <w:tc>
          <w:tcPr>
            <w:tcW w:w="1126" w:type="pct"/>
            <w:vAlign w:val="center"/>
          </w:tcPr>
          <w:p w14:paraId="5D67CA81"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269.0%</w:t>
            </w:r>
          </w:p>
        </w:tc>
        <w:tc>
          <w:tcPr>
            <w:tcW w:w="1126" w:type="pct"/>
            <w:vAlign w:val="center"/>
          </w:tcPr>
          <w:p w14:paraId="71D0AEF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6.9%</w:t>
            </w:r>
          </w:p>
        </w:tc>
        <w:tc>
          <w:tcPr>
            <w:tcW w:w="1126" w:type="pct"/>
            <w:vAlign w:val="center"/>
          </w:tcPr>
          <w:p w14:paraId="6DD566D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24.5%</w:t>
            </w:r>
          </w:p>
        </w:tc>
        <w:tc>
          <w:tcPr>
            <w:tcW w:w="1126" w:type="pct"/>
            <w:vAlign w:val="center"/>
          </w:tcPr>
          <w:p w14:paraId="2ED62A2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0.6%</w:t>
            </w:r>
          </w:p>
        </w:tc>
      </w:tr>
      <w:tr w:rsidR="00FE32C8" w:rsidRPr="001A4499" w14:paraId="11AEA6A3"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18B67261"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AF</w:t>
            </w:r>
          </w:p>
        </w:tc>
        <w:tc>
          <w:tcPr>
            <w:tcW w:w="1126" w:type="pct"/>
            <w:vAlign w:val="center"/>
          </w:tcPr>
          <w:p w14:paraId="2A4EBC25"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2994A72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46DDDA4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87.5%</w:t>
            </w:r>
          </w:p>
        </w:tc>
        <w:tc>
          <w:tcPr>
            <w:tcW w:w="1126" w:type="pct"/>
            <w:vAlign w:val="center"/>
          </w:tcPr>
          <w:p w14:paraId="480C0F2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5.7%</w:t>
            </w:r>
          </w:p>
        </w:tc>
      </w:tr>
      <w:tr w:rsidR="00FE32C8" w:rsidRPr="001A4499" w14:paraId="7B7720DA" w14:textId="77777777" w:rsidTr="001A4499">
        <w:tc>
          <w:tcPr>
            <w:tcW w:w="497" w:type="pct"/>
          </w:tcPr>
          <w:p w14:paraId="743B6FA9"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AG*</w:t>
            </w:r>
          </w:p>
        </w:tc>
        <w:tc>
          <w:tcPr>
            <w:tcW w:w="1126" w:type="pct"/>
            <w:vAlign w:val="center"/>
          </w:tcPr>
          <w:p w14:paraId="2737AC4B"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1.6%</w:t>
            </w:r>
          </w:p>
        </w:tc>
        <w:tc>
          <w:tcPr>
            <w:tcW w:w="1126" w:type="pct"/>
            <w:vAlign w:val="center"/>
          </w:tcPr>
          <w:p w14:paraId="1DD9838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1.6%</w:t>
            </w:r>
          </w:p>
        </w:tc>
        <w:tc>
          <w:tcPr>
            <w:tcW w:w="1126" w:type="pct"/>
            <w:vAlign w:val="center"/>
          </w:tcPr>
          <w:p w14:paraId="3C969F9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1.8%</w:t>
            </w:r>
          </w:p>
        </w:tc>
        <w:tc>
          <w:tcPr>
            <w:tcW w:w="1126" w:type="pct"/>
            <w:vAlign w:val="center"/>
          </w:tcPr>
          <w:p w14:paraId="79743DE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1.8%</w:t>
            </w:r>
          </w:p>
        </w:tc>
      </w:tr>
      <w:tr w:rsidR="00FE32C8" w:rsidRPr="001A4499" w14:paraId="5D2CEAE6"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243440E9" w14:textId="124A30EA"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AH</w:t>
            </w:r>
          </w:p>
        </w:tc>
        <w:tc>
          <w:tcPr>
            <w:tcW w:w="1126" w:type="pct"/>
            <w:vAlign w:val="center"/>
          </w:tcPr>
          <w:p w14:paraId="03AAEBE9"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8.5%</w:t>
            </w:r>
          </w:p>
        </w:tc>
        <w:tc>
          <w:tcPr>
            <w:tcW w:w="1126" w:type="pct"/>
            <w:vAlign w:val="center"/>
          </w:tcPr>
          <w:p w14:paraId="4F29052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0.3%</w:t>
            </w:r>
          </w:p>
        </w:tc>
        <w:tc>
          <w:tcPr>
            <w:tcW w:w="1126" w:type="pct"/>
            <w:vAlign w:val="center"/>
          </w:tcPr>
          <w:p w14:paraId="73B6F21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0.5%</w:t>
            </w:r>
          </w:p>
        </w:tc>
        <w:tc>
          <w:tcPr>
            <w:tcW w:w="1126" w:type="pct"/>
            <w:vAlign w:val="center"/>
          </w:tcPr>
          <w:p w14:paraId="4C726F8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46DFCBAE" w14:textId="77777777" w:rsidTr="001A4499">
        <w:tc>
          <w:tcPr>
            <w:tcW w:w="497" w:type="pct"/>
          </w:tcPr>
          <w:p w14:paraId="1F3C727E"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AI</w:t>
            </w:r>
            <w:r w:rsidRPr="001A4499">
              <w:rPr>
                <w:strike/>
                <w:color w:val="000000"/>
                <w:sz w:val="15"/>
                <w:szCs w:val="15"/>
                <w:lang w:val="en-GB"/>
              </w:rPr>
              <w:t>*</w:t>
            </w:r>
          </w:p>
        </w:tc>
        <w:tc>
          <w:tcPr>
            <w:tcW w:w="1126" w:type="pct"/>
            <w:vAlign w:val="center"/>
          </w:tcPr>
          <w:p w14:paraId="6D0105B1"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17.8%</w:t>
            </w:r>
          </w:p>
        </w:tc>
        <w:tc>
          <w:tcPr>
            <w:tcW w:w="1126" w:type="pct"/>
            <w:vAlign w:val="center"/>
          </w:tcPr>
          <w:p w14:paraId="5B4440C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17.8%</w:t>
            </w:r>
          </w:p>
        </w:tc>
        <w:tc>
          <w:tcPr>
            <w:tcW w:w="1126" w:type="pct"/>
            <w:vAlign w:val="center"/>
          </w:tcPr>
          <w:p w14:paraId="6476C8B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0.3%</w:t>
            </w:r>
          </w:p>
        </w:tc>
        <w:tc>
          <w:tcPr>
            <w:tcW w:w="1126" w:type="pct"/>
            <w:vAlign w:val="center"/>
          </w:tcPr>
          <w:p w14:paraId="3BFF294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0.3%</w:t>
            </w:r>
          </w:p>
        </w:tc>
      </w:tr>
      <w:tr w:rsidR="00FE32C8" w:rsidRPr="001A4499" w14:paraId="7D95A29C"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1295BD36" w14:textId="43433C4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AJ</w:t>
            </w:r>
          </w:p>
        </w:tc>
        <w:tc>
          <w:tcPr>
            <w:tcW w:w="1126" w:type="pct"/>
            <w:vAlign w:val="center"/>
          </w:tcPr>
          <w:p w14:paraId="158882C8"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10DF50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7F7E7E4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2.5%</w:t>
            </w:r>
          </w:p>
        </w:tc>
        <w:tc>
          <w:tcPr>
            <w:tcW w:w="1126" w:type="pct"/>
            <w:vAlign w:val="center"/>
          </w:tcPr>
          <w:p w14:paraId="32BFA7D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0.1%</w:t>
            </w:r>
          </w:p>
        </w:tc>
      </w:tr>
      <w:tr w:rsidR="00FE32C8" w:rsidRPr="001A4499" w14:paraId="61EBD4D3" w14:textId="77777777" w:rsidTr="001A4499">
        <w:tc>
          <w:tcPr>
            <w:tcW w:w="497" w:type="pct"/>
          </w:tcPr>
          <w:p w14:paraId="708C48E2" w14:textId="056C3D46"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AK</w:t>
            </w:r>
          </w:p>
        </w:tc>
        <w:tc>
          <w:tcPr>
            <w:tcW w:w="1126" w:type="pct"/>
            <w:vAlign w:val="center"/>
          </w:tcPr>
          <w:p w14:paraId="50D4FD03"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15FB401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62D7AB8B"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31.8%</w:t>
            </w:r>
          </w:p>
        </w:tc>
        <w:tc>
          <w:tcPr>
            <w:tcW w:w="1126" w:type="pct"/>
            <w:vAlign w:val="center"/>
          </w:tcPr>
          <w:p w14:paraId="06DCDBE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13,50%</w:t>
            </w:r>
          </w:p>
        </w:tc>
      </w:tr>
      <w:tr w:rsidR="00FE32C8" w:rsidRPr="001A4499" w14:paraId="604B9A8A"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2F508230" w14:textId="247752DD"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AL</w:t>
            </w:r>
          </w:p>
        </w:tc>
        <w:tc>
          <w:tcPr>
            <w:tcW w:w="1126" w:type="pct"/>
            <w:vAlign w:val="center"/>
          </w:tcPr>
          <w:p w14:paraId="3E9F359E"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7CD8C17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2283E97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7.4%</w:t>
            </w:r>
          </w:p>
        </w:tc>
        <w:tc>
          <w:tcPr>
            <w:tcW w:w="1126" w:type="pct"/>
            <w:vAlign w:val="center"/>
          </w:tcPr>
          <w:p w14:paraId="39A0939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3.7%</w:t>
            </w:r>
          </w:p>
        </w:tc>
      </w:tr>
      <w:tr w:rsidR="00FE32C8" w:rsidRPr="001A4499" w14:paraId="1CF56FC0" w14:textId="77777777" w:rsidTr="001A4499">
        <w:tc>
          <w:tcPr>
            <w:tcW w:w="497" w:type="pct"/>
          </w:tcPr>
          <w:p w14:paraId="4F749C4A" w14:textId="10B2B71D"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AM</w:t>
            </w:r>
          </w:p>
        </w:tc>
        <w:tc>
          <w:tcPr>
            <w:tcW w:w="1126" w:type="pct"/>
            <w:vAlign w:val="center"/>
          </w:tcPr>
          <w:p w14:paraId="479C9BE6"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5E15984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7D80A25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117.6%</w:t>
            </w:r>
          </w:p>
        </w:tc>
        <w:tc>
          <w:tcPr>
            <w:tcW w:w="1126" w:type="pct"/>
            <w:vAlign w:val="center"/>
          </w:tcPr>
          <w:p w14:paraId="4AE060F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29.4%</w:t>
            </w:r>
          </w:p>
        </w:tc>
      </w:tr>
      <w:tr w:rsidR="00FE32C8" w:rsidRPr="001A4499" w14:paraId="7D5B1ACD"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0ECCE82D" w14:textId="33278A4F"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AN</w:t>
            </w:r>
          </w:p>
        </w:tc>
        <w:tc>
          <w:tcPr>
            <w:tcW w:w="1126" w:type="pct"/>
            <w:vAlign w:val="center"/>
          </w:tcPr>
          <w:p w14:paraId="65F3CE80"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7.7%</w:t>
            </w:r>
          </w:p>
        </w:tc>
        <w:tc>
          <w:tcPr>
            <w:tcW w:w="1126" w:type="pct"/>
            <w:vAlign w:val="center"/>
          </w:tcPr>
          <w:p w14:paraId="554601A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c>
          <w:tcPr>
            <w:tcW w:w="1126" w:type="pct"/>
            <w:vAlign w:val="center"/>
          </w:tcPr>
          <w:p w14:paraId="79B9645D"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c>
          <w:tcPr>
            <w:tcW w:w="1126" w:type="pct"/>
            <w:vAlign w:val="center"/>
          </w:tcPr>
          <w:p w14:paraId="584C2CA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01E36FD1" w14:textId="77777777" w:rsidTr="001A4499">
        <w:tc>
          <w:tcPr>
            <w:tcW w:w="497" w:type="pct"/>
          </w:tcPr>
          <w:p w14:paraId="2B201386" w14:textId="0EF1CA13"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AO</w:t>
            </w:r>
          </w:p>
        </w:tc>
        <w:tc>
          <w:tcPr>
            <w:tcW w:w="1126" w:type="pct"/>
            <w:vAlign w:val="center"/>
          </w:tcPr>
          <w:p w14:paraId="0899C8A2"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0EB2B73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792C3E1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58.8%</w:t>
            </w:r>
          </w:p>
        </w:tc>
        <w:tc>
          <w:tcPr>
            <w:tcW w:w="1126" w:type="pct"/>
            <w:vAlign w:val="center"/>
          </w:tcPr>
          <w:p w14:paraId="31576C5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67A18CD8"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0D45593B" w14:textId="6CE1F86B"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AP</w:t>
            </w:r>
          </w:p>
        </w:tc>
        <w:tc>
          <w:tcPr>
            <w:tcW w:w="1126" w:type="pct"/>
            <w:vAlign w:val="center"/>
          </w:tcPr>
          <w:p w14:paraId="387CD7AC"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286AA48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1E36FC2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E73481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r>
      <w:tr w:rsidR="00FE32C8" w:rsidRPr="001A4499" w14:paraId="5CA4F3F1" w14:textId="77777777" w:rsidTr="001A4499">
        <w:tc>
          <w:tcPr>
            <w:tcW w:w="497" w:type="pct"/>
          </w:tcPr>
          <w:p w14:paraId="3BA5294A"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AQ</w:t>
            </w:r>
          </w:p>
        </w:tc>
        <w:tc>
          <w:tcPr>
            <w:tcW w:w="1126" w:type="pct"/>
            <w:vAlign w:val="center"/>
          </w:tcPr>
          <w:p w14:paraId="4A2DC829"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5964A34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04D911E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0.2%</w:t>
            </w:r>
          </w:p>
        </w:tc>
        <w:tc>
          <w:tcPr>
            <w:tcW w:w="1126" w:type="pct"/>
            <w:vAlign w:val="center"/>
          </w:tcPr>
          <w:p w14:paraId="16913B8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38D8AE3E"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3F2F5F35"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AR</w:t>
            </w:r>
          </w:p>
        </w:tc>
        <w:tc>
          <w:tcPr>
            <w:tcW w:w="1126" w:type="pct"/>
            <w:vAlign w:val="center"/>
          </w:tcPr>
          <w:p w14:paraId="17645B5C"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0011898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BD4CC5E"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6DB0F5F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r>
      <w:tr w:rsidR="00FE32C8" w:rsidRPr="001A4499" w14:paraId="63CE6718" w14:textId="77777777" w:rsidTr="001A4499">
        <w:tc>
          <w:tcPr>
            <w:tcW w:w="497" w:type="pct"/>
          </w:tcPr>
          <w:p w14:paraId="6BA14C46" w14:textId="77777777"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AS</w:t>
            </w:r>
          </w:p>
        </w:tc>
        <w:tc>
          <w:tcPr>
            <w:tcW w:w="1126" w:type="pct"/>
            <w:vAlign w:val="center"/>
          </w:tcPr>
          <w:p w14:paraId="25F80BC6"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7E8659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698E810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3.2%</w:t>
            </w:r>
          </w:p>
        </w:tc>
        <w:tc>
          <w:tcPr>
            <w:tcW w:w="1126" w:type="pct"/>
            <w:vAlign w:val="center"/>
          </w:tcPr>
          <w:p w14:paraId="1AF92A09"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0C9CC700"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0055FD08" w14:textId="3403FF95"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AT</w:t>
            </w:r>
          </w:p>
        </w:tc>
        <w:tc>
          <w:tcPr>
            <w:tcW w:w="1126" w:type="pct"/>
            <w:vAlign w:val="center"/>
          </w:tcPr>
          <w:p w14:paraId="7DD8D24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0208CF3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2702EB05"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5FED777"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r>
      <w:tr w:rsidR="00FE32C8" w:rsidRPr="001A4499" w14:paraId="56A1E781" w14:textId="77777777" w:rsidTr="001A4499">
        <w:tc>
          <w:tcPr>
            <w:tcW w:w="497" w:type="pct"/>
          </w:tcPr>
          <w:p w14:paraId="758B0B83" w14:textId="1870C163"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AU</w:t>
            </w:r>
          </w:p>
        </w:tc>
        <w:tc>
          <w:tcPr>
            <w:tcW w:w="1126" w:type="pct"/>
            <w:vAlign w:val="center"/>
          </w:tcPr>
          <w:p w14:paraId="7245897D"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70B865A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6D200756"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00C66874"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r>
      <w:tr w:rsidR="00FE32C8" w:rsidRPr="001A4499" w14:paraId="1D9BD886"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1C3B3701" w14:textId="38B7A6AB"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AV</w:t>
            </w:r>
          </w:p>
        </w:tc>
        <w:tc>
          <w:tcPr>
            <w:tcW w:w="1126" w:type="pct"/>
            <w:vAlign w:val="center"/>
          </w:tcPr>
          <w:p w14:paraId="26B9D8F6"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42C526A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206924AC"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0.2%</w:t>
            </w:r>
          </w:p>
        </w:tc>
        <w:tc>
          <w:tcPr>
            <w:tcW w:w="1126" w:type="pct"/>
            <w:vAlign w:val="center"/>
          </w:tcPr>
          <w:p w14:paraId="7CB096F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37F8F194" w14:textId="77777777" w:rsidTr="001A4499">
        <w:tc>
          <w:tcPr>
            <w:tcW w:w="497" w:type="pct"/>
          </w:tcPr>
          <w:p w14:paraId="7ECE440C" w14:textId="7881AE55"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AW</w:t>
            </w:r>
          </w:p>
        </w:tc>
        <w:tc>
          <w:tcPr>
            <w:tcW w:w="1126" w:type="pct"/>
            <w:vAlign w:val="center"/>
          </w:tcPr>
          <w:p w14:paraId="4A15897A" w14:textId="77777777" w:rsidR="00FE32C8" w:rsidRPr="001A4499" w:rsidRDefault="00FE32C8" w:rsidP="00CC232A">
            <w:pPr>
              <w:spacing w:after="0" w:line="240" w:lineRule="auto"/>
              <w:ind w:right="443"/>
              <w:jc w:val="right"/>
              <w:rPr>
                <w:sz w:val="15"/>
                <w:szCs w:val="15"/>
                <w:lang w:val="en-GB"/>
              </w:rPr>
            </w:pPr>
            <w:r w:rsidRPr="001A4499">
              <w:rPr>
                <w:color w:val="000000"/>
                <w:sz w:val="15"/>
                <w:szCs w:val="15"/>
                <w:lang w:val="en-GB"/>
              </w:rPr>
              <w:t>-</w:t>
            </w:r>
          </w:p>
        </w:tc>
        <w:tc>
          <w:tcPr>
            <w:tcW w:w="1126" w:type="pct"/>
            <w:vAlign w:val="center"/>
          </w:tcPr>
          <w:p w14:paraId="3747F6BF"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5ED1C6AA"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0.4%</w:t>
            </w:r>
          </w:p>
        </w:tc>
        <w:tc>
          <w:tcPr>
            <w:tcW w:w="1126" w:type="pct"/>
            <w:vAlign w:val="center"/>
          </w:tcPr>
          <w:p w14:paraId="30BF5A53"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r w:rsidR="00FE32C8" w:rsidRPr="001A4499" w14:paraId="6E93AE94" w14:textId="77777777" w:rsidTr="001A4499">
        <w:trPr>
          <w:cnfStyle w:val="000000010000" w:firstRow="0" w:lastRow="0" w:firstColumn="0" w:lastColumn="0" w:oddVBand="0" w:evenVBand="0" w:oddHBand="0" w:evenHBand="1" w:firstRowFirstColumn="0" w:firstRowLastColumn="0" w:lastRowFirstColumn="0" w:lastRowLastColumn="0"/>
        </w:trPr>
        <w:tc>
          <w:tcPr>
            <w:tcW w:w="497" w:type="pct"/>
          </w:tcPr>
          <w:p w14:paraId="645882EB" w14:textId="2209E645" w:rsidR="00FE32C8" w:rsidRPr="001A4499" w:rsidRDefault="00FE32C8" w:rsidP="00E80AAA">
            <w:pPr>
              <w:spacing w:after="0" w:line="240" w:lineRule="auto"/>
              <w:jc w:val="center"/>
              <w:rPr>
                <w:strike/>
                <w:sz w:val="15"/>
                <w:szCs w:val="15"/>
                <w:lang w:val="en-GB"/>
              </w:rPr>
            </w:pPr>
            <w:r w:rsidRPr="001A4499">
              <w:rPr>
                <w:color w:val="000000"/>
                <w:sz w:val="15"/>
                <w:szCs w:val="15"/>
                <w:lang w:val="en-GB"/>
              </w:rPr>
              <w:t>AX</w:t>
            </w:r>
          </w:p>
        </w:tc>
        <w:tc>
          <w:tcPr>
            <w:tcW w:w="1126" w:type="pct"/>
            <w:vAlign w:val="center"/>
          </w:tcPr>
          <w:p w14:paraId="32A36E81"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42D30B60"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w:t>
            </w:r>
          </w:p>
        </w:tc>
        <w:tc>
          <w:tcPr>
            <w:tcW w:w="1126" w:type="pct"/>
            <w:vAlign w:val="center"/>
          </w:tcPr>
          <w:p w14:paraId="35684AC7"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c>
          <w:tcPr>
            <w:tcW w:w="1126" w:type="pct"/>
            <w:vAlign w:val="center"/>
          </w:tcPr>
          <w:p w14:paraId="7D097328" w14:textId="77777777" w:rsidR="00FE32C8" w:rsidRPr="001A4499" w:rsidRDefault="00FE32C8" w:rsidP="00CC232A">
            <w:pPr>
              <w:spacing w:after="0" w:line="240" w:lineRule="auto"/>
              <w:ind w:right="443"/>
              <w:jc w:val="right"/>
              <w:rPr>
                <w:color w:val="000000"/>
                <w:sz w:val="15"/>
                <w:szCs w:val="15"/>
                <w:lang w:val="en-GB"/>
              </w:rPr>
            </w:pPr>
            <w:r w:rsidRPr="001A4499">
              <w:rPr>
                <w:color w:val="000000"/>
                <w:sz w:val="15"/>
                <w:szCs w:val="15"/>
                <w:lang w:val="en-GB"/>
              </w:rPr>
              <w:t>0.0%</w:t>
            </w:r>
          </w:p>
        </w:tc>
      </w:tr>
    </w:tbl>
    <w:p w14:paraId="022783BD" w14:textId="7B14D611" w:rsidR="007E3658" w:rsidRPr="007E3658" w:rsidRDefault="007E3658" w:rsidP="001A4499">
      <w:pPr>
        <w:tabs>
          <w:tab w:val="left" w:pos="5747"/>
        </w:tabs>
        <w:spacing w:before="120" w:after="0" w:line="240" w:lineRule="auto"/>
        <w:jc w:val="center"/>
        <w:rPr>
          <w:rFonts w:ascii="Verdana" w:hAnsi="Verdana" w:cs="Times New Roman"/>
          <w:sz w:val="18"/>
          <w:szCs w:val="18"/>
          <w:lang w:val="en-GB"/>
        </w:rPr>
      </w:pPr>
      <w:r>
        <w:rPr>
          <w:rFonts w:ascii="Verdana" w:hAnsi="Verdana" w:cs="Times New Roman"/>
          <w:b/>
          <w:sz w:val="18"/>
          <w:szCs w:val="18"/>
          <w:lang w:val="en-GB"/>
        </w:rPr>
        <w:t>_______________</w:t>
      </w:r>
    </w:p>
    <w:p w14:paraId="06193E66" w14:textId="77777777" w:rsidR="005A72EA" w:rsidRDefault="005A72EA" w:rsidP="006939A8">
      <w:pPr>
        <w:spacing w:after="0" w:line="240" w:lineRule="auto"/>
        <w:jc w:val="both"/>
        <w:rPr>
          <w:rFonts w:ascii="Verdana" w:hAnsi="Verdana" w:cs="Times New Roman"/>
          <w:b/>
          <w:bCs/>
          <w:sz w:val="18"/>
          <w:szCs w:val="18"/>
          <w:lang w:val="en-GB"/>
        </w:rPr>
        <w:sectPr w:rsidR="005A72EA" w:rsidSect="005A72EA">
          <w:footnotePr>
            <w:numRestart w:val="eachSect"/>
          </w:footnotePr>
          <w:pgSz w:w="11906" w:h="16838" w:code="9"/>
          <w:pgMar w:top="1701" w:right="1440" w:bottom="1440" w:left="1440" w:header="720" w:footer="720" w:gutter="0"/>
          <w:cols w:space="708"/>
          <w:docGrid w:linePitch="360"/>
        </w:sectPr>
      </w:pPr>
    </w:p>
    <w:p w14:paraId="409679A4" w14:textId="77777777" w:rsidR="00E80AAA" w:rsidRPr="00F87B91" w:rsidRDefault="00FE32C8" w:rsidP="00E80AAA">
      <w:pPr>
        <w:pStyle w:val="Title"/>
        <w:rPr>
          <w:rFonts w:ascii="Verdana" w:hAnsi="Verdana"/>
          <w:sz w:val="18"/>
          <w:szCs w:val="18"/>
          <w:lang w:val="en-GB"/>
        </w:rPr>
      </w:pPr>
      <w:r w:rsidRPr="00F87B91">
        <w:rPr>
          <w:rFonts w:ascii="Verdana" w:hAnsi="Verdana"/>
          <w:sz w:val="18"/>
          <w:szCs w:val="18"/>
          <w:lang w:val="en-GB"/>
        </w:rPr>
        <w:lastRenderedPageBreak/>
        <w:t>Annex 4</w:t>
      </w:r>
    </w:p>
    <w:p w14:paraId="59228915" w14:textId="6B1CD304" w:rsidR="00FE32C8" w:rsidRPr="00F87B91" w:rsidRDefault="00FE32C8" w:rsidP="00E80AAA">
      <w:pPr>
        <w:pStyle w:val="Title2"/>
        <w:spacing w:after="240" w:line="240" w:lineRule="auto"/>
        <w:rPr>
          <w:rFonts w:ascii="Verdana" w:hAnsi="Verdana"/>
          <w:sz w:val="18"/>
          <w:lang w:val="en-GB"/>
        </w:rPr>
      </w:pPr>
      <w:r w:rsidRPr="00F87B91">
        <w:rPr>
          <w:rFonts w:ascii="Verdana" w:hAnsi="Verdana"/>
          <w:sz w:val="18"/>
          <w:lang w:val="en-GB"/>
        </w:rPr>
        <w:t>ARTICLE 6.2 USERS</w:t>
      </w:r>
      <w:r w:rsidR="004578FB" w:rsidRPr="00F87B91">
        <w:rPr>
          <w:rFonts w:ascii="Verdana" w:hAnsi="Verdana"/>
          <w:sz w:val="18"/>
          <w:lang w:val="en-GB"/>
        </w:rPr>
        <w:t>'</w:t>
      </w:r>
      <w:r w:rsidRPr="00F87B91">
        <w:rPr>
          <w:rFonts w:ascii="Verdana" w:hAnsi="Verdana"/>
          <w:sz w:val="18"/>
          <w:lang w:val="en-GB"/>
        </w:rPr>
        <w:t xml:space="preserve"> SHARE IN GLOBAL</w:t>
      </w:r>
      <w:r w:rsidRPr="00F87B91">
        <w:rPr>
          <w:rStyle w:val="FootnoteReference"/>
          <w:rFonts w:ascii="Verdana" w:hAnsi="Verdana"/>
          <w:sz w:val="18"/>
          <w:lang w:val="en-GB"/>
        </w:rPr>
        <w:footnoteReference w:id="31"/>
      </w:r>
      <w:r w:rsidRPr="00F87B91">
        <w:rPr>
          <w:rFonts w:ascii="Verdana" w:hAnsi="Verdana"/>
          <w:sz w:val="18"/>
          <w:lang w:val="en-GB"/>
        </w:rPr>
        <w:t xml:space="preserve"> AMBER BOX AND ARTICLE 6 SUPPORT IN 2016</w:t>
      </w:r>
      <w:r w:rsidRPr="00F87B91">
        <w:rPr>
          <w:rStyle w:val="FootnoteReference"/>
          <w:rFonts w:ascii="Verdana" w:hAnsi="Verdana"/>
          <w:sz w:val="18"/>
          <w:lang w:val="en-GB"/>
        </w:rPr>
        <w:footnoteReference w:id="32"/>
      </w:r>
    </w:p>
    <w:tbl>
      <w:tblPr>
        <w:tblStyle w:val="WTOTable1"/>
        <w:tblW w:w="5000" w:type="pct"/>
        <w:tblLook w:val="04A0" w:firstRow="1" w:lastRow="0" w:firstColumn="1" w:lastColumn="0" w:noHBand="0" w:noVBand="1"/>
      </w:tblPr>
      <w:tblGrid>
        <w:gridCol w:w="1272"/>
        <w:gridCol w:w="2580"/>
        <w:gridCol w:w="2582"/>
        <w:gridCol w:w="2582"/>
      </w:tblGrid>
      <w:tr w:rsidR="00FE32C8" w:rsidRPr="00E80AAA" w14:paraId="533F7A21" w14:textId="77777777" w:rsidTr="00E80AAA">
        <w:trPr>
          <w:cnfStyle w:val="100000000000" w:firstRow="1" w:lastRow="0" w:firstColumn="0" w:lastColumn="0" w:oddVBand="0" w:evenVBand="0" w:oddHBand="0" w:evenHBand="0" w:firstRowFirstColumn="0" w:firstRowLastColumn="0" w:lastRowFirstColumn="0" w:lastRowLastColumn="0"/>
          <w:trHeight w:val="284"/>
        </w:trPr>
        <w:tc>
          <w:tcPr>
            <w:tcW w:w="705" w:type="pct"/>
            <w:vAlign w:val="center"/>
          </w:tcPr>
          <w:p w14:paraId="05C27676" w14:textId="77777777" w:rsidR="00FE32C8" w:rsidRPr="00E80AAA" w:rsidRDefault="00FE32C8" w:rsidP="00E80AAA">
            <w:pPr>
              <w:spacing w:after="0" w:line="240" w:lineRule="auto"/>
              <w:rPr>
                <w:szCs w:val="16"/>
                <w:lang w:val="en-GB"/>
              </w:rPr>
            </w:pPr>
          </w:p>
        </w:tc>
        <w:tc>
          <w:tcPr>
            <w:tcW w:w="1431" w:type="pct"/>
            <w:vAlign w:val="center"/>
          </w:tcPr>
          <w:p w14:paraId="104750E8" w14:textId="77777777" w:rsidR="00FE32C8" w:rsidRPr="00E80AAA" w:rsidRDefault="00FE32C8" w:rsidP="00E80AAA">
            <w:pPr>
              <w:spacing w:after="0" w:line="240" w:lineRule="auto"/>
              <w:rPr>
                <w:szCs w:val="16"/>
                <w:lang w:val="en-GB"/>
              </w:rPr>
            </w:pPr>
            <w:r w:rsidRPr="00E80AAA">
              <w:rPr>
                <w:szCs w:val="16"/>
                <w:lang w:val="en-GB"/>
              </w:rPr>
              <w:t>Amber Box entitlements</w:t>
            </w:r>
            <w:r w:rsidRPr="00E80AAA">
              <w:rPr>
                <w:rStyle w:val="FootnoteReference"/>
                <w:szCs w:val="16"/>
                <w:lang w:val="en-GB"/>
              </w:rPr>
              <w:footnoteReference w:id="33"/>
            </w:r>
          </w:p>
        </w:tc>
        <w:tc>
          <w:tcPr>
            <w:tcW w:w="1432" w:type="pct"/>
            <w:vAlign w:val="center"/>
          </w:tcPr>
          <w:p w14:paraId="1AF78510" w14:textId="77777777" w:rsidR="00FE32C8" w:rsidRPr="00E80AAA" w:rsidRDefault="00FE32C8" w:rsidP="00E80AAA">
            <w:pPr>
              <w:spacing w:after="0" w:line="240" w:lineRule="auto"/>
              <w:rPr>
                <w:szCs w:val="16"/>
                <w:highlight w:val="yellow"/>
                <w:lang w:val="en-GB"/>
              </w:rPr>
            </w:pPr>
            <w:r w:rsidRPr="00E80AAA">
              <w:rPr>
                <w:szCs w:val="16"/>
                <w:lang w:val="en-GB"/>
              </w:rPr>
              <w:t>Amber Box expenditure</w:t>
            </w:r>
          </w:p>
        </w:tc>
        <w:tc>
          <w:tcPr>
            <w:tcW w:w="1432" w:type="pct"/>
            <w:vAlign w:val="center"/>
          </w:tcPr>
          <w:p w14:paraId="24B873CE" w14:textId="77777777" w:rsidR="00FE32C8" w:rsidRPr="00E80AAA" w:rsidRDefault="00FE32C8" w:rsidP="00E80AAA">
            <w:pPr>
              <w:spacing w:after="0" w:line="240" w:lineRule="auto"/>
              <w:rPr>
                <w:szCs w:val="16"/>
                <w:lang w:val="en-GB"/>
              </w:rPr>
            </w:pPr>
            <w:r w:rsidRPr="00E80AAA">
              <w:rPr>
                <w:szCs w:val="16"/>
                <w:lang w:val="en-GB"/>
              </w:rPr>
              <w:t>Article 6 expenditure</w:t>
            </w:r>
          </w:p>
        </w:tc>
      </w:tr>
      <w:tr w:rsidR="00FE32C8" w:rsidRPr="00E80AAA" w14:paraId="57EEDD29" w14:textId="77777777" w:rsidTr="00E80AAA">
        <w:trPr>
          <w:trHeight w:val="284"/>
        </w:trPr>
        <w:tc>
          <w:tcPr>
            <w:tcW w:w="705" w:type="pct"/>
            <w:vAlign w:val="center"/>
          </w:tcPr>
          <w:p w14:paraId="453D2B17" w14:textId="3FA01547" w:rsidR="00FE32C8" w:rsidRPr="00E80AAA" w:rsidRDefault="00FE32C8" w:rsidP="00E80AAA">
            <w:pPr>
              <w:spacing w:after="0" w:line="240" w:lineRule="auto"/>
              <w:jc w:val="center"/>
              <w:rPr>
                <w:strike/>
                <w:szCs w:val="16"/>
                <w:lang w:val="en-GB"/>
              </w:rPr>
            </w:pPr>
            <w:r w:rsidRPr="00E80AAA">
              <w:rPr>
                <w:color w:val="000000"/>
                <w:szCs w:val="16"/>
                <w:lang w:val="en-GB"/>
              </w:rPr>
              <w:t>A</w:t>
            </w:r>
          </w:p>
        </w:tc>
        <w:tc>
          <w:tcPr>
            <w:tcW w:w="1431" w:type="pct"/>
            <w:vAlign w:val="center"/>
          </w:tcPr>
          <w:p w14:paraId="56AAE8CC" w14:textId="77777777" w:rsidR="00FE32C8" w:rsidRPr="00E80AAA" w:rsidRDefault="00FE32C8" w:rsidP="00E80AAA">
            <w:pPr>
              <w:spacing w:after="0" w:line="240" w:lineRule="auto"/>
              <w:jc w:val="center"/>
              <w:rPr>
                <w:szCs w:val="16"/>
                <w:lang w:val="en-GB"/>
              </w:rPr>
            </w:pPr>
            <w:r w:rsidRPr="00E80AAA">
              <w:rPr>
                <w:color w:val="000000"/>
                <w:szCs w:val="16"/>
              </w:rPr>
              <w:t>9.4%</w:t>
            </w:r>
          </w:p>
        </w:tc>
        <w:tc>
          <w:tcPr>
            <w:tcW w:w="1432" w:type="pct"/>
            <w:vAlign w:val="center"/>
          </w:tcPr>
          <w:p w14:paraId="75B1B2F9" w14:textId="77777777" w:rsidR="00FE32C8" w:rsidRPr="00E80AAA" w:rsidRDefault="00FE32C8" w:rsidP="00E80AAA">
            <w:pPr>
              <w:spacing w:after="0" w:line="240" w:lineRule="auto"/>
              <w:jc w:val="center"/>
              <w:rPr>
                <w:szCs w:val="16"/>
                <w:lang w:val="en-GB"/>
              </w:rPr>
            </w:pPr>
            <w:r w:rsidRPr="00E80AAA">
              <w:rPr>
                <w:color w:val="000000"/>
                <w:szCs w:val="16"/>
              </w:rPr>
              <w:t>0.7%</w:t>
            </w:r>
          </w:p>
        </w:tc>
        <w:tc>
          <w:tcPr>
            <w:tcW w:w="1432" w:type="pct"/>
            <w:vAlign w:val="center"/>
          </w:tcPr>
          <w:p w14:paraId="3D2BE4A2" w14:textId="77777777" w:rsidR="00FE32C8" w:rsidRPr="00E80AAA" w:rsidRDefault="00FE32C8" w:rsidP="00E80AAA">
            <w:pPr>
              <w:spacing w:after="0" w:line="240" w:lineRule="auto"/>
              <w:jc w:val="center"/>
              <w:rPr>
                <w:szCs w:val="16"/>
                <w:highlight w:val="yellow"/>
                <w:lang w:val="en-GB"/>
              </w:rPr>
            </w:pPr>
            <w:r w:rsidRPr="00E80AAA">
              <w:rPr>
                <w:color w:val="000000"/>
                <w:szCs w:val="16"/>
              </w:rPr>
              <w:t>23.4%</w:t>
            </w:r>
          </w:p>
        </w:tc>
      </w:tr>
      <w:tr w:rsidR="00FE32C8" w:rsidRPr="00E80AAA" w14:paraId="36DFA465"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01A76496" w14:textId="77777777" w:rsidR="00FE32C8" w:rsidRPr="00E80AAA" w:rsidRDefault="00FE32C8" w:rsidP="00E80AAA">
            <w:pPr>
              <w:spacing w:after="0" w:line="240" w:lineRule="auto"/>
              <w:jc w:val="center"/>
              <w:rPr>
                <w:strike/>
                <w:szCs w:val="16"/>
                <w:lang w:val="en-GB"/>
              </w:rPr>
            </w:pPr>
            <w:r w:rsidRPr="00E80AAA">
              <w:rPr>
                <w:color w:val="000000"/>
                <w:szCs w:val="16"/>
                <w:lang w:val="en-GB"/>
              </w:rPr>
              <w:t>B</w:t>
            </w:r>
          </w:p>
        </w:tc>
        <w:tc>
          <w:tcPr>
            <w:tcW w:w="1431" w:type="pct"/>
            <w:vAlign w:val="center"/>
          </w:tcPr>
          <w:p w14:paraId="0DCA772F" w14:textId="77777777" w:rsidR="00FE32C8" w:rsidRPr="00E80AAA" w:rsidRDefault="00FE32C8" w:rsidP="00E80AAA">
            <w:pPr>
              <w:spacing w:after="0" w:line="240" w:lineRule="auto"/>
              <w:jc w:val="center"/>
              <w:rPr>
                <w:szCs w:val="16"/>
                <w:lang w:val="en-GB"/>
              </w:rPr>
            </w:pPr>
            <w:r w:rsidRPr="00E80AAA">
              <w:rPr>
                <w:color w:val="000000"/>
                <w:szCs w:val="16"/>
              </w:rPr>
              <w:t>3.6%</w:t>
            </w:r>
          </w:p>
        </w:tc>
        <w:tc>
          <w:tcPr>
            <w:tcW w:w="1432" w:type="pct"/>
            <w:vAlign w:val="center"/>
          </w:tcPr>
          <w:p w14:paraId="2B4AEB64" w14:textId="77777777" w:rsidR="00FE32C8" w:rsidRPr="00E80AAA" w:rsidRDefault="00FE32C8" w:rsidP="00E80AAA">
            <w:pPr>
              <w:spacing w:after="0" w:line="240" w:lineRule="auto"/>
              <w:jc w:val="center"/>
              <w:rPr>
                <w:szCs w:val="16"/>
                <w:lang w:val="en-GB"/>
              </w:rPr>
            </w:pPr>
            <w:r w:rsidRPr="00E80AAA">
              <w:rPr>
                <w:color w:val="000000"/>
                <w:szCs w:val="16"/>
              </w:rPr>
              <w:t>0.2%</w:t>
            </w:r>
          </w:p>
        </w:tc>
        <w:tc>
          <w:tcPr>
            <w:tcW w:w="1432" w:type="pct"/>
            <w:vAlign w:val="center"/>
          </w:tcPr>
          <w:p w14:paraId="74352BD6" w14:textId="77777777" w:rsidR="00FE32C8" w:rsidRPr="00E80AAA" w:rsidRDefault="00FE32C8" w:rsidP="00E80AAA">
            <w:pPr>
              <w:spacing w:after="0" w:line="240" w:lineRule="auto"/>
              <w:jc w:val="center"/>
              <w:rPr>
                <w:szCs w:val="16"/>
                <w:highlight w:val="yellow"/>
                <w:lang w:val="en-GB"/>
              </w:rPr>
            </w:pPr>
            <w:r w:rsidRPr="00E80AAA">
              <w:rPr>
                <w:color w:val="000000"/>
                <w:szCs w:val="16"/>
              </w:rPr>
              <w:t>2.4%</w:t>
            </w:r>
          </w:p>
        </w:tc>
      </w:tr>
      <w:tr w:rsidR="00FE32C8" w:rsidRPr="00E80AAA" w14:paraId="4B4821E6" w14:textId="77777777" w:rsidTr="00E80AAA">
        <w:trPr>
          <w:trHeight w:val="284"/>
        </w:trPr>
        <w:tc>
          <w:tcPr>
            <w:tcW w:w="705" w:type="pct"/>
            <w:vAlign w:val="center"/>
          </w:tcPr>
          <w:p w14:paraId="3CB28B49" w14:textId="7B5D2CDD" w:rsidR="00FE32C8" w:rsidRPr="00E80AAA" w:rsidRDefault="00FE32C8" w:rsidP="00E80AAA">
            <w:pPr>
              <w:spacing w:after="0" w:line="240" w:lineRule="auto"/>
              <w:jc w:val="center"/>
              <w:rPr>
                <w:strike/>
                <w:szCs w:val="16"/>
                <w:lang w:val="en-GB"/>
              </w:rPr>
            </w:pPr>
            <w:r w:rsidRPr="00E80AAA">
              <w:rPr>
                <w:color w:val="000000"/>
                <w:szCs w:val="16"/>
                <w:lang w:val="en-GB"/>
              </w:rPr>
              <w:t>C</w:t>
            </w:r>
          </w:p>
        </w:tc>
        <w:tc>
          <w:tcPr>
            <w:tcW w:w="1431" w:type="pct"/>
            <w:vAlign w:val="center"/>
          </w:tcPr>
          <w:p w14:paraId="28964C22" w14:textId="77777777" w:rsidR="00FE32C8" w:rsidRPr="00E80AAA" w:rsidRDefault="00FE32C8" w:rsidP="00E80AAA">
            <w:pPr>
              <w:spacing w:after="0" w:line="240" w:lineRule="auto"/>
              <w:jc w:val="center"/>
              <w:rPr>
                <w:szCs w:val="16"/>
                <w:lang w:val="en-GB"/>
              </w:rPr>
            </w:pPr>
            <w:r w:rsidRPr="00E80AAA">
              <w:rPr>
                <w:color w:val="000000"/>
                <w:szCs w:val="16"/>
              </w:rPr>
              <w:t>1.0%</w:t>
            </w:r>
          </w:p>
        </w:tc>
        <w:tc>
          <w:tcPr>
            <w:tcW w:w="1432" w:type="pct"/>
            <w:vAlign w:val="center"/>
          </w:tcPr>
          <w:p w14:paraId="28F37B4F" w14:textId="77777777" w:rsidR="00FE32C8" w:rsidRPr="00E80AAA" w:rsidRDefault="00FE32C8" w:rsidP="00E80AAA">
            <w:pPr>
              <w:spacing w:after="0" w:line="240" w:lineRule="auto"/>
              <w:jc w:val="center"/>
              <w:rPr>
                <w:szCs w:val="16"/>
                <w:lang w:val="en-GB"/>
              </w:rPr>
            </w:pPr>
            <w:r w:rsidRPr="00E80AAA">
              <w:rPr>
                <w:color w:val="000000"/>
                <w:szCs w:val="16"/>
              </w:rPr>
              <w:t>0.2%</w:t>
            </w:r>
          </w:p>
        </w:tc>
        <w:tc>
          <w:tcPr>
            <w:tcW w:w="1432" w:type="pct"/>
            <w:vAlign w:val="center"/>
          </w:tcPr>
          <w:p w14:paraId="1FCE6011" w14:textId="77777777" w:rsidR="00FE32C8" w:rsidRPr="00E80AAA" w:rsidRDefault="00FE32C8" w:rsidP="00E80AAA">
            <w:pPr>
              <w:spacing w:after="0" w:line="240" w:lineRule="auto"/>
              <w:jc w:val="center"/>
              <w:rPr>
                <w:szCs w:val="16"/>
                <w:highlight w:val="yellow"/>
                <w:lang w:val="en-GB"/>
              </w:rPr>
            </w:pPr>
            <w:r w:rsidRPr="00E80AAA">
              <w:rPr>
                <w:color w:val="000000"/>
                <w:szCs w:val="16"/>
              </w:rPr>
              <w:t>1.6%</w:t>
            </w:r>
          </w:p>
        </w:tc>
      </w:tr>
      <w:tr w:rsidR="00FE32C8" w:rsidRPr="00E80AAA" w14:paraId="6CE37D9E"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29495776" w14:textId="408F25F4" w:rsidR="00FE32C8" w:rsidRPr="00E80AAA" w:rsidRDefault="00FE32C8" w:rsidP="00E80AAA">
            <w:pPr>
              <w:spacing w:after="0" w:line="240" w:lineRule="auto"/>
              <w:jc w:val="center"/>
              <w:rPr>
                <w:strike/>
                <w:szCs w:val="16"/>
                <w:lang w:val="en-GB"/>
              </w:rPr>
            </w:pPr>
            <w:r w:rsidRPr="00E80AAA">
              <w:rPr>
                <w:color w:val="000000"/>
                <w:szCs w:val="16"/>
                <w:lang w:val="en-GB"/>
              </w:rPr>
              <w:t>D</w:t>
            </w:r>
          </w:p>
        </w:tc>
        <w:tc>
          <w:tcPr>
            <w:tcW w:w="1431" w:type="pct"/>
            <w:vAlign w:val="center"/>
          </w:tcPr>
          <w:p w14:paraId="7DAD1AB6" w14:textId="77777777" w:rsidR="00FE32C8" w:rsidRPr="00E80AAA" w:rsidRDefault="00FE32C8" w:rsidP="00E80AAA">
            <w:pPr>
              <w:spacing w:after="0" w:line="240" w:lineRule="auto"/>
              <w:jc w:val="center"/>
              <w:rPr>
                <w:szCs w:val="16"/>
                <w:lang w:val="en-GB"/>
              </w:rPr>
            </w:pPr>
            <w:r w:rsidRPr="00E80AAA">
              <w:rPr>
                <w:color w:val="000000"/>
                <w:szCs w:val="16"/>
              </w:rPr>
              <w:t>1.8%</w:t>
            </w:r>
          </w:p>
        </w:tc>
        <w:tc>
          <w:tcPr>
            <w:tcW w:w="1432" w:type="pct"/>
            <w:vAlign w:val="center"/>
          </w:tcPr>
          <w:p w14:paraId="74E6B7F1" w14:textId="77777777" w:rsidR="00FE32C8" w:rsidRPr="00E80AAA" w:rsidRDefault="00FE32C8" w:rsidP="00E80AAA">
            <w:pPr>
              <w:spacing w:after="0" w:line="240" w:lineRule="auto"/>
              <w:jc w:val="center"/>
              <w:rPr>
                <w:szCs w:val="16"/>
                <w:lang w:val="en-GB"/>
              </w:rPr>
            </w:pPr>
            <w:r w:rsidRPr="00E80AAA">
              <w:rPr>
                <w:color w:val="000000"/>
                <w:szCs w:val="16"/>
              </w:rPr>
              <w:t>2.6%</w:t>
            </w:r>
          </w:p>
        </w:tc>
        <w:tc>
          <w:tcPr>
            <w:tcW w:w="1432" w:type="pct"/>
            <w:vAlign w:val="center"/>
          </w:tcPr>
          <w:p w14:paraId="522B9442" w14:textId="77777777" w:rsidR="00FE32C8" w:rsidRPr="00E80AAA" w:rsidRDefault="00FE32C8" w:rsidP="00E80AAA">
            <w:pPr>
              <w:spacing w:after="0" w:line="240" w:lineRule="auto"/>
              <w:jc w:val="center"/>
              <w:rPr>
                <w:szCs w:val="16"/>
                <w:highlight w:val="yellow"/>
                <w:lang w:val="en-GB"/>
              </w:rPr>
            </w:pPr>
            <w:r w:rsidRPr="00E80AAA">
              <w:rPr>
                <w:color w:val="000000"/>
                <w:szCs w:val="16"/>
              </w:rPr>
              <w:t>2.3%</w:t>
            </w:r>
          </w:p>
        </w:tc>
      </w:tr>
      <w:tr w:rsidR="00FE32C8" w:rsidRPr="00E80AAA" w14:paraId="2ADF0708" w14:textId="77777777" w:rsidTr="00E80AAA">
        <w:trPr>
          <w:trHeight w:val="284"/>
        </w:trPr>
        <w:tc>
          <w:tcPr>
            <w:tcW w:w="705" w:type="pct"/>
            <w:vAlign w:val="center"/>
          </w:tcPr>
          <w:p w14:paraId="6E5707D6" w14:textId="4EAFCB4B" w:rsidR="00FE32C8" w:rsidRPr="00E80AAA" w:rsidRDefault="00FE32C8" w:rsidP="00E80AAA">
            <w:pPr>
              <w:spacing w:after="0" w:line="240" w:lineRule="auto"/>
              <w:jc w:val="center"/>
              <w:rPr>
                <w:strike/>
                <w:szCs w:val="16"/>
                <w:lang w:val="en-GB"/>
              </w:rPr>
            </w:pPr>
            <w:r w:rsidRPr="00E80AAA">
              <w:rPr>
                <w:color w:val="000000"/>
                <w:szCs w:val="16"/>
                <w:lang w:val="en-GB"/>
              </w:rPr>
              <w:t>E</w:t>
            </w:r>
          </w:p>
        </w:tc>
        <w:tc>
          <w:tcPr>
            <w:tcW w:w="1431" w:type="pct"/>
            <w:vAlign w:val="center"/>
          </w:tcPr>
          <w:p w14:paraId="1BD49D3F" w14:textId="77777777" w:rsidR="00FE32C8" w:rsidRPr="00E80AAA" w:rsidRDefault="00FE32C8" w:rsidP="00E80AAA">
            <w:pPr>
              <w:spacing w:after="0" w:line="240" w:lineRule="auto"/>
              <w:jc w:val="center"/>
              <w:rPr>
                <w:szCs w:val="16"/>
                <w:lang w:val="en-GB"/>
              </w:rPr>
            </w:pPr>
            <w:r w:rsidRPr="00E80AAA">
              <w:rPr>
                <w:color w:val="000000"/>
                <w:szCs w:val="16"/>
              </w:rPr>
              <w:t>4.5%</w:t>
            </w:r>
          </w:p>
        </w:tc>
        <w:tc>
          <w:tcPr>
            <w:tcW w:w="1432" w:type="pct"/>
            <w:vAlign w:val="center"/>
          </w:tcPr>
          <w:p w14:paraId="46A14125" w14:textId="77777777" w:rsidR="00FE32C8" w:rsidRPr="00E80AAA" w:rsidRDefault="00FE32C8" w:rsidP="00E80AAA">
            <w:pPr>
              <w:spacing w:after="0" w:line="240" w:lineRule="auto"/>
              <w:jc w:val="center"/>
              <w:rPr>
                <w:szCs w:val="16"/>
                <w:lang w:val="en-GB"/>
              </w:rPr>
            </w:pPr>
            <w:r w:rsidRPr="00E80AAA">
              <w:rPr>
                <w:color w:val="000000"/>
                <w:szCs w:val="16"/>
              </w:rPr>
              <w:t>2.7%</w:t>
            </w:r>
          </w:p>
        </w:tc>
        <w:tc>
          <w:tcPr>
            <w:tcW w:w="1432" w:type="pct"/>
            <w:vAlign w:val="center"/>
          </w:tcPr>
          <w:p w14:paraId="334CF851" w14:textId="77777777" w:rsidR="00FE32C8" w:rsidRPr="00E80AAA" w:rsidRDefault="00FE32C8" w:rsidP="00E80AAA">
            <w:pPr>
              <w:spacing w:after="0" w:line="240" w:lineRule="auto"/>
              <w:jc w:val="center"/>
              <w:rPr>
                <w:szCs w:val="16"/>
                <w:highlight w:val="yellow"/>
                <w:lang w:val="en-GB"/>
              </w:rPr>
            </w:pPr>
            <w:r w:rsidRPr="00E80AAA">
              <w:rPr>
                <w:color w:val="000000"/>
                <w:szCs w:val="16"/>
              </w:rPr>
              <w:t>2.4%</w:t>
            </w:r>
          </w:p>
        </w:tc>
      </w:tr>
      <w:tr w:rsidR="00FE32C8" w:rsidRPr="00E80AAA" w14:paraId="5DD2ECBC"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491D7BF2" w14:textId="77777777" w:rsidR="00FE32C8" w:rsidRPr="00E80AAA" w:rsidRDefault="00FE32C8" w:rsidP="00E80AAA">
            <w:pPr>
              <w:spacing w:after="0" w:line="240" w:lineRule="auto"/>
              <w:jc w:val="center"/>
              <w:rPr>
                <w:strike/>
                <w:szCs w:val="16"/>
                <w:lang w:val="en-GB"/>
              </w:rPr>
            </w:pPr>
            <w:r w:rsidRPr="00E80AAA">
              <w:rPr>
                <w:color w:val="000000"/>
                <w:szCs w:val="16"/>
                <w:lang w:val="en-GB"/>
              </w:rPr>
              <w:t>F</w:t>
            </w:r>
          </w:p>
        </w:tc>
        <w:tc>
          <w:tcPr>
            <w:tcW w:w="1431" w:type="pct"/>
            <w:vAlign w:val="center"/>
          </w:tcPr>
          <w:p w14:paraId="0B28DC0B" w14:textId="77777777" w:rsidR="00FE32C8" w:rsidRPr="00E80AAA" w:rsidRDefault="00FE32C8" w:rsidP="00E80AAA">
            <w:pPr>
              <w:spacing w:after="0" w:line="240" w:lineRule="auto"/>
              <w:jc w:val="center"/>
              <w:rPr>
                <w:szCs w:val="16"/>
                <w:lang w:val="en-GB"/>
              </w:rPr>
            </w:pPr>
            <w:r w:rsidRPr="00E80AAA">
              <w:rPr>
                <w:color w:val="000000"/>
                <w:szCs w:val="16"/>
              </w:rPr>
              <w:t>1.4%</w:t>
            </w:r>
          </w:p>
        </w:tc>
        <w:tc>
          <w:tcPr>
            <w:tcW w:w="1432" w:type="pct"/>
            <w:vAlign w:val="center"/>
          </w:tcPr>
          <w:p w14:paraId="398E3F67" w14:textId="77777777" w:rsidR="00FE32C8" w:rsidRPr="00E80AAA" w:rsidRDefault="00FE32C8" w:rsidP="00E80AAA">
            <w:pPr>
              <w:spacing w:after="0" w:line="240" w:lineRule="auto"/>
              <w:jc w:val="center"/>
              <w:rPr>
                <w:szCs w:val="16"/>
                <w:lang w:val="en-GB"/>
              </w:rPr>
            </w:pPr>
            <w:r w:rsidRPr="00E80AAA">
              <w:rPr>
                <w:color w:val="000000"/>
                <w:szCs w:val="16"/>
              </w:rPr>
              <w:t>0.7%</w:t>
            </w:r>
          </w:p>
        </w:tc>
        <w:tc>
          <w:tcPr>
            <w:tcW w:w="1432" w:type="pct"/>
            <w:vAlign w:val="center"/>
          </w:tcPr>
          <w:p w14:paraId="21232F1B" w14:textId="77777777" w:rsidR="00FE32C8" w:rsidRPr="00E80AAA" w:rsidRDefault="00FE32C8" w:rsidP="00E80AAA">
            <w:pPr>
              <w:spacing w:after="0" w:line="240" w:lineRule="auto"/>
              <w:jc w:val="center"/>
              <w:rPr>
                <w:szCs w:val="16"/>
                <w:highlight w:val="yellow"/>
                <w:lang w:val="en-GB"/>
              </w:rPr>
            </w:pPr>
            <w:r w:rsidRPr="00E80AAA">
              <w:rPr>
                <w:color w:val="000000"/>
                <w:szCs w:val="16"/>
              </w:rPr>
              <w:t>1.0%</w:t>
            </w:r>
          </w:p>
        </w:tc>
      </w:tr>
      <w:tr w:rsidR="00FE32C8" w:rsidRPr="00E80AAA" w14:paraId="34235458" w14:textId="77777777" w:rsidTr="00E80AAA">
        <w:trPr>
          <w:trHeight w:val="284"/>
        </w:trPr>
        <w:tc>
          <w:tcPr>
            <w:tcW w:w="705" w:type="pct"/>
            <w:vAlign w:val="center"/>
          </w:tcPr>
          <w:p w14:paraId="7FD0BE89" w14:textId="4916EB4A" w:rsidR="00FE32C8" w:rsidRPr="00E80AAA" w:rsidRDefault="00FE32C8" w:rsidP="00E80AAA">
            <w:pPr>
              <w:spacing w:after="0" w:line="240" w:lineRule="auto"/>
              <w:jc w:val="center"/>
              <w:rPr>
                <w:strike/>
                <w:szCs w:val="16"/>
                <w:lang w:val="en-GB"/>
              </w:rPr>
            </w:pPr>
            <w:r w:rsidRPr="00E80AAA">
              <w:rPr>
                <w:color w:val="000000"/>
                <w:szCs w:val="16"/>
                <w:lang w:val="en-GB"/>
              </w:rPr>
              <w:t>G</w:t>
            </w:r>
          </w:p>
        </w:tc>
        <w:tc>
          <w:tcPr>
            <w:tcW w:w="1431" w:type="pct"/>
            <w:vAlign w:val="center"/>
          </w:tcPr>
          <w:p w14:paraId="062A9099" w14:textId="77777777" w:rsidR="00FE32C8" w:rsidRPr="00E80AAA" w:rsidRDefault="00FE32C8" w:rsidP="00E80AAA">
            <w:pPr>
              <w:spacing w:after="0" w:line="240" w:lineRule="auto"/>
              <w:jc w:val="center"/>
              <w:rPr>
                <w:szCs w:val="16"/>
                <w:lang w:val="en-GB"/>
              </w:rPr>
            </w:pPr>
            <w:r w:rsidRPr="00E80AAA">
              <w:rPr>
                <w:color w:val="000000"/>
                <w:szCs w:val="16"/>
              </w:rPr>
              <w:t>0.8%</w:t>
            </w:r>
          </w:p>
        </w:tc>
        <w:tc>
          <w:tcPr>
            <w:tcW w:w="1432" w:type="pct"/>
            <w:vAlign w:val="center"/>
          </w:tcPr>
          <w:p w14:paraId="29F9F6C1"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757C144A" w14:textId="77777777" w:rsidR="00FE32C8" w:rsidRPr="00E80AAA" w:rsidRDefault="00FE32C8" w:rsidP="00E80AAA">
            <w:pPr>
              <w:spacing w:after="0" w:line="240" w:lineRule="auto"/>
              <w:jc w:val="center"/>
              <w:rPr>
                <w:szCs w:val="16"/>
                <w:highlight w:val="yellow"/>
                <w:lang w:val="en-GB"/>
              </w:rPr>
            </w:pPr>
            <w:r w:rsidRPr="00E80AAA">
              <w:rPr>
                <w:color w:val="000000"/>
                <w:szCs w:val="16"/>
              </w:rPr>
              <w:t>0.2%</w:t>
            </w:r>
          </w:p>
        </w:tc>
      </w:tr>
      <w:tr w:rsidR="00FE32C8" w:rsidRPr="00E80AAA" w14:paraId="2A9FA209"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4A677861" w14:textId="0F4D5711" w:rsidR="00FE32C8" w:rsidRPr="00E80AAA" w:rsidRDefault="00FE32C8" w:rsidP="00E80AAA">
            <w:pPr>
              <w:spacing w:after="0" w:line="240" w:lineRule="auto"/>
              <w:jc w:val="center"/>
              <w:rPr>
                <w:strike/>
                <w:szCs w:val="16"/>
                <w:lang w:val="en-GB"/>
              </w:rPr>
            </w:pPr>
            <w:r w:rsidRPr="00E80AAA">
              <w:rPr>
                <w:color w:val="000000"/>
                <w:szCs w:val="16"/>
                <w:lang w:val="en-GB"/>
              </w:rPr>
              <w:t>H</w:t>
            </w:r>
          </w:p>
        </w:tc>
        <w:tc>
          <w:tcPr>
            <w:tcW w:w="1431" w:type="pct"/>
            <w:vAlign w:val="center"/>
          </w:tcPr>
          <w:p w14:paraId="7E81F4DB" w14:textId="77777777" w:rsidR="00FE32C8" w:rsidRPr="00E80AAA" w:rsidRDefault="00FE32C8" w:rsidP="00E80AAA">
            <w:pPr>
              <w:spacing w:after="0" w:line="240" w:lineRule="auto"/>
              <w:jc w:val="center"/>
              <w:rPr>
                <w:szCs w:val="16"/>
                <w:lang w:val="en-GB"/>
              </w:rPr>
            </w:pPr>
            <w:r w:rsidRPr="00E80AAA">
              <w:rPr>
                <w:color w:val="000000"/>
                <w:szCs w:val="16"/>
              </w:rPr>
              <w:t>0.5%</w:t>
            </w:r>
          </w:p>
        </w:tc>
        <w:tc>
          <w:tcPr>
            <w:tcW w:w="1432" w:type="pct"/>
            <w:vAlign w:val="center"/>
          </w:tcPr>
          <w:p w14:paraId="5A9B6AAC"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17581EBB" w14:textId="77777777" w:rsidR="00FE32C8" w:rsidRPr="00E80AAA" w:rsidRDefault="00FE32C8" w:rsidP="00E80AAA">
            <w:pPr>
              <w:spacing w:after="0" w:line="240" w:lineRule="auto"/>
              <w:jc w:val="center"/>
              <w:rPr>
                <w:szCs w:val="16"/>
                <w:highlight w:val="yellow"/>
                <w:lang w:val="en-GB"/>
              </w:rPr>
            </w:pPr>
            <w:r w:rsidRPr="00E80AAA">
              <w:rPr>
                <w:color w:val="000000"/>
                <w:szCs w:val="16"/>
              </w:rPr>
              <w:t>0.3%</w:t>
            </w:r>
          </w:p>
        </w:tc>
      </w:tr>
      <w:tr w:rsidR="00FE32C8" w:rsidRPr="00E80AAA" w14:paraId="748CCAEF" w14:textId="77777777" w:rsidTr="00E80AAA">
        <w:trPr>
          <w:trHeight w:val="284"/>
        </w:trPr>
        <w:tc>
          <w:tcPr>
            <w:tcW w:w="705" w:type="pct"/>
            <w:vAlign w:val="center"/>
          </w:tcPr>
          <w:p w14:paraId="4917EC4A" w14:textId="2511F135" w:rsidR="00FE32C8" w:rsidRPr="00E80AAA" w:rsidRDefault="00FE32C8" w:rsidP="00E80AAA">
            <w:pPr>
              <w:spacing w:after="0" w:line="240" w:lineRule="auto"/>
              <w:jc w:val="center"/>
              <w:rPr>
                <w:strike/>
                <w:szCs w:val="16"/>
                <w:lang w:val="en-GB"/>
              </w:rPr>
            </w:pPr>
            <w:r w:rsidRPr="00E80AAA">
              <w:rPr>
                <w:color w:val="000000"/>
                <w:szCs w:val="16"/>
                <w:lang w:val="en-GB"/>
              </w:rPr>
              <w:t>J</w:t>
            </w:r>
          </w:p>
        </w:tc>
        <w:tc>
          <w:tcPr>
            <w:tcW w:w="1431" w:type="pct"/>
            <w:vAlign w:val="center"/>
          </w:tcPr>
          <w:p w14:paraId="35D0B57D"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22CF57C0"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07662457" w14:textId="77777777" w:rsidR="00FE32C8" w:rsidRPr="00E80AAA" w:rsidRDefault="00FE32C8" w:rsidP="00E80AAA">
            <w:pPr>
              <w:spacing w:after="0" w:line="240" w:lineRule="auto"/>
              <w:jc w:val="center"/>
              <w:rPr>
                <w:szCs w:val="16"/>
                <w:highlight w:val="yellow"/>
                <w:lang w:val="en-GB"/>
              </w:rPr>
            </w:pPr>
            <w:r w:rsidRPr="00E80AAA">
              <w:rPr>
                <w:color w:val="000000"/>
                <w:szCs w:val="16"/>
              </w:rPr>
              <w:t>0.2%</w:t>
            </w:r>
          </w:p>
        </w:tc>
      </w:tr>
      <w:tr w:rsidR="00FE32C8" w:rsidRPr="00E80AAA" w14:paraId="6DC9831E"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58522EE8" w14:textId="3C5F436A" w:rsidR="00FE32C8" w:rsidRPr="00E80AAA" w:rsidRDefault="00FE32C8" w:rsidP="00E80AAA">
            <w:pPr>
              <w:spacing w:after="0" w:line="240" w:lineRule="auto"/>
              <w:jc w:val="center"/>
              <w:rPr>
                <w:strike/>
                <w:szCs w:val="16"/>
                <w:lang w:val="en-GB"/>
              </w:rPr>
            </w:pPr>
            <w:r w:rsidRPr="00E80AAA">
              <w:rPr>
                <w:color w:val="000000"/>
                <w:szCs w:val="16"/>
                <w:lang w:val="en-GB"/>
              </w:rPr>
              <w:t>M</w:t>
            </w:r>
          </w:p>
        </w:tc>
        <w:tc>
          <w:tcPr>
            <w:tcW w:w="1431" w:type="pct"/>
            <w:vAlign w:val="center"/>
          </w:tcPr>
          <w:p w14:paraId="63DE4C53" w14:textId="77777777" w:rsidR="00FE32C8" w:rsidRPr="00E80AAA" w:rsidRDefault="00FE32C8" w:rsidP="00E80AAA">
            <w:pPr>
              <w:spacing w:after="0" w:line="240" w:lineRule="auto"/>
              <w:jc w:val="center"/>
              <w:rPr>
                <w:szCs w:val="16"/>
              </w:rPr>
            </w:pPr>
            <w:r w:rsidRPr="00E80AAA">
              <w:rPr>
                <w:color w:val="000000"/>
                <w:szCs w:val="16"/>
              </w:rPr>
              <w:t>0.0%</w:t>
            </w:r>
          </w:p>
        </w:tc>
        <w:tc>
          <w:tcPr>
            <w:tcW w:w="1432" w:type="pct"/>
            <w:vAlign w:val="center"/>
          </w:tcPr>
          <w:p w14:paraId="62230862" w14:textId="77777777" w:rsidR="00FE32C8" w:rsidRPr="00E80AAA" w:rsidRDefault="00FE32C8" w:rsidP="00E80AAA">
            <w:pPr>
              <w:spacing w:after="0" w:line="240" w:lineRule="auto"/>
              <w:jc w:val="center"/>
              <w:rPr>
                <w:szCs w:val="16"/>
              </w:rPr>
            </w:pPr>
            <w:r w:rsidRPr="00E80AAA">
              <w:rPr>
                <w:color w:val="000000"/>
                <w:szCs w:val="16"/>
              </w:rPr>
              <w:t>0.0%</w:t>
            </w:r>
          </w:p>
        </w:tc>
        <w:tc>
          <w:tcPr>
            <w:tcW w:w="1432" w:type="pct"/>
            <w:vAlign w:val="center"/>
          </w:tcPr>
          <w:p w14:paraId="75057795" w14:textId="77777777" w:rsidR="00FE32C8" w:rsidRPr="00E80AAA" w:rsidRDefault="00FE32C8" w:rsidP="00E80AAA">
            <w:pPr>
              <w:spacing w:after="0" w:line="240" w:lineRule="auto"/>
              <w:jc w:val="center"/>
              <w:rPr>
                <w:szCs w:val="16"/>
              </w:rPr>
            </w:pPr>
            <w:r w:rsidRPr="00E80AAA">
              <w:rPr>
                <w:color w:val="000000"/>
                <w:szCs w:val="16"/>
              </w:rPr>
              <w:t>0.0%</w:t>
            </w:r>
          </w:p>
        </w:tc>
      </w:tr>
      <w:tr w:rsidR="00FE32C8" w:rsidRPr="00E80AAA" w14:paraId="712DC939" w14:textId="77777777" w:rsidTr="00E80AAA">
        <w:trPr>
          <w:trHeight w:val="284"/>
        </w:trPr>
        <w:tc>
          <w:tcPr>
            <w:tcW w:w="705" w:type="pct"/>
            <w:vAlign w:val="center"/>
          </w:tcPr>
          <w:p w14:paraId="66B7F6A1" w14:textId="2DAA0616" w:rsidR="00FE32C8" w:rsidRPr="00E80AAA" w:rsidRDefault="00FE32C8" w:rsidP="00E80AAA">
            <w:pPr>
              <w:spacing w:after="0" w:line="240" w:lineRule="auto"/>
              <w:jc w:val="center"/>
              <w:rPr>
                <w:strike/>
                <w:szCs w:val="16"/>
                <w:lang w:val="en-GB"/>
              </w:rPr>
            </w:pPr>
            <w:r w:rsidRPr="00E80AAA">
              <w:rPr>
                <w:color w:val="000000"/>
                <w:szCs w:val="16"/>
                <w:lang w:val="en-GB"/>
              </w:rPr>
              <w:t>N</w:t>
            </w:r>
          </w:p>
        </w:tc>
        <w:tc>
          <w:tcPr>
            <w:tcW w:w="1431" w:type="pct"/>
            <w:vAlign w:val="center"/>
          </w:tcPr>
          <w:p w14:paraId="3A7D6B82"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78923F14"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1D8ACED7" w14:textId="77777777" w:rsidR="00FE32C8" w:rsidRPr="00E80AAA" w:rsidRDefault="00FE32C8" w:rsidP="00E80AAA">
            <w:pPr>
              <w:spacing w:after="0" w:line="240" w:lineRule="auto"/>
              <w:jc w:val="center"/>
              <w:rPr>
                <w:szCs w:val="16"/>
                <w:highlight w:val="yellow"/>
                <w:lang w:val="en-GB"/>
              </w:rPr>
            </w:pPr>
            <w:r w:rsidRPr="00E80AAA">
              <w:rPr>
                <w:color w:val="000000"/>
                <w:szCs w:val="16"/>
              </w:rPr>
              <w:t>0.1%</w:t>
            </w:r>
          </w:p>
        </w:tc>
      </w:tr>
      <w:tr w:rsidR="00FE32C8" w:rsidRPr="00E80AAA" w14:paraId="7FE64066"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048D759D" w14:textId="77777777" w:rsidR="00FE32C8" w:rsidRPr="00E80AAA" w:rsidRDefault="00FE32C8" w:rsidP="00E80AAA">
            <w:pPr>
              <w:spacing w:after="0" w:line="240" w:lineRule="auto"/>
              <w:jc w:val="center"/>
              <w:rPr>
                <w:szCs w:val="16"/>
                <w:lang w:val="en-GB"/>
              </w:rPr>
            </w:pPr>
            <w:r w:rsidRPr="00E80AAA">
              <w:rPr>
                <w:color w:val="000000"/>
                <w:szCs w:val="16"/>
                <w:lang w:val="en-GB"/>
              </w:rPr>
              <w:t>P*</w:t>
            </w:r>
          </w:p>
        </w:tc>
        <w:tc>
          <w:tcPr>
            <w:tcW w:w="1431" w:type="pct"/>
            <w:vAlign w:val="center"/>
          </w:tcPr>
          <w:p w14:paraId="41E5BCB6" w14:textId="77777777" w:rsidR="00FE32C8" w:rsidRPr="00E80AAA" w:rsidRDefault="00FE32C8" w:rsidP="00E80AAA">
            <w:pPr>
              <w:spacing w:after="0" w:line="240" w:lineRule="auto"/>
              <w:jc w:val="center"/>
              <w:rPr>
                <w:szCs w:val="16"/>
                <w:lang w:val="en-GB"/>
              </w:rPr>
            </w:pPr>
            <w:r w:rsidRPr="00E80AAA">
              <w:rPr>
                <w:color w:val="000000"/>
                <w:szCs w:val="16"/>
              </w:rPr>
              <w:t>0.2%</w:t>
            </w:r>
          </w:p>
        </w:tc>
        <w:tc>
          <w:tcPr>
            <w:tcW w:w="1432" w:type="pct"/>
            <w:vAlign w:val="center"/>
          </w:tcPr>
          <w:p w14:paraId="25856032"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08C81BFC" w14:textId="77777777" w:rsidR="00FE32C8" w:rsidRPr="00E80AAA" w:rsidRDefault="00FE32C8" w:rsidP="00E80AAA">
            <w:pPr>
              <w:spacing w:after="0" w:line="240" w:lineRule="auto"/>
              <w:jc w:val="center"/>
              <w:rPr>
                <w:szCs w:val="16"/>
                <w:highlight w:val="yellow"/>
                <w:lang w:val="en-GB"/>
              </w:rPr>
            </w:pPr>
            <w:r w:rsidRPr="00E80AAA">
              <w:rPr>
                <w:color w:val="000000"/>
                <w:szCs w:val="16"/>
              </w:rPr>
              <w:t>0.1%</w:t>
            </w:r>
          </w:p>
        </w:tc>
      </w:tr>
      <w:tr w:rsidR="00FE32C8" w:rsidRPr="00E80AAA" w14:paraId="4C61E6C7" w14:textId="77777777" w:rsidTr="00E80AAA">
        <w:trPr>
          <w:trHeight w:val="284"/>
        </w:trPr>
        <w:tc>
          <w:tcPr>
            <w:tcW w:w="705" w:type="pct"/>
            <w:vAlign w:val="center"/>
          </w:tcPr>
          <w:p w14:paraId="3F418F8D" w14:textId="6EB845E4" w:rsidR="00FE32C8" w:rsidRPr="00E80AAA" w:rsidRDefault="00FE32C8" w:rsidP="00E80AAA">
            <w:pPr>
              <w:spacing w:after="0" w:line="240" w:lineRule="auto"/>
              <w:jc w:val="center"/>
              <w:rPr>
                <w:szCs w:val="16"/>
                <w:lang w:val="en-GB"/>
              </w:rPr>
            </w:pPr>
            <w:r w:rsidRPr="00E80AAA">
              <w:rPr>
                <w:color w:val="000000"/>
                <w:szCs w:val="16"/>
                <w:lang w:val="en-GB"/>
              </w:rPr>
              <w:t>Q</w:t>
            </w:r>
          </w:p>
        </w:tc>
        <w:tc>
          <w:tcPr>
            <w:tcW w:w="1431" w:type="pct"/>
            <w:vAlign w:val="center"/>
          </w:tcPr>
          <w:p w14:paraId="512CEFDC"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43FAAA61"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026734D1" w14:textId="77777777" w:rsidR="00FE32C8" w:rsidRPr="00E80AAA" w:rsidRDefault="00FE32C8" w:rsidP="00E80AAA">
            <w:pPr>
              <w:spacing w:after="0" w:line="240" w:lineRule="auto"/>
              <w:jc w:val="center"/>
              <w:rPr>
                <w:szCs w:val="16"/>
                <w:highlight w:val="yellow"/>
                <w:lang w:val="en-GB"/>
              </w:rPr>
            </w:pPr>
            <w:r w:rsidRPr="00E80AAA">
              <w:rPr>
                <w:color w:val="000000"/>
                <w:szCs w:val="16"/>
              </w:rPr>
              <w:t>0.1%</w:t>
            </w:r>
          </w:p>
        </w:tc>
      </w:tr>
      <w:tr w:rsidR="00FE32C8" w:rsidRPr="00E80AAA" w14:paraId="54F3B5E2"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62DF4A9E" w14:textId="77777777" w:rsidR="00FE32C8" w:rsidRPr="00E80AAA" w:rsidRDefault="00FE32C8" w:rsidP="00E80AAA">
            <w:pPr>
              <w:spacing w:after="0" w:line="240" w:lineRule="auto"/>
              <w:jc w:val="center"/>
              <w:rPr>
                <w:szCs w:val="16"/>
                <w:lang w:val="en-GB"/>
              </w:rPr>
            </w:pPr>
            <w:r w:rsidRPr="00E80AAA">
              <w:rPr>
                <w:color w:val="000000"/>
                <w:szCs w:val="16"/>
                <w:lang w:val="en-GB"/>
              </w:rPr>
              <w:t>R</w:t>
            </w:r>
          </w:p>
        </w:tc>
        <w:tc>
          <w:tcPr>
            <w:tcW w:w="1431" w:type="pct"/>
            <w:vAlign w:val="center"/>
          </w:tcPr>
          <w:p w14:paraId="2B3E7694" w14:textId="77777777" w:rsidR="00FE32C8" w:rsidRPr="00E80AAA" w:rsidRDefault="00FE32C8" w:rsidP="00E80AAA">
            <w:pPr>
              <w:spacing w:after="0" w:line="240" w:lineRule="auto"/>
              <w:jc w:val="center"/>
              <w:rPr>
                <w:szCs w:val="16"/>
                <w:lang w:val="en-GB"/>
              </w:rPr>
            </w:pPr>
            <w:r w:rsidRPr="00E80AAA">
              <w:rPr>
                <w:color w:val="000000"/>
                <w:szCs w:val="16"/>
              </w:rPr>
              <w:t>0.4%</w:t>
            </w:r>
          </w:p>
        </w:tc>
        <w:tc>
          <w:tcPr>
            <w:tcW w:w="1432" w:type="pct"/>
            <w:vAlign w:val="center"/>
          </w:tcPr>
          <w:p w14:paraId="1657C3D1"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3FFFD74F" w14:textId="77777777" w:rsidR="00FE32C8" w:rsidRPr="00E80AAA" w:rsidRDefault="00FE32C8" w:rsidP="00E80AAA">
            <w:pPr>
              <w:spacing w:after="0" w:line="240" w:lineRule="auto"/>
              <w:jc w:val="center"/>
              <w:rPr>
                <w:szCs w:val="16"/>
                <w:highlight w:val="yellow"/>
                <w:lang w:val="en-GB"/>
              </w:rPr>
            </w:pPr>
            <w:r w:rsidRPr="00E80AAA">
              <w:rPr>
                <w:color w:val="000000"/>
                <w:szCs w:val="16"/>
              </w:rPr>
              <w:t>0.1%</w:t>
            </w:r>
          </w:p>
        </w:tc>
      </w:tr>
      <w:tr w:rsidR="00FE32C8" w:rsidRPr="00E80AAA" w14:paraId="32E333F4" w14:textId="77777777" w:rsidTr="00E80AAA">
        <w:trPr>
          <w:trHeight w:val="284"/>
        </w:trPr>
        <w:tc>
          <w:tcPr>
            <w:tcW w:w="705" w:type="pct"/>
            <w:vAlign w:val="center"/>
          </w:tcPr>
          <w:p w14:paraId="2495842F" w14:textId="77777777" w:rsidR="00FE32C8" w:rsidRPr="00E80AAA" w:rsidRDefault="00FE32C8" w:rsidP="00E80AAA">
            <w:pPr>
              <w:spacing w:after="0" w:line="240" w:lineRule="auto"/>
              <w:jc w:val="center"/>
              <w:rPr>
                <w:szCs w:val="16"/>
                <w:lang w:val="en-GB"/>
              </w:rPr>
            </w:pPr>
            <w:r w:rsidRPr="00E80AAA">
              <w:rPr>
                <w:color w:val="000000"/>
                <w:szCs w:val="16"/>
                <w:lang w:val="en-GB"/>
              </w:rPr>
              <w:t>S*</w:t>
            </w:r>
          </w:p>
        </w:tc>
        <w:tc>
          <w:tcPr>
            <w:tcW w:w="1431" w:type="pct"/>
            <w:vAlign w:val="center"/>
          </w:tcPr>
          <w:p w14:paraId="16FCB3D4"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778B7AB1"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3CEEDEB9"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6E9ACF79"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514CDBD3" w14:textId="77777777" w:rsidR="00FE32C8" w:rsidRPr="00E80AAA" w:rsidRDefault="00FE32C8" w:rsidP="00E80AAA">
            <w:pPr>
              <w:spacing w:after="0" w:line="240" w:lineRule="auto"/>
              <w:jc w:val="center"/>
              <w:rPr>
                <w:szCs w:val="16"/>
                <w:lang w:val="en-GB"/>
              </w:rPr>
            </w:pPr>
            <w:r w:rsidRPr="00E80AAA">
              <w:rPr>
                <w:color w:val="000000"/>
                <w:szCs w:val="16"/>
                <w:lang w:val="en-GB"/>
              </w:rPr>
              <w:t>U</w:t>
            </w:r>
          </w:p>
        </w:tc>
        <w:tc>
          <w:tcPr>
            <w:tcW w:w="1431" w:type="pct"/>
            <w:vAlign w:val="center"/>
          </w:tcPr>
          <w:p w14:paraId="0C9A12BC" w14:textId="77777777" w:rsidR="00FE32C8" w:rsidRPr="00E80AAA" w:rsidRDefault="00FE32C8" w:rsidP="00E80AAA">
            <w:pPr>
              <w:spacing w:after="0" w:line="240" w:lineRule="auto"/>
              <w:jc w:val="center"/>
              <w:rPr>
                <w:szCs w:val="16"/>
                <w:lang w:val="en-GB"/>
              </w:rPr>
            </w:pPr>
            <w:r w:rsidRPr="00E80AAA">
              <w:rPr>
                <w:color w:val="000000"/>
                <w:szCs w:val="16"/>
              </w:rPr>
              <w:t>0.7%</w:t>
            </w:r>
          </w:p>
        </w:tc>
        <w:tc>
          <w:tcPr>
            <w:tcW w:w="1432" w:type="pct"/>
            <w:vAlign w:val="center"/>
          </w:tcPr>
          <w:p w14:paraId="0DCD6B0D"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1C908068"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77C4C09E" w14:textId="77777777" w:rsidTr="00E80AAA">
        <w:trPr>
          <w:trHeight w:val="284"/>
        </w:trPr>
        <w:tc>
          <w:tcPr>
            <w:tcW w:w="705" w:type="pct"/>
            <w:vAlign w:val="center"/>
          </w:tcPr>
          <w:p w14:paraId="44164FEA" w14:textId="2E5E3C1B" w:rsidR="00FE32C8" w:rsidRPr="00E80AAA" w:rsidRDefault="00FE32C8" w:rsidP="00E80AAA">
            <w:pPr>
              <w:spacing w:after="0" w:line="240" w:lineRule="auto"/>
              <w:jc w:val="center"/>
              <w:rPr>
                <w:szCs w:val="16"/>
                <w:lang w:val="en-GB"/>
              </w:rPr>
            </w:pPr>
            <w:r w:rsidRPr="00E80AAA">
              <w:rPr>
                <w:color w:val="000000"/>
                <w:szCs w:val="16"/>
                <w:lang w:val="en-GB"/>
              </w:rPr>
              <w:t>W</w:t>
            </w:r>
          </w:p>
        </w:tc>
        <w:tc>
          <w:tcPr>
            <w:tcW w:w="1431" w:type="pct"/>
            <w:vAlign w:val="center"/>
          </w:tcPr>
          <w:p w14:paraId="2704A0B2"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77959A96"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1586919"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7160E157"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521E53C0" w14:textId="7034B072" w:rsidR="00FE32C8" w:rsidRPr="00E80AAA" w:rsidRDefault="00FE32C8" w:rsidP="00E80AAA">
            <w:pPr>
              <w:spacing w:after="0" w:line="240" w:lineRule="auto"/>
              <w:jc w:val="center"/>
              <w:rPr>
                <w:szCs w:val="16"/>
                <w:lang w:val="en-GB"/>
              </w:rPr>
            </w:pPr>
            <w:r w:rsidRPr="00E80AAA">
              <w:rPr>
                <w:color w:val="000000"/>
                <w:szCs w:val="16"/>
                <w:lang w:val="en-GB"/>
              </w:rPr>
              <w:t>X</w:t>
            </w:r>
          </w:p>
        </w:tc>
        <w:tc>
          <w:tcPr>
            <w:tcW w:w="1431" w:type="pct"/>
            <w:vAlign w:val="center"/>
          </w:tcPr>
          <w:p w14:paraId="707FCB62" w14:textId="77777777" w:rsidR="00FE32C8" w:rsidRPr="00E80AAA" w:rsidRDefault="00FE32C8" w:rsidP="00E80AAA">
            <w:pPr>
              <w:spacing w:after="0" w:line="240" w:lineRule="auto"/>
              <w:jc w:val="center"/>
              <w:rPr>
                <w:szCs w:val="16"/>
                <w:lang w:val="en-GB"/>
              </w:rPr>
            </w:pPr>
            <w:r w:rsidRPr="00E80AAA">
              <w:rPr>
                <w:color w:val="000000"/>
                <w:szCs w:val="16"/>
              </w:rPr>
              <w:t>0.4%</w:t>
            </w:r>
          </w:p>
        </w:tc>
        <w:tc>
          <w:tcPr>
            <w:tcW w:w="1432" w:type="pct"/>
            <w:vAlign w:val="center"/>
          </w:tcPr>
          <w:p w14:paraId="71AA583F"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2F086D96"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2DD6E813" w14:textId="77777777" w:rsidTr="00E80AAA">
        <w:trPr>
          <w:trHeight w:val="284"/>
        </w:trPr>
        <w:tc>
          <w:tcPr>
            <w:tcW w:w="705" w:type="pct"/>
            <w:vAlign w:val="center"/>
          </w:tcPr>
          <w:p w14:paraId="2CB1BC3F" w14:textId="3062010C" w:rsidR="00FE32C8" w:rsidRPr="00E80AAA" w:rsidRDefault="00FE32C8" w:rsidP="00E80AAA">
            <w:pPr>
              <w:spacing w:after="0" w:line="240" w:lineRule="auto"/>
              <w:jc w:val="center"/>
              <w:rPr>
                <w:szCs w:val="16"/>
                <w:lang w:val="en-GB"/>
              </w:rPr>
            </w:pPr>
            <w:r w:rsidRPr="00E80AAA">
              <w:rPr>
                <w:color w:val="000000"/>
                <w:szCs w:val="16"/>
                <w:lang w:val="en-GB"/>
              </w:rPr>
              <w:t>AF</w:t>
            </w:r>
          </w:p>
        </w:tc>
        <w:tc>
          <w:tcPr>
            <w:tcW w:w="1431" w:type="pct"/>
            <w:vAlign w:val="center"/>
          </w:tcPr>
          <w:p w14:paraId="398F7742"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FDEE58F"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35197CD6"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3CC95C2F"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2891DB93" w14:textId="77777777" w:rsidR="00FE32C8" w:rsidRPr="00E80AAA" w:rsidRDefault="00FE32C8" w:rsidP="00E80AAA">
            <w:pPr>
              <w:spacing w:after="0" w:line="240" w:lineRule="auto"/>
              <w:jc w:val="center"/>
              <w:rPr>
                <w:color w:val="000000"/>
                <w:szCs w:val="16"/>
                <w:lang w:val="en-GB"/>
              </w:rPr>
            </w:pPr>
            <w:r w:rsidRPr="00E80AAA">
              <w:rPr>
                <w:color w:val="000000"/>
                <w:szCs w:val="16"/>
                <w:lang w:val="en-GB"/>
              </w:rPr>
              <w:t>AI*</w:t>
            </w:r>
          </w:p>
        </w:tc>
        <w:tc>
          <w:tcPr>
            <w:tcW w:w="1431" w:type="pct"/>
            <w:vAlign w:val="center"/>
          </w:tcPr>
          <w:p w14:paraId="7EA1527E" w14:textId="77777777" w:rsidR="00FE32C8" w:rsidRPr="00E80AAA" w:rsidRDefault="00FE32C8" w:rsidP="00E80AAA">
            <w:pPr>
              <w:spacing w:after="0" w:line="240" w:lineRule="auto"/>
              <w:jc w:val="center"/>
              <w:rPr>
                <w:color w:val="000000"/>
                <w:szCs w:val="16"/>
              </w:rPr>
            </w:pPr>
            <w:r w:rsidRPr="00E80AAA">
              <w:rPr>
                <w:color w:val="000000"/>
                <w:szCs w:val="16"/>
              </w:rPr>
              <w:t>0.2%</w:t>
            </w:r>
          </w:p>
        </w:tc>
        <w:tc>
          <w:tcPr>
            <w:tcW w:w="1432" w:type="pct"/>
            <w:vAlign w:val="center"/>
          </w:tcPr>
          <w:p w14:paraId="0DE69F8B" w14:textId="77777777" w:rsidR="00FE32C8" w:rsidRPr="00E80AAA" w:rsidRDefault="00FE32C8" w:rsidP="00E80AAA">
            <w:pPr>
              <w:spacing w:after="0" w:line="240" w:lineRule="auto"/>
              <w:jc w:val="center"/>
              <w:rPr>
                <w:color w:val="000000"/>
                <w:szCs w:val="16"/>
              </w:rPr>
            </w:pPr>
            <w:r w:rsidRPr="00E80AAA">
              <w:rPr>
                <w:color w:val="000000"/>
                <w:szCs w:val="16"/>
              </w:rPr>
              <w:t>0.0%</w:t>
            </w:r>
          </w:p>
        </w:tc>
        <w:tc>
          <w:tcPr>
            <w:tcW w:w="1432" w:type="pct"/>
            <w:vAlign w:val="center"/>
          </w:tcPr>
          <w:p w14:paraId="63833D09" w14:textId="77777777" w:rsidR="00FE32C8" w:rsidRPr="00E80AAA" w:rsidRDefault="00FE32C8" w:rsidP="00E80AAA">
            <w:pPr>
              <w:spacing w:after="0" w:line="240" w:lineRule="auto"/>
              <w:jc w:val="center"/>
              <w:rPr>
                <w:color w:val="000000"/>
                <w:szCs w:val="16"/>
              </w:rPr>
            </w:pPr>
            <w:r w:rsidRPr="00E80AAA">
              <w:rPr>
                <w:color w:val="000000"/>
                <w:szCs w:val="16"/>
              </w:rPr>
              <w:t>0.0%</w:t>
            </w:r>
          </w:p>
        </w:tc>
      </w:tr>
      <w:tr w:rsidR="00FE32C8" w:rsidRPr="00E80AAA" w14:paraId="02DBEDB5" w14:textId="77777777" w:rsidTr="00E80AAA">
        <w:trPr>
          <w:trHeight w:val="284"/>
        </w:trPr>
        <w:tc>
          <w:tcPr>
            <w:tcW w:w="705" w:type="pct"/>
            <w:vAlign w:val="center"/>
          </w:tcPr>
          <w:p w14:paraId="13E24FB8" w14:textId="3ACEF81C" w:rsidR="00FE32C8" w:rsidRPr="00E80AAA" w:rsidRDefault="00FE32C8" w:rsidP="00E80AAA">
            <w:pPr>
              <w:spacing w:after="0" w:line="240" w:lineRule="auto"/>
              <w:jc w:val="center"/>
              <w:rPr>
                <w:szCs w:val="16"/>
                <w:lang w:val="en-GB"/>
              </w:rPr>
            </w:pPr>
            <w:r w:rsidRPr="00E80AAA">
              <w:rPr>
                <w:color w:val="000000"/>
                <w:szCs w:val="16"/>
                <w:lang w:val="en-GB"/>
              </w:rPr>
              <w:t>AJ</w:t>
            </w:r>
          </w:p>
        </w:tc>
        <w:tc>
          <w:tcPr>
            <w:tcW w:w="1431" w:type="pct"/>
            <w:vAlign w:val="center"/>
          </w:tcPr>
          <w:p w14:paraId="6C18F4BF" w14:textId="77777777" w:rsidR="00FE32C8" w:rsidRPr="00E80AAA" w:rsidRDefault="00FE32C8" w:rsidP="00E80AAA">
            <w:pPr>
              <w:spacing w:after="0" w:line="240" w:lineRule="auto"/>
              <w:jc w:val="center"/>
              <w:rPr>
                <w:szCs w:val="16"/>
                <w:lang w:val="en-GB"/>
              </w:rPr>
            </w:pPr>
            <w:r w:rsidRPr="00E80AAA">
              <w:rPr>
                <w:color w:val="000000"/>
                <w:szCs w:val="16"/>
              </w:rPr>
              <w:t>0.2%</w:t>
            </w:r>
          </w:p>
        </w:tc>
        <w:tc>
          <w:tcPr>
            <w:tcW w:w="1432" w:type="pct"/>
            <w:vAlign w:val="center"/>
          </w:tcPr>
          <w:p w14:paraId="1472385A"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7CE89CFF"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0301BBEB"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4A3AF106" w14:textId="77777777" w:rsidR="00FE32C8" w:rsidRPr="00E80AAA" w:rsidRDefault="00FE32C8" w:rsidP="00E80AAA">
            <w:pPr>
              <w:spacing w:after="0" w:line="240" w:lineRule="auto"/>
              <w:jc w:val="center"/>
              <w:rPr>
                <w:szCs w:val="16"/>
                <w:lang w:val="en-GB"/>
              </w:rPr>
            </w:pPr>
            <w:r w:rsidRPr="00E80AAA">
              <w:rPr>
                <w:color w:val="000000"/>
                <w:szCs w:val="16"/>
                <w:lang w:val="en-GB"/>
              </w:rPr>
              <w:t>AN</w:t>
            </w:r>
          </w:p>
        </w:tc>
        <w:tc>
          <w:tcPr>
            <w:tcW w:w="1431" w:type="pct"/>
            <w:vAlign w:val="center"/>
          </w:tcPr>
          <w:p w14:paraId="523D5CD5"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171F2635" w14:textId="77777777" w:rsidR="00FE32C8" w:rsidRPr="00E80AAA" w:rsidRDefault="00FE32C8" w:rsidP="00E80AAA">
            <w:pPr>
              <w:spacing w:after="0" w:line="240" w:lineRule="auto"/>
              <w:jc w:val="center"/>
              <w:rPr>
                <w:szCs w:val="16"/>
                <w:lang w:val="en-GB"/>
              </w:rPr>
            </w:pPr>
            <w:r w:rsidRPr="00E80AAA">
              <w:rPr>
                <w:color w:val="000000"/>
                <w:szCs w:val="16"/>
              </w:rPr>
              <w:t>0.1%</w:t>
            </w:r>
          </w:p>
        </w:tc>
        <w:tc>
          <w:tcPr>
            <w:tcW w:w="1432" w:type="pct"/>
            <w:vAlign w:val="center"/>
          </w:tcPr>
          <w:p w14:paraId="21097607"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066699A2" w14:textId="77777777" w:rsidTr="00E80AAA">
        <w:trPr>
          <w:trHeight w:val="284"/>
        </w:trPr>
        <w:tc>
          <w:tcPr>
            <w:tcW w:w="705" w:type="pct"/>
            <w:vAlign w:val="center"/>
          </w:tcPr>
          <w:p w14:paraId="7492E3E2" w14:textId="77777777" w:rsidR="00FE32C8" w:rsidRPr="00E80AAA" w:rsidRDefault="00FE32C8" w:rsidP="00E80AAA">
            <w:pPr>
              <w:spacing w:after="0" w:line="240" w:lineRule="auto"/>
              <w:jc w:val="center"/>
              <w:rPr>
                <w:szCs w:val="16"/>
                <w:lang w:val="en-GB"/>
              </w:rPr>
            </w:pPr>
            <w:r w:rsidRPr="00E80AAA">
              <w:rPr>
                <w:color w:val="000000"/>
                <w:szCs w:val="16"/>
                <w:lang w:val="en-GB"/>
              </w:rPr>
              <w:t>AO</w:t>
            </w:r>
          </w:p>
        </w:tc>
        <w:tc>
          <w:tcPr>
            <w:tcW w:w="1431" w:type="pct"/>
            <w:vAlign w:val="center"/>
          </w:tcPr>
          <w:p w14:paraId="423D5A2D"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6B951AE"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E7F582D"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6F279FA7"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292082D1" w14:textId="77777777" w:rsidR="00FE32C8" w:rsidRPr="00E80AAA" w:rsidRDefault="00FE32C8" w:rsidP="00E80AAA">
            <w:pPr>
              <w:spacing w:after="0" w:line="240" w:lineRule="auto"/>
              <w:jc w:val="center"/>
              <w:rPr>
                <w:strike/>
                <w:szCs w:val="16"/>
                <w:lang w:val="en-GB"/>
              </w:rPr>
            </w:pPr>
            <w:r w:rsidRPr="00E80AAA">
              <w:rPr>
                <w:color w:val="000000"/>
                <w:szCs w:val="16"/>
                <w:lang w:val="en-GB"/>
              </w:rPr>
              <w:t>AP</w:t>
            </w:r>
          </w:p>
        </w:tc>
        <w:tc>
          <w:tcPr>
            <w:tcW w:w="1431" w:type="pct"/>
            <w:vAlign w:val="center"/>
          </w:tcPr>
          <w:p w14:paraId="5F4750C9"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DF30616"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7F3D5660"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12A41D94" w14:textId="77777777" w:rsidTr="00E80AAA">
        <w:trPr>
          <w:trHeight w:val="284"/>
        </w:trPr>
        <w:tc>
          <w:tcPr>
            <w:tcW w:w="705" w:type="pct"/>
            <w:vAlign w:val="center"/>
          </w:tcPr>
          <w:p w14:paraId="5E24B065" w14:textId="77777777" w:rsidR="00FE32C8" w:rsidRPr="00E80AAA" w:rsidRDefault="00FE32C8" w:rsidP="00E80AAA">
            <w:pPr>
              <w:spacing w:after="0" w:line="240" w:lineRule="auto"/>
              <w:jc w:val="center"/>
              <w:rPr>
                <w:strike/>
                <w:szCs w:val="16"/>
                <w:lang w:val="en-GB"/>
              </w:rPr>
            </w:pPr>
            <w:r w:rsidRPr="00E80AAA">
              <w:rPr>
                <w:color w:val="000000"/>
                <w:szCs w:val="16"/>
                <w:lang w:val="en-GB"/>
              </w:rPr>
              <w:t>AT</w:t>
            </w:r>
          </w:p>
        </w:tc>
        <w:tc>
          <w:tcPr>
            <w:tcW w:w="1431" w:type="pct"/>
            <w:vAlign w:val="center"/>
          </w:tcPr>
          <w:p w14:paraId="408FEDBB" w14:textId="77777777" w:rsidR="00FE32C8" w:rsidRPr="00E80AAA" w:rsidRDefault="00FE32C8" w:rsidP="00E80AAA">
            <w:pPr>
              <w:spacing w:after="0" w:line="240" w:lineRule="auto"/>
              <w:jc w:val="center"/>
              <w:rPr>
                <w:szCs w:val="16"/>
                <w:lang w:val="en-GB"/>
              </w:rPr>
            </w:pPr>
            <w:r w:rsidRPr="00E80AAA">
              <w:rPr>
                <w:color w:val="000000"/>
                <w:szCs w:val="16"/>
              </w:rPr>
              <w:t>0.2%</w:t>
            </w:r>
          </w:p>
        </w:tc>
        <w:tc>
          <w:tcPr>
            <w:tcW w:w="1432" w:type="pct"/>
            <w:vAlign w:val="center"/>
          </w:tcPr>
          <w:p w14:paraId="6C9FED02"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4E5449E8"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r w:rsidR="00FE32C8" w:rsidRPr="00E80AAA" w14:paraId="799DE5A0" w14:textId="77777777" w:rsidTr="00E80AAA">
        <w:trPr>
          <w:cnfStyle w:val="000000010000" w:firstRow="0" w:lastRow="0" w:firstColumn="0" w:lastColumn="0" w:oddVBand="0" w:evenVBand="0" w:oddHBand="0" w:evenHBand="1" w:firstRowFirstColumn="0" w:firstRowLastColumn="0" w:lastRowFirstColumn="0" w:lastRowLastColumn="0"/>
          <w:trHeight w:val="284"/>
        </w:trPr>
        <w:tc>
          <w:tcPr>
            <w:tcW w:w="705" w:type="pct"/>
            <w:vAlign w:val="center"/>
          </w:tcPr>
          <w:p w14:paraId="3D0F7781" w14:textId="77777777" w:rsidR="00FE32C8" w:rsidRPr="00E80AAA" w:rsidRDefault="00FE32C8" w:rsidP="00E80AAA">
            <w:pPr>
              <w:spacing w:after="0" w:line="240" w:lineRule="auto"/>
              <w:jc w:val="center"/>
              <w:rPr>
                <w:strike/>
                <w:szCs w:val="16"/>
                <w:lang w:val="en-GB"/>
              </w:rPr>
            </w:pPr>
            <w:r w:rsidRPr="00E80AAA">
              <w:rPr>
                <w:color w:val="000000"/>
                <w:szCs w:val="16"/>
                <w:lang w:val="en-GB"/>
              </w:rPr>
              <w:t>AW</w:t>
            </w:r>
          </w:p>
        </w:tc>
        <w:tc>
          <w:tcPr>
            <w:tcW w:w="1431" w:type="pct"/>
            <w:vAlign w:val="center"/>
          </w:tcPr>
          <w:p w14:paraId="1568674F"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614FF433" w14:textId="77777777" w:rsidR="00FE32C8" w:rsidRPr="00E80AAA" w:rsidRDefault="00FE32C8" w:rsidP="00E80AAA">
            <w:pPr>
              <w:spacing w:after="0" w:line="240" w:lineRule="auto"/>
              <w:jc w:val="center"/>
              <w:rPr>
                <w:szCs w:val="16"/>
                <w:lang w:val="en-GB"/>
              </w:rPr>
            </w:pPr>
            <w:r w:rsidRPr="00E80AAA">
              <w:rPr>
                <w:color w:val="000000"/>
                <w:szCs w:val="16"/>
              </w:rPr>
              <w:t>0.0%</w:t>
            </w:r>
          </w:p>
        </w:tc>
        <w:tc>
          <w:tcPr>
            <w:tcW w:w="1432" w:type="pct"/>
            <w:vAlign w:val="center"/>
          </w:tcPr>
          <w:p w14:paraId="535832B3" w14:textId="77777777" w:rsidR="00FE32C8" w:rsidRPr="00E80AAA" w:rsidRDefault="00FE32C8" w:rsidP="00E80AAA">
            <w:pPr>
              <w:spacing w:after="0" w:line="240" w:lineRule="auto"/>
              <w:jc w:val="center"/>
              <w:rPr>
                <w:szCs w:val="16"/>
                <w:highlight w:val="yellow"/>
                <w:lang w:val="en-GB"/>
              </w:rPr>
            </w:pPr>
            <w:r w:rsidRPr="00E80AAA">
              <w:rPr>
                <w:color w:val="000000"/>
                <w:szCs w:val="16"/>
              </w:rPr>
              <w:t>0.0%</w:t>
            </w:r>
          </w:p>
        </w:tc>
      </w:tr>
    </w:tbl>
    <w:p w14:paraId="397F1AD8" w14:textId="77777777" w:rsidR="00FE32C8" w:rsidRPr="006939A8" w:rsidRDefault="00FE32C8" w:rsidP="006939A8">
      <w:pPr>
        <w:tabs>
          <w:tab w:val="left" w:pos="5747"/>
        </w:tabs>
        <w:spacing w:after="0" w:line="240" w:lineRule="auto"/>
        <w:jc w:val="both"/>
        <w:rPr>
          <w:rFonts w:ascii="Verdana" w:hAnsi="Verdana" w:cs="Times New Roman"/>
          <w:sz w:val="18"/>
          <w:szCs w:val="18"/>
          <w:lang w:val="en-GB"/>
        </w:rPr>
      </w:pPr>
    </w:p>
    <w:p w14:paraId="0DFCC66D" w14:textId="3554F6ED" w:rsidR="00E80AAA" w:rsidRDefault="00E80AAA" w:rsidP="00E80AAA">
      <w:pPr>
        <w:spacing w:after="0" w:line="240" w:lineRule="auto"/>
        <w:rPr>
          <w:rFonts w:ascii="Verdana" w:hAnsi="Verdana"/>
          <w:sz w:val="18"/>
          <w:szCs w:val="18"/>
        </w:rPr>
      </w:pPr>
    </w:p>
    <w:p w14:paraId="1791A5D6" w14:textId="4993BE03" w:rsidR="00E80AAA" w:rsidRPr="00E80AAA" w:rsidRDefault="00E80AAA" w:rsidP="00E80AAA">
      <w:pPr>
        <w:spacing w:after="0" w:line="240" w:lineRule="auto"/>
        <w:jc w:val="center"/>
        <w:rPr>
          <w:rFonts w:ascii="Verdana" w:hAnsi="Verdana"/>
          <w:sz w:val="18"/>
          <w:szCs w:val="18"/>
        </w:rPr>
      </w:pPr>
      <w:r>
        <w:rPr>
          <w:rFonts w:ascii="Verdana" w:hAnsi="Verdana"/>
          <w:b/>
          <w:sz w:val="18"/>
          <w:szCs w:val="18"/>
        </w:rPr>
        <w:t>__________</w:t>
      </w:r>
    </w:p>
    <w:sectPr w:rsidR="00E80AAA" w:rsidRPr="00E80AAA" w:rsidSect="005A72EA">
      <w:footnotePr>
        <w:numRestart w:val="eachSect"/>
      </w:footnotePr>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ADAF" w14:textId="77777777" w:rsidR="00F53367" w:rsidRDefault="00F53367" w:rsidP="00ED54E0">
      <w:r>
        <w:separator/>
      </w:r>
    </w:p>
  </w:endnote>
  <w:endnote w:type="continuationSeparator" w:id="0">
    <w:p w14:paraId="58B86C0A" w14:textId="77777777" w:rsidR="00F53367" w:rsidRDefault="00F5336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D21C" w14:textId="0DDE0F29" w:rsidR="00F53367" w:rsidRPr="00BE16A4" w:rsidRDefault="00F53367" w:rsidP="00BE16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0247" w14:textId="1C3CE0F4" w:rsidR="00F53367" w:rsidRPr="00BE16A4" w:rsidRDefault="00F53367" w:rsidP="00BE16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1BFC" w14:textId="77777777" w:rsidR="0093667B" w:rsidRDefault="0093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44B0" w14:textId="77777777" w:rsidR="00F53367" w:rsidRDefault="00F53367" w:rsidP="00ED54E0">
      <w:r>
        <w:separator/>
      </w:r>
    </w:p>
  </w:footnote>
  <w:footnote w:type="continuationSeparator" w:id="0">
    <w:p w14:paraId="15E3AB36" w14:textId="77777777" w:rsidR="00F53367" w:rsidRDefault="00F53367" w:rsidP="00ED54E0">
      <w:r>
        <w:continuationSeparator/>
      </w:r>
    </w:p>
  </w:footnote>
  <w:footnote w:id="1">
    <w:p w14:paraId="6873FD55" w14:textId="3AE937EA" w:rsidR="00F53367" w:rsidRPr="00DA6066" w:rsidRDefault="00F53367" w:rsidP="00DA6066">
      <w:pPr>
        <w:pStyle w:val="FootnoteText"/>
        <w:spacing w:after="0" w:line="240" w:lineRule="auto"/>
        <w:rPr>
          <w:lang w:val="en-GB"/>
        </w:rPr>
      </w:pPr>
      <w:r w:rsidRPr="00FD34F5">
        <w:rPr>
          <w:rStyle w:val="FootnoteReference"/>
          <w:rFonts w:ascii="Verdana" w:hAnsi="Verdana"/>
        </w:rPr>
        <w:footnoteRef/>
      </w:r>
      <w:r w:rsidRPr="00FD34F5">
        <w:rPr>
          <w:rFonts w:ascii="Verdana" w:hAnsi="Verdana"/>
        </w:rPr>
        <w:t xml:space="preserve"> </w:t>
      </w:r>
      <w:r w:rsidRPr="006939A8">
        <w:rPr>
          <w:rFonts w:ascii="Verdana" w:hAnsi="Verdana"/>
          <w:lang w:val="en-GB"/>
        </w:rPr>
        <w:t>In February 2021, a revised version including a new cosponsor was circulated.</w:t>
      </w:r>
    </w:p>
  </w:footnote>
  <w:footnote w:id="2">
    <w:p w14:paraId="5B211457" w14:textId="0F3EDDCE" w:rsidR="00F53367" w:rsidRPr="006939A8" w:rsidRDefault="00F53367" w:rsidP="00F8104D">
      <w:pPr>
        <w:pStyle w:val="FootnoteText"/>
        <w:spacing w:after="0" w:line="240" w:lineRule="auto"/>
        <w:rPr>
          <w:rFonts w:ascii="Verdana" w:hAnsi="Verdana"/>
          <w:lang w:val="en-GB"/>
        </w:rPr>
      </w:pPr>
      <w:r w:rsidRPr="006939A8">
        <w:rPr>
          <w:rStyle w:val="FootnoteReference"/>
          <w:rFonts w:ascii="Verdana" w:hAnsi="Verdana"/>
        </w:rPr>
        <w:footnoteRef/>
      </w:r>
      <w:r w:rsidRPr="006939A8">
        <w:rPr>
          <w:rFonts w:ascii="Verdana" w:hAnsi="Verdana"/>
          <w:lang w:val="en-GB"/>
        </w:rPr>
        <w:t xml:space="preserve"> More information on the rationale for the approach taken in the Framework can be found in document </w:t>
      </w:r>
      <w:hyperlink r:id="rId1" w:history="1">
        <w:r w:rsidRPr="00CF04F2">
          <w:rPr>
            <w:rStyle w:val="Hyperlink"/>
            <w:rFonts w:ascii="Verdana" w:hAnsi="Verdana"/>
            <w:lang w:val="en-GB"/>
          </w:rPr>
          <w:t>RD/AG/81/Rev.1</w:t>
        </w:r>
      </w:hyperlink>
      <w:r>
        <w:rPr>
          <w:rFonts w:ascii="Verdana" w:hAnsi="Verdana"/>
          <w:lang w:val="en-GB"/>
        </w:rPr>
        <w:t>.</w:t>
      </w:r>
    </w:p>
  </w:footnote>
  <w:footnote w:id="3">
    <w:p w14:paraId="1F16214D" w14:textId="77777777" w:rsidR="00F53367" w:rsidRPr="006939A8" w:rsidRDefault="00F53367" w:rsidP="006939A8">
      <w:pPr>
        <w:pStyle w:val="FootnoteText"/>
        <w:spacing w:after="0" w:line="240" w:lineRule="auto"/>
        <w:rPr>
          <w:rFonts w:ascii="Verdana" w:hAnsi="Verdana"/>
          <w:lang w:val="en-US"/>
        </w:rPr>
      </w:pPr>
      <w:r w:rsidRPr="006939A8">
        <w:rPr>
          <w:rStyle w:val="FootnoteReference"/>
          <w:rFonts w:ascii="Verdana" w:hAnsi="Verdana"/>
        </w:rPr>
        <w:footnoteRef/>
      </w:r>
      <w:r w:rsidRPr="006939A8">
        <w:rPr>
          <w:rFonts w:ascii="Verdana" w:hAnsi="Verdana"/>
          <w:lang w:val="en-US"/>
        </w:rPr>
        <w:t xml:space="preserve"> </w:t>
      </w:r>
      <w:r w:rsidRPr="006939A8">
        <w:rPr>
          <w:rFonts w:ascii="Verdana" w:hAnsi="Verdana"/>
          <w:lang w:val="en-GB"/>
        </w:rPr>
        <w:t>Notifications submitted by Members as of 17 November 2020.</w:t>
      </w:r>
    </w:p>
  </w:footnote>
  <w:footnote w:id="4">
    <w:p w14:paraId="2F085CB1" w14:textId="77777777" w:rsidR="00F53367" w:rsidRPr="00F8104D" w:rsidRDefault="00F53367" w:rsidP="00CF04F2">
      <w:pPr>
        <w:pStyle w:val="FootnoteText"/>
        <w:spacing w:line="240" w:lineRule="auto"/>
        <w:rPr>
          <w:rFonts w:ascii="Verdana" w:hAnsi="Verdana"/>
          <w:lang w:val="en-US"/>
        </w:rPr>
      </w:pPr>
      <w:r w:rsidRPr="00FD34F5">
        <w:rPr>
          <w:rStyle w:val="FootnoteReference"/>
          <w:rFonts w:ascii="Verdana" w:hAnsi="Verdana"/>
        </w:rPr>
        <w:footnoteRef/>
      </w:r>
      <w:r>
        <w:rPr>
          <w:rFonts w:ascii="Times New Roman" w:hAnsi="Times New Roman"/>
          <w:lang w:val="en-GB"/>
        </w:rPr>
        <w:t xml:space="preserve"> </w:t>
      </w:r>
      <w:r w:rsidRPr="00F8104D">
        <w:rPr>
          <w:rFonts w:ascii="Verdana" w:hAnsi="Verdana"/>
          <w:lang w:val="en-GB"/>
        </w:rPr>
        <w:t>TDDS is inclusive of all support provided under Article 6 of the AoA.</w:t>
      </w:r>
    </w:p>
  </w:footnote>
  <w:footnote w:id="5">
    <w:p w14:paraId="6ED8C458" w14:textId="16B5C29C" w:rsidR="00F53367" w:rsidRPr="00F8104D" w:rsidRDefault="00F53367" w:rsidP="00F8104D">
      <w:pPr>
        <w:pStyle w:val="FootnoteText"/>
        <w:spacing w:after="0" w:line="240" w:lineRule="auto"/>
        <w:rPr>
          <w:rFonts w:ascii="Verdana" w:hAnsi="Verdana"/>
          <w:lang w:val="en-GB"/>
        </w:rPr>
      </w:pPr>
      <w:r w:rsidRPr="00FD34F5">
        <w:rPr>
          <w:rStyle w:val="FootnoteReference"/>
          <w:rFonts w:ascii="Verdana" w:hAnsi="Verdana"/>
        </w:rPr>
        <w:footnoteRef/>
      </w:r>
      <w:r w:rsidRPr="00A6120F">
        <w:rPr>
          <w:rFonts w:ascii="Times New Roman" w:hAnsi="Times New Roman"/>
          <w:lang w:val="en-GB"/>
        </w:rPr>
        <w:t xml:space="preserve"> </w:t>
      </w:r>
      <w:r w:rsidRPr="00F8104D">
        <w:rPr>
          <w:rFonts w:ascii="Verdana" w:hAnsi="Verdana"/>
          <w:lang w:val="en-GB"/>
        </w:rPr>
        <w:t xml:space="preserve">Payments based on input use, a coupled form of support policy, is deemed by the OECD to be, along with market price support, one of the most trade and production distorting support </w:t>
      </w:r>
      <w:r w:rsidRPr="00BE16A4">
        <w:rPr>
          <w:rFonts w:ascii="Verdana" w:hAnsi="Verdana"/>
          <w:lang w:val="en-GB"/>
        </w:rPr>
        <w:t>polices</w:t>
      </w:r>
      <w:r w:rsidRPr="00F8104D">
        <w:rPr>
          <w:rFonts w:ascii="Verdana" w:hAnsi="Verdana"/>
          <w:lang w:val="en-GB"/>
        </w:rPr>
        <w:t xml:space="preserve"> (Agricultural Policy Monitoring and Evaluation 2020, OECD Publishing, Paris, </w:t>
      </w:r>
      <w:hyperlink r:id="rId2" w:history="1">
        <w:r w:rsidRPr="00814667">
          <w:rPr>
            <w:rStyle w:val="Hyperlink"/>
            <w:rFonts w:ascii="Verdana" w:hAnsi="Verdana"/>
            <w:lang w:val="en-GB"/>
          </w:rPr>
          <w:t>https://doi.org/10.1787/928181a8-en</w:t>
        </w:r>
      </w:hyperlink>
      <w:r w:rsidRPr="00F8104D">
        <w:rPr>
          <w:rFonts w:ascii="Verdana" w:hAnsi="Verdana"/>
          <w:lang w:val="en-GB"/>
        </w:rPr>
        <w:t xml:space="preserve">). The </w:t>
      </w:r>
      <w:r w:rsidRPr="00F8104D">
        <w:rPr>
          <w:rFonts w:ascii="Verdana" w:hAnsi="Verdana"/>
          <w:iCs/>
          <w:lang w:val="en-GB"/>
        </w:rPr>
        <w:t>OECD</w:t>
      </w:r>
      <w:r w:rsidRPr="00F8104D">
        <w:rPr>
          <w:rFonts w:ascii="Verdana" w:hAnsi="Verdana"/>
          <w:lang w:val="en-GB"/>
        </w:rPr>
        <w:t xml:space="preserve"> has highlighted that </w:t>
      </w:r>
      <w:r>
        <w:rPr>
          <w:rFonts w:ascii="Verdana" w:hAnsi="Verdana"/>
          <w:lang w:val="en-GB"/>
        </w:rPr>
        <w:t>"</w:t>
      </w:r>
      <w:r w:rsidRPr="00F8104D">
        <w:rPr>
          <w:rFonts w:ascii="Verdana" w:hAnsi="Verdana"/>
          <w:lang w:val="en-GB"/>
        </w:rPr>
        <w:t>there is also evidence that coupled support can exacerbate environmental impacts by incentivizing farmers to expand production and intensify the use of environmentally damaging inputs. It can also undermine efforts to adapt to climate change by locking farmers into producing certain crops even where conditions are becoming increasingly less suitable</w:t>
      </w:r>
      <w:r>
        <w:rPr>
          <w:rFonts w:ascii="Verdana" w:hAnsi="Verdana"/>
          <w:lang w:val="en-GB"/>
        </w:rPr>
        <w:t>"</w:t>
      </w:r>
      <w:r w:rsidRPr="00F8104D">
        <w:rPr>
          <w:rFonts w:ascii="Verdana" w:hAnsi="Verdana"/>
          <w:lang w:val="en-GB"/>
        </w:rPr>
        <w:t xml:space="preserve"> (</w:t>
      </w:r>
      <w:r w:rsidRPr="00F8104D">
        <w:rPr>
          <w:rFonts w:ascii="Verdana" w:hAnsi="Verdana"/>
          <w:lang w:val="en-US"/>
        </w:rPr>
        <w:t>Agriculture Policy Brief. Food systems and the triple challenge, OECD</w:t>
      </w:r>
      <w:r>
        <w:rPr>
          <w:rFonts w:ascii="Verdana" w:hAnsi="Verdana"/>
          <w:lang w:val="en-US"/>
        </w:rPr>
        <w:t xml:space="preserve"> (</w:t>
      </w:r>
      <w:r w:rsidRPr="00F8104D">
        <w:rPr>
          <w:rFonts w:ascii="Verdana" w:hAnsi="Verdana"/>
          <w:lang w:val="en-US"/>
        </w:rPr>
        <w:t>January 2021)</w:t>
      </w:r>
      <w:r w:rsidRPr="00F8104D">
        <w:rPr>
          <w:rFonts w:ascii="Verdana" w:hAnsi="Verdana"/>
          <w:lang w:val="en-GB"/>
        </w:rPr>
        <w:t>.</w:t>
      </w:r>
    </w:p>
  </w:footnote>
  <w:footnote w:id="6">
    <w:p w14:paraId="0CF16034" w14:textId="77777777" w:rsidR="00F53367" w:rsidRPr="00F8104D" w:rsidRDefault="00F53367" w:rsidP="00F8104D">
      <w:pPr>
        <w:pStyle w:val="FootnoteText"/>
        <w:spacing w:after="0" w:line="240" w:lineRule="auto"/>
        <w:rPr>
          <w:rFonts w:ascii="Verdana" w:hAnsi="Verdana"/>
          <w:lang w:val="en-GB"/>
        </w:rPr>
      </w:pPr>
      <w:r w:rsidRPr="00F8104D">
        <w:rPr>
          <w:rStyle w:val="FootnoteReference"/>
          <w:rFonts w:ascii="Verdana" w:hAnsi="Verdana"/>
          <w:lang w:val="en-GB"/>
        </w:rPr>
        <w:footnoteRef/>
      </w:r>
      <w:r w:rsidRPr="00F8104D">
        <w:rPr>
          <w:rFonts w:ascii="Verdana" w:hAnsi="Verdana"/>
          <w:lang w:val="en-GB"/>
        </w:rPr>
        <w:t xml:space="preserve"> BRINK, Lars &amp; ORDEN, David. "Taking Stock and Looking Forward on Domestic Support under the WTO Agreement on Agriculture". St. Paul, Minnesota: University of Minnesota, Department of Applied Economics, International Agricultural Trade Research Consortium (April 2020).</w:t>
      </w:r>
    </w:p>
  </w:footnote>
  <w:footnote w:id="7">
    <w:p w14:paraId="230464AA" w14:textId="2E1B9669" w:rsidR="00F53367" w:rsidRPr="00DA6066" w:rsidRDefault="00F53367" w:rsidP="006D4693">
      <w:pPr>
        <w:pStyle w:val="FootnoteText"/>
        <w:spacing w:after="0" w:line="240" w:lineRule="auto"/>
        <w:rPr>
          <w:rFonts w:ascii="Verdana" w:hAnsi="Verdana"/>
          <w:lang w:val="en-GB"/>
        </w:rPr>
      </w:pPr>
      <w:r w:rsidRPr="00FD34F5">
        <w:rPr>
          <w:rStyle w:val="FootnoteReference"/>
          <w:rFonts w:ascii="Verdana" w:hAnsi="Verdana"/>
          <w:lang w:val="en-GB"/>
        </w:rPr>
        <w:footnoteRef/>
      </w:r>
      <w:r w:rsidRPr="00FD34F5">
        <w:rPr>
          <w:rFonts w:ascii="Verdana" w:hAnsi="Verdana"/>
          <w:lang w:val="en-GB"/>
        </w:rPr>
        <w:t xml:space="preserve"> </w:t>
      </w:r>
      <w:r w:rsidRPr="00DA6066">
        <w:rPr>
          <w:rFonts w:ascii="Verdana" w:hAnsi="Verdana"/>
          <w:lang w:val="en-GB"/>
        </w:rPr>
        <w:t xml:space="preserve">For example, as part of its Protocol of Accession, China could provide support through government measures of the forms described in Article 6.2, but the amount of such support would be included in </w:t>
      </w:r>
      <w:r>
        <w:rPr>
          <w:rFonts w:ascii="Verdana" w:hAnsi="Verdana"/>
          <w:lang w:val="en-GB"/>
        </w:rPr>
        <w:t>China'</w:t>
      </w:r>
      <w:r w:rsidRPr="00DA6066">
        <w:rPr>
          <w:rFonts w:ascii="Verdana" w:hAnsi="Verdana"/>
          <w:lang w:val="en-GB"/>
        </w:rPr>
        <w:t>s calculation of its Aggregate Measurement of Support ("AMS</w:t>
      </w:r>
      <w:r>
        <w:rPr>
          <w:rFonts w:ascii="Verdana" w:hAnsi="Verdana"/>
          <w:lang w:val="en-GB"/>
        </w:rPr>
        <w:t>"</w:t>
      </w:r>
      <w:r w:rsidRPr="00DA6066">
        <w:rPr>
          <w:rFonts w:ascii="Verdana" w:hAnsi="Verdana"/>
          <w:lang w:val="en-GB"/>
        </w:rPr>
        <w:t xml:space="preserve">). A similar provision was maintained in </w:t>
      </w:r>
      <w:r>
        <w:rPr>
          <w:rFonts w:ascii="Verdana" w:hAnsi="Verdana"/>
          <w:lang w:val="en-GB"/>
        </w:rPr>
        <w:t>Kazakhstan'</w:t>
      </w:r>
      <w:r w:rsidRPr="00DA6066">
        <w:rPr>
          <w:rFonts w:ascii="Verdana" w:hAnsi="Verdana"/>
          <w:lang w:val="en-GB"/>
        </w:rPr>
        <w:t>s Protocol of Accession regarding support provided under Article 6.2.</w:t>
      </w:r>
    </w:p>
  </w:footnote>
  <w:footnote w:id="8">
    <w:p w14:paraId="7A9682F4" w14:textId="251BCB05" w:rsidR="00F53367" w:rsidRPr="00DA6066" w:rsidRDefault="00F53367" w:rsidP="006D4693">
      <w:pPr>
        <w:pStyle w:val="FootnoteText"/>
        <w:spacing w:after="0" w:line="240" w:lineRule="auto"/>
        <w:rPr>
          <w:rFonts w:ascii="Verdana" w:hAnsi="Verdana"/>
          <w:lang w:val="en-GB"/>
        </w:rPr>
      </w:pPr>
      <w:r w:rsidRPr="00DA6066">
        <w:rPr>
          <w:rStyle w:val="FootnoteReference"/>
          <w:rFonts w:ascii="Verdana" w:hAnsi="Verdana"/>
          <w:lang w:val="en-GB"/>
        </w:rPr>
        <w:footnoteRef/>
      </w:r>
      <w:r w:rsidRPr="00DA6066">
        <w:rPr>
          <w:rFonts w:ascii="Verdana" w:hAnsi="Verdana"/>
          <w:lang w:val="en-GB"/>
        </w:rPr>
        <w:t xml:space="preserve"> According to cosponsors of </w:t>
      </w:r>
      <w:hyperlink r:id="rId3" w:history="1">
        <w:r w:rsidRPr="00CF04F2">
          <w:rPr>
            <w:rStyle w:val="Hyperlink"/>
            <w:rFonts w:ascii="Verdana" w:hAnsi="Verdana"/>
            <w:lang w:val="en-GB"/>
          </w:rPr>
          <w:t>JOB/AG/138</w:t>
        </w:r>
      </w:hyperlink>
      <w:r w:rsidRPr="00DA6066">
        <w:rPr>
          <w:rFonts w:ascii="Verdana" w:hAnsi="Verdana"/>
          <w:lang w:val="en-GB"/>
        </w:rPr>
        <w:t xml:space="preserve">, </w:t>
      </w:r>
      <w:r>
        <w:rPr>
          <w:rFonts w:ascii="Verdana" w:hAnsi="Verdana"/>
          <w:lang w:val="en-GB"/>
        </w:rPr>
        <w:t>"</w:t>
      </w:r>
      <w:r w:rsidRPr="00DA6066">
        <w:rPr>
          <w:rFonts w:ascii="Verdana" w:hAnsi="Verdana"/>
          <w:lang w:val="en-GB"/>
        </w:rPr>
        <w:t>124 Members are eligible to provide support under Article</w:t>
      </w:r>
      <w:r>
        <w:rPr>
          <w:rFonts w:ascii="Verdana" w:hAnsi="Verdana"/>
          <w:lang w:val="en-GB"/>
        </w:rPr>
        <w:t> </w:t>
      </w:r>
      <w:r w:rsidRPr="00DA6066">
        <w:rPr>
          <w:rFonts w:ascii="Verdana" w:hAnsi="Verdana"/>
          <w:lang w:val="en-GB"/>
        </w:rPr>
        <w:t>6.2</w:t>
      </w:r>
      <w:r>
        <w:rPr>
          <w:rFonts w:ascii="Verdana" w:hAnsi="Verdana"/>
          <w:lang w:val="en-GB"/>
        </w:rPr>
        <w:t>"</w:t>
      </w:r>
      <w:r w:rsidRPr="00DA6066">
        <w:rPr>
          <w:rFonts w:ascii="Verdana" w:hAnsi="Verdana"/>
          <w:lang w:val="en-GB"/>
        </w:rPr>
        <w:t>.</w:t>
      </w:r>
    </w:p>
  </w:footnote>
  <w:footnote w:id="9">
    <w:p w14:paraId="7B2AC97E" w14:textId="77777777" w:rsidR="00F53367" w:rsidRPr="00DA6066" w:rsidRDefault="00F53367" w:rsidP="00DA6066">
      <w:pPr>
        <w:pStyle w:val="FootnoteText"/>
        <w:spacing w:after="0" w:line="240" w:lineRule="auto"/>
        <w:jc w:val="both"/>
        <w:rPr>
          <w:rFonts w:ascii="Verdana" w:hAnsi="Verdana"/>
          <w:lang w:val="en-NZ"/>
        </w:rPr>
      </w:pPr>
      <w:r w:rsidRPr="00DA6066">
        <w:rPr>
          <w:rStyle w:val="FootnoteReference"/>
          <w:rFonts w:ascii="Verdana" w:hAnsi="Verdana"/>
        </w:rPr>
        <w:footnoteRef/>
      </w:r>
      <w:r w:rsidRPr="00DA6066">
        <w:rPr>
          <w:rFonts w:ascii="Verdana" w:hAnsi="Verdana"/>
          <w:lang w:val="en-GB"/>
        </w:rPr>
        <w:t xml:space="preserve"> </w:t>
      </w:r>
      <w:r w:rsidRPr="00DA6066">
        <w:rPr>
          <w:rFonts w:ascii="Verdana" w:hAnsi="Verdana"/>
          <w:lang w:val="en-NZ"/>
        </w:rPr>
        <w:t>2016 is the most recent year to which all five Members who have been notifying the highest annual expenditure under Article 6.2 circulated a DS:1 notification to the WTO.</w:t>
      </w:r>
    </w:p>
  </w:footnote>
  <w:footnote w:id="10">
    <w:p w14:paraId="3380D48B" w14:textId="77777777" w:rsidR="00F53367" w:rsidRPr="00A16C5B" w:rsidRDefault="00F53367" w:rsidP="00D0769E">
      <w:pPr>
        <w:pStyle w:val="FootnoteText"/>
        <w:spacing w:after="0" w:line="240" w:lineRule="auto"/>
        <w:rPr>
          <w:rFonts w:ascii="Verdana" w:hAnsi="Verdana"/>
          <w:lang w:val="en-GB"/>
        </w:rPr>
      </w:pPr>
      <w:r w:rsidRPr="00FD34F5">
        <w:rPr>
          <w:rStyle w:val="FootnoteReference"/>
          <w:rFonts w:ascii="Verdana" w:hAnsi="Verdana"/>
          <w:lang w:val="en-GB"/>
        </w:rPr>
        <w:footnoteRef/>
      </w:r>
      <w:r w:rsidRPr="00FD34F5">
        <w:rPr>
          <w:rFonts w:ascii="Verdana" w:hAnsi="Verdana"/>
          <w:lang w:val="en-GB"/>
        </w:rPr>
        <w:t xml:space="preserve"> </w:t>
      </w:r>
      <w:r w:rsidRPr="00A16C5B">
        <w:rPr>
          <w:rFonts w:ascii="Verdana" w:hAnsi="Verdana"/>
          <w:lang w:val="en-GB"/>
        </w:rPr>
        <w:t>Botswana, Chile, Egypt, Guatemala, Malawi, Mali, Oman, Paraguay, Peru, the Philippines, Seychelles and Sri Lanka.</w:t>
      </w:r>
    </w:p>
  </w:footnote>
  <w:footnote w:id="11">
    <w:p w14:paraId="7066B661" w14:textId="65ECAC79" w:rsidR="00F53367" w:rsidRPr="00A16C5B" w:rsidRDefault="00F53367" w:rsidP="00D0769E">
      <w:pPr>
        <w:pStyle w:val="FootnoteText"/>
        <w:spacing w:after="0" w:line="240" w:lineRule="auto"/>
        <w:rPr>
          <w:rFonts w:ascii="Verdana" w:hAnsi="Verdana"/>
          <w:lang w:val="en-GB"/>
        </w:rPr>
      </w:pPr>
      <w:r w:rsidRPr="00BE16A4">
        <w:rPr>
          <w:rStyle w:val="FootnoteReference"/>
          <w:rFonts w:ascii="Verdana" w:hAnsi="Verdana"/>
          <w:lang w:val="en-GB"/>
        </w:rPr>
        <w:footnoteRef/>
      </w:r>
      <w:r w:rsidRPr="00BE16A4">
        <w:rPr>
          <w:rFonts w:ascii="Verdana" w:hAnsi="Verdana"/>
          <w:lang w:val="en-GB"/>
        </w:rPr>
        <w:t xml:space="preserve"> </w:t>
      </w:r>
      <w:r>
        <w:rPr>
          <w:rFonts w:ascii="Verdana" w:hAnsi="Verdana"/>
          <w:lang w:val="en-GB"/>
        </w:rPr>
        <w:t xml:space="preserve">One at </w:t>
      </w:r>
      <w:r w:rsidRPr="00BE16A4">
        <w:rPr>
          <w:rFonts w:ascii="Verdana" w:hAnsi="Verdana"/>
          <w:lang w:val="en-GB"/>
        </w:rPr>
        <w:t>7</w:t>
      </w:r>
      <w:r w:rsidRPr="00BE16A4">
        <w:rPr>
          <w:rFonts w:ascii="Verdana" w:hAnsi="Verdana"/>
          <w:vertAlign w:val="superscript"/>
          <w:lang w:val="en-GB"/>
        </w:rPr>
        <w:t>th</w:t>
      </w:r>
      <w:r w:rsidRPr="00BE16A4">
        <w:rPr>
          <w:rFonts w:ascii="Verdana" w:hAnsi="Verdana"/>
          <w:lang w:val="en-GB"/>
        </w:rPr>
        <w:t xml:space="preserve"> place in 2017 and </w:t>
      </w:r>
      <w:r>
        <w:rPr>
          <w:rFonts w:ascii="Verdana" w:hAnsi="Verdana"/>
          <w:lang w:val="en-GB"/>
        </w:rPr>
        <w:t>another at</w:t>
      </w:r>
      <w:r w:rsidRPr="00BE16A4">
        <w:rPr>
          <w:rFonts w:ascii="Verdana" w:hAnsi="Verdana"/>
          <w:lang w:val="en-GB"/>
        </w:rPr>
        <w:t xml:space="preserve"> 10</w:t>
      </w:r>
      <w:r w:rsidRPr="00BE16A4">
        <w:rPr>
          <w:rFonts w:ascii="Verdana" w:hAnsi="Verdana"/>
          <w:vertAlign w:val="superscript"/>
          <w:lang w:val="en-GB"/>
        </w:rPr>
        <w:t>th</w:t>
      </w:r>
      <w:r w:rsidRPr="00BE16A4">
        <w:rPr>
          <w:rFonts w:ascii="Verdana" w:hAnsi="Verdana"/>
          <w:lang w:val="en-GB"/>
        </w:rPr>
        <w:t xml:space="preserve"> place in</w:t>
      </w:r>
      <w:r w:rsidRPr="00A16C5B">
        <w:rPr>
          <w:rFonts w:ascii="Verdana" w:hAnsi="Verdana"/>
          <w:lang w:val="en-GB"/>
        </w:rPr>
        <w:t xml:space="preserve"> 2015.</w:t>
      </w:r>
    </w:p>
  </w:footnote>
  <w:footnote w:id="12">
    <w:p w14:paraId="2F6F97EF" w14:textId="785702D3" w:rsidR="00F53367" w:rsidRPr="00A16C5B" w:rsidRDefault="00F53367" w:rsidP="00D0769E">
      <w:pPr>
        <w:pStyle w:val="FootnoteText"/>
        <w:spacing w:after="0" w:line="240" w:lineRule="auto"/>
        <w:rPr>
          <w:rFonts w:ascii="Verdana" w:hAnsi="Verdana"/>
          <w:lang w:val="en-GB"/>
        </w:rPr>
      </w:pPr>
      <w:r w:rsidRPr="00FD34F5">
        <w:rPr>
          <w:rStyle w:val="FootnoteReference"/>
          <w:rFonts w:ascii="Verdana" w:hAnsi="Verdana"/>
        </w:rPr>
        <w:footnoteRef/>
      </w:r>
      <w:r w:rsidRPr="00FD34F5">
        <w:rPr>
          <w:rFonts w:ascii="Verdana" w:hAnsi="Verdana"/>
          <w:lang w:val="en-GB"/>
        </w:rPr>
        <w:t xml:space="preserve"> </w:t>
      </w:r>
      <w:r w:rsidRPr="00A16C5B">
        <w:rPr>
          <w:rFonts w:ascii="Verdana" w:hAnsi="Verdana"/>
          <w:lang w:val="en-GB"/>
        </w:rPr>
        <w:t xml:space="preserve">Notifications from the 28 member </w:t>
      </w:r>
      <w:r>
        <w:rPr>
          <w:rFonts w:ascii="Verdana" w:hAnsi="Verdana"/>
          <w:lang w:val="en-GB"/>
        </w:rPr>
        <w:t>S</w:t>
      </w:r>
      <w:r w:rsidRPr="00A16C5B">
        <w:rPr>
          <w:rFonts w:ascii="Verdana" w:hAnsi="Verdana"/>
          <w:lang w:val="en-GB"/>
        </w:rPr>
        <w:t xml:space="preserve">tates of the EU-28 are counted as one for the whole 2001-2019 period, even in cases where the member </w:t>
      </w:r>
      <w:r>
        <w:rPr>
          <w:rFonts w:ascii="Verdana" w:hAnsi="Verdana"/>
          <w:lang w:val="en-GB"/>
        </w:rPr>
        <w:t>S</w:t>
      </w:r>
      <w:r w:rsidRPr="00A16C5B">
        <w:rPr>
          <w:rFonts w:ascii="Verdana" w:hAnsi="Verdana"/>
          <w:lang w:val="en-GB"/>
        </w:rPr>
        <w:t>tate was not part of the bloc for some of the years of the series.</w:t>
      </w:r>
    </w:p>
  </w:footnote>
  <w:footnote w:id="13">
    <w:p w14:paraId="6724667E" w14:textId="77777777" w:rsidR="00F53367" w:rsidRPr="00DA6066" w:rsidRDefault="00F53367" w:rsidP="00DA6066">
      <w:pPr>
        <w:pStyle w:val="FootnoteText"/>
        <w:spacing w:after="0" w:line="240" w:lineRule="auto"/>
        <w:rPr>
          <w:rFonts w:ascii="Verdana" w:hAnsi="Verdana"/>
          <w:lang w:val="en-GB"/>
        </w:rPr>
      </w:pPr>
      <w:r w:rsidRPr="00DA6066">
        <w:rPr>
          <w:rStyle w:val="FootnoteReference"/>
          <w:rFonts w:ascii="Verdana" w:hAnsi="Verdana"/>
        </w:rPr>
        <w:footnoteRef/>
      </w:r>
      <w:r w:rsidRPr="00DA6066">
        <w:rPr>
          <w:rFonts w:ascii="Verdana" w:hAnsi="Verdana"/>
          <w:lang w:val="en-GB"/>
        </w:rPr>
        <w:t xml:space="preserve"> 2016 is also the last year for which there are data available for the top 10 world greatest users of trade- and production- distorting domestic support.</w:t>
      </w:r>
    </w:p>
  </w:footnote>
  <w:footnote w:id="14">
    <w:p w14:paraId="7A7CD23A" w14:textId="77777777" w:rsidR="00F53367" w:rsidRPr="00DA6066" w:rsidRDefault="00F53367" w:rsidP="00AC2F3A">
      <w:pPr>
        <w:pStyle w:val="FootnoteText"/>
        <w:spacing w:after="0" w:line="240" w:lineRule="auto"/>
        <w:rPr>
          <w:rFonts w:ascii="Verdana" w:hAnsi="Verdana"/>
          <w:lang w:val="en-GB"/>
        </w:rPr>
      </w:pPr>
      <w:r w:rsidRPr="00DA6066">
        <w:rPr>
          <w:rStyle w:val="FootnoteReference"/>
          <w:rFonts w:ascii="Verdana" w:hAnsi="Verdana"/>
        </w:rPr>
        <w:footnoteRef/>
      </w:r>
      <w:r w:rsidRPr="00DA6066">
        <w:rPr>
          <w:rFonts w:ascii="Verdana" w:hAnsi="Verdana"/>
          <w:lang w:val="en-GB"/>
        </w:rPr>
        <w:t xml:space="preserve"> The number of notifications per year as in Graph 3.</w:t>
      </w:r>
    </w:p>
  </w:footnote>
  <w:footnote w:id="15">
    <w:p w14:paraId="2199EED6" w14:textId="77777777" w:rsidR="00F53367" w:rsidRPr="00DA6066" w:rsidRDefault="00F53367" w:rsidP="00AC2F3A">
      <w:pPr>
        <w:pStyle w:val="FootnoteText"/>
        <w:spacing w:after="0" w:line="240" w:lineRule="auto"/>
        <w:rPr>
          <w:rFonts w:ascii="Verdana" w:hAnsi="Verdana"/>
          <w:lang w:val="en-GB"/>
        </w:rPr>
      </w:pPr>
      <w:r w:rsidRPr="00DA6066">
        <w:rPr>
          <w:rStyle w:val="FootnoteReference"/>
          <w:rFonts w:ascii="Verdana" w:hAnsi="Verdana"/>
        </w:rPr>
        <w:footnoteRef/>
      </w:r>
      <w:r w:rsidRPr="00DA6066">
        <w:rPr>
          <w:rFonts w:ascii="Verdana" w:hAnsi="Verdana"/>
          <w:lang w:val="en-GB"/>
        </w:rPr>
        <w:t xml:space="preserve"> BRINK &amp; ORDEN, op.cit.</w:t>
      </w:r>
    </w:p>
  </w:footnote>
  <w:footnote w:id="16">
    <w:p w14:paraId="296C53A5" w14:textId="7CF45CBE" w:rsidR="00F53367" w:rsidRPr="00DA6066" w:rsidRDefault="00F53367" w:rsidP="00AC2F3A">
      <w:pPr>
        <w:pStyle w:val="FootnoteText"/>
        <w:spacing w:after="0" w:line="240" w:lineRule="auto"/>
        <w:rPr>
          <w:rFonts w:ascii="Verdana" w:hAnsi="Verdana"/>
          <w:lang w:val="en-GB"/>
        </w:rPr>
      </w:pPr>
      <w:r w:rsidRPr="00DA6066">
        <w:rPr>
          <w:rStyle w:val="FootnoteReference"/>
          <w:rFonts w:ascii="Verdana" w:hAnsi="Verdana"/>
          <w:lang w:val="en-GB"/>
        </w:rPr>
        <w:footnoteRef/>
      </w:r>
      <w:r w:rsidRPr="00DA6066">
        <w:rPr>
          <w:rFonts w:ascii="Verdana" w:hAnsi="Verdana"/>
          <w:lang w:val="en-GB"/>
        </w:rPr>
        <w:t xml:space="preserve"> Authors identified two exceptions </w:t>
      </w:r>
      <w:r>
        <w:rPr>
          <w:rFonts w:ascii="Verdana" w:hAnsi="Verdana"/>
          <w:lang w:val="en-GB"/>
        </w:rPr>
        <w:t>"</w:t>
      </w:r>
      <w:r w:rsidRPr="00DA6066">
        <w:rPr>
          <w:rFonts w:ascii="Verdana" w:hAnsi="Verdana"/>
          <w:lang w:val="en-GB"/>
        </w:rPr>
        <w:t>where the Art</w:t>
      </w:r>
      <w:r>
        <w:rPr>
          <w:rFonts w:ascii="Verdana" w:hAnsi="Verdana"/>
          <w:lang w:val="en-GB"/>
        </w:rPr>
        <w:t>icle</w:t>
      </w:r>
      <w:r w:rsidRPr="00DA6066">
        <w:rPr>
          <w:rFonts w:ascii="Verdana" w:hAnsi="Verdana"/>
          <w:lang w:val="en-GB"/>
        </w:rPr>
        <w:t xml:space="preserve"> 6.2 exemptions reached 7% or 8% of VoP in the early years of the 2010 decade</w:t>
      </w:r>
      <w:r>
        <w:rPr>
          <w:rFonts w:ascii="Verdana" w:hAnsi="Verdana"/>
          <w:lang w:val="en-GB"/>
        </w:rPr>
        <w:t>"</w:t>
      </w:r>
      <w:r w:rsidRPr="00DA6066">
        <w:rPr>
          <w:rFonts w:ascii="Verdana" w:hAnsi="Verdana"/>
          <w:lang w:val="en-GB"/>
        </w:rPr>
        <w:t>.</w:t>
      </w:r>
    </w:p>
  </w:footnote>
  <w:footnote w:id="17">
    <w:p w14:paraId="3BD1BADB" w14:textId="77777777" w:rsidR="00F53367" w:rsidRPr="00DA6066" w:rsidRDefault="00F53367" w:rsidP="00AC2F3A">
      <w:pPr>
        <w:pStyle w:val="FootnoteText"/>
        <w:spacing w:after="0" w:line="240" w:lineRule="auto"/>
        <w:rPr>
          <w:rFonts w:ascii="Verdana" w:hAnsi="Verdana"/>
          <w:lang w:val="en-GB"/>
        </w:rPr>
      </w:pPr>
      <w:r w:rsidRPr="00FD34F5">
        <w:rPr>
          <w:rStyle w:val="FootnoteReference"/>
          <w:rFonts w:ascii="Verdana" w:hAnsi="Verdana"/>
        </w:rPr>
        <w:footnoteRef/>
      </w:r>
      <w:r w:rsidRPr="00FB1EF6">
        <w:rPr>
          <w:lang w:val="en-GB"/>
        </w:rPr>
        <w:t xml:space="preserve"> </w:t>
      </w:r>
      <w:r w:rsidRPr="00DA6066">
        <w:rPr>
          <w:rFonts w:ascii="Verdana" w:hAnsi="Verdana"/>
          <w:lang w:val="en-GB"/>
        </w:rPr>
        <w:t>BRINK &amp; ORDEN, op.cit.</w:t>
      </w:r>
    </w:p>
  </w:footnote>
  <w:footnote w:id="18">
    <w:p w14:paraId="77FA3C32" w14:textId="23C4FCE8" w:rsidR="00F53367" w:rsidRPr="00DA6066" w:rsidRDefault="00F53367" w:rsidP="00AC2F3A">
      <w:pPr>
        <w:pStyle w:val="FootnoteText"/>
        <w:spacing w:after="0" w:line="240" w:lineRule="auto"/>
        <w:rPr>
          <w:rFonts w:ascii="Verdana" w:hAnsi="Verdana"/>
          <w:lang w:val="en-US"/>
        </w:rPr>
      </w:pPr>
      <w:r w:rsidRPr="00DA6066">
        <w:rPr>
          <w:rStyle w:val="FootnoteReference"/>
          <w:rFonts w:ascii="Verdana" w:hAnsi="Verdana"/>
        </w:rPr>
        <w:footnoteRef/>
      </w:r>
      <w:r w:rsidRPr="00DA6066">
        <w:rPr>
          <w:rFonts w:ascii="Verdana" w:hAnsi="Verdana"/>
          <w:lang w:val="en-GB"/>
        </w:rPr>
        <w:t xml:space="preserve"> </w:t>
      </w:r>
      <w:r w:rsidRPr="00DA6066">
        <w:rPr>
          <w:rFonts w:ascii="Verdana" w:hAnsi="Verdana"/>
          <w:lang w:val="en-US"/>
        </w:rPr>
        <w:t xml:space="preserve">Amber Box entitlements is the summation of Final Bound Total Aggregate Measurement of Support entitlements and both product-specific (PS) and non-product-specific (NPS) </w:t>
      </w:r>
      <w:r>
        <w:rPr>
          <w:rFonts w:ascii="Verdana" w:hAnsi="Verdana"/>
          <w:lang w:val="en-US"/>
        </w:rPr>
        <w:t>"</w:t>
      </w:r>
      <w:r w:rsidRPr="00D0769E">
        <w:rPr>
          <w:rFonts w:ascii="Verdana" w:hAnsi="Verdana"/>
          <w:i/>
          <w:iCs/>
          <w:lang w:val="en-US"/>
        </w:rPr>
        <w:t>de minimis</w:t>
      </w:r>
      <w:r>
        <w:rPr>
          <w:rFonts w:ascii="Verdana" w:hAnsi="Verdana"/>
          <w:lang w:val="en-US"/>
        </w:rPr>
        <w:t>"</w:t>
      </w:r>
      <w:r w:rsidRPr="00DA6066">
        <w:rPr>
          <w:rFonts w:ascii="Verdana" w:hAnsi="Verdana"/>
          <w:lang w:val="en-US"/>
        </w:rPr>
        <w:t xml:space="preserve"> entitlements</w:t>
      </w:r>
      <w:r w:rsidRPr="00DA6066">
        <w:rPr>
          <w:rFonts w:ascii="Verdana" w:hAnsi="Verdana"/>
          <w:lang w:val="en-GB"/>
        </w:rPr>
        <w:t>. For additional Member-specific data on Article 6.2, Amber Box and Article 6, please refer to Annexes 3 and 4 below.</w:t>
      </w:r>
    </w:p>
  </w:footnote>
  <w:footnote w:id="19">
    <w:p w14:paraId="55E445CB" w14:textId="77777777" w:rsidR="00F53367" w:rsidRPr="00DA6066" w:rsidRDefault="00F53367" w:rsidP="00AC2F3A">
      <w:pPr>
        <w:pStyle w:val="FootnoteText"/>
        <w:spacing w:after="0" w:line="240" w:lineRule="auto"/>
        <w:rPr>
          <w:rFonts w:ascii="Verdana" w:hAnsi="Verdana"/>
        </w:rPr>
      </w:pPr>
      <w:r w:rsidRPr="00DA6066">
        <w:rPr>
          <w:rStyle w:val="FootnoteReference"/>
          <w:rFonts w:ascii="Verdana" w:hAnsi="Verdana"/>
        </w:rPr>
        <w:footnoteRef/>
      </w:r>
      <w:r w:rsidRPr="00DA6066">
        <w:rPr>
          <w:rFonts w:ascii="Verdana" w:hAnsi="Verdana"/>
        </w:rPr>
        <w:t xml:space="preserve"> As of 17 November 2020.</w:t>
      </w:r>
    </w:p>
  </w:footnote>
  <w:footnote w:id="20">
    <w:p w14:paraId="315671DC" w14:textId="04D8F23E" w:rsidR="00F53367" w:rsidRPr="00005990" w:rsidRDefault="00F53367" w:rsidP="00AC2F3A">
      <w:pPr>
        <w:pStyle w:val="FootnoteText"/>
        <w:spacing w:after="0" w:line="240" w:lineRule="auto"/>
        <w:rPr>
          <w:rFonts w:ascii="Verdana" w:hAnsi="Verdana"/>
          <w:lang w:val="en-US"/>
        </w:rPr>
      </w:pPr>
      <w:r w:rsidRPr="00FD34F5">
        <w:rPr>
          <w:rStyle w:val="FootnoteReference"/>
          <w:rFonts w:ascii="Verdana" w:hAnsi="Verdana"/>
        </w:rPr>
        <w:footnoteRef/>
      </w:r>
      <w:r w:rsidRPr="00FD34F5">
        <w:rPr>
          <w:rFonts w:ascii="Verdana" w:hAnsi="Verdana"/>
          <w:lang w:val="en-US"/>
        </w:rPr>
        <w:t xml:space="preserve"> </w:t>
      </w:r>
      <w:r w:rsidRPr="00005990">
        <w:rPr>
          <w:rFonts w:ascii="Verdana" w:hAnsi="Verdana"/>
          <w:lang w:val="en-US"/>
        </w:rPr>
        <w:t xml:space="preserve">Product-related specificity was assessed whenever there was a textual reference to a group of products or to a product in the description of the notified measures or whenever there was a material indication that the support had been provided only to a group of products or to a product, such as the provision of agricultural input subsidies for the specific acquisition of seeds or of feed. Product-related specificity was also assessed both in very broad categories, such as </w:t>
      </w:r>
      <w:r>
        <w:rPr>
          <w:rFonts w:ascii="Verdana" w:hAnsi="Verdana"/>
          <w:lang w:val="en-US"/>
        </w:rPr>
        <w:t>"</w:t>
      </w:r>
      <w:r w:rsidRPr="00005990">
        <w:rPr>
          <w:rFonts w:ascii="Verdana" w:hAnsi="Verdana"/>
          <w:lang w:val="en-US"/>
        </w:rPr>
        <w:t xml:space="preserve">crops” and </w:t>
      </w:r>
      <w:r>
        <w:rPr>
          <w:rFonts w:ascii="Verdana" w:hAnsi="Verdana"/>
          <w:lang w:val="en-US"/>
        </w:rPr>
        <w:t>"</w:t>
      </w:r>
      <w:r w:rsidRPr="00005990">
        <w:rPr>
          <w:rFonts w:ascii="Verdana" w:hAnsi="Verdana"/>
          <w:lang w:val="en-US"/>
        </w:rPr>
        <w:t>livestock</w:t>
      </w:r>
      <w:r>
        <w:rPr>
          <w:rFonts w:ascii="Verdana" w:hAnsi="Verdana"/>
          <w:lang w:val="en-US"/>
        </w:rPr>
        <w:t>"</w:t>
      </w:r>
      <w:r w:rsidRPr="00005990">
        <w:rPr>
          <w:rFonts w:ascii="Verdana" w:hAnsi="Verdana"/>
          <w:lang w:val="en-US"/>
        </w:rPr>
        <w:t>, and in narrower categories, depending on description of the notified measures.</w:t>
      </w:r>
    </w:p>
  </w:footnote>
  <w:footnote w:id="21">
    <w:p w14:paraId="5C5ADB17" w14:textId="3E5F4A98" w:rsidR="00F53367" w:rsidRPr="00AC2F3A" w:rsidRDefault="00F53367" w:rsidP="00AC2F3A">
      <w:pPr>
        <w:pStyle w:val="FootnoteText"/>
        <w:spacing w:after="0" w:line="240" w:lineRule="auto"/>
        <w:rPr>
          <w:rFonts w:ascii="Verdana" w:hAnsi="Verdana"/>
          <w:lang w:val="en-GB"/>
        </w:rPr>
      </w:pPr>
      <w:r w:rsidRPr="00FD34F5">
        <w:rPr>
          <w:rStyle w:val="FootnoteReference"/>
          <w:rFonts w:ascii="Verdana" w:hAnsi="Verdana"/>
          <w:lang w:val="en-GB"/>
        </w:rPr>
        <w:footnoteRef/>
      </w:r>
      <w:r w:rsidRPr="003E2748">
        <w:rPr>
          <w:rFonts w:ascii="Times New Roman" w:hAnsi="Times New Roman"/>
          <w:lang w:val="en-GB"/>
        </w:rPr>
        <w:t xml:space="preserve"> </w:t>
      </w:r>
      <w:r w:rsidRPr="00AC2F3A">
        <w:rPr>
          <w:rFonts w:ascii="Verdana" w:hAnsi="Verdana"/>
          <w:lang w:val="en-GB"/>
        </w:rPr>
        <w:t>FAO. Policy space for sustainable agriculture in the World Trade Organization Agreement on Agriculture 2020.</w:t>
      </w:r>
    </w:p>
  </w:footnote>
  <w:footnote w:id="22">
    <w:p w14:paraId="2493D6DA" w14:textId="6D007D5B" w:rsidR="00F53367" w:rsidRPr="005A72EA" w:rsidRDefault="00F53367" w:rsidP="005A72EA">
      <w:pPr>
        <w:pStyle w:val="FootnoteText"/>
        <w:spacing w:after="0" w:line="240" w:lineRule="auto"/>
        <w:rPr>
          <w:rFonts w:ascii="Verdana" w:hAnsi="Verdana"/>
          <w:lang w:val="en-GB"/>
        </w:rPr>
      </w:pPr>
      <w:r w:rsidRPr="00AC2F3A">
        <w:rPr>
          <w:rStyle w:val="FootnoteReference"/>
          <w:rFonts w:ascii="Verdana" w:hAnsi="Verdana"/>
          <w:lang w:val="en-GB"/>
        </w:rPr>
        <w:footnoteRef/>
      </w:r>
      <w:r w:rsidRPr="00AC2F3A">
        <w:rPr>
          <w:rFonts w:ascii="Verdana" w:hAnsi="Verdana"/>
          <w:lang w:val="en-GB"/>
        </w:rPr>
        <w:t xml:space="preserve"> </w:t>
      </w:r>
      <w:r w:rsidRPr="005A72EA">
        <w:rPr>
          <w:rFonts w:ascii="Verdana" w:hAnsi="Verdana"/>
          <w:lang w:val="en-GB"/>
        </w:rPr>
        <w:t>Without prejudice to Members</w:t>
      </w:r>
      <w:r>
        <w:rPr>
          <w:rFonts w:ascii="Verdana" w:hAnsi="Verdana"/>
          <w:lang w:val="en-GB"/>
        </w:rPr>
        <w:t>'</w:t>
      </w:r>
      <w:r w:rsidRPr="005A72EA">
        <w:rPr>
          <w:rFonts w:ascii="Verdana" w:hAnsi="Verdana"/>
          <w:lang w:val="en-GB"/>
        </w:rPr>
        <w:t xml:space="preserve"> positions, the </w:t>
      </w:r>
      <w:r>
        <w:rPr>
          <w:rFonts w:ascii="Verdana" w:hAnsi="Verdana"/>
          <w:lang w:val="en-GB"/>
        </w:rPr>
        <w:t>"</w:t>
      </w:r>
      <w:r w:rsidRPr="005A72EA">
        <w:rPr>
          <w:rFonts w:ascii="Verdana" w:hAnsi="Verdana"/>
          <w:lang w:val="en-GB"/>
        </w:rPr>
        <w:t>trade-distorting potential</w:t>
      </w:r>
      <w:r>
        <w:rPr>
          <w:rFonts w:ascii="Verdana" w:hAnsi="Verdana"/>
          <w:lang w:val="en-GB"/>
        </w:rPr>
        <w:t>"</w:t>
      </w:r>
      <w:r w:rsidRPr="005A72EA">
        <w:rPr>
          <w:rFonts w:ascii="Verdana" w:hAnsi="Verdana"/>
          <w:lang w:val="en-GB"/>
        </w:rPr>
        <w:t xml:space="preserve"> as defined by Costa Rica in </w:t>
      </w:r>
      <w:hyperlink r:id="rId4" w:history="1">
        <w:r w:rsidRPr="004F37B4">
          <w:rPr>
            <w:rStyle w:val="Hyperlink"/>
            <w:rFonts w:ascii="Verdana" w:hAnsi="Verdana"/>
            <w:lang w:val="en-GB"/>
          </w:rPr>
          <w:t>RD/AG/76</w:t>
        </w:r>
      </w:hyperlink>
      <w:r w:rsidRPr="005A72EA">
        <w:rPr>
          <w:rFonts w:ascii="Verdana" w:hAnsi="Verdana"/>
          <w:lang w:val="en-GB"/>
        </w:rPr>
        <w:t xml:space="preserve"> is a good example of a quantitative approach to this concept.</w:t>
      </w:r>
    </w:p>
  </w:footnote>
  <w:footnote w:id="23">
    <w:p w14:paraId="56A62656" w14:textId="09AEA0F2" w:rsidR="00F53367" w:rsidRPr="00005990" w:rsidRDefault="00F53367" w:rsidP="00FD34F5">
      <w:pPr>
        <w:pStyle w:val="FootnoteText"/>
        <w:spacing w:after="120" w:line="240" w:lineRule="auto"/>
        <w:rPr>
          <w:rFonts w:ascii="Verdana" w:hAnsi="Verdana"/>
          <w:lang w:val="en-US"/>
        </w:rPr>
      </w:pPr>
      <w:r w:rsidRPr="00AC2F3A">
        <w:rPr>
          <w:rStyle w:val="FootnoteReference"/>
          <w:rFonts w:ascii="Verdana" w:hAnsi="Verdana"/>
        </w:rPr>
        <w:footnoteRef/>
      </w:r>
      <w:r w:rsidRPr="00AC2F3A">
        <w:rPr>
          <w:rFonts w:ascii="Verdana" w:hAnsi="Verdana"/>
          <w:lang w:val="en-US"/>
        </w:rPr>
        <w:t xml:space="preserve"> </w:t>
      </w:r>
      <w:r w:rsidRPr="00005990">
        <w:rPr>
          <w:rFonts w:ascii="Verdana" w:hAnsi="Verdana"/>
          <w:lang w:val="en-GB"/>
        </w:rPr>
        <w:t xml:space="preserve">Source: IISD and IFPRI calculations, based on WTO notifications. In: Glauber et alii. </w:t>
      </w:r>
      <w:r>
        <w:rPr>
          <w:rFonts w:ascii="Verdana" w:hAnsi="Verdana"/>
          <w:lang w:val="en-GB"/>
        </w:rPr>
        <w:t>"</w:t>
      </w:r>
      <w:r w:rsidRPr="00005990">
        <w:rPr>
          <w:rFonts w:ascii="Verdana" w:hAnsi="Verdana"/>
          <w:lang w:val="en-GB"/>
        </w:rPr>
        <w:t>What National Farm Policy Trends Could Mean for Efforts to Update WTO Rules on Domestic Support</w:t>
      </w:r>
      <w:r>
        <w:rPr>
          <w:rFonts w:ascii="Verdana" w:hAnsi="Verdana"/>
          <w:lang w:val="en-GB"/>
        </w:rPr>
        <w:t>"</w:t>
      </w:r>
      <w:r w:rsidRPr="00005990">
        <w:rPr>
          <w:rFonts w:ascii="Verdana" w:hAnsi="Verdana"/>
          <w:lang w:val="en-GB"/>
        </w:rPr>
        <w:t>. Winnipeg: IISD, April</w:t>
      </w:r>
      <w:r>
        <w:rPr>
          <w:rFonts w:ascii="Verdana" w:hAnsi="Verdana"/>
          <w:lang w:val="en-GB"/>
        </w:rPr>
        <w:t> </w:t>
      </w:r>
      <w:r w:rsidRPr="00005990">
        <w:rPr>
          <w:rFonts w:ascii="Verdana" w:hAnsi="Verdana"/>
          <w:lang w:val="en-GB"/>
        </w:rPr>
        <w:t>2020. The study does not include a corresponding table for Members C and D.</w:t>
      </w:r>
    </w:p>
  </w:footnote>
  <w:footnote w:id="24">
    <w:p w14:paraId="3F199379" w14:textId="05394088" w:rsidR="00F53367" w:rsidRPr="00E80AAA" w:rsidRDefault="00F53367" w:rsidP="00FD34F5">
      <w:pPr>
        <w:pStyle w:val="FootnoteText"/>
        <w:spacing w:after="0" w:line="240" w:lineRule="auto"/>
        <w:rPr>
          <w:rFonts w:ascii="Verdana" w:hAnsi="Verdana"/>
          <w:lang w:val="en-GB"/>
        </w:rPr>
      </w:pPr>
      <w:r w:rsidRPr="00FD34F5">
        <w:rPr>
          <w:rStyle w:val="FootnoteReference"/>
          <w:rFonts w:ascii="Verdana" w:hAnsi="Verdana"/>
        </w:rPr>
        <w:footnoteRef/>
      </w:r>
      <w:r w:rsidRPr="00FD34F5">
        <w:rPr>
          <w:rFonts w:ascii="Verdana" w:hAnsi="Verdana"/>
          <w:lang w:val="en-GB"/>
        </w:rPr>
        <w:t xml:space="preserve"> </w:t>
      </w:r>
      <w:r w:rsidRPr="00E80AAA">
        <w:rPr>
          <w:rFonts w:ascii="Verdana" w:hAnsi="Verdana"/>
          <w:lang w:val="en-GB"/>
        </w:rPr>
        <w:t xml:space="preserve">As in </w:t>
      </w:r>
      <w:hyperlink r:id="rId5" w:history="1">
        <w:r w:rsidRPr="006D4693">
          <w:rPr>
            <w:rStyle w:val="Hyperlink"/>
            <w:rFonts w:ascii="Verdana" w:hAnsi="Verdana"/>
            <w:lang w:val="en-GB"/>
          </w:rPr>
          <w:t>JOB/AG/190</w:t>
        </w:r>
      </w:hyperlink>
      <w:r w:rsidRPr="00E80AAA">
        <w:rPr>
          <w:rFonts w:ascii="Verdana" w:hAnsi="Verdana"/>
          <w:lang w:val="en-GB"/>
        </w:rPr>
        <w:t>, support figures have been rounded up to the nearest entire number.</w:t>
      </w:r>
    </w:p>
  </w:footnote>
  <w:footnote w:id="25">
    <w:p w14:paraId="533B67D1" w14:textId="58F0933A" w:rsidR="00F53367" w:rsidRPr="00E80AAA" w:rsidRDefault="00F53367" w:rsidP="00FD34F5">
      <w:pPr>
        <w:pStyle w:val="FootnoteText"/>
        <w:spacing w:after="0" w:line="240" w:lineRule="auto"/>
        <w:rPr>
          <w:rFonts w:ascii="Verdana" w:hAnsi="Verdana"/>
          <w:lang w:val="en-GB"/>
        </w:rPr>
      </w:pPr>
      <w:r w:rsidRPr="00E80AAA">
        <w:rPr>
          <w:rStyle w:val="FootnoteReference"/>
          <w:rFonts w:ascii="Verdana" w:hAnsi="Verdana"/>
        </w:rPr>
        <w:footnoteRef/>
      </w:r>
      <w:r w:rsidRPr="00E80AAA">
        <w:rPr>
          <w:rFonts w:ascii="Verdana" w:hAnsi="Verdana"/>
          <w:lang w:val="en-GB"/>
        </w:rPr>
        <w:t xml:space="preserve"> If a Member</w:t>
      </w:r>
      <w:r>
        <w:rPr>
          <w:rFonts w:ascii="Verdana" w:hAnsi="Verdana"/>
          <w:lang w:val="en-GB"/>
        </w:rPr>
        <w:t>'</w:t>
      </w:r>
      <w:r w:rsidRPr="00E80AAA">
        <w:rPr>
          <w:rFonts w:ascii="Verdana" w:hAnsi="Verdana"/>
          <w:lang w:val="en-GB"/>
        </w:rPr>
        <w:t xml:space="preserve">s latest notification for Amber Box support is zero, table cell is filled with the symbol </w:t>
      </w:r>
      <w:r>
        <w:rPr>
          <w:rFonts w:ascii="Verdana" w:hAnsi="Verdana"/>
          <w:lang w:val="en-GB"/>
        </w:rPr>
        <w:t>"</w:t>
      </w:r>
      <w:r w:rsidRPr="00E80AAA">
        <w:rPr>
          <w:rFonts w:ascii="Verdana" w:hAnsi="Verdana"/>
          <w:lang w:val="en-GB"/>
        </w:rPr>
        <w:t>-</w:t>
      </w:r>
      <w:r>
        <w:rPr>
          <w:rFonts w:ascii="Verdana" w:hAnsi="Verdana"/>
          <w:lang w:val="en-GB"/>
        </w:rPr>
        <w:t>"</w:t>
      </w:r>
      <w:r w:rsidRPr="00E80AAA">
        <w:rPr>
          <w:rFonts w:ascii="Verdana" w:hAnsi="Verdana"/>
          <w:lang w:val="en-GB"/>
        </w:rPr>
        <w:t xml:space="preserve">. </w:t>
      </w:r>
    </w:p>
  </w:footnote>
  <w:footnote w:id="26">
    <w:p w14:paraId="290A951E" w14:textId="77777777" w:rsidR="00F53367" w:rsidRPr="00E80AAA" w:rsidRDefault="00F53367" w:rsidP="00FD34F5">
      <w:pPr>
        <w:pStyle w:val="FootnoteText"/>
        <w:spacing w:after="0" w:line="240" w:lineRule="auto"/>
        <w:rPr>
          <w:rFonts w:ascii="Verdana" w:hAnsi="Verdana"/>
        </w:rPr>
      </w:pPr>
      <w:r w:rsidRPr="00E80AAA">
        <w:rPr>
          <w:rStyle w:val="FootnoteReference"/>
          <w:rFonts w:ascii="Verdana" w:hAnsi="Verdana"/>
        </w:rPr>
        <w:footnoteRef/>
      </w:r>
      <w:r w:rsidRPr="00E80AAA">
        <w:rPr>
          <w:rFonts w:ascii="Verdana" w:hAnsi="Verdana"/>
        </w:rPr>
        <w:t xml:space="preserve"> </w:t>
      </w:r>
      <w:r w:rsidRPr="00E80AAA">
        <w:rPr>
          <w:rFonts w:ascii="Verdana" w:hAnsi="Verdana"/>
          <w:lang w:val="en-GB"/>
        </w:rPr>
        <w:t>As of 17 November 2020.</w:t>
      </w:r>
    </w:p>
  </w:footnote>
  <w:footnote w:id="27">
    <w:p w14:paraId="160771B9" w14:textId="77777777" w:rsidR="00F53367" w:rsidRPr="00E80AAA" w:rsidRDefault="00F53367" w:rsidP="00FD34F5">
      <w:pPr>
        <w:pStyle w:val="FootnoteText"/>
        <w:spacing w:after="0" w:line="240" w:lineRule="auto"/>
        <w:rPr>
          <w:rFonts w:ascii="Verdana" w:hAnsi="Verdana"/>
          <w:lang w:val="en-US"/>
        </w:rPr>
      </w:pPr>
      <w:r w:rsidRPr="00E80AAA">
        <w:rPr>
          <w:rStyle w:val="FootnoteReference"/>
          <w:rFonts w:ascii="Verdana" w:hAnsi="Verdana"/>
        </w:rPr>
        <w:footnoteRef/>
      </w:r>
      <w:r w:rsidRPr="00E80AAA">
        <w:rPr>
          <w:rFonts w:ascii="Verdana" w:hAnsi="Verdana"/>
          <w:lang w:val="en-US"/>
        </w:rPr>
        <w:t xml:space="preserve"> For FBTAMS, as per 2019 exchange rates, except for Member F (2018). </w:t>
      </w:r>
    </w:p>
  </w:footnote>
  <w:footnote w:id="28">
    <w:p w14:paraId="36A2872C" w14:textId="0DC865E2" w:rsidR="00F53367" w:rsidRPr="00E80AAA" w:rsidRDefault="00F53367" w:rsidP="00FD34F5">
      <w:pPr>
        <w:pStyle w:val="FootnoteText"/>
        <w:spacing w:after="0" w:line="240" w:lineRule="auto"/>
        <w:rPr>
          <w:rFonts w:ascii="Verdana" w:hAnsi="Verdana"/>
          <w:lang w:val="en-GB"/>
        </w:rPr>
      </w:pPr>
      <w:r w:rsidRPr="00E80AAA">
        <w:rPr>
          <w:rStyle w:val="FootnoteReference"/>
          <w:rFonts w:ascii="Verdana" w:hAnsi="Verdana"/>
        </w:rPr>
        <w:footnoteRef/>
      </w:r>
      <w:r w:rsidRPr="00E80AAA">
        <w:rPr>
          <w:rFonts w:ascii="Verdana" w:hAnsi="Verdana"/>
          <w:lang w:val="en-GB"/>
        </w:rPr>
        <w:t xml:space="preserve"> If a Member</w:t>
      </w:r>
      <w:r>
        <w:rPr>
          <w:rFonts w:ascii="Verdana" w:hAnsi="Verdana"/>
          <w:lang w:val="en-GB"/>
        </w:rPr>
        <w:t>'</w:t>
      </w:r>
      <w:r w:rsidRPr="00E80AAA">
        <w:rPr>
          <w:rFonts w:ascii="Verdana" w:hAnsi="Verdana"/>
          <w:lang w:val="en-GB"/>
        </w:rPr>
        <w:t xml:space="preserve">s VoP is not available according to </w:t>
      </w:r>
      <w:hyperlink r:id="rId6" w:history="1">
        <w:r w:rsidRPr="006D4693">
          <w:rPr>
            <w:rStyle w:val="Hyperlink"/>
            <w:rFonts w:ascii="Verdana" w:hAnsi="Verdana"/>
            <w:lang w:val="en-GB"/>
          </w:rPr>
          <w:t>JOB/AG/190</w:t>
        </w:r>
      </w:hyperlink>
      <w:r w:rsidRPr="00E80AAA">
        <w:rPr>
          <w:rFonts w:ascii="Verdana" w:hAnsi="Verdana"/>
          <w:lang w:val="en-GB"/>
        </w:rPr>
        <w:t xml:space="preserve">, table cell is filled with the symbol </w:t>
      </w:r>
      <w:r>
        <w:rPr>
          <w:rFonts w:ascii="Verdana" w:hAnsi="Verdana"/>
          <w:lang w:val="en-GB"/>
        </w:rPr>
        <w:t>"</w:t>
      </w:r>
      <w:r w:rsidRPr="00E80AAA">
        <w:rPr>
          <w:rFonts w:ascii="Verdana" w:hAnsi="Verdana"/>
          <w:lang w:val="en-GB"/>
        </w:rPr>
        <w:t>#</w:t>
      </w:r>
      <w:r>
        <w:rPr>
          <w:rFonts w:ascii="Verdana" w:hAnsi="Verdana"/>
          <w:lang w:val="en-GB"/>
        </w:rPr>
        <w:t>"</w:t>
      </w:r>
      <w:r w:rsidRPr="00E80AAA">
        <w:rPr>
          <w:rFonts w:ascii="Verdana" w:hAnsi="Verdana"/>
          <w:lang w:val="en-GB"/>
        </w:rPr>
        <w:t>.</w:t>
      </w:r>
    </w:p>
  </w:footnote>
  <w:footnote w:id="29">
    <w:p w14:paraId="142868F8" w14:textId="4CFF4668" w:rsidR="00F53367" w:rsidRPr="00E80AAA" w:rsidRDefault="00F53367" w:rsidP="00FD34F5">
      <w:pPr>
        <w:pStyle w:val="FootnoteText"/>
        <w:spacing w:after="0" w:line="240" w:lineRule="auto"/>
        <w:rPr>
          <w:rFonts w:ascii="Verdana" w:hAnsi="Verdana"/>
          <w:lang w:val="en-US"/>
        </w:rPr>
      </w:pPr>
      <w:r w:rsidRPr="00E80AAA">
        <w:rPr>
          <w:rStyle w:val="FootnoteReference"/>
          <w:rFonts w:ascii="Verdana" w:hAnsi="Verdana"/>
        </w:rPr>
        <w:footnoteRef/>
      </w:r>
      <w:r w:rsidRPr="00E80AAA">
        <w:rPr>
          <w:rFonts w:ascii="Verdana" w:hAnsi="Verdana"/>
          <w:lang w:val="en-US"/>
        </w:rPr>
        <w:t xml:space="preserve"> As in </w:t>
      </w:r>
      <w:hyperlink r:id="rId7" w:history="1">
        <w:r w:rsidRPr="006D4693">
          <w:rPr>
            <w:rStyle w:val="Hyperlink"/>
            <w:rFonts w:ascii="Verdana" w:hAnsi="Verdana"/>
            <w:lang w:val="en-US"/>
          </w:rPr>
          <w:t>JOB/AG/190</w:t>
        </w:r>
      </w:hyperlink>
      <w:r w:rsidRPr="00E80AAA">
        <w:rPr>
          <w:rFonts w:ascii="Verdana" w:hAnsi="Verdana"/>
          <w:lang w:val="en-US"/>
        </w:rPr>
        <w:t>, Member F's FBTAMS and notified support was multiplied by the deflator for each year notified before converting into nominal USD. This modification was made in order to reflect how this Member notifies its agriculture domestic support to the WTO.</w:t>
      </w:r>
    </w:p>
  </w:footnote>
  <w:footnote w:id="30">
    <w:p w14:paraId="6D4FBE98" w14:textId="77777777" w:rsidR="00F53367" w:rsidRPr="00E80AAA" w:rsidRDefault="00F53367" w:rsidP="00FD34F5">
      <w:pPr>
        <w:pStyle w:val="FootnoteText"/>
        <w:spacing w:after="0" w:line="240" w:lineRule="auto"/>
        <w:rPr>
          <w:rFonts w:ascii="Verdana" w:hAnsi="Verdana"/>
          <w:lang w:val="en-US"/>
        </w:rPr>
      </w:pPr>
      <w:r w:rsidRPr="00E80AAA">
        <w:rPr>
          <w:rStyle w:val="FootnoteReference"/>
          <w:rFonts w:ascii="Verdana" w:hAnsi="Verdana"/>
        </w:rPr>
        <w:footnoteRef/>
      </w:r>
      <w:r w:rsidRPr="00E80AAA">
        <w:rPr>
          <w:rFonts w:ascii="Verdana" w:hAnsi="Verdana"/>
          <w:lang w:val="en-US"/>
        </w:rPr>
        <w:t xml:space="preserve"> The * sign indicates that this Member is a Least-Developed Country (LDC).</w:t>
      </w:r>
    </w:p>
  </w:footnote>
  <w:footnote w:id="31">
    <w:p w14:paraId="274FB885" w14:textId="4C4C5F2D" w:rsidR="00F53367" w:rsidRPr="00E80AAA" w:rsidRDefault="00F53367" w:rsidP="00FD34F5">
      <w:pPr>
        <w:pStyle w:val="FootnoteText"/>
        <w:spacing w:after="0" w:line="240" w:lineRule="auto"/>
        <w:rPr>
          <w:rFonts w:ascii="Verdana" w:hAnsi="Verdana"/>
          <w:lang w:val="en-US"/>
        </w:rPr>
      </w:pPr>
      <w:r w:rsidRPr="00FD34F5">
        <w:rPr>
          <w:rStyle w:val="FootnoteReference"/>
          <w:rFonts w:ascii="Verdana" w:hAnsi="Verdana"/>
        </w:rPr>
        <w:footnoteRef/>
      </w:r>
      <w:r w:rsidRPr="00D81E32">
        <w:rPr>
          <w:lang w:val="en-US"/>
        </w:rPr>
        <w:t xml:space="preserve"> </w:t>
      </w:r>
      <w:r>
        <w:rPr>
          <w:rFonts w:ascii="Times New Roman" w:hAnsi="Times New Roman"/>
          <w:lang w:val="en-GB"/>
        </w:rPr>
        <w:t>"</w:t>
      </w:r>
      <w:r w:rsidRPr="00E80AAA">
        <w:rPr>
          <w:rFonts w:ascii="Verdana" w:hAnsi="Verdana"/>
          <w:lang w:val="en-GB"/>
        </w:rPr>
        <w:t>Global</w:t>
      </w:r>
      <w:r>
        <w:rPr>
          <w:rFonts w:ascii="Verdana" w:hAnsi="Verdana"/>
          <w:lang w:val="en-GB"/>
        </w:rPr>
        <w:t>"</w:t>
      </w:r>
      <w:r w:rsidRPr="00E80AAA">
        <w:rPr>
          <w:rFonts w:ascii="Verdana" w:hAnsi="Verdana"/>
          <w:lang w:val="en-GB"/>
        </w:rPr>
        <w:t xml:space="preserve"> refers to all Members with available data as of November 2020, not only those who have notified Article 6.2 support.</w:t>
      </w:r>
    </w:p>
  </w:footnote>
  <w:footnote w:id="32">
    <w:p w14:paraId="38667DFD" w14:textId="37F37A6C" w:rsidR="00F53367" w:rsidRPr="00E80AAA" w:rsidRDefault="00F53367" w:rsidP="00FD34F5">
      <w:pPr>
        <w:pStyle w:val="FootnoteText"/>
        <w:spacing w:after="0" w:line="240" w:lineRule="auto"/>
        <w:rPr>
          <w:rFonts w:ascii="Verdana" w:hAnsi="Verdana"/>
          <w:lang w:val="en-GB"/>
        </w:rPr>
      </w:pPr>
      <w:r w:rsidRPr="00E80AAA">
        <w:rPr>
          <w:rStyle w:val="FootnoteReference"/>
          <w:rFonts w:ascii="Verdana" w:hAnsi="Verdana"/>
        </w:rPr>
        <w:footnoteRef/>
      </w:r>
      <w:r w:rsidRPr="00E80AAA">
        <w:rPr>
          <w:rFonts w:ascii="Verdana" w:hAnsi="Verdana"/>
          <w:lang w:val="en-GB"/>
        </w:rPr>
        <w:t xml:space="preserve"> Only 63 Members presented their DS:1 notification for 2016, according to </w:t>
      </w:r>
      <w:hyperlink r:id="rId8" w:history="1">
        <w:r w:rsidRPr="006D4693">
          <w:rPr>
            <w:rStyle w:val="Hyperlink"/>
            <w:rFonts w:ascii="Verdana" w:hAnsi="Verdana"/>
            <w:lang w:val="en-GB"/>
          </w:rPr>
          <w:t>JOB/AG/190</w:t>
        </w:r>
      </w:hyperlink>
      <w:r w:rsidRPr="00E80AAA">
        <w:rPr>
          <w:rFonts w:ascii="Verdana" w:hAnsi="Verdana"/>
          <w:lang w:val="en-GB"/>
        </w:rPr>
        <w:t>. Among those 63, 26 notified Article 6.2 support. Amber Box and Article 6 expenditure may change due to other Members</w:t>
      </w:r>
      <w:r>
        <w:rPr>
          <w:rFonts w:ascii="Verdana" w:hAnsi="Verdana"/>
          <w:lang w:val="en-GB"/>
        </w:rPr>
        <w:t>'</w:t>
      </w:r>
      <w:r w:rsidRPr="00E80AAA">
        <w:rPr>
          <w:rFonts w:ascii="Verdana" w:hAnsi="Verdana"/>
          <w:lang w:val="en-GB"/>
        </w:rPr>
        <w:t xml:space="preserve"> incoming notifications.</w:t>
      </w:r>
    </w:p>
  </w:footnote>
  <w:footnote w:id="33">
    <w:p w14:paraId="1E56BFEC" w14:textId="41F2F17C" w:rsidR="00F53367" w:rsidRPr="003E2748" w:rsidRDefault="00F53367" w:rsidP="0058492F">
      <w:pPr>
        <w:pStyle w:val="FootnoteText"/>
        <w:spacing w:after="0" w:line="240" w:lineRule="auto"/>
        <w:rPr>
          <w:lang w:val="en-GB"/>
        </w:rPr>
      </w:pPr>
      <w:r w:rsidRPr="00E80AAA">
        <w:rPr>
          <w:rStyle w:val="FootnoteReference"/>
          <w:rFonts w:ascii="Verdana" w:hAnsi="Verdana"/>
          <w:lang w:val="en-GB"/>
        </w:rPr>
        <w:footnoteRef/>
      </w:r>
      <w:r w:rsidRPr="00E80AAA">
        <w:rPr>
          <w:rFonts w:ascii="Verdana" w:hAnsi="Verdana"/>
          <w:lang w:val="en-GB"/>
        </w:rPr>
        <w:t xml:space="preserve"> As in </w:t>
      </w:r>
      <w:hyperlink r:id="rId9" w:history="1">
        <w:r w:rsidRPr="00CC232A">
          <w:rPr>
            <w:rStyle w:val="Hyperlink"/>
            <w:rFonts w:ascii="Verdana" w:hAnsi="Verdana"/>
            <w:lang w:val="en-GB"/>
          </w:rPr>
          <w:t>RD/AG/74</w:t>
        </w:r>
      </w:hyperlink>
      <w:r w:rsidRPr="00E80AAA">
        <w:rPr>
          <w:rFonts w:ascii="Verdana" w:hAnsi="Verdana"/>
          <w:lang w:val="en-GB"/>
        </w:rPr>
        <w:t xml:space="preserve">. If one take into account only the 101 Members analysed in </w:t>
      </w:r>
      <w:hyperlink r:id="rId10" w:history="1">
        <w:r w:rsidRPr="006D4693">
          <w:rPr>
            <w:rStyle w:val="Hyperlink"/>
            <w:rFonts w:ascii="Verdana" w:hAnsi="Verdana"/>
            <w:lang w:val="en-GB"/>
          </w:rPr>
          <w:t>JOB/AG/190</w:t>
        </w:r>
      </w:hyperlink>
      <w:r w:rsidRPr="00E80AAA">
        <w:rPr>
          <w:rFonts w:ascii="Verdana" w:hAnsi="Verdana"/>
          <w:lang w:val="en-GB"/>
        </w:rPr>
        <w:t>, five Members</w:t>
      </w:r>
      <w:r>
        <w:rPr>
          <w:rFonts w:ascii="Verdana" w:hAnsi="Verdana"/>
          <w:lang w:val="en-GB"/>
        </w:rPr>
        <w:t>'</w:t>
      </w:r>
      <w:r w:rsidRPr="00E80AAA">
        <w:rPr>
          <w:rFonts w:ascii="Verdana" w:hAnsi="Verdana"/>
          <w:lang w:val="en-GB"/>
        </w:rPr>
        <w:t xml:space="preserve"> shares would be slightly different: 9.6% for A; 4.6%, for E; 3.7% for B; 1.1% for C; and 0.8% for 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F09F" w14:textId="77777777" w:rsidR="00F53367" w:rsidRPr="00BE16A4" w:rsidRDefault="00F53367" w:rsidP="00BE16A4">
    <w:pPr>
      <w:pStyle w:val="Header"/>
      <w:pBdr>
        <w:bottom w:val="single" w:sz="4" w:space="1" w:color="auto"/>
      </w:pBdr>
      <w:tabs>
        <w:tab w:val="clear" w:pos="4513"/>
        <w:tab w:val="clear" w:pos="9027"/>
      </w:tabs>
      <w:jc w:val="center"/>
      <w:rPr>
        <w:rFonts w:ascii="Verdana" w:hAnsi="Verdana"/>
        <w:sz w:val="18"/>
      </w:rPr>
    </w:pPr>
    <w:r w:rsidRPr="00BE16A4">
      <w:rPr>
        <w:rFonts w:ascii="Verdana" w:hAnsi="Verdana"/>
        <w:sz w:val="18"/>
      </w:rPr>
      <w:t>JOB/AG/195</w:t>
    </w:r>
  </w:p>
  <w:p w14:paraId="1A9FFC1F" w14:textId="4ABE04F0" w:rsidR="00F53367" w:rsidRPr="00BE16A4" w:rsidRDefault="00F53367" w:rsidP="00BE16A4">
    <w:pPr>
      <w:pStyle w:val="Header"/>
      <w:pBdr>
        <w:bottom w:val="single" w:sz="4" w:space="1" w:color="auto"/>
      </w:pBdr>
      <w:tabs>
        <w:tab w:val="clear" w:pos="4513"/>
        <w:tab w:val="clear" w:pos="9027"/>
      </w:tabs>
      <w:jc w:val="center"/>
    </w:pPr>
    <w:r w:rsidRPr="00BE16A4">
      <w:t xml:space="preserve">- </w:t>
    </w:r>
    <w:r w:rsidRPr="00BE16A4">
      <w:fldChar w:fldCharType="begin"/>
    </w:r>
    <w:r w:rsidRPr="00BE16A4">
      <w:instrText xml:space="preserve"> PAGE </w:instrText>
    </w:r>
    <w:r w:rsidRPr="00BE16A4">
      <w:fldChar w:fldCharType="separate"/>
    </w:r>
    <w:r w:rsidRPr="00BE16A4">
      <w:rPr>
        <w:noProof/>
      </w:rPr>
      <w:t>2</w:t>
    </w:r>
    <w:r w:rsidRPr="00BE16A4">
      <w:fldChar w:fldCharType="end"/>
    </w:r>
    <w:r w:rsidRPr="00BE16A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066E" w14:textId="77777777" w:rsidR="00F53367" w:rsidRPr="00BE16A4" w:rsidRDefault="00F53367" w:rsidP="00BE16A4">
    <w:pPr>
      <w:pStyle w:val="Header"/>
      <w:pBdr>
        <w:bottom w:val="single" w:sz="4" w:space="1" w:color="auto"/>
      </w:pBdr>
      <w:tabs>
        <w:tab w:val="clear" w:pos="4513"/>
        <w:tab w:val="clear" w:pos="9027"/>
      </w:tabs>
      <w:jc w:val="center"/>
      <w:rPr>
        <w:rFonts w:ascii="Verdana" w:hAnsi="Verdana"/>
        <w:sz w:val="18"/>
      </w:rPr>
    </w:pPr>
    <w:r w:rsidRPr="00BE16A4">
      <w:rPr>
        <w:rFonts w:ascii="Verdana" w:hAnsi="Verdana"/>
        <w:sz w:val="18"/>
      </w:rPr>
      <w:t>JOB/AG/195</w:t>
    </w:r>
  </w:p>
  <w:p w14:paraId="530BD096" w14:textId="70D5904F" w:rsidR="00F53367" w:rsidRPr="00BE16A4" w:rsidRDefault="00F53367" w:rsidP="00BE16A4">
    <w:pPr>
      <w:pStyle w:val="Header"/>
      <w:pBdr>
        <w:bottom w:val="single" w:sz="4" w:space="1" w:color="auto"/>
      </w:pBdr>
      <w:tabs>
        <w:tab w:val="clear" w:pos="4513"/>
        <w:tab w:val="clear" w:pos="9027"/>
      </w:tabs>
      <w:jc w:val="center"/>
    </w:pPr>
    <w:r w:rsidRPr="00BE16A4">
      <w:t xml:space="preserve">- </w:t>
    </w:r>
    <w:r w:rsidRPr="00BE16A4">
      <w:fldChar w:fldCharType="begin"/>
    </w:r>
    <w:r w:rsidRPr="00BE16A4">
      <w:instrText xml:space="preserve"> PAGE </w:instrText>
    </w:r>
    <w:r w:rsidRPr="00BE16A4">
      <w:fldChar w:fldCharType="separate"/>
    </w:r>
    <w:r w:rsidRPr="00BE16A4">
      <w:rPr>
        <w:noProof/>
      </w:rPr>
      <w:t>2</w:t>
    </w:r>
    <w:r w:rsidRPr="00BE16A4">
      <w:fldChar w:fldCharType="end"/>
    </w:r>
    <w:r w:rsidRPr="00BE16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3367" w:rsidRPr="00DA6066" w14:paraId="0A5D366F" w14:textId="77777777" w:rsidTr="00544326">
      <w:trPr>
        <w:trHeight w:val="240"/>
        <w:jc w:val="center"/>
      </w:trPr>
      <w:tc>
        <w:tcPr>
          <w:tcW w:w="3794" w:type="dxa"/>
          <w:shd w:val="clear" w:color="auto" w:fill="FFFFFF"/>
          <w:tcMar>
            <w:left w:w="108" w:type="dxa"/>
            <w:right w:w="108" w:type="dxa"/>
          </w:tcMar>
          <w:vAlign w:val="center"/>
        </w:tcPr>
        <w:p w14:paraId="33FDE468" w14:textId="77777777" w:rsidR="00F53367" w:rsidRPr="00DA6066" w:rsidRDefault="00F53367" w:rsidP="00FE32C8">
          <w:pPr>
            <w:spacing w:after="0" w:line="240" w:lineRule="auto"/>
            <w:rPr>
              <w:rFonts w:ascii="Verdana" w:hAnsi="Verdana"/>
              <w:noProof/>
              <w:sz w:val="18"/>
              <w:szCs w:val="18"/>
              <w:lang w:eastAsia="en-GB"/>
            </w:rPr>
          </w:pPr>
          <w:bookmarkStart w:id="1" w:name="bmkRestricted" w:colFirst="1" w:colLast="1"/>
        </w:p>
      </w:tc>
      <w:tc>
        <w:tcPr>
          <w:tcW w:w="5448" w:type="dxa"/>
          <w:gridSpan w:val="2"/>
          <w:shd w:val="clear" w:color="auto" w:fill="FFFFFF"/>
          <w:tcMar>
            <w:left w:w="108" w:type="dxa"/>
            <w:right w:w="108" w:type="dxa"/>
          </w:tcMar>
          <w:vAlign w:val="center"/>
        </w:tcPr>
        <w:p w14:paraId="2E303490" w14:textId="3EF33153" w:rsidR="00F53367" w:rsidRPr="00DA6066" w:rsidRDefault="00F53367" w:rsidP="00FE32C8">
          <w:pPr>
            <w:spacing w:after="0" w:line="240" w:lineRule="auto"/>
            <w:jc w:val="right"/>
            <w:rPr>
              <w:rFonts w:ascii="Verdana" w:hAnsi="Verdana"/>
              <w:b/>
              <w:color w:val="FF0000"/>
              <w:sz w:val="18"/>
              <w:szCs w:val="18"/>
            </w:rPr>
          </w:pPr>
          <w:r>
            <w:rPr>
              <w:rFonts w:ascii="Verdana" w:hAnsi="Verdana"/>
              <w:b/>
              <w:color w:val="FF0000"/>
              <w:sz w:val="18"/>
              <w:szCs w:val="18"/>
            </w:rPr>
            <w:t xml:space="preserve"> </w:t>
          </w:r>
        </w:p>
      </w:tc>
    </w:tr>
    <w:bookmarkEnd w:id="1"/>
    <w:tr w:rsidR="00F53367" w:rsidRPr="00DA6066" w14:paraId="38076357" w14:textId="77777777" w:rsidTr="00544326">
      <w:trPr>
        <w:trHeight w:val="213"/>
        <w:jc w:val="center"/>
      </w:trPr>
      <w:tc>
        <w:tcPr>
          <w:tcW w:w="3794" w:type="dxa"/>
          <w:vMerge w:val="restart"/>
          <w:shd w:val="clear" w:color="auto" w:fill="FFFFFF"/>
          <w:tcMar>
            <w:left w:w="0" w:type="dxa"/>
            <w:right w:w="0" w:type="dxa"/>
          </w:tcMar>
        </w:tcPr>
        <w:p w14:paraId="34FDE3B1" w14:textId="77777777" w:rsidR="00F53367" w:rsidRPr="00DA6066" w:rsidRDefault="00F53367" w:rsidP="00FE32C8">
          <w:pPr>
            <w:spacing w:after="0" w:line="240" w:lineRule="auto"/>
            <w:rPr>
              <w:rFonts w:ascii="Verdana" w:hAnsi="Verdana"/>
              <w:sz w:val="18"/>
              <w:szCs w:val="18"/>
            </w:rPr>
          </w:pPr>
          <w:r w:rsidRPr="00DA6066">
            <w:rPr>
              <w:rFonts w:ascii="Verdana" w:hAnsi="Verdana"/>
              <w:noProof/>
              <w:sz w:val="18"/>
              <w:szCs w:val="18"/>
              <w:lang w:val="en-US"/>
            </w:rPr>
            <w:drawing>
              <wp:inline distT="0" distB="0" distL="0" distR="0" wp14:anchorId="11C2DC2A" wp14:editId="7B84E3C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14CCF4" w14:textId="77777777" w:rsidR="00F53367" w:rsidRPr="00DA6066" w:rsidRDefault="00F53367" w:rsidP="00FE32C8">
          <w:pPr>
            <w:spacing w:after="0" w:line="240" w:lineRule="auto"/>
            <w:jc w:val="right"/>
            <w:rPr>
              <w:rFonts w:ascii="Verdana" w:hAnsi="Verdana"/>
              <w:b/>
              <w:sz w:val="18"/>
              <w:szCs w:val="18"/>
            </w:rPr>
          </w:pPr>
        </w:p>
      </w:tc>
    </w:tr>
    <w:tr w:rsidR="00F53367" w:rsidRPr="00DA6066" w14:paraId="55CA060E" w14:textId="77777777" w:rsidTr="00544326">
      <w:trPr>
        <w:trHeight w:val="868"/>
        <w:jc w:val="center"/>
      </w:trPr>
      <w:tc>
        <w:tcPr>
          <w:tcW w:w="3794" w:type="dxa"/>
          <w:vMerge/>
          <w:shd w:val="clear" w:color="auto" w:fill="FFFFFF"/>
          <w:tcMar>
            <w:left w:w="108" w:type="dxa"/>
            <w:right w:w="108" w:type="dxa"/>
          </w:tcMar>
        </w:tcPr>
        <w:p w14:paraId="0E7ACB03" w14:textId="77777777" w:rsidR="00F53367" w:rsidRPr="00DA6066" w:rsidRDefault="00F53367" w:rsidP="00FE32C8">
          <w:pPr>
            <w:spacing w:after="0" w:line="240" w:lineRule="auto"/>
            <w:rPr>
              <w:rFonts w:ascii="Verdana" w:hAnsi="Verdana"/>
              <w:noProof/>
              <w:sz w:val="18"/>
              <w:szCs w:val="18"/>
              <w:lang w:eastAsia="en-GB"/>
            </w:rPr>
          </w:pPr>
        </w:p>
      </w:tc>
      <w:tc>
        <w:tcPr>
          <w:tcW w:w="5448" w:type="dxa"/>
          <w:gridSpan w:val="2"/>
          <w:shd w:val="clear" w:color="auto" w:fill="FFFFFF"/>
          <w:tcMar>
            <w:left w:w="108" w:type="dxa"/>
            <w:right w:w="108" w:type="dxa"/>
          </w:tcMar>
        </w:tcPr>
        <w:p w14:paraId="7CC4BC90" w14:textId="77777777" w:rsidR="00F53367" w:rsidRDefault="00F53367" w:rsidP="00FE32C8">
          <w:pPr>
            <w:spacing w:after="0" w:line="240" w:lineRule="auto"/>
            <w:jc w:val="right"/>
            <w:rPr>
              <w:rFonts w:ascii="Verdana" w:hAnsi="Verdana"/>
              <w:b/>
              <w:sz w:val="18"/>
              <w:szCs w:val="18"/>
            </w:rPr>
          </w:pPr>
          <w:bookmarkStart w:id="2" w:name="bmkSymbols"/>
          <w:r>
            <w:rPr>
              <w:rFonts w:ascii="Verdana" w:hAnsi="Verdana"/>
              <w:b/>
              <w:sz w:val="18"/>
              <w:szCs w:val="18"/>
            </w:rPr>
            <w:t>JOB/AG/195</w:t>
          </w:r>
        </w:p>
        <w:bookmarkEnd w:id="2"/>
        <w:p w14:paraId="5FF504E7" w14:textId="2307C95D" w:rsidR="00F53367" w:rsidRPr="00DA6066" w:rsidRDefault="00F53367" w:rsidP="00FE32C8">
          <w:pPr>
            <w:spacing w:after="0" w:line="240" w:lineRule="auto"/>
            <w:jc w:val="right"/>
            <w:rPr>
              <w:rFonts w:ascii="Verdana" w:hAnsi="Verdana"/>
              <w:b/>
              <w:sz w:val="18"/>
              <w:szCs w:val="18"/>
            </w:rPr>
          </w:pPr>
        </w:p>
      </w:tc>
    </w:tr>
    <w:tr w:rsidR="00F53367" w:rsidRPr="00DA6066" w14:paraId="31D65D90" w14:textId="77777777" w:rsidTr="00544326">
      <w:trPr>
        <w:trHeight w:val="240"/>
        <w:jc w:val="center"/>
      </w:trPr>
      <w:tc>
        <w:tcPr>
          <w:tcW w:w="3794" w:type="dxa"/>
          <w:vMerge/>
          <w:shd w:val="clear" w:color="auto" w:fill="FFFFFF"/>
          <w:tcMar>
            <w:left w:w="108" w:type="dxa"/>
            <w:right w:w="108" w:type="dxa"/>
          </w:tcMar>
          <w:vAlign w:val="center"/>
        </w:tcPr>
        <w:p w14:paraId="425735C1" w14:textId="77777777" w:rsidR="00F53367" w:rsidRPr="00DA6066" w:rsidRDefault="00F53367" w:rsidP="00FE32C8">
          <w:pPr>
            <w:spacing w:after="0" w:line="240" w:lineRule="auto"/>
            <w:rPr>
              <w:rFonts w:ascii="Verdana" w:hAnsi="Verdana"/>
              <w:sz w:val="18"/>
              <w:szCs w:val="18"/>
            </w:rPr>
          </w:pPr>
        </w:p>
      </w:tc>
      <w:tc>
        <w:tcPr>
          <w:tcW w:w="5448" w:type="dxa"/>
          <w:gridSpan w:val="2"/>
          <w:shd w:val="clear" w:color="auto" w:fill="FFFFFF"/>
          <w:tcMar>
            <w:left w:w="108" w:type="dxa"/>
            <w:right w:w="108" w:type="dxa"/>
          </w:tcMar>
          <w:vAlign w:val="center"/>
        </w:tcPr>
        <w:p w14:paraId="26B611D2" w14:textId="42715A36" w:rsidR="00F53367" w:rsidRPr="00DA6066" w:rsidRDefault="00F53367" w:rsidP="00FE32C8">
          <w:pPr>
            <w:spacing w:after="0" w:line="240" w:lineRule="auto"/>
            <w:jc w:val="right"/>
            <w:rPr>
              <w:rFonts w:ascii="Verdana" w:hAnsi="Verdana"/>
              <w:sz w:val="18"/>
              <w:szCs w:val="18"/>
            </w:rPr>
          </w:pPr>
          <w:r w:rsidRPr="00DA6066">
            <w:rPr>
              <w:rFonts w:ascii="Verdana" w:hAnsi="Verdana"/>
              <w:sz w:val="18"/>
              <w:szCs w:val="18"/>
            </w:rPr>
            <w:t>1</w:t>
          </w:r>
          <w:r>
            <w:rPr>
              <w:rFonts w:ascii="Verdana" w:hAnsi="Verdana"/>
              <w:sz w:val="18"/>
              <w:szCs w:val="18"/>
            </w:rPr>
            <w:t>2</w:t>
          </w:r>
          <w:r w:rsidRPr="00DA6066">
            <w:rPr>
              <w:rFonts w:ascii="Verdana" w:hAnsi="Verdana"/>
              <w:sz w:val="18"/>
              <w:szCs w:val="18"/>
            </w:rPr>
            <w:t xml:space="preserve"> May 2021</w:t>
          </w:r>
        </w:p>
      </w:tc>
    </w:tr>
    <w:tr w:rsidR="00F53367" w:rsidRPr="00DA6066" w14:paraId="7156246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D0209A" w14:textId="6A943758" w:rsidR="00F53367" w:rsidRPr="00DA6066" w:rsidRDefault="00F53367" w:rsidP="00FE32C8">
          <w:pPr>
            <w:spacing w:after="0" w:line="240" w:lineRule="auto"/>
            <w:rPr>
              <w:rFonts w:ascii="Verdana" w:hAnsi="Verdana"/>
              <w:b/>
              <w:sz w:val="18"/>
              <w:szCs w:val="18"/>
            </w:rPr>
          </w:pPr>
          <w:bookmarkStart w:id="3" w:name="bmkSerial" w:colFirst="0" w:colLast="0"/>
          <w:r w:rsidRPr="00DA6066">
            <w:rPr>
              <w:rFonts w:ascii="Verdana" w:hAnsi="Verdana"/>
              <w:color w:val="FF0000"/>
              <w:sz w:val="18"/>
              <w:szCs w:val="18"/>
            </w:rPr>
            <w:t>(</w:t>
          </w:r>
          <w:r w:rsidR="0093667B">
            <w:rPr>
              <w:rFonts w:ascii="Verdana" w:hAnsi="Verdana"/>
              <w:color w:val="FF0000"/>
              <w:sz w:val="18"/>
              <w:szCs w:val="18"/>
            </w:rPr>
            <w:t>21-4069</w:t>
          </w:r>
          <w:r w:rsidRPr="00DA6066">
            <w:rPr>
              <w:rFonts w:ascii="Verdana" w:hAnsi="Verdana"/>
              <w:color w:val="FF0000"/>
              <w:sz w:val="18"/>
              <w:szCs w:val="18"/>
            </w:rPr>
            <w:t>)</w:t>
          </w:r>
        </w:p>
      </w:tc>
      <w:tc>
        <w:tcPr>
          <w:tcW w:w="3325" w:type="dxa"/>
          <w:tcBorders>
            <w:bottom w:val="single" w:sz="4" w:space="0" w:color="auto"/>
          </w:tcBorders>
          <w:tcMar>
            <w:top w:w="0" w:type="dxa"/>
            <w:left w:w="108" w:type="dxa"/>
            <w:bottom w:w="57" w:type="dxa"/>
            <w:right w:w="108" w:type="dxa"/>
          </w:tcMar>
          <w:vAlign w:val="bottom"/>
        </w:tcPr>
        <w:p w14:paraId="567F6BC4" w14:textId="77777777" w:rsidR="00F53367" w:rsidRPr="00DA6066" w:rsidRDefault="00F53367" w:rsidP="00FE32C8">
          <w:pPr>
            <w:spacing w:after="0" w:line="240" w:lineRule="auto"/>
            <w:jc w:val="right"/>
            <w:rPr>
              <w:rFonts w:ascii="Verdana" w:hAnsi="Verdana"/>
              <w:sz w:val="18"/>
              <w:szCs w:val="18"/>
            </w:rPr>
          </w:pPr>
          <w:bookmarkStart w:id="4" w:name="bmkTotPages"/>
          <w:r w:rsidRPr="00DA6066">
            <w:rPr>
              <w:rFonts w:ascii="Verdana" w:hAnsi="Verdana"/>
              <w:bCs/>
              <w:sz w:val="18"/>
              <w:szCs w:val="18"/>
            </w:rPr>
            <w:t xml:space="preserve">Page: </w:t>
          </w:r>
          <w:r w:rsidRPr="00DA6066">
            <w:rPr>
              <w:rFonts w:ascii="Verdana" w:hAnsi="Verdana"/>
              <w:bCs/>
              <w:sz w:val="18"/>
              <w:szCs w:val="18"/>
            </w:rPr>
            <w:fldChar w:fldCharType="begin"/>
          </w:r>
          <w:r w:rsidRPr="00DA6066">
            <w:rPr>
              <w:rFonts w:ascii="Verdana" w:hAnsi="Verdana"/>
              <w:bCs/>
              <w:sz w:val="18"/>
              <w:szCs w:val="18"/>
            </w:rPr>
            <w:instrText xml:space="preserve"> PAGE  \* Arabic  \* MERGEFORMAT </w:instrText>
          </w:r>
          <w:r w:rsidRPr="00DA6066">
            <w:rPr>
              <w:rFonts w:ascii="Verdana" w:hAnsi="Verdana"/>
              <w:bCs/>
              <w:sz w:val="18"/>
              <w:szCs w:val="18"/>
            </w:rPr>
            <w:fldChar w:fldCharType="separate"/>
          </w:r>
          <w:r w:rsidRPr="00DA6066">
            <w:rPr>
              <w:rFonts w:ascii="Verdana" w:hAnsi="Verdana"/>
              <w:bCs/>
              <w:noProof/>
              <w:sz w:val="18"/>
              <w:szCs w:val="18"/>
            </w:rPr>
            <w:t>1</w:t>
          </w:r>
          <w:r w:rsidRPr="00DA6066">
            <w:rPr>
              <w:rFonts w:ascii="Verdana" w:hAnsi="Verdana"/>
              <w:bCs/>
              <w:sz w:val="18"/>
              <w:szCs w:val="18"/>
            </w:rPr>
            <w:fldChar w:fldCharType="end"/>
          </w:r>
          <w:r w:rsidRPr="00DA6066">
            <w:rPr>
              <w:rFonts w:ascii="Verdana" w:hAnsi="Verdana"/>
              <w:bCs/>
              <w:sz w:val="18"/>
              <w:szCs w:val="18"/>
            </w:rPr>
            <w:t>/</w:t>
          </w:r>
          <w:r w:rsidRPr="00DA6066">
            <w:rPr>
              <w:rFonts w:ascii="Verdana" w:hAnsi="Verdana"/>
              <w:bCs/>
              <w:sz w:val="18"/>
              <w:szCs w:val="18"/>
            </w:rPr>
            <w:fldChar w:fldCharType="begin"/>
          </w:r>
          <w:r w:rsidRPr="00DA6066">
            <w:rPr>
              <w:rFonts w:ascii="Verdana" w:hAnsi="Verdana"/>
              <w:bCs/>
              <w:sz w:val="18"/>
              <w:szCs w:val="18"/>
            </w:rPr>
            <w:instrText xml:space="preserve"> NUMPAGES  \* Arabic  \* MERGEFORMAT </w:instrText>
          </w:r>
          <w:r w:rsidRPr="00DA6066">
            <w:rPr>
              <w:rFonts w:ascii="Verdana" w:hAnsi="Verdana"/>
              <w:bCs/>
              <w:sz w:val="18"/>
              <w:szCs w:val="18"/>
            </w:rPr>
            <w:fldChar w:fldCharType="separate"/>
          </w:r>
          <w:r w:rsidRPr="00DA6066">
            <w:rPr>
              <w:rFonts w:ascii="Verdana" w:hAnsi="Verdana"/>
              <w:bCs/>
              <w:noProof/>
              <w:sz w:val="18"/>
              <w:szCs w:val="18"/>
            </w:rPr>
            <w:t>1</w:t>
          </w:r>
          <w:r w:rsidRPr="00DA6066">
            <w:rPr>
              <w:rFonts w:ascii="Verdana" w:hAnsi="Verdana"/>
              <w:bCs/>
              <w:sz w:val="18"/>
              <w:szCs w:val="18"/>
            </w:rPr>
            <w:fldChar w:fldCharType="end"/>
          </w:r>
          <w:bookmarkEnd w:id="4"/>
        </w:p>
      </w:tc>
    </w:tr>
    <w:tr w:rsidR="00F53367" w:rsidRPr="00DA6066" w14:paraId="0E1B967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7D046F" w14:textId="77777777" w:rsidR="00F53367" w:rsidRDefault="00F53367" w:rsidP="00FE32C8">
          <w:pPr>
            <w:spacing w:after="0" w:line="240" w:lineRule="auto"/>
            <w:rPr>
              <w:rFonts w:ascii="Verdana" w:hAnsi="Verdana"/>
              <w:b/>
              <w:sz w:val="18"/>
              <w:szCs w:val="18"/>
            </w:rPr>
          </w:pPr>
          <w:bookmarkStart w:id="5" w:name="bmkCommittee"/>
          <w:bookmarkStart w:id="6" w:name="bmkLanguage" w:colFirst="1" w:colLast="1"/>
          <w:bookmarkEnd w:id="3"/>
          <w:r>
            <w:rPr>
              <w:rFonts w:ascii="Verdana" w:hAnsi="Verdana"/>
              <w:b/>
              <w:sz w:val="18"/>
              <w:szCs w:val="18"/>
            </w:rPr>
            <w:t>Committee on Agriculture</w:t>
          </w:r>
        </w:p>
        <w:p w14:paraId="1CC4CC8C" w14:textId="371FEE24" w:rsidR="00F53367" w:rsidRPr="00DA6066" w:rsidRDefault="00F53367" w:rsidP="00FE32C8">
          <w:pPr>
            <w:spacing w:after="0" w:line="240" w:lineRule="auto"/>
            <w:rPr>
              <w:rFonts w:ascii="Verdana" w:hAnsi="Verdana"/>
              <w:sz w:val="18"/>
              <w:szCs w:val="18"/>
            </w:rPr>
          </w:pPr>
          <w:r>
            <w:rPr>
              <w:rFonts w:ascii="Verdana" w:hAnsi="Verdana"/>
              <w:b/>
              <w:sz w:val="18"/>
              <w:szCs w:val="18"/>
            </w:rPr>
            <w:t>Special Session</w:t>
          </w:r>
          <w:bookmarkEnd w:id="5"/>
        </w:p>
      </w:tc>
      <w:tc>
        <w:tcPr>
          <w:tcW w:w="3325" w:type="dxa"/>
          <w:tcBorders>
            <w:top w:val="single" w:sz="4" w:space="0" w:color="auto"/>
          </w:tcBorders>
          <w:tcMar>
            <w:top w:w="113" w:type="dxa"/>
            <w:left w:w="108" w:type="dxa"/>
            <w:bottom w:w="57" w:type="dxa"/>
            <w:right w:w="108" w:type="dxa"/>
          </w:tcMar>
          <w:vAlign w:val="center"/>
        </w:tcPr>
        <w:p w14:paraId="44E7DD24" w14:textId="463A46E6" w:rsidR="00F53367" w:rsidRPr="00DA6066" w:rsidRDefault="00F53367" w:rsidP="00FE32C8">
          <w:pPr>
            <w:spacing w:after="0" w:line="240" w:lineRule="auto"/>
            <w:jc w:val="right"/>
            <w:rPr>
              <w:rFonts w:ascii="Verdana" w:hAnsi="Verdana"/>
              <w:bCs/>
              <w:sz w:val="18"/>
              <w:szCs w:val="18"/>
            </w:rPr>
          </w:pPr>
          <w:r>
            <w:rPr>
              <w:rFonts w:ascii="Verdana" w:hAnsi="Verdana"/>
              <w:sz w:val="18"/>
              <w:szCs w:val="18"/>
            </w:rPr>
            <w:t>Original: English</w:t>
          </w:r>
        </w:p>
      </w:tc>
    </w:tr>
    <w:bookmarkEnd w:id="6"/>
  </w:tbl>
  <w:p w14:paraId="5367BAF4" w14:textId="77777777" w:rsidR="00F53367" w:rsidRDefault="00F53367" w:rsidP="00DA6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E56089"/>
    <w:multiLevelType w:val="hybridMultilevel"/>
    <w:tmpl w:val="3FCA8C70"/>
    <w:lvl w:ilvl="0" w:tplc="812E246A">
      <w:start w:val="1"/>
      <w:numFmt w:val="lowerLetter"/>
      <w:lvlText w:val="(%1)"/>
      <w:lvlJc w:val="left"/>
      <w:pPr>
        <w:ind w:left="1241" w:hanging="39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454AB1"/>
    <w:multiLevelType w:val="multilevel"/>
    <w:tmpl w:val="075A666C"/>
    <w:numStyleLink w:val="LegalHeadings"/>
  </w:abstractNum>
  <w:abstractNum w:abstractNumId="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1984"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647EF2"/>
    <w:multiLevelType w:val="hybridMultilevel"/>
    <w:tmpl w:val="2924BB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9"/>
  </w:num>
  <w:num w:numId="2">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3"/>
  </w:num>
  <w:num w:numId="7">
    <w:abstractNumId w:val="2"/>
  </w:num>
  <w:num w:numId="8">
    <w:abstractNumId w:val="1"/>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4">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5">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6">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7">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8">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19">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0">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1">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2">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3">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4">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5">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6">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7">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8">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29">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30">
    <w:abstractNumId w:val="8"/>
    <w:lvlOverride w:ilvl="1">
      <w:lvl w:ilvl="1">
        <w:start w:val="1"/>
        <w:numFmt w:val="decimal"/>
        <w:pStyle w:val="Heading2"/>
        <w:isLgl/>
        <w:suff w:val="nothing"/>
        <w:lvlText w:val="%1.%2  "/>
        <w:lvlJc w:val="left"/>
        <w:pPr>
          <w:ind w:left="0" w:firstLine="0"/>
        </w:pPr>
        <w:rPr>
          <w:rFonts w:hint="default"/>
          <w:i w:val="0"/>
          <w:iCs w:val="0"/>
        </w:rPr>
      </w:lvl>
    </w:lvlOverride>
  </w:num>
  <w:num w:numId="3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C8"/>
    <w:rsid w:val="0000209C"/>
    <w:rsid w:val="00005990"/>
    <w:rsid w:val="000272F6"/>
    <w:rsid w:val="00037AC4"/>
    <w:rsid w:val="000423BF"/>
    <w:rsid w:val="0009204F"/>
    <w:rsid w:val="000A4945"/>
    <w:rsid w:val="000B31E1"/>
    <w:rsid w:val="0011356B"/>
    <w:rsid w:val="0013337F"/>
    <w:rsid w:val="001372E0"/>
    <w:rsid w:val="00182B84"/>
    <w:rsid w:val="001A4499"/>
    <w:rsid w:val="001E291F"/>
    <w:rsid w:val="00233408"/>
    <w:rsid w:val="0027067B"/>
    <w:rsid w:val="003156C6"/>
    <w:rsid w:val="003572B4"/>
    <w:rsid w:val="004578FB"/>
    <w:rsid w:val="00467032"/>
    <w:rsid w:val="0046754A"/>
    <w:rsid w:val="004F203A"/>
    <w:rsid w:val="004F37B4"/>
    <w:rsid w:val="005336B8"/>
    <w:rsid w:val="00544326"/>
    <w:rsid w:val="00547B5F"/>
    <w:rsid w:val="0058492F"/>
    <w:rsid w:val="005A1A22"/>
    <w:rsid w:val="005A72EA"/>
    <w:rsid w:val="005B04B9"/>
    <w:rsid w:val="005B68C7"/>
    <w:rsid w:val="005B7054"/>
    <w:rsid w:val="005D5981"/>
    <w:rsid w:val="005F30CB"/>
    <w:rsid w:val="00612644"/>
    <w:rsid w:val="00674CCD"/>
    <w:rsid w:val="006939A8"/>
    <w:rsid w:val="00696324"/>
    <w:rsid w:val="006D4693"/>
    <w:rsid w:val="006F5826"/>
    <w:rsid w:val="00700181"/>
    <w:rsid w:val="007141CF"/>
    <w:rsid w:val="00745146"/>
    <w:rsid w:val="007577E3"/>
    <w:rsid w:val="00760DB3"/>
    <w:rsid w:val="007E3658"/>
    <w:rsid w:val="007E6507"/>
    <w:rsid w:val="007F2B8E"/>
    <w:rsid w:val="007F32D1"/>
    <w:rsid w:val="00807247"/>
    <w:rsid w:val="00840C2B"/>
    <w:rsid w:val="008739FD"/>
    <w:rsid w:val="00893E85"/>
    <w:rsid w:val="008E372C"/>
    <w:rsid w:val="0093667B"/>
    <w:rsid w:val="009A6F54"/>
    <w:rsid w:val="009A7B20"/>
    <w:rsid w:val="00A16C5B"/>
    <w:rsid w:val="00A6057A"/>
    <w:rsid w:val="00A74017"/>
    <w:rsid w:val="00AA332C"/>
    <w:rsid w:val="00AA73F2"/>
    <w:rsid w:val="00AC27F8"/>
    <w:rsid w:val="00AC2F3A"/>
    <w:rsid w:val="00AD4C72"/>
    <w:rsid w:val="00AE2AEE"/>
    <w:rsid w:val="00B00276"/>
    <w:rsid w:val="00B169C0"/>
    <w:rsid w:val="00B17BAB"/>
    <w:rsid w:val="00B230EC"/>
    <w:rsid w:val="00B52738"/>
    <w:rsid w:val="00B56EDC"/>
    <w:rsid w:val="00BB1F84"/>
    <w:rsid w:val="00BE1685"/>
    <w:rsid w:val="00BE16A4"/>
    <w:rsid w:val="00BE5468"/>
    <w:rsid w:val="00C11EAC"/>
    <w:rsid w:val="00C15F6D"/>
    <w:rsid w:val="00C305D7"/>
    <w:rsid w:val="00C30F2A"/>
    <w:rsid w:val="00C43456"/>
    <w:rsid w:val="00C65C0C"/>
    <w:rsid w:val="00C808FC"/>
    <w:rsid w:val="00CA2AC9"/>
    <w:rsid w:val="00CA7710"/>
    <w:rsid w:val="00CC232A"/>
    <w:rsid w:val="00CD7D97"/>
    <w:rsid w:val="00CE3EE6"/>
    <w:rsid w:val="00CE4BA1"/>
    <w:rsid w:val="00CF04F2"/>
    <w:rsid w:val="00D000C7"/>
    <w:rsid w:val="00D0769E"/>
    <w:rsid w:val="00D221B8"/>
    <w:rsid w:val="00D52A9D"/>
    <w:rsid w:val="00D55AAD"/>
    <w:rsid w:val="00D747AE"/>
    <w:rsid w:val="00D9226C"/>
    <w:rsid w:val="00DA20BD"/>
    <w:rsid w:val="00DA6066"/>
    <w:rsid w:val="00DE50DB"/>
    <w:rsid w:val="00DF6AE1"/>
    <w:rsid w:val="00E33FFD"/>
    <w:rsid w:val="00E46FD5"/>
    <w:rsid w:val="00E544BB"/>
    <w:rsid w:val="00E56545"/>
    <w:rsid w:val="00E80AAA"/>
    <w:rsid w:val="00EA5D4F"/>
    <w:rsid w:val="00EB6C56"/>
    <w:rsid w:val="00ED1D47"/>
    <w:rsid w:val="00ED54E0"/>
    <w:rsid w:val="00F04A9D"/>
    <w:rsid w:val="00F1136A"/>
    <w:rsid w:val="00F32397"/>
    <w:rsid w:val="00F40595"/>
    <w:rsid w:val="00F53367"/>
    <w:rsid w:val="00F8104D"/>
    <w:rsid w:val="00F87B91"/>
    <w:rsid w:val="00FA5EBC"/>
    <w:rsid w:val="00FD224A"/>
    <w:rsid w:val="00FD34F5"/>
    <w:rsid w:val="00FE32C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D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C8"/>
    <w:pPr>
      <w:spacing w:after="160" w:line="259" w:lineRule="auto"/>
    </w:pPr>
    <w:rPr>
      <w:lang w:val="pt-BR"/>
    </w:rPr>
  </w:style>
  <w:style w:type="paragraph" w:styleId="Heading1">
    <w:name w:val="heading 1"/>
    <w:basedOn w:val="Normal"/>
    <w:next w:val="Heading2"/>
    <w:link w:val="Heading1Char"/>
    <w:uiPriority w:val="2"/>
    <w:qFormat/>
    <w:rsid w:val="00FE32C8"/>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E32C8"/>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E32C8"/>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E32C8"/>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E32C8"/>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E32C8"/>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E32C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E32C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E32C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32C8"/>
    <w:rPr>
      <w:rFonts w:eastAsiaTheme="majorEastAsia" w:cstheme="majorBidi"/>
      <w:b/>
      <w:bCs/>
      <w:caps/>
      <w:color w:val="006283"/>
      <w:szCs w:val="28"/>
      <w:lang w:val="pt-BR"/>
    </w:rPr>
  </w:style>
  <w:style w:type="character" w:customStyle="1" w:styleId="Heading2Char">
    <w:name w:val="Heading 2 Char"/>
    <w:basedOn w:val="DefaultParagraphFont"/>
    <w:link w:val="Heading2"/>
    <w:uiPriority w:val="2"/>
    <w:rsid w:val="00FE32C8"/>
    <w:rPr>
      <w:rFonts w:eastAsiaTheme="majorEastAsia" w:cstheme="majorBidi"/>
      <w:b/>
      <w:bCs/>
      <w:color w:val="006283"/>
      <w:szCs w:val="26"/>
      <w:lang w:val="pt-BR"/>
    </w:rPr>
  </w:style>
  <w:style w:type="character" w:customStyle="1" w:styleId="Heading3Char">
    <w:name w:val="Heading 3 Char"/>
    <w:basedOn w:val="DefaultParagraphFont"/>
    <w:link w:val="Heading3"/>
    <w:uiPriority w:val="2"/>
    <w:rsid w:val="00FE32C8"/>
    <w:rPr>
      <w:rFonts w:eastAsiaTheme="majorEastAsia" w:cstheme="majorBidi"/>
      <w:b/>
      <w:bCs/>
      <w:color w:val="006283"/>
      <w:lang w:val="pt-BR"/>
    </w:rPr>
  </w:style>
  <w:style w:type="character" w:customStyle="1" w:styleId="Heading4Char">
    <w:name w:val="Heading 4 Char"/>
    <w:basedOn w:val="DefaultParagraphFont"/>
    <w:link w:val="Heading4"/>
    <w:uiPriority w:val="2"/>
    <w:rsid w:val="00FE32C8"/>
    <w:rPr>
      <w:rFonts w:eastAsiaTheme="majorEastAsia" w:cstheme="majorBidi"/>
      <w:b/>
      <w:bCs/>
      <w:iCs/>
      <w:color w:val="006283"/>
      <w:lang w:val="pt-BR"/>
    </w:rPr>
  </w:style>
  <w:style w:type="character" w:customStyle="1" w:styleId="Heading5Char">
    <w:name w:val="Heading 5 Char"/>
    <w:basedOn w:val="DefaultParagraphFont"/>
    <w:link w:val="Heading5"/>
    <w:uiPriority w:val="2"/>
    <w:rsid w:val="00FE32C8"/>
    <w:rPr>
      <w:rFonts w:eastAsiaTheme="majorEastAsia" w:cstheme="majorBidi"/>
      <w:b/>
      <w:color w:val="006283"/>
      <w:lang w:val="pt-BR"/>
    </w:rPr>
  </w:style>
  <w:style w:type="character" w:customStyle="1" w:styleId="Heading6Char">
    <w:name w:val="Heading 6 Char"/>
    <w:basedOn w:val="DefaultParagraphFont"/>
    <w:link w:val="Heading6"/>
    <w:uiPriority w:val="2"/>
    <w:rsid w:val="00FE32C8"/>
    <w:rPr>
      <w:rFonts w:eastAsiaTheme="majorEastAsia" w:cstheme="majorBidi"/>
      <w:b/>
      <w:iCs/>
      <w:color w:val="006283"/>
      <w:lang w:val="pt-BR"/>
    </w:rPr>
  </w:style>
  <w:style w:type="character" w:customStyle="1" w:styleId="Heading7Char">
    <w:name w:val="Heading 7 Char"/>
    <w:basedOn w:val="DefaultParagraphFont"/>
    <w:link w:val="Heading7"/>
    <w:uiPriority w:val="2"/>
    <w:rsid w:val="00FE32C8"/>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FE32C8"/>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FE32C8"/>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E80AAA"/>
    <w:pPr>
      <w:spacing w:before="120" w:after="240" w:line="240" w:lineRule="auto"/>
      <w:jc w:val="center"/>
    </w:pPr>
    <w:rPr>
      <w:rFonts w:eastAsiaTheme="majorEastAsia" w:cstheme="majorBidi"/>
      <w:b/>
      <w:bCs/>
      <w:caps/>
      <w:color w:val="006283"/>
      <w:kern w:val="28"/>
      <w:szCs w:val="52"/>
    </w:rPr>
  </w:style>
  <w:style w:type="character" w:customStyle="1" w:styleId="TitleChar">
    <w:name w:val="Title Char"/>
    <w:basedOn w:val="DefaultParagraphFont"/>
    <w:link w:val="Title"/>
    <w:uiPriority w:val="5"/>
    <w:rsid w:val="00E80AAA"/>
    <w:rPr>
      <w:rFonts w:eastAsiaTheme="majorEastAsia" w:cstheme="majorBidi"/>
      <w:b/>
      <w:bCs/>
      <w:caps/>
      <w:color w:val="006283"/>
      <w:kern w:val="28"/>
      <w:szCs w:val="52"/>
      <w:lang w:val="pt-BR"/>
    </w:rPr>
  </w:style>
  <w:style w:type="paragraph" w:styleId="BodyText">
    <w:name w:val="Body Text"/>
    <w:basedOn w:val="Normal"/>
    <w:link w:val="BodyTextChar"/>
    <w:uiPriority w:val="1"/>
    <w:qFormat/>
    <w:rsid w:val="00FE32C8"/>
    <w:pPr>
      <w:numPr>
        <w:ilvl w:val="6"/>
        <w:numId w:val="2"/>
      </w:numPr>
      <w:spacing w:after="240"/>
    </w:pPr>
  </w:style>
  <w:style w:type="character" w:customStyle="1" w:styleId="BodyTextChar">
    <w:name w:val="Body Text Char"/>
    <w:basedOn w:val="DefaultParagraphFont"/>
    <w:link w:val="BodyText"/>
    <w:uiPriority w:val="1"/>
    <w:rsid w:val="00FE32C8"/>
    <w:rPr>
      <w:lang w:val="pt-BR"/>
    </w:rPr>
  </w:style>
  <w:style w:type="paragraph" w:styleId="BodyText2">
    <w:name w:val="Body Text 2"/>
    <w:basedOn w:val="Normal"/>
    <w:link w:val="BodyText2Char"/>
    <w:uiPriority w:val="1"/>
    <w:qFormat/>
    <w:rsid w:val="00FE32C8"/>
    <w:pPr>
      <w:numPr>
        <w:ilvl w:val="7"/>
        <w:numId w:val="2"/>
      </w:numPr>
      <w:spacing w:after="240"/>
    </w:pPr>
  </w:style>
  <w:style w:type="character" w:customStyle="1" w:styleId="BodyText2Char">
    <w:name w:val="Body Text 2 Char"/>
    <w:basedOn w:val="DefaultParagraphFont"/>
    <w:link w:val="BodyText2"/>
    <w:uiPriority w:val="1"/>
    <w:rsid w:val="00FE32C8"/>
    <w:rPr>
      <w:lang w:val="pt-BR"/>
    </w:rPr>
  </w:style>
  <w:style w:type="paragraph" w:styleId="BodyText3">
    <w:name w:val="Body Text 3"/>
    <w:basedOn w:val="Normal"/>
    <w:link w:val="BodyText3Char"/>
    <w:uiPriority w:val="1"/>
    <w:qFormat/>
    <w:rsid w:val="00FE32C8"/>
    <w:pPr>
      <w:numPr>
        <w:ilvl w:val="8"/>
        <w:numId w:val="2"/>
      </w:numPr>
      <w:spacing w:after="240"/>
    </w:pPr>
    <w:rPr>
      <w:szCs w:val="16"/>
    </w:rPr>
  </w:style>
  <w:style w:type="character" w:customStyle="1" w:styleId="BodyText3Char">
    <w:name w:val="Body Text 3 Char"/>
    <w:basedOn w:val="DefaultParagraphFont"/>
    <w:link w:val="BodyText3"/>
    <w:uiPriority w:val="1"/>
    <w:rsid w:val="00FE32C8"/>
    <w:rPr>
      <w:szCs w:val="16"/>
      <w:lang w:val="pt-BR"/>
    </w:rPr>
  </w:style>
  <w:style w:type="numbering" w:customStyle="1" w:styleId="LegalHeadings">
    <w:name w:val="LegalHeadings"/>
    <w:uiPriority w:val="99"/>
    <w:rsid w:val="00FE32C8"/>
    <w:pPr>
      <w:numPr>
        <w:numId w:val="1"/>
      </w:numPr>
    </w:pPr>
  </w:style>
  <w:style w:type="paragraph" w:styleId="ListBullet">
    <w:name w:val="List Bullet"/>
    <w:basedOn w:val="Normal"/>
    <w:uiPriority w:val="1"/>
    <w:rsid w:val="00FE32C8"/>
    <w:pPr>
      <w:numPr>
        <w:numId w:val="3"/>
      </w:numPr>
      <w:spacing w:after="240"/>
    </w:pPr>
  </w:style>
  <w:style w:type="paragraph" w:styleId="ListBullet2">
    <w:name w:val="List Bullet 2"/>
    <w:basedOn w:val="Normal"/>
    <w:uiPriority w:val="1"/>
    <w:rsid w:val="00FE32C8"/>
    <w:pPr>
      <w:numPr>
        <w:ilvl w:val="1"/>
        <w:numId w:val="3"/>
      </w:numPr>
      <w:spacing w:after="240"/>
    </w:pPr>
  </w:style>
  <w:style w:type="paragraph" w:styleId="ListBullet3">
    <w:name w:val="List Bullet 3"/>
    <w:basedOn w:val="Normal"/>
    <w:uiPriority w:val="1"/>
    <w:rsid w:val="00FE32C8"/>
    <w:pPr>
      <w:numPr>
        <w:ilvl w:val="2"/>
        <w:numId w:val="3"/>
      </w:numPr>
      <w:spacing w:after="240"/>
    </w:pPr>
  </w:style>
  <w:style w:type="paragraph" w:styleId="ListBullet4">
    <w:name w:val="List Bullet 4"/>
    <w:basedOn w:val="Normal"/>
    <w:uiPriority w:val="1"/>
    <w:rsid w:val="00FE32C8"/>
    <w:pPr>
      <w:numPr>
        <w:ilvl w:val="3"/>
        <w:numId w:val="3"/>
      </w:numPr>
      <w:spacing w:after="240"/>
      <w:ind w:left="1587" w:hanging="340"/>
    </w:pPr>
  </w:style>
  <w:style w:type="paragraph" w:styleId="ListBullet5">
    <w:name w:val="List Bullet 5"/>
    <w:basedOn w:val="Normal"/>
    <w:uiPriority w:val="1"/>
    <w:rsid w:val="00FE32C8"/>
    <w:pPr>
      <w:numPr>
        <w:ilvl w:val="4"/>
        <w:numId w:val="3"/>
      </w:numPr>
      <w:spacing w:after="240"/>
    </w:pPr>
  </w:style>
  <w:style w:type="numbering" w:customStyle="1" w:styleId="ListBullets">
    <w:name w:val="ListBullets"/>
    <w:uiPriority w:val="99"/>
    <w:rsid w:val="00FE32C8"/>
    <w:pPr>
      <w:numPr>
        <w:numId w:val="31"/>
      </w:numPr>
    </w:pPr>
  </w:style>
  <w:style w:type="paragraph" w:customStyle="1" w:styleId="Answer">
    <w:name w:val="Answer"/>
    <w:basedOn w:val="Normal"/>
    <w:link w:val="AnswerChar"/>
    <w:uiPriority w:val="6"/>
    <w:qFormat/>
    <w:rsid w:val="00FE32C8"/>
    <w:pPr>
      <w:spacing w:after="240"/>
      <w:ind w:left="1077"/>
    </w:pPr>
    <w:rPr>
      <w:rFonts w:eastAsia="Calibri" w:cs="Times New Roman"/>
    </w:rPr>
  </w:style>
  <w:style w:type="character" w:customStyle="1" w:styleId="AnswerChar">
    <w:name w:val="Answer Char"/>
    <w:link w:val="Answer"/>
    <w:uiPriority w:val="6"/>
    <w:rsid w:val="00FE32C8"/>
    <w:rPr>
      <w:rFonts w:ascii="Verdana" w:eastAsia="Calibri" w:hAnsi="Verdana" w:cs="Times New Roman"/>
      <w:sz w:val="18"/>
    </w:rPr>
  </w:style>
  <w:style w:type="paragraph" w:styleId="Caption">
    <w:name w:val="caption"/>
    <w:basedOn w:val="Normal"/>
    <w:next w:val="Normal"/>
    <w:uiPriority w:val="6"/>
    <w:qFormat/>
    <w:rsid w:val="00FE32C8"/>
    <w:pPr>
      <w:keepNext/>
      <w:spacing w:before="120" w:after="120"/>
    </w:pPr>
    <w:rPr>
      <w:rFonts w:eastAsia="Times New Roman" w:cs="Times New Roman"/>
      <w:b/>
      <w:bCs/>
      <w:color w:val="006283"/>
      <w:szCs w:val="20"/>
      <w:lang w:eastAsia="en-GB"/>
    </w:rPr>
  </w:style>
  <w:style w:type="character" w:styleId="EndnoteReference">
    <w:name w:val="endnote reference"/>
    <w:uiPriority w:val="99"/>
    <w:rsid w:val="00FE32C8"/>
    <w:rPr>
      <w:vertAlign w:val="superscript"/>
    </w:rPr>
  </w:style>
  <w:style w:type="paragraph" w:styleId="FootnoteText">
    <w:name w:val="footnote text"/>
    <w:basedOn w:val="Normal"/>
    <w:link w:val="FootnoteTextChar"/>
    <w:uiPriority w:val="99"/>
    <w:rsid w:val="00FE32C8"/>
    <w:pPr>
      <w:ind w:firstLine="567"/>
    </w:pPr>
    <w:rPr>
      <w:rFonts w:eastAsia="Calibri" w:cs="Times New Roman"/>
      <w:sz w:val="16"/>
      <w:szCs w:val="18"/>
      <w:lang w:eastAsia="en-GB"/>
    </w:rPr>
  </w:style>
  <w:style w:type="character" w:customStyle="1" w:styleId="FootnoteTextChar">
    <w:name w:val="Footnote Text Char"/>
    <w:link w:val="FootnoteText"/>
    <w:uiPriority w:val="99"/>
    <w:rsid w:val="00FE32C8"/>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FE32C8"/>
    <w:rPr>
      <w:szCs w:val="20"/>
    </w:rPr>
  </w:style>
  <w:style w:type="character" w:customStyle="1" w:styleId="EndnoteTextChar">
    <w:name w:val="Endnote Text Char"/>
    <w:link w:val="EndnoteText"/>
    <w:uiPriority w:val="99"/>
    <w:rsid w:val="00FE32C8"/>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FE32C8"/>
    <w:pPr>
      <w:spacing w:after="240"/>
      <w:ind w:left="720"/>
    </w:pPr>
    <w:rPr>
      <w:rFonts w:eastAsia="Calibri" w:cs="Times New Roman"/>
      <w:i/>
    </w:rPr>
  </w:style>
  <w:style w:type="character" w:customStyle="1" w:styleId="FollowUpChar">
    <w:name w:val="FollowUp Char"/>
    <w:link w:val="FollowUp"/>
    <w:uiPriority w:val="6"/>
    <w:rsid w:val="00FE32C8"/>
    <w:rPr>
      <w:rFonts w:ascii="Verdana" w:eastAsia="Calibri" w:hAnsi="Verdana" w:cs="Times New Roman"/>
      <w:i/>
      <w:sz w:val="18"/>
    </w:rPr>
  </w:style>
  <w:style w:type="paragraph" w:styleId="Footer">
    <w:name w:val="footer"/>
    <w:basedOn w:val="Normal"/>
    <w:link w:val="FooterChar"/>
    <w:uiPriority w:val="99"/>
    <w:rsid w:val="00FE32C8"/>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FE32C8"/>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FE32C8"/>
    <w:pPr>
      <w:ind w:left="567" w:right="567" w:firstLine="0"/>
    </w:pPr>
  </w:style>
  <w:style w:type="character" w:styleId="FootnoteReference">
    <w:name w:val="footnote reference"/>
    <w:uiPriority w:val="99"/>
    <w:rsid w:val="00FE32C8"/>
    <w:rPr>
      <w:vertAlign w:val="superscript"/>
    </w:rPr>
  </w:style>
  <w:style w:type="paragraph" w:styleId="Header">
    <w:name w:val="header"/>
    <w:basedOn w:val="Normal"/>
    <w:link w:val="HeaderChar"/>
    <w:uiPriority w:val="99"/>
    <w:rsid w:val="00FE32C8"/>
    <w:pPr>
      <w:tabs>
        <w:tab w:val="center" w:pos="4513"/>
        <w:tab w:val="right" w:pos="9027"/>
      </w:tabs>
    </w:pPr>
    <w:rPr>
      <w:rFonts w:eastAsia="Calibri" w:cs="Times New Roman"/>
      <w:szCs w:val="18"/>
      <w:lang w:eastAsia="en-GB"/>
    </w:rPr>
  </w:style>
  <w:style w:type="character" w:customStyle="1" w:styleId="HeaderChar">
    <w:name w:val="Header Char"/>
    <w:link w:val="Header"/>
    <w:uiPriority w:val="99"/>
    <w:rsid w:val="00FE32C8"/>
    <w:rPr>
      <w:rFonts w:ascii="Verdana" w:eastAsia="Calibri" w:hAnsi="Verdana" w:cs="Times New Roman"/>
      <w:sz w:val="18"/>
      <w:szCs w:val="18"/>
      <w:lang w:eastAsia="en-GB"/>
    </w:rPr>
  </w:style>
  <w:style w:type="paragraph" w:customStyle="1" w:styleId="Quotation">
    <w:name w:val="Quotation"/>
    <w:basedOn w:val="Normal"/>
    <w:uiPriority w:val="5"/>
    <w:qFormat/>
    <w:rsid w:val="00FE32C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E32C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E32C8"/>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FE32C8"/>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FE32C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E32C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E32C8"/>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FE32C8"/>
    <w:pPr>
      <w:tabs>
        <w:tab w:val="right" w:leader="dot" w:pos="9027"/>
      </w:tabs>
      <w:spacing w:before="120" w:after="120"/>
      <w:ind w:right="851"/>
    </w:pPr>
    <w:rPr>
      <w:rFonts w:eastAsia="Calibri" w:cs="Times New Roman"/>
      <w:b/>
      <w:caps/>
      <w:szCs w:val="18"/>
      <w:lang w:eastAsia="en-GB"/>
    </w:rPr>
  </w:style>
  <w:style w:type="paragraph" w:styleId="TOC2">
    <w:name w:val="toc 2"/>
    <w:basedOn w:val="Normal"/>
    <w:next w:val="Normal"/>
    <w:autoRedefine/>
    <w:uiPriority w:val="39"/>
    <w:rsid w:val="00FE32C8"/>
    <w:pPr>
      <w:tabs>
        <w:tab w:val="right" w:leader="dot" w:pos="9027"/>
      </w:tabs>
      <w:spacing w:before="120" w:after="120"/>
      <w:ind w:right="851"/>
    </w:pPr>
    <w:rPr>
      <w:rFonts w:eastAsia="Calibri" w:cs="Times New Roman"/>
      <w:szCs w:val="18"/>
      <w:lang w:eastAsia="en-GB"/>
    </w:rPr>
  </w:style>
  <w:style w:type="paragraph" w:styleId="TOC3">
    <w:name w:val="toc 3"/>
    <w:basedOn w:val="Normal"/>
    <w:next w:val="Normal"/>
    <w:autoRedefine/>
    <w:uiPriority w:val="39"/>
    <w:rsid w:val="00FE32C8"/>
    <w:pPr>
      <w:tabs>
        <w:tab w:val="right" w:leader="dot" w:pos="9027"/>
      </w:tabs>
      <w:spacing w:before="120" w:after="120"/>
      <w:ind w:right="851"/>
    </w:pPr>
    <w:rPr>
      <w:rFonts w:eastAsia="Calibri" w:cs="Times New Roman"/>
      <w:szCs w:val="18"/>
      <w:lang w:eastAsia="en-GB"/>
    </w:rPr>
  </w:style>
  <w:style w:type="paragraph" w:styleId="TOC4">
    <w:name w:val="toc 4"/>
    <w:basedOn w:val="Normal"/>
    <w:next w:val="Normal"/>
    <w:autoRedefine/>
    <w:uiPriority w:val="39"/>
    <w:rsid w:val="00FE32C8"/>
    <w:pPr>
      <w:tabs>
        <w:tab w:val="right" w:leader="dot" w:pos="9027"/>
      </w:tabs>
      <w:spacing w:before="120" w:after="120"/>
      <w:ind w:right="851"/>
    </w:pPr>
    <w:rPr>
      <w:rFonts w:eastAsia="Calibri" w:cs="Times New Roman"/>
      <w:szCs w:val="18"/>
      <w:lang w:eastAsia="en-GB"/>
    </w:rPr>
  </w:style>
  <w:style w:type="paragraph" w:styleId="TOC5">
    <w:name w:val="toc 5"/>
    <w:basedOn w:val="Normal"/>
    <w:next w:val="Normal"/>
    <w:autoRedefine/>
    <w:uiPriority w:val="39"/>
    <w:rsid w:val="00FE32C8"/>
    <w:pPr>
      <w:tabs>
        <w:tab w:val="right" w:leader="dot" w:pos="9027"/>
      </w:tabs>
      <w:spacing w:before="120" w:after="120"/>
      <w:ind w:right="851"/>
    </w:pPr>
    <w:rPr>
      <w:rFonts w:eastAsia="Calibri" w:cs="Times New Roman"/>
      <w:szCs w:val="18"/>
      <w:lang w:eastAsia="en-GB"/>
    </w:rPr>
  </w:style>
  <w:style w:type="paragraph" w:styleId="TOC6">
    <w:name w:val="toc 6"/>
    <w:basedOn w:val="Normal"/>
    <w:next w:val="Normal"/>
    <w:autoRedefine/>
    <w:uiPriority w:val="39"/>
    <w:rsid w:val="00FE32C8"/>
    <w:pPr>
      <w:tabs>
        <w:tab w:val="right" w:leader="dot" w:pos="9027"/>
      </w:tabs>
      <w:spacing w:before="120" w:after="120"/>
      <w:ind w:right="851"/>
    </w:pPr>
    <w:rPr>
      <w:rFonts w:eastAsia="Calibri" w:cs="Times New Roman"/>
      <w:szCs w:val="18"/>
      <w:lang w:eastAsia="en-GB"/>
    </w:rPr>
  </w:style>
  <w:style w:type="paragraph" w:styleId="TOC7">
    <w:name w:val="toc 7"/>
    <w:basedOn w:val="Normal"/>
    <w:next w:val="Normal"/>
    <w:autoRedefine/>
    <w:uiPriority w:val="39"/>
    <w:rsid w:val="00FE32C8"/>
    <w:pPr>
      <w:tabs>
        <w:tab w:val="left" w:pos="851"/>
        <w:tab w:val="right" w:leader="dot" w:pos="9027"/>
      </w:tabs>
      <w:spacing w:before="120" w:after="120"/>
      <w:ind w:left="567" w:right="851"/>
    </w:pPr>
    <w:rPr>
      <w:rFonts w:eastAsia="Calibri" w:cs="Times New Roman"/>
      <w:szCs w:val="18"/>
      <w:lang w:eastAsia="en-GB"/>
    </w:rPr>
  </w:style>
  <w:style w:type="paragraph" w:styleId="TOC8">
    <w:name w:val="toc 8"/>
    <w:basedOn w:val="Normal"/>
    <w:next w:val="Normal"/>
    <w:autoRedefine/>
    <w:uiPriority w:val="39"/>
    <w:rsid w:val="00FE32C8"/>
    <w:pPr>
      <w:tabs>
        <w:tab w:val="left" w:pos="851"/>
        <w:tab w:val="left" w:pos="1134"/>
        <w:tab w:val="right" w:leader="dot" w:pos="9027"/>
      </w:tabs>
      <w:spacing w:before="120" w:after="120"/>
      <w:ind w:left="851" w:right="851"/>
    </w:pPr>
    <w:rPr>
      <w:rFonts w:eastAsia="Calibri" w:cs="Times New Roman"/>
      <w:szCs w:val="18"/>
      <w:lang w:eastAsia="en-GB"/>
    </w:rPr>
  </w:style>
  <w:style w:type="paragraph" w:styleId="TOC9">
    <w:name w:val="toc 9"/>
    <w:basedOn w:val="Normal"/>
    <w:next w:val="Normal"/>
    <w:autoRedefine/>
    <w:uiPriority w:val="39"/>
    <w:rsid w:val="00FE32C8"/>
    <w:pPr>
      <w:tabs>
        <w:tab w:val="left" w:pos="851"/>
        <w:tab w:val="left" w:pos="1134"/>
        <w:tab w:val="left" w:pos="1418"/>
        <w:tab w:val="right" w:leader="dot" w:pos="9027"/>
      </w:tabs>
      <w:spacing w:before="120" w:after="120"/>
      <w:ind w:left="1134" w:right="851"/>
    </w:pPr>
    <w:rPr>
      <w:rFonts w:eastAsia="Calibri" w:cs="Times New Roman"/>
      <w:szCs w:val="18"/>
      <w:lang w:eastAsia="en-GB"/>
    </w:rPr>
  </w:style>
  <w:style w:type="paragraph" w:styleId="TOCHeading">
    <w:name w:val="TOC Heading"/>
    <w:basedOn w:val="Normal"/>
    <w:next w:val="Normal"/>
    <w:uiPriority w:val="39"/>
    <w:qFormat/>
    <w:rsid w:val="00FE32C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E32C8"/>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E32C8"/>
    <w:rPr>
      <w:rFonts w:ascii="Tahoma" w:hAnsi="Tahoma" w:cs="Tahoma"/>
      <w:sz w:val="16"/>
      <w:szCs w:val="16"/>
    </w:rPr>
  </w:style>
  <w:style w:type="character" w:customStyle="1" w:styleId="BalloonTextChar">
    <w:name w:val="Balloon Text Char"/>
    <w:basedOn w:val="DefaultParagraphFont"/>
    <w:link w:val="BalloonText"/>
    <w:uiPriority w:val="99"/>
    <w:semiHidden/>
    <w:rsid w:val="00FE32C8"/>
    <w:rPr>
      <w:rFonts w:ascii="Tahoma" w:hAnsi="Tahoma" w:cs="Tahoma"/>
      <w:sz w:val="16"/>
      <w:szCs w:val="16"/>
    </w:rPr>
  </w:style>
  <w:style w:type="paragraph" w:styleId="Subtitle">
    <w:name w:val="Subtitle"/>
    <w:basedOn w:val="Normal"/>
    <w:next w:val="Normal"/>
    <w:link w:val="SubtitleChar"/>
    <w:uiPriority w:val="6"/>
    <w:qFormat/>
    <w:rsid w:val="00FE32C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E32C8"/>
    <w:rPr>
      <w:rFonts w:ascii="Verdana" w:eastAsiaTheme="majorEastAsia" w:hAnsi="Verdana" w:cstheme="majorBidi"/>
      <w:b/>
      <w:iCs/>
      <w:sz w:val="18"/>
      <w:szCs w:val="24"/>
    </w:rPr>
  </w:style>
  <w:style w:type="paragraph" w:customStyle="1" w:styleId="SummaryHeader">
    <w:name w:val="SummaryHeader"/>
    <w:basedOn w:val="Normal"/>
    <w:uiPriority w:val="4"/>
    <w:qFormat/>
    <w:rsid w:val="00FE32C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E32C8"/>
    <w:pPr>
      <w:spacing w:after="240"/>
      <w:outlineLvl w:val="1"/>
    </w:pPr>
    <w:rPr>
      <w:b/>
      <w:color w:val="006283"/>
    </w:rPr>
  </w:style>
  <w:style w:type="paragraph" w:customStyle="1" w:styleId="SummaryText">
    <w:name w:val="SummaryText"/>
    <w:basedOn w:val="Normal"/>
    <w:uiPriority w:val="4"/>
    <w:qFormat/>
    <w:rsid w:val="00FE32C8"/>
    <w:pPr>
      <w:numPr>
        <w:numId w:val="4"/>
      </w:numPr>
      <w:spacing w:after="240"/>
      <w:ind w:left="0" w:firstLine="0"/>
    </w:pPr>
    <w:rPr>
      <w:rFonts w:eastAsia="Calibri" w:cs="Times New Roman"/>
    </w:rPr>
  </w:style>
  <w:style w:type="paragraph" w:styleId="ListParagraph">
    <w:name w:val="List Paragraph"/>
    <w:basedOn w:val="Normal"/>
    <w:uiPriority w:val="34"/>
    <w:qFormat/>
    <w:rsid w:val="00FE32C8"/>
    <w:pPr>
      <w:ind w:left="720"/>
      <w:contextualSpacing/>
    </w:pPr>
  </w:style>
  <w:style w:type="table" w:customStyle="1" w:styleId="WTOBox1">
    <w:name w:val="WTOBox1"/>
    <w:basedOn w:val="TableNormal"/>
    <w:uiPriority w:val="99"/>
    <w:rsid w:val="00FE32C8"/>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E32C8"/>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E32C8"/>
    <w:pPr>
      <w:keepNext/>
      <w:keepLines/>
      <w:spacing w:after="240"/>
    </w:pPr>
    <w:rPr>
      <w:rFonts w:eastAsia="Times New Roman" w:cs="Times New Roman"/>
      <w:b/>
      <w:caps/>
      <w:color w:val="006283"/>
      <w:sz w:val="28"/>
      <w:lang w:val="x-none"/>
    </w:rPr>
  </w:style>
  <w:style w:type="table" w:styleId="TableGrid">
    <w:name w:val="Table Grid"/>
    <w:basedOn w:val="TableNormal"/>
    <w:uiPriority w:val="39"/>
    <w:rsid w:val="00FE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E32C8"/>
    <w:pPr>
      <w:tabs>
        <w:tab w:val="left" w:pos="851"/>
      </w:tabs>
      <w:ind w:left="851" w:hanging="851"/>
    </w:pPr>
    <w:rPr>
      <w:sz w:val="16"/>
    </w:rPr>
  </w:style>
  <w:style w:type="character" w:styleId="Hyperlink">
    <w:name w:val="Hyperlink"/>
    <w:basedOn w:val="DefaultParagraphFont"/>
    <w:uiPriority w:val="9"/>
    <w:unhideWhenUsed/>
    <w:rsid w:val="00FE32C8"/>
    <w:rPr>
      <w:color w:val="0000FF" w:themeColor="hyperlink"/>
      <w:u w:val="single"/>
    </w:rPr>
  </w:style>
  <w:style w:type="paragraph" w:styleId="Bibliography">
    <w:name w:val="Bibliography"/>
    <w:basedOn w:val="Normal"/>
    <w:next w:val="Normal"/>
    <w:uiPriority w:val="49"/>
    <w:semiHidden/>
    <w:unhideWhenUsed/>
    <w:rsid w:val="00FE32C8"/>
  </w:style>
  <w:style w:type="paragraph" w:styleId="BlockText">
    <w:name w:val="Block Text"/>
    <w:basedOn w:val="Normal"/>
    <w:uiPriority w:val="99"/>
    <w:semiHidden/>
    <w:unhideWhenUsed/>
    <w:rsid w:val="00FE32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FE32C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E32C8"/>
    <w:rPr>
      <w:lang w:val="pt-BR"/>
    </w:rPr>
  </w:style>
  <w:style w:type="paragraph" w:styleId="BodyTextIndent">
    <w:name w:val="Body Text Indent"/>
    <w:basedOn w:val="Normal"/>
    <w:link w:val="BodyTextIndentChar"/>
    <w:uiPriority w:val="99"/>
    <w:semiHidden/>
    <w:unhideWhenUsed/>
    <w:rsid w:val="00FE32C8"/>
    <w:pPr>
      <w:spacing w:after="120"/>
      <w:ind w:left="283"/>
    </w:pPr>
  </w:style>
  <w:style w:type="character" w:customStyle="1" w:styleId="BodyTextIndentChar">
    <w:name w:val="Body Text Indent Char"/>
    <w:basedOn w:val="DefaultParagraphFont"/>
    <w:link w:val="BodyTextIndent"/>
    <w:uiPriority w:val="99"/>
    <w:semiHidden/>
    <w:rsid w:val="00FE32C8"/>
    <w:rPr>
      <w:rFonts w:ascii="Verdana" w:hAnsi="Verdana"/>
      <w:sz w:val="18"/>
    </w:rPr>
  </w:style>
  <w:style w:type="paragraph" w:styleId="BodyTextFirstIndent2">
    <w:name w:val="Body Text First Indent 2"/>
    <w:basedOn w:val="BodyTextIndent"/>
    <w:link w:val="BodyTextFirstIndent2Char"/>
    <w:uiPriority w:val="99"/>
    <w:semiHidden/>
    <w:unhideWhenUsed/>
    <w:rsid w:val="00FE32C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E32C8"/>
    <w:rPr>
      <w:rFonts w:ascii="Verdana" w:hAnsi="Verdana"/>
      <w:sz w:val="18"/>
    </w:rPr>
  </w:style>
  <w:style w:type="paragraph" w:styleId="BodyTextIndent2">
    <w:name w:val="Body Text Indent 2"/>
    <w:basedOn w:val="Normal"/>
    <w:link w:val="BodyTextIndent2Char"/>
    <w:uiPriority w:val="99"/>
    <w:semiHidden/>
    <w:unhideWhenUsed/>
    <w:rsid w:val="00FE32C8"/>
    <w:pPr>
      <w:spacing w:after="120" w:line="480" w:lineRule="auto"/>
      <w:ind w:left="283"/>
    </w:pPr>
  </w:style>
  <w:style w:type="character" w:customStyle="1" w:styleId="BodyTextIndent2Char">
    <w:name w:val="Body Text Indent 2 Char"/>
    <w:basedOn w:val="DefaultParagraphFont"/>
    <w:link w:val="BodyTextIndent2"/>
    <w:uiPriority w:val="99"/>
    <w:semiHidden/>
    <w:rsid w:val="00FE32C8"/>
    <w:rPr>
      <w:rFonts w:ascii="Verdana" w:hAnsi="Verdana"/>
      <w:sz w:val="18"/>
    </w:rPr>
  </w:style>
  <w:style w:type="paragraph" w:styleId="BodyTextIndent3">
    <w:name w:val="Body Text Indent 3"/>
    <w:basedOn w:val="Normal"/>
    <w:link w:val="BodyTextIndent3Char"/>
    <w:uiPriority w:val="99"/>
    <w:semiHidden/>
    <w:unhideWhenUsed/>
    <w:rsid w:val="00FE32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32C8"/>
    <w:rPr>
      <w:rFonts w:ascii="Verdana" w:hAnsi="Verdana"/>
      <w:sz w:val="16"/>
      <w:szCs w:val="16"/>
    </w:rPr>
  </w:style>
  <w:style w:type="character" w:styleId="BookTitle">
    <w:name w:val="Book Title"/>
    <w:basedOn w:val="DefaultParagraphFont"/>
    <w:uiPriority w:val="99"/>
    <w:semiHidden/>
    <w:qFormat/>
    <w:rsid w:val="00FE32C8"/>
    <w:rPr>
      <w:b/>
      <w:bCs/>
      <w:smallCaps/>
      <w:spacing w:val="5"/>
    </w:rPr>
  </w:style>
  <w:style w:type="paragraph" w:styleId="Closing">
    <w:name w:val="Closing"/>
    <w:basedOn w:val="Normal"/>
    <w:link w:val="ClosingChar"/>
    <w:uiPriority w:val="99"/>
    <w:semiHidden/>
    <w:unhideWhenUsed/>
    <w:rsid w:val="00FE32C8"/>
    <w:pPr>
      <w:ind w:left="4252"/>
    </w:pPr>
  </w:style>
  <w:style w:type="character" w:customStyle="1" w:styleId="ClosingChar">
    <w:name w:val="Closing Char"/>
    <w:basedOn w:val="DefaultParagraphFont"/>
    <w:link w:val="Closing"/>
    <w:uiPriority w:val="99"/>
    <w:semiHidden/>
    <w:rsid w:val="00FE32C8"/>
    <w:rPr>
      <w:rFonts w:ascii="Verdana" w:hAnsi="Verdana"/>
      <w:sz w:val="18"/>
    </w:rPr>
  </w:style>
  <w:style w:type="character" w:styleId="CommentReference">
    <w:name w:val="annotation reference"/>
    <w:basedOn w:val="DefaultParagraphFont"/>
    <w:uiPriority w:val="99"/>
    <w:semiHidden/>
    <w:unhideWhenUsed/>
    <w:rsid w:val="00FE32C8"/>
    <w:rPr>
      <w:sz w:val="16"/>
      <w:szCs w:val="16"/>
    </w:rPr>
  </w:style>
  <w:style w:type="paragraph" w:styleId="CommentText">
    <w:name w:val="annotation text"/>
    <w:basedOn w:val="Normal"/>
    <w:link w:val="CommentTextChar"/>
    <w:uiPriority w:val="99"/>
    <w:unhideWhenUsed/>
    <w:rsid w:val="00FE32C8"/>
    <w:rPr>
      <w:sz w:val="20"/>
      <w:szCs w:val="20"/>
    </w:rPr>
  </w:style>
  <w:style w:type="character" w:customStyle="1" w:styleId="CommentTextChar">
    <w:name w:val="Comment Text Char"/>
    <w:basedOn w:val="DefaultParagraphFont"/>
    <w:link w:val="CommentText"/>
    <w:uiPriority w:val="99"/>
    <w:rsid w:val="00FE32C8"/>
    <w:rPr>
      <w:rFonts w:ascii="Verdana" w:hAnsi="Verdana"/>
      <w:sz w:val="20"/>
      <w:szCs w:val="20"/>
    </w:rPr>
  </w:style>
  <w:style w:type="paragraph" w:styleId="CommentSubject">
    <w:name w:val="annotation subject"/>
    <w:basedOn w:val="CommentText"/>
    <w:next w:val="CommentText"/>
    <w:link w:val="CommentSubjectChar"/>
    <w:uiPriority w:val="99"/>
    <w:unhideWhenUsed/>
    <w:rsid w:val="00FE32C8"/>
    <w:rPr>
      <w:b/>
      <w:bCs/>
    </w:rPr>
  </w:style>
  <w:style w:type="character" w:customStyle="1" w:styleId="CommentSubjectChar">
    <w:name w:val="Comment Subject Char"/>
    <w:basedOn w:val="CommentTextChar"/>
    <w:link w:val="CommentSubject"/>
    <w:uiPriority w:val="99"/>
    <w:rsid w:val="00FE32C8"/>
    <w:rPr>
      <w:rFonts w:ascii="Verdana" w:hAnsi="Verdana"/>
      <w:b/>
      <w:bCs/>
      <w:sz w:val="20"/>
      <w:szCs w:val="20"/>
    </w:rPr>
  </w:style>
  <w:style w:type="paragraph" w:styleId="Date">
    <w:name w:val="Date"/>
    <w:basedOn w:val="Normal"/>
    <w:next w:val="Normal"/>
    <w:link w:val="DateChar"/>
    <w:uiPriority w:val="99"/>
    <w:semiHidden/>
    <w:unhideWhenUsed/>
    <w:rsid w:val="00FE32C8"/>
  </w:style>
  <w:style w:type="character" w:customStyle="1" w:styleId="DateChar">
    <w:name w:val="Date Char"/>
    <w:basedOn w:val="DefaultParagraphFont"/>
    <w:link w:val="Date"/>
    <w:uiPriority w:val="99"/>
    <w:semiHidden/>
    <w:rsid w:val="00FE32C8"/>
    <w:rPr>
      <w:rFonts w:ascii="Verdana" w:hAnsi="Verdana"/>
      <w:sz w:val="18"/>
    </w:rPr>
  </w:style>
  <w:style w:type="paragraph" w:styleId="DocumentMap">
    <w:name w:val="Document Map"/>
    <w:basedOn w:val="Normal"/>
    <w:link w:val="DocumentMapChar"/>
    <w:uiPriority w:val="99"/>
    <w:semiHidden/>
    <w:unhideWhenUsed/>
    <w:rsid w:val="00FE32C8"/>
    <w:rPr>
      <w:rFonts w:ascii="Tahoma" w:hAnsi="Tahoma" w:cs="Tahoma"/>
      <w:sz w:val="16"/>
      <w:szCs w:val="16"/>
    </w:rPr>
  </w:style>
  <w:style w:type="character" w:customStyle="1" w:styleId="DocumentMapChar">
    <w:name w:val="Document Map Char"/>
    <w:basedOn w:val="DefaultParagraphFont"/>
    <w:link w:val="DocumentMap"/>
    <w:uiPriority w:val="99"/>
    <w:semiHidden/>
    <w:rsid w:val="00FE32C8"/>
    <w:rPr>
      <w:rFonts w:ascii="Tahoma" w:hAnsi="Tahoma" w:cs="Tahoma"/>
      <w:sz w:val="16"/>
      <w:szCs w:val="16"/>
    </w:rPr>
  </w:style>
  <w:style w:type="paragraph" w:styleId="E-mailSignature">
    <w:name w:val="E-mail Signature"/>
    <w:basedOn w:val="Normal"/>
    <w:link w:val="E-mailSignatureChar"/>
    <w:uiPriority w:val="99"/>
    <w:semiHidden/>
    <w:unhideWhenUsed/>
    <w:rsid w:val="00FE32C8"/>
  </w:style>
  <w:style w:type="character" w:customStyle="1" w:styleId="E-mailSignatureChar">
    <w:name w:val="E-mail Signature Char"/>
    <w:basedOn w:val="DefaultParagraphFont"/>
    <w:link w:val="E-mailSignature"/>
    <w:uiPriority w:val="99"/>
    <w:semiHidden/>
    <w:rsid w:val="00FE32C8"/>
    <w:rPr>
      <w:rFonts w:ascii="Verdana" w:hAnsi="Verdana"/>
      <w:sz w:val="18"/>
    </w:rPr>
  </w:style>
  <w:style w:type="character" w:styleId="Emphasis">
    <w:name w:val="Emphasis"/>
    <w:basedOn w:val="DefaultParagraphFont"/>
    <w:uiPriority w:val="99"/>
    <w:semiHidden/>
    <w:qFormat/>
    <w:rsid w:val="00FE32C8"/>
    <w:rPr>
      <w:i/>
      <w:iCs/>
    </w:rPr>
  </w:style>
  <w:style w:type="paragraph" w:styleId="EnvelopeAddress">
    <w:name w:val="envelope address"/>
    <w:basedOn w:val="Normal"/>
    <w:uiPriority w:val="99"/>
    <w:semiHidden/>
    <w:unhideWhenUsed/>
    <w:rsid w:val="00FE32C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32C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E32C8"/>
    <w:rPr>
      <w:color w:val="800080" w:themeColor="followedHyperlink"/>
      <w:u w:val="single"/>
    </w:rPr>
  </w:style>
  <w:style w:type="character" w:styleId="HTMLAcronym">
    <w:name w:val="HTML Acronym"/>
    <w:basedOn w:val="DefaultParagraphFont"/>
    <w:uiPriority w:val="99"/>
    <w:semiHidden/>
    <w:unhideWhenUsed/>
    <w:rsid w:val="00FE32C8"/>
  </w:style>
  <w:style w:type="paragraph" w:styleId="HTMLAddress">
    <w:name w:val="HTML Address"/>
    <w:basedOn w:val="Normal"/>
    <w:link w:val="HTMLAddressChar"/>
    <w:uiPriority w:val="99"/>
    <w:semiHidden/>
    <w:unhideWhenUsed/>
    <w:rsid w:val="00FE32C8"/>
    <w:rPr>
      <w:i/>
      <w:iCs/>
    </w:rPr>
  </w:style>
  <w:style w:type="character" w:customStyle="1" w:styleId="HTMLAddressChar">
    <w:name w:val="HTML Address Char"/>
    <w:basedOn w:val="DefaultParagraphFont"/>
    <w:link w:val="HTMLAddress"/>
    <w:uiPriority w:val="99"/>
    <w:semiHidden/>
    <w:rsid w:val="00FE32C8"/>
    <w:rPr>
      <w:rFonts w:ascii="Verdana" w:hAnsi="Verdana"/>
      <w:i/>
      <w:iCs/>
      <w:sz w:val="18"/>
    </w:rPr>
  </w:style>
  <w:style w:type="character" w:styleId="HTMLCite">
    <w:name w:val="HTML Cite"/>
    <w:basedOn w:val="DefaultParagraphFont"/>
    <w:uiPriority w:val="99"/>
    <w:semiHidden/>
    <w:unhideWhenUsed/>
    <w:rsid w:val="00FE32C8"/>
    <w:rPr>
      <w:i/>
      <w:iCs/>
    </w:rPr>
  </w:style>
  <w:style w:type="character" w:styleId="HTMLCode">
    <w:name w:val="HTML Code"/>
    <w:basedOn w:val="DefaultParagraphFont"/>
    <w:uiPriority w:val="99"/>
    <w:semiHidden/>
    <w:unhideWhenUsed/>
    <w:rsid w:val="00FE32C8"/>
    <w:rPr>
      <w:rFonts w:ascii="Consolas" w:hAnsi="Consolas" w:cs="Consolas"/>
      <w:sz w:val="20"/>
      <w:szCs w:val="20"/>
    </w:rPr>
  </w:style>
  <w:style w:type="character" w:styleId="HTMLDefinition">
    <w:name w:val="HTML Definition"/>
    <w:basedOn w:val="DefaultParagraphFont"/>
    <w:uiPriority w:val="99"/>
    <w:semiHidden/>
    <w:unhideWhenUsed/>
    <w:rsid w:val="00FE32C8"/>
    <w:rPr>
      <w:i/>
      <w:iCs/>
    </w:rPr>
  </w:style>
  <w:style w:type="character" w:styleId="HTMLKeyboard">
    <w:name w:val="HTML Keyboard"/>
    <w:basedOn w:val="DefaultParagraphFont"/>
    <w:uiPriority w:val="99"/>
    <w:semiHidden/>
    <w:unhideWhenUsed/>
    <w:rsid w:val="00FE32C8"/>
    <w:rPr>
      <w:rFonts w:ascii="Consolas" w:hAnsi="Consolas" w:cs="Consolas"/>
      <w:sz w:val="20"/>
      <w:szCs w:val="20"/>
    </w:rPr>
  </w:style>
  <w:style w:type="paragraph" w:styleId="HTMLPreformatted">
    <w:name w:val="HTML Preformatted"/>
    <w:basedOn w:val="Normal"/>
    <w:link w:val="HTMLPreformattedChar"/>
    <w:uiPriority w:val="99"/>
    <w:semiHidden/>
    <w:unhideWhenUsed/>
    <w:rsid w:val="00FE32C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32C8"/>
    <w:rPr>
      <w:rFonts w:ascii="Consolas" w:hAnsi="Consolas" w:cs="Consolas"/>
      <w:sz w:val="20"/>
      <w:szCs w:val="20"/>
    </w:rPr>
  </w:style>
  <w:style w:type="character" w:styleId="HTMLSample">
    <w:name w:val="HTML Sample"/>
    <w:basedOn w:val="DefaultParagraphFont"/>
    <w:uiPriority w:val="99"/>
    <w:semiHidden/>
    <w:unhideWhenUsed/>
    <w:rsid w:val="00FE32C8"/>
    <w:rPr>
      <w:rFonts w:ascii="Consolas" w:hAnsi="Consolas" w:cs="Consolas"/>
      <w:sz w:val="24"/>
      <w:szCs w:val="24"/>
    </w:rPr>
  </w:style>
  <w:style w:type="character" w:styleId="HTMLTypewriter">
    <w:name w:val="HTML Typewriter"/>
    <w:basedOn w:val="DefaultParagraphFont"/>
    <w:uiPriority w:val="99"/>
    <w:semiHidden/>
    <w:unhideWhenUsed/>
    <w:rsid w:val="00FE32C8"/>
    <w:rPr>
      <w:rFonts w:ascii="Consolas" w:hAnsi="Consolas" w:cs="Consolas"/>
      <w:sz w:val="20"/>
      <w:szCs w:val="20"/>
    </w:rPr>
  </w:style>
  <w:style w:type="character" w:styleId="HTMLVariable">
    <w:name w:val="HTML Variable"/>
    <w:basedOn w:val="DefaultParagraphFont"/>
    <w:uiPriority w:val="99"/>
    <w:semiHidden/>
    <w:unhideWhenUsed/>
    <w:rsid w:val="00FE32C8"/>
    <w:rPr>
      <w:i/>
      <w:iCs/>
    </w:rPr>
  </w:style>
  <w:style w:type="paragraph" w:styleId="Index1">
    <w:name w:val="index 1"/>
    <w:basedOn w:val="Normal"/>
    <w:next w:val="Normal"/>
    <w:autoRedefine/>
    <w:uiPriority w:val="99"/>
    <w:semiHidden/>
    <w:unhideWhenUsed/>
    <w:rsid w:val="00FE32C8"/>
    <w:pPr>
      <w:ind w:left="180" w:hanging="180"/>
    </w:pPr>
  </w:style>
  <w:style w:type="paragraph" w:styleId="Index2">
    <w:name w:val="index 2"/>
    <w:basedOn w:val="Normal"/>
    <w:next w:val="Normal"/>
    <w:autoRedefine/>
    <w:uiPriority w:val="99"/>
    <w:semiHidden/>
    <w:unhideWhenUsed/>
    <w:rsid w:val="00FE32C8"/>
    <w:pPr>
      <w:ind w:left="360" w:hanging="180"/>
    </w:pPr>
  </w:style>
  <w:style w:type="paragraph" w:styleId="Index3">
    <w:name w:val="index 3"/>
    <w:basedOn w:val="Normal"/>
    <w:next w:val="Normal"/>
    <w:autoRedefine/>
    <w:uiPriority w:val="99"/>
    <w:semiHidden/>
    <w:unhideWhenUsed/>
    <w:rsid w:val="00FE32C8"/>
    <w:pPr>
      <w:ind w:left="540" w:hanging="180"/>
    </w:pPr>
  </w:style>
  <w:style w:type="paragraph" w:styleId="Index4">
    <w:name w:val="index 4"/>
    <w:basedOn w:val="Normal"/>
    <w:next w:val="Normal"/>
    <w:autoRedefine/>
    <w:uiPriority w:val="99"/>
    <w:semiHidden/>
    <w:unhideWhenUsed/>
    <w:rsid w:val="00FE32C8"/>
    <w:pPr>
      <w:ind w:left="720" w:hanging="180"/>
    </w:pPr>
  </w:style>
  <w:style w:type="paragraph" w:styleId="Index5">
    <w:name w:val="index 5"/>
    <w:basedOn w:val="Normal"/>
    <w:next w:val="Normal"/>
    <w:autoRedefine/>
    <w:uiPriority w:val="99"/>
    <w:semiHidden/>
    <w:unhideWhenUsed/>
    <w:rsid w:val="00FE32C8"/>
    <w:pPr>
      <w:ind w:left="900" w:hanging="180"/>
    </w:pPr>
  </w:style>
  <w:style w:type="paragraph" w:styleId="Index6">
    <w:name w:val="index 6"/>
    <w:basedOn w:val="Normal"/>
    <w:next w:val="Normal"/>
    <w:autoRedefine/>
    <w:uiPriority w:val="99"/>
    <w:semiHidden/>
    <w:unhideWhenUsed/>
    <w:rsid w:val="00FE32C8"/>
    <w:pPr>
      <w:ind w:left="1080" w:hanging="180"/>
    </w:pPr>
  </w:style>
  <w:style w:type="paragraph" w:styleId="Index7">
    <w:name w:val="index 7"/>
    <w:basedOn w:val="Normal"/>
    <w:next w:val="Normal"/>
    <w:autoRedefine/>
    <w:uiPriority w:val="99"/>
    <w:semiHidden/>
    <w:unhideWhenUsed/>
    <w:rsid w:val="00FE32C8"/>
    <w:pPr>
      <w:ind w:left="1260" w:hanging="180"/>
    </w:pPr>
  </w:style>
  <w:style w:type="paragraph" w:styleId="Index8">
    <w:name w:val="index 8"/>
    <w:basedOn w:val="Normal"/>
    <w:next w:val="Normal"/>
    <w:autoRedefine/>
    <w:uiPriority w:val="99"/>
    <w:semiHidden/>
    <w:unhideWhenUsed/>
    <w:rsid w:val="00FE32C8"/>
    <w:pPr>
      <w:ind w:left="1440" w:hanging="180"/>
    </w:pPr>
  </w:style>
  <w:style w:type="paragraph" w:styleId="Index9">
    <w:name w:val="index 9"/>
    <w:basedOn w:val="Normal"/>
    <w:next w:val="Normal"/>
    <w:autoRedefine/>
    <w:uiPriority w:val="99"/>
    <w:semiHidden/>
    <w:unhideWhenUsed/>
    <w:rsid w:val="00FE32C8"/>
    <w:pPr>
      <w:ind w:left="1620" w:hanging="180"/>
    </w:pPr>
  </w:style>
  <w:style w:type="paragraph" w:styleId="IndexHeading">
    <w:name w:val="index heading"/>
    <w:basedOn w:val="Normal"/>
    <w:next w:val="Index1"/>
    <w:uiPriority w:val="99"/>
    <w:semiHidden/>
    <w:unhideWhenUsed/>
    <w:rsid w:val="00FE32C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E32C8"/>
    <w:rPr>
      <w:b/>
      <w:bCs/>
      <w:i/>
      <w:iCs/>
      <w:color w:val="4F81BD" w:themeColor="accent1"/>
    </w:rPr>
  </w:style>
  <w:style w:type="paragraph" w:styleId="IntenseQuote">
    <w:name w:val="Intense Quote"/>
    <w:basedOn w:val="Normal"/>
    <w:next w:val="Normal"/>
    <w:link w:val="IntenseQuoteChar"/>
    <w:uiPriority w:val="59"/>
    <w:semiHidden/>
    <w:qFormat/>
    <w:rsid w:val="00FE32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E32C8"/>
    <w:rPr>
      <w:rFonts w:ascii="Verdana" w:hAnsi="Verdana"/>
      <w:b/>
      <w:bCs/>
      <w:i/>
      <w:iCs/>
      <w:color w:val="4F81BD" w:themeColor="accent1"/>
      <w:sz w:val="18"/>
    </w:rPr>
  </w:style>
  <w:style w:type="character" w:styleId="IntenseReference">
    <w:name w:val="Intense Reference"/>
    <w:basedOn w:val="DefaultParagraphFont"/>
    <w:uiPriority w:val="99"/>
    <w:semiHidden/>
    <w:qFormat/>
    <w:rsid w:val="00FE32C8"/>
    <w:rPr>
      <w:b/>
      <w:bCs/>
      <w:smallCaps/>
      <w:color w:val="C0504D" w:themeColor="accent2"/>
      <w:spacing w:val="5"/>
      <w:u w:val="single"/>
    </w:rPr>
  </w:style>
  <w:style w:type="character" w:styleId="LineNumber">
    <w:name w:val="line number"/>
    <w:basedOn w:val="DefaultParagraphFont"/>
    <w:uiPriority w:val="99"/>
    <w:semiHidden/>
    <w:unhideWhenUsed/>
    <w:rsid w:val="00FE32C8"/>
  </w:style>
  <w:style w:type="paragraph" w:styleId="List">
    <w:name w:val="List"/>
    <w:basedOn w:val="Normal"/>
    <w:uiPriority w:val="99"/>
    <w:semiHidden/>
    <w:unhideWhenUsed/>
    <w:rsid w:val="00FE32C8"/>
    <w:pPr>
      <w:ind w:left="283" w:hanging="283"/>
      <w:contextualSpacing/>
    </w:pPr>
  </w:style>
  <w:style w:type="paragraph" w:styleId="List2">
    <w:name w:val="List 2"/>
    <w:basedOn w:val="Normal"/>
    <w:uiPriority w:val="99"/>
    <w:semiHidden/>
    <w:unhideWhenUsed/>
    <w:rsid w:val="00FE32C8"/>
    <w:pPr>
      <w:ind w:left="566" w:hanging="283"/>
      <w:contextualSpacing/>
    </w:pPr>
  </w:style>
  <w:style w:type="paragraph" w:styleId="List3">
    <w:name w:val="List 3"/>
    <w:basedOn w:val="Normal"/>
    <w:uiPriority w:val="99"/>
    <w:semiHidden/>
    <w:unhideWhenUsed/>
    <w:rsid w:val="00FE32C8"/>
    <w:pPr>
      <w:ind w:left="849" w:hanging="283"/>
      <w:contextualSpacing/>
    </w:pPr>
  </w:style>
  <w:style w:type="paragraph" w:styleId="List4">
    <w:name w:val="List 4"/>
    <w:basedOn w:val="Normal"/>
    <w:uiPriority w:val="99"/>
    <w:semiHidden/>
    <w:unhideWhenUsed/>
    <w:rsid w:val="00FE32C8"/>
    <w:pPr>
      <w:ind w:left="1132" w:hanging="283"/>
      <w:contextualSpacing/>
    </w:pPr>
  </w:style>
  <w:style w:type="paragraph" w:styleId="List5">
    <w:name w:val="List 5"/>
    <w:basedOn w:val="Normal"/>
    <w:uiPriority w:val="99"/>
    <w:semiHidden/>
    <w:unhideWhenUsed/>
    <w:rsid w:val="00FE32C8"/>
    <w:pPr>
      <w:ind w:left="1415" w:hanging="283"/>
      <w:contextualSpacing/>
    </w:pPr>
  </w:style>
  <w:style w:type="paragraph" w:styleId="ListContinue">
    <w:name w:val="List Continue"/>
    <w:basedOn w:val="Normal"/>
    <w:uiPriority w:val="99"/>
    <w:semiHidden/>
    <w:unhideWhenUsed/>
    <w:rsid w:val="00FE32C8"/>
    <w:pPr>
      <w:spacing w:after="120"/>
      <w:ind w:left="283"/>
      <w:contextualSpacing/>
    </w:pPr>
  </w:style>
  <w:style w:type="paragraph" w:styleId="ListContinue2">
    <w:name w:val="List Continue 2"/>
    <w:basedOn w:val="Normal"/>
    <w:uiPriority w:val="99"/>
    <w:semiHidden/>
    <w:unhideWhenUsed/>
    <w:rsid w:val="00FE32C8"/>
    <w:pPr>
      <w:spacing w:after="120"/>
      <w:ind w:left="566"/>
      <w:contextualSpacing/>
    </w:pPr>
  </w:style>
  <w:style w:type="paragraph" w:styleId="ListContinue3">
    <w:name w:val="List Continue 3"/>
    <w:basedOn w:val="Normal"/>
    <w:uiPriority w:val="99"/>
    <w:semiHidden/>
    <w:unhideWhenUsed/>
    <w:rsid w:val="00FE32C8"/>
    <w:pPr>
      <w:spacing w:after="120"/>
      <w:ind w:left="849"/>
      <w:contextualSpacing/>
    </w:pPr>
  </w:style>
  <w:style w:type="paragraph" w:styleId="ListContinue4">
    <w:name w:val="List Continue 4"/>
    <w:basedOn w:val="Normal"/>
    <w:uiPriority w:val="99"/>
    <w:semiHidden/>
    <w:unhideWhenUsed/>
    <w:rsid w:val="00FE32C8"/>
    <w:pPr>
      <w:spacing w:after="120"/>
      <w:ind w:left="1132"/>
      <w:contextualSpacing/>
    </w:pPr>
  </w:style>
  <w:style w:type="paragraph" w:styleId="ListContinue5">
    <w:name w:val="List Continue 5"/>
    <w:basedOn w:val="Normal"/>
    <w:uiPriority w:val="99"/>
    <w:semiHidden/>
    <w:unhideWhenUsed/>
    <w:rsid w:val="00FE32C8"/>
    <w:pPr>
      <w:spacing w:after="120"/>
      <w:ind w:left="1415"/>
      <w:contextualSpacing/>
    </w:pPr>
  </w:style>
  <w:style w:type="paragraph" w:styleId="ListNumber">
    <w:name w:val="List Number"/>
    <w:basedOn w:val="Normal"/>
    <w:uiPriority w:val="49"/>
    <w:semiHidden/>
    <w:unhideWhenUsed/>
    <w:rsid w:val="00FE32C8"/>
    <w:pPr>
      <w:numPr>
        <w:numId w:val="5"/>
      </w:numPr>
      <w:contextualSpacing/>
    </w:pPr>
  </w:style>
  <w:style w:type="paragraph" w:styleId="ListNumber2">
    <w:name w:val="List Number 2"/>
    <w:basedOn w:val="Normal"/>
    <w:uiPriority w:val="49"/>
    <w:semiHidden/>
    <w:unhideWhenUsed/>
    <w:rsid w:val="00FE32C8"/>
    <w:pPr>
      <w:numPr>
        <w:numId w:val="6"/>
      </w:numPr>
      <w:contextualSpacing/>
    </w:pPr>
  </w:style>
  <w:style w:type="paragraph" w:styleId="ListNumber3">
    <w:name w:val="List Number 3"/>
    <w:basedOn w:val="Normal"/>
    <w:uiPriority w:val="49"/>
    <w:semiHidden/>
    <w:unhideWhenUsed/>
    <w:rsid w:val="00FE32C8"/>
    <w:pPr>
      <w:numPr>
        <w:numId w:val="7"/>
      </w:numPr>
      <w:contextualSpacing/>
    </w:pPr>
  </w:style>
  <w:style w:type="paragraph" w:styleId="ListNumber4">
    <w:name w:val="List Number 4"/>
    <w:basedOn w:val="Normal"/>
    <w:uiPriority w:val="49"/>
    <w:semiHidden/>
    <w:unhideWhenUsed/>
    <w:rsid w:val="00FE32C8"/>
    <w:pPr>
      <w:numPr>
        <w:numId w:val="8"/>
      </w:numPr>
      <w:contextualSpacing/>
    </w:pPr>
  </w:style>
  <w:style w:type="paragraph" w:styleId="ListNumber5">
    <w:name w:val="List Number 5"/>
    <w:basedOn w:val="Normal"/>
    <w:uiPriority w:val="49"/>
    <w:semiHidden/>
    <w:unhideWhenUsed/>
    <w:rsid w:val="00FE32C8"/>
    <w:pPr>
      <w:numPr>
        <w:numId w:val="9"/>
      </w:numPr>
      <w:contextualSpacing/>
    </w:pPr>
  </w:style>
  <w:style w:type="paragraph" w:styleId="MacroText">
    <w:name w:val="macro"/>
    <w:link w:val="MacroTextChar"/>
    <w:uiPriority w:val="99"/>
    <w:semiHidden/>
    <w:unhideWhenUsed/>
    <w:rsid w:val="00FE32C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E32C8"/>
    <w:rPr>
      <w:rFonts w:ascii="Consolas" w:hAnsi="Consolas" w:cs="Consolas"/>
      <w:sz w:val="20"/>
      <w:szCs w:val="20"/>
    </w:rPr>
  </w:style>
  <w:style w:type="paragraph" w:styleId="MessageHeader">
    <w:name w:val="Message Header"/>
    <w:basedOn w:val="Normal"/>
    <w:link w:val="MessageHeaderChar"/>
    <w:uiPriority w:val="99"/>
    <w:semiHidden/>
    <w:unhideWhenUsed/>
    <w:rsid w:val="00FE32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32C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E32C8"/>
    <w:pPr>
      <w:spacing w:after="0" w:line="240" w:lineRule="auto"/>
      <w:jc w:val="both"/>
    </w:pPr>
    <w:rPr>
      <w:rFonts w:ascii="Verdana" w:hAnsi="Verdana"/>
      <w:sz w:val="18"/>
    </w:rPr>
  </w:style>
  <w:style w:type="paragraph" w:styleId="NormalWeb">
    <w:name w:val="Normal (Web)"/>
    <w:basedOn w:val="Normal"/>
    <w:uiPriority w:val="99"/>
    <w:semiHidden/>
    <w:unhideWhenUsed/>
    <w:rsid w:val="00FE32C8"/>
    <w:rPr>
      <w:rFonts w:ascii="Times New Roman" w:hAnsi="Times New Roman" w:cs="Times New Roman"/>
      <w:sz w:val="24"/>
      <w:szCs w:val="24"/>
    </w:rPr>
  </w:style>
  <w:style w:type="paragraph" w:styleId="NormalIndent">
    <w:name w:val="Normal Indent"/>
    <w:basedOn w:val="Normal"/>
    <w:uiPriority w:val="99"/>
    <w:semiHidden/>
    <w:unhideWhenUsed/>
    <w:rsid w:val="00FE32C8"/>
    <w:pPr>
      <w:ind w:left="567"/>
    </w:pPr>
  </w:style>
  <w:style w:type="paragraph" w:styleId="NoteHeading">
    <w:name w:val="Note Heading"/>
    <w:basedOn w:val="Normal"/>
    <w:next w:val="Normal"/>
    <w:link w:val="NoteHeadingChar"/>
    <w:uiPriority w:val="99"/>
    <w:semiHidden/>
    <w:unhideWhenUsed/>
    <w:rsid w:val="00FE32C8"/>
  </w:style>
  <w:style w:type="character" w:customStyle="1" w:styleId="NoteHeadingChar">
    <w:name w:val="Note Heading Char"/>
    <w:basedOn w:val="DefaultParagraphFont"/>
    <w:link w:val="NoteHeading"/>
    <w:uiPriority w:val="99"/>
    <w:semiHidden/>
    <w:rsid w:val="00FE32C8"/>
    <w:rPr>
      <w:rFonts w:ascii="Verdana" w:hAnsi="Verdana"/>
      <w:sz w:val="18"/>
    </w:rPr>
  </w:style>
  <w:style w:type="character" w:styleId="PageNumber">
    <w:name w:val="page number"/>
    <w:basedOn w:val="DefaultParagraphFont"/>
    <w:uiPriority w:val="99"/>
    <w:semiHidden/>
    <w:unhideWhenUsed/>
    <w:rsid w:val="00FE32C8"/>
  </w:style>
  <w:style w:type="character" w:styleId="PlaceholderText">
    <w:name w:val="Placeholder Text"/>
    <w:basedOn w:val="DefaultParagraphFont"/>
    <w:uiPriority w:val="99"/>
    <w:semiHidden/>
    <w:rsid w:val="00FE32C8"/>
    <w:rPr>
      <w:color w:val="808080"/>
    </w:rPr>
  </w:style>
  <w:style w:type="paragraph" w:styleId="PlainText">
    <w:name w:val="Plain Text"/>
    <w:basedOn w:val="Normal"/>
    <w:link w:val="PlainTextChar"/>
    <w:uiPriority w:val="99"/>
    <w:unhideWhenUsed/>
    <w:rsid w:val="00FE32C8"/>
    <w:rPr>
      <w:rFonts w:ascii="Consolas" w:hAnsi="Consolas" w:cs="Consolas"/>
      <w:sz w:val="21"/>
      <w:szCs w:val="21"/>
    </w:rPr>
  </w:style>
  <w:style w:type="character" w:customStyle="1" w:styleId="PlainTextChar">
    <w:name w:val="Plain Text Char"/>
    <w:basedOn w:val="DefaultParagraphFont"/>
    <w:link w:val="PlainText"/>
    <w:uiPriority w:val="99"/>
    <w:rsid w:val="00FE32C8"/>
    <w:rPr>
      <w:rFonts w:ascii="Consolas" w:hAnsi="Consolas" w:cs="Consolas"/>
      <w:sz w:val="21"/>
      <w:szCs w:val="21"/>
    </w:rPr>
  </w:style>
  <w:style w:type="paragraph" w:styleId="Quote">
    <w:name w:val="Quote"/>
    <w:basedOn w:val="Normal"/>
    <w:next w:val="Normal"/>
    <w:link w:val="QuoteChar"/>
    <w:uiPriority w:val="59"/>
    <w:semiHidden/>
    <w:qFormat/>
    <w:rsid w:val="00FE32C8"/>
    <w:rPr>
      <w:i/>
      <w:iCs/>
      <w:color w:val="000000" w:themeColor="text1"/>
    </w:rPr>
  </w:style>
  <w:style w:type="character" w:customStyle="1" w:styleId="QuoteChar">
    <w:name w:val="Quote Char"/>
    <w:basedOn w:val="DefaultParagraphFont"/>
    <w:link w:val="Quote"/>
    <w:uiPriority w:val="59"/>
    <w:semiHidden/>
    <w:rsid w:val="00FE32C8"/>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FE32C8"/>
  </w:style>
  <w:style w:type="character" w:customStyle="1" w:styleId="SalutationChar">
    <w:name w:val="Salutation Char"/>
    <w:basedOn w:val="DefaultParagraphFont"/>
    <w:link w:val="Salutation"/>
    <w:uiPriority w:val="99"/>
    <w:semiHidden/>
    <w:rsid w:val="00FE32C8"/>
    <w:rPr>
      <w:rFonts w:ascii="Verdana" w:hAnsi="Verdana"/>
      <w:sz w:val="18"/>
    </w:rPr>
  </w:style>
  <w:style w:type="paragraph" w:styleId="Signature">
    <w:name w:val="Signature"/>
    <w:basedOn w:val="Normal"/>
    <w:link w:val="SignatureChar"/>
    <w:uiPriority w:val="99"/>
    <w:semiHidden/>
    <w:unhideWhenUsed/>
    <w:rsid w:val="00FE32C8"/>
    <w:pPr>
      <w:ind w:left="4252"/>
    </w:pPr>
  </w:style>
  <w:style w:type="character" w:customStyle="1" w:styleId="SignatureChar">
    <w:name w:val="Signature Char"/>
    <w:basedOn w:val="DefaultParagraphFont"/>
    <w:link w:val="Signature"/>
    <w:uiPriority w:val="99"/>
    <w:semiHidden/>
    <w:rsid w:val="00FE32C8"/>
    <w:rPr>
      <w:rFonts w:ascii="Verdana" w:hAnsi="Verdana"/>
      <w:sz w:val="18"/>
    </w:rPr>
  </w:style>
  <w:style w:type="character" w:styleId="Strong">
    <w:name w:val="Strong"/>
    <w:basedOn w:val="DefaultParagraphFont"/>
    <w:uiPriority w:val="99"/>
    <w:semiHidden/>
    <w:qFormat/>
    <w:rsid w:val="00FE32C8"/>
    <w:rPr>
      <w:b/>
      <w:bCs/>
    </w:rPr>
  </w:style>
  <w:style w:type="character" w:styleId="SubtleEmphasis">
    <w:name w:val="Subtle Emphasis"/>
    <w:basedOn w:val="DefaultParagraphFont"/>
    <w:uiPriority w:val="99"/>
    <w:semiHidden/>
    <w:qFormat/>
    <w:rsid w:val="00FE32C8"/>
    <w:rPr>
      <w:i/>
      <w:iCs/>
      <w:color w:val="808080" w:themeColor="text1" w:themeTint="7F"/>
    </w:rPr>
  </w:style>
  <w:style w:type="character" w:styleId="SubtleReference">
    <w:name w:val="Subtle Reference"/>
    <w:basedOn w:val="DefaultParagraphFont"/>
    <w:uiPriority w:val="99"/>
    <w:semiHidden/>
    <w:qFormat/>
    <w:rsid w:val="00FE32C8"/>
    <w:rPr>
      <w:smallCaps/>
      <w:color w:val="C0504D" w:themeColor="accent2"/>
      <w:u w:val="single"/>
    </w:rPr>
  </w:style>
  <w:style w:type="paragraph" w:styleId="TOAHeading">
    <w:name w:val="toa heading"/>
    <w:basedOn w:val="Normal"/>
    <w:next w:val="Normal"/>
    <w:uiPriority w:val="39"/>
    <w:unhideWhenUsed/>
    <w:rsid w:val="00FE32C8"/>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E32C8"/>
    <w:pPr>
      <w:spacing w:after="240"/>
      <w:jc w:val="center"/>
    </w:pPr>
    <w:rPr>
      <w:rFonts w:eastAsia="Calibri" w:cs="Times New Roman"/>
      <w:color w:val="006283"/>
    </w:rPr>
  </w:style>
  <w:style w:type="paragraph" w:customStyle="1" w:styleId="Query">
    <w:name w:val="Query"/>
    <w:qFormat/>
    <w:rsid w:val="00FE32C8"/>
    <w:pPr>
      <w:numPr>
        <w:numId w:val="10"/>
      </w:numPr>
      <w:spacing w:before="240"/>
      <w:jc w:val="both"/>
    </w:pPr>
    <w:rPr>
      <w:rFonts w:ascii="Verdana" w:hAnsi="Verdana"/>
      <w:sz w:val="18"/>
      <w:u w:val="single"/>
    </w:rPr>
  </w:style>
  <w:style w:type="character" w:styleId="Hashtag">
    <w:name w:val="Hashtag"/>
    <w:basedOn w:val="DefaultParagraphFont"/>
    <w:uiPriority w:val="99"/>
    <w:semiHidden/>
    <w:unhideWhenUsed/>
    <w:rsid w:val="00FE32C8"/>
    <w:rPr>
      <w:color w:val="2B579A"/>
      <w:shd w:val="clear" w:color="auto" w:fill="E1DFDD"/>
    </w:rPr>
  </w:style>
  <w:style w:type="character" w:styleId="Mention">
    <w:name w:val="Mention"/>
    <w:basedOn w:val="DefaultParagraphFont"/>
    <w:uiPriority w:val="99"/>
    <w:semiHidden/>
    <w:unhideWhenUsed/>
    <w:rsid w:val="00FE32C8"/>
    <w:rPr>
      <w:color w:val="2B579A"/>
      <w:shd w:val="clear" w:color="auto" w:fill="E1DFDD"/>
    </w:rPr>
  </w:style>
  <w:style w:type="character" w:styleId="SmartHyperlink">
    <w:name w:val="Smart Hyperlink"/>
    <w:basedOn w:val="DefaultParagraphFont"/>
    <w:uiPriority w:val="99"/>
    <w:semiHidden/>
    <w:unhideWhenUsed/>
    <w:rsid w:val="00FE32C8"/>
    <w:rPr>
      <w:u w:val="dotted"/>
    </w:rPr>
  </w:style>
  <w:style w:type="character" w:styleId="SmartLink">
    <w:name w:val="Smart Link"/>
    <w:basedOn w:val="DefaultParagraphFont"/>
    <w:uiPriority w:val="99"/>
    <w:semiHidden/>
    <w:unhideWhenUsed/>
    <w:rsid w:val="00FE32C8"/>
    <w:rPr>
      <w:color w:val="0000FF"/>
      <w:u w:val="single"/>
      <w:shd w:val="clear" w:color="auto" w:fill="F3F2F1"/>
    </w:rPr>
  </w:style>
  <w:style w:type="character" w:styleId="UnresolvedMention">
    <w:name w:val="Unresolved Mention"/>
    <w:basedOn w:val="DefaultParagraphFont"/>
    <w:uiPriority w:val="99"/>
    <w:semiHidden/>
    <w:unhideWhenUsed/>
    <w:rsid w:val="00FE32C8"/>
    <w:rPr>
      <w:color w:val="605E5C"/>
      <w:shd w:val="clear" w:color="auto" w:fill="E1DFDD"/>
    </w:rPr>
  </w:style>
  <w:style w:type="paragraph" w:customStyle="1" w:styleId="Default">
    <w:name w:val="Default"/>
    <w:rsid w:val="00FE32C8"/>
    <w:pPr>
      <w:autoSpaceDE w:val="0"/>
      <w:autoSpaceDN w:val="0"/>
      <w:adjustRightInd w:val="0"/>
      <w:spacing w:after="0" w:line="240" w:lineRule="auto"/>
    </w:pPr>
    <w:rPr>
      <w:rFonts w:ascii="Times New Roman" w:hAnsi="Times New Roman" w:cs="Times New Roman"/>
      <w:color w:val="000000"/>
      <w:sz w:val="24"/>
      <w:szCs w:val="24"/>
      <w:lang w:val="pt-BR"/>
    </w:rPr>
  </w:style>
  <w:style w:type="table" w:customStyle="1" w:styleId="TabeladeGrade5Escura1">
    <w:name w:val="Tabela de Grade 5 Escura1"/>
    <w:basedOn w:val="TableNormal"/>
    <w:uiPriority w:val="50"/>
    <w:rsid w:val="00FE32C8"/>
    <w:pPr>
      <w:spacing w:after="0" w:line="240" w:lineRule="auto"/>
    </w:pPr>
    <w:rPr>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7Colorida1">
    <w:name w:val="Tabela de Grade 7 Colorida1"/>
    <w:basedOn w:val="TableNormal"/>
    <w:uiPriority w:val="52"/>
    <w:rsid w:val="00FE32C8"/>
    <w:pPr>
      <w:spacing w:after="0" w:line="240" w:lineRule="auto"/>
    </w:pPr>
    <w:rPr>
      <w:color w:val="000000" w:themeColor="text1"/>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Lista41">
    <w:name w:val="Tabela de Lista 41"/>
    <w:basedOn w:val="TableNormal"/>
    <w:uiPriority w:val="49"/>
    <w:rsid w:val="00FE32C8"/>
    <w:pPr>
      <w:spacing w:after="0" w:line="240" w:lineRule="auto"/>
    </w:pPr>
    <w:rPr>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leNormal"/>
    <w:uiPriority w:val="47"/>
    <w:rsid w:val="00FE32C8"/>
    <w:pPr>
      <w:spacing w:after="0" w:line="240" w:lineRule="auto"/>
    </w:pPr>
    <w:rPr>
      <w:lang w:val="pt-B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E32C8"/>
    <w:pPr>
      <w:spacing w:after="0" w:line="240" w:lineRule="auto"/>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Jobs/AG/177.pdf&amp;Open=True"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hyperlink" Target="https://docs.wto.org/dol2fe/Pages/SS/directdoc.aspx?filename=Q:/G/AG/2.pdf&amp;Open=True" TargetMode="External"/><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SS/directdoc.aspx?filename=q:/Jobs/AG/160.pdf&amp;Open=True" TargetMode="External"/><Relationship Id="rId24" Type="http://schemas.openxmlformats.org/officeDocument/2006/relationships/image" Target="media/image12.emf"/><Relationship Id="rId32" Type="http://schemas.openxmlformats.org/officeDocument/2006/relationships/image" Target="media/image15.png"/><Relationship Id="rId37"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36" Type="http://schemas.openxmlformats.org/officeDocument/2006/relationships/image" Target="media/image19.emf"/><Relationship Id="rId10" Type="http://schemas.openxmlformats.org/officeDocument/2006/relationships/hyperlink" Target="https://docs.wto.org/dol2fe/Pages/SS/directdoc.aspx?filename=q:/Jobs/AG/160.pdf&amp;Open=True" TargetMode="External"/><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docs.wto.org/dol2fe/Pages/SS/directdoc.aspx?filename=q:/Jobs/AG/190-01.pdf&amp;Open=True"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18.emf"/></Relationships>
</file>

<file path=word/_rels/footnotes.xml.rels><?xml version="1.0" encoding="UTF-8" standalone="yes"?>
<Relationships xmlns="http://schemas.openxmlformats.org/package/2006/relationships"><Relationship Id="rId8" Type="http://schemas.openxmlformats.org/officeDocument/2006/relationships/hyperlink" Target="https://docs.wto.org/dol2fe/Pages/SS/directdoc.aspx?filename=q:/Jobs/AG/190-01.pdf&amp;Open=True" TargetMode="External"/><Relationship Id="rId3" Type="http://schemas.openxmlformats.org/officeDocument/2006/relationships/hyperlink" Target="https://docs.wto.org/dol2fe/Pages/SS/directdoc.aspx?filename=q:/Jobs/AG/138.pdf&amp;Open=True" TargetMode="External"/><Relationship Id="rId7" Type="http://schemas.openxmlformats.org/officeDocument/2006/relationships/hyperlink" Target="https://docs.wto.org/dol2fe/Pages/SS/directdoc.aspx?filename=q:/Jobs/AG/190-01.pdf&amp;Open=True" TargetMode="External"/><Relationship Id="rId2" Type="http://schemas.openxmlformats.org/officeDocument/2006/relationships/hyperlink" Target="https://doi.org/10.1787/928181a8-en" TargetMode="External"/><Relationship Id="rId1" Type="http://schemas.openxmlformats.org/officeDocument/2006/relationships/hyperlink" Target="https://docs.wto.org/dol2fe/Pages/SS/directdoc.aspx?filename=q:/Jobs/RD-AG/81R1.pdf&amp;Open=True" TargetMode="External"/><Relationship Id="rId6" Type="http://schemas.openxmlformats.org/officeDocument/2006/relationships/hyperlink" Target="https://docs.wto.org/dol2fe/Pages/SS/directdoc.aspx?filename=q:/Jobs/AG/190-01.pdf&amp;Open=True" TargetMode="External"/><Relationship Id="rId5" Type="http://schemas.openxmlformats.org/officeDocument/2006/relationships/hyperlink" Target="https://docs.wto.org/dol2fe/Pages/SS/directdoc.aspx?filename=q:/Jobs/AG/190-01.pdf&amp;Open=True" TargetMode="External"/><Relationship Id="rId10" Type="http://schemas.openxmlformats.org/officeDocument/2006/relationships/hyperlink" Target="https://docs.wto.org/dol2fe/Pages/SS/directdoc.aspx?filename=q:/Jobs/AG/190-01.pdf&amp;Open=True" TargetMode="External"/><Relationship Id="rId4" Type="http://schemas.openxmlformats.org/officeDocument/2006/relationships/hyperlink" Target="https://docs.wto.org/dol2fe/Pages/SS/directdoc.aspx?filename=q:/Jobs/RD-AG/76.pdf&amp;Open=True" TargetMode="External"/><Relationship Id="rId9" Type="http://schemas.openxmlformats.org/officeDocument/2006/relationships/hyperlink" Target="https://docs.wto.org/dol2fe/Pages/SS/directdoc.aspx?filename=q:/Jobs/RD-AG/74.pdf&amp;Open=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525F-AC9C-4BBB-A985-863F4326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25</TotalTime>
  <Pages>17</Pages>
  <Words>3999</Words>
  <Characters>21031</Characters>
  <Application>Microsoft Office Word</Application>
  <DocSecurity>0</DocSecurity>
  <Lines>772</Lines>
  <Paragraphs>509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2021-05-12T14:01:00Z</dcterms:created>
  <dcterms:modified xsi:type="dcterms:W3CDTF">2021-05-17T07:44:00Z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JOB/AG/195</vt:lpwstr>
  </property>
  <property fmtid="{D5CDD505-2E9C-101B-9397-08002B2CF9AE}" pid="3" name="TitusGUID">
    <vt:lpwstr>05f66cab-4967-4561-8d7d-12676fa2155f</vt:lpwstr>
  </property>
  <property fmtid="{D5CDD505-2E9C-101B-9397-08002B2CF9AE}" pid="4" name="WTOCLASSIFICATION">
    <vt:lpwstr>WTO OFFICIAL</vt:lpwstr>
  </property>
</Properties>
</file>