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A09E" w14:textId="0505184D" w:rsidR="00E62DFC" w:rsidRDefault="00A24487" w:rsidP="00E62DFC">
      <w:pPr>
        <w:pStyle w:val="Title"/>
      </w:pPr>
      <w:r>
        <w:t>submission by canada</w:t>
      </w:r>
    </w:p>
    <w:p w14:paraId="259886A3" w14:textId="148348EF" w:rsidR="00A24487" w:rsidRDefault="00E62DFC" w:rsidP="00A24487">
      <w:pPr>
        <w:pStyle w:val="Title2"/>
      </w:pPr>
      <w:r>
        <w:t>transparen</w:t>
      </w:r>
      <w:r w:rsidR="00522A08" w:rsidRPr="00F60CF6">
        <w:t>cy issues in domestic support notifications</w:t>
      </w:r>
    </w:p>
    <w:p w14:paraId="0B91A496" w14:textId="06052EF5" w:rsidR="00A24487" w:rsidRDefault="00A24487" w:rsidP="00A24487">
      <w:pPr>
        <w:rPr>
          <w:lang w:eastAsia="en-GB"/>
        </w:rPr>
      </w:pPr>
      <w:r>
        <w:rPr>
          <w:lang w:eastAsia="en-GB"/>
        </w:rPr>
        <w:t xml:space="preserve">The following submission, dated 12 May 2021, is being circulated at the request of the delegation of </w:t>
      </w:r>
      <w:r w:rsidRPr="00A24487">
        <w:rPr>
          <w:u w:val="single"/>
          <w:lang w:eastAsia="en-GB"/>
        </w:rPr>
        <w:t>Canada</w:t>
      </w:r>
      <w:r>
        <w:rPr>
          <w:lang w:eastAsia="en-GB"/>
        </w:rPr>
        <w:t>.</w:t>
      </w:r>
    </w:p>
    <w:p w14:paraId="1BF9C1AF" w14:textId="5788276C" w:rsidR="00A24487" w:rsidRDefault="00A24487" w:rsidP="00A24487">
      <w:pPr>
        <w:rPr>
          <w:lang w:eastAsia="en-GB"/>
        </w:rPr>
      </w:pPr>
    </w:p>
    <w:p w14:paraId="1D5D33B4" w14:textId="45416557" w:rsidR="00A24487" w:rsidRDefault="00A24487" w:rsidP="00A24487">
      <w:pPr>
        <w:jc w:val="center"/>
        <w:rPr>
          <w:b/>
          <w:lang w:eastAsia="en-GB"/>
        </w:rPr>
      </w:pPr>
      <w:r>
        <w:rPr>
          <w:b/>
          <w:lang w:eastAsia="en-GB"/>
        </w:rPr>
        <w:t>_______________</w:t>
      </w:r>
    </w:p>
    <w:p w14:paraId="78D986F4" w14:textId="4C1B425D" w:rsidR="00A24487" w:rsidRDefault="00A24487" w:rsidP="00A24487">
      <w:pPr>
        <w:rPr>
          <w:lang w:eastAsia="en-GB"/>
        </w:rPr>
      </w:pPr>
    </w:p>
    <w:p w14:paraId="66BD4F30" w14:textId="77777777" w:rsidR="00522A08" w:rsidRPr="00F60CF6" w:rsidRDefault="00522A08" w:rsidP="00522A08"/>
    <w:p w14:paraId="0793CD44" w14:textId="0EF7EF1D" w:rsidR="00522A08" w:rsidRPr="00F60CF6" w:rsidRDefault="00522A08" w:rsidP="00A90193">
      <w:pPr>
        <w:pStyle w:val="introductoryparagraph"/>
      </w:pPr>
      <w:r w:rsidRPr="00F60CF6">
        <w:t>The objective of this paper is to illustrate how various transparency issues in notifications affect Members</w:t>
      </w:r>
      <w:r w:rsidR="008563A7">
        <w:t>'</w:t>
      </w:r>
      <w:r w:rsidRPr="00F60CF6">
        <w:t xml:space="preserve"> ability to analyze and deepen</w:t>
      </w:r>
      <w:r w:rsidRPr="00F60CF6" w:rsidDel="0001158E">
        <w:t xml:space="preserve"> </w:t>
      </w:r>
      <w:r w:rsidRPr="00F60CF6">
        <w:t xml:space="preserve">our understanding of the state of domestic support in agriculture. This paper identifies different types of transparency issues in domestic support notifications and uses an evidence-based approach to quantify their prevalence. The paper also presents the most recent trends in domestic support using </w:t>
      </w:r>
      <w:r w:rsidR="008563A7">
        <w:t>Canada'</w:t>
      </w:r>
      <w:r w:rsidRPr="00F60CF6">
        <w:t>s domestic support analytical tool (</w:t>
      </w:r>
      <w:hyperlink r:id="rId7" w:history="1">
        <w:r w:rsidRPr="008563A7">
          <w:rPr>
            <w:rStyle w:val="Hyperlink"/>
          </w:rPr>
          <w:t>JOB/AG/190</w:t>
        </w:r>
      </w:hyperlink>
      <w:r w:rsidRPr="00F60CF6">
        <w:t>), and looks at the implications of data gaps in analyzing the total amount of domestic support provided by Members and the percentage of Members who are using certain categories of domestic support.</w:t>
      </w:r>
    </w:p>
    <w:p w14:paraId="4C366199" w14:textId="3A5A830B" w:rsidR="00522A08" w:rsidRPr="00F60CF6" w:rsidRDefault="00522A08" w:rsidP="00F44B9F">
      <w:pPr>
        <w:pStyle w:val="Heading1"/>
        <w:numPr>
          <w:ilvl w:val="0"/>
          <w:numId w:val="19"/>
        </w:numPr>
      </w:pPr>
      <w:r w:rsidRPr="00F60CF6">
        <w:t>METHODOLOGY</w:t>
      </w:r>
    </w:p>
    <w:p w14:paraId="5D4B17C0" w14:textId="104E6656" w:rsidR="00522A08" w:rsidRPr="00F60CF6" w:rsidRDefault="00522A08" w:rsidP="00A24487">
      <w:pPr>
        <w:pStyle w:val="BodyText"/>
      </w:pPr>
      <w:r w:rsidRPr="00F60CF6">
        <w:t xml:space="preserve">All data used to conduct this analysis were sourced from </w:t>
      </w:r>
      <w:r w:rsidR="008563A7">
        <w:t>Canada'</w:t>
      </w:r>
      <w:r w:rsidRPr="00F60CF6">
        <w:t>s domestic support analytical tool (</w:t>
      </w:r>
      <w:hyperlink r:id="rId8" w:history="1">
        <w:r w:rsidRPr="008563A7">
          <w:rPr>
            <w:rStyle w:val="Hyperlink"/>
          </w:rPr>
          <w:t>JOB/AG/190</w:t>
        </w:r>
      </w:hyperlink>
      <w:r w:rsidRPr="00F60CF6">
        <w:t xml:space="preserve">). The analytical tool includes all DS:1 notifications submitted by Members as of </w:t>
      </w:r>
      <w:r w:rsidR="008563A7">
        <w:t>17 N</w:t>
      </w:r>
      <w:r w:rsidRPr="00F60CF6">
        <w:t xml:space="preserve">ovember 2020 for the 2001 to 2019 period, as well as additional third party data for exchange rates (International Financial Statistics (IFS)) and for unnotified value of production numbers (FAO). Full methodological details can be found in the Excel worksheet labelled </w:t>
      </w:r>
      <w:r w:rsidRPr="00F60CF6">
        <w:rPr>
          <w:i/>
        </w:rPr>
        <w:t>Info</w:t>
      </w:r>
      <w:r w:rsidRPr="00F60CF6">
        <w:t xml:space="preserve"> in </w:t>
      </w:r>
      <w:hyperlink r:id="rId9" w:history="1">
        <w:r w:rsidRPr="008563A7">
          <w:rPr>
            <w:rStyle w:val="Hyperlink"/>
          </w:rPr>
          <w:t>JOB/AG/190</w:t>
        </w:r>
      </w:hyperlink>
      <w:r w:rsidRPr="00F60CF6">
        <w:t>.</w:t>
      </w:r>
    </w:p>
    <w:p w14:paraId="24DB138B" w14:textId="3D6214D0" w:rsidR="00522A08" w:rsidRPr="00F60CF6" w:rsidRDefault="00522A08" w:rsidP="00F44B9F">
      <w:pPr>
        <w:pStyle w:val="Heading1"/>
      </w:pPr>
      <w:r w:rsidRPr="00F60CF6">
        <w:t>TRANSPARENCY ISSUES AND DATA GAPS</w:t>
      </w:r>
    </w:p>
    <w:p w14:paraId="03897977" w14:textId="3BC8CAAA" w:rsidR="00522A08" w:rsidRPr="00F60CF6" w:rsidRDefault="00522A08" w:rsidP="00A24487">
      <w:pPr>
        <w:pStyle w:val="BodyText"/>
      </w:pPr>
      <w:r w:rsidRPr="00F60CF6">
        <w:t>Notifications provide information on the domestic support practices of WTO Members. Having a large number of Members providing up to date notifications which cover all measures in favo</w:t>
      </w:r>
      <w:r w:rsidR="008563A7">
        <w:t>u</w:t>
      </w:r>
      <w:r w:rsidRPr="00F60CF6">
        <w:t>r of agricultural producers with quality information is vital to the Membership</w:t>
      </w:r>
      <w:r w:rsidR="008563A7">
        <w:t>'</w:t>
      </w:r>
      <w:r w:rsidRPr="00F60CF6">
        <w:t>s collective ability to undertake a thorough assessment of the state of play of domestic support in agriculture.</w:t>
      </w:r>
    </w:p>
    <w:p w14:paraId="4C058606" w14:textId="3C8FC809" w:rsidR="00522A08" w:rsidRPr="00F60CF6" w:rsidRDefault="00522A08" w:rsidP="00F44B9F">
      <w:pPr>
        <w:pStyle w:val="Heading2"/>
        <w:numPr>
          <w:ilvl w:val="1"/>
          <w:numId w:val="20"/>
        </w:numPr>
      </w:pPr>
      <w:r w:rsidRPr="00F60CF6">
        <w:t>Participation in the Notification Process</w:t>
      </w:r>
    </w:p>
    <w:p w14:paraId="0AF36C13" w14:textId="4D848498" w:rsidR="00522A08" w:rsidRPr="00F60CF6" w:rsidRDefault="00522A08" w:rsidP="00A24487">
      <w:pPr>
        <w:pStyle w:val="BodyText"/>
      </w:pPr>
      <w:r w:rsidRPr="00F60CF6">
        <w:t>One of the transparency issues in domestic support can be attributed to Members that have never submitted an annual domestic support notification. Out of 135 Members in 2020</w:t>
      </w:r>
      <w:r w:rsidR="00E62DFC">
        <w:rPr>
          <w:rStyle w:val="FootnoteReference"/>
        </w:rPr>
        <w:footnoteReference w:id="1"/>
      </w:r>
      <w:r w:rsidRPr="00F60CF6">
        <w:t xml:space="preserve">, 34 Members have not submitted a domestic support notification in the 2001–2019 period. This means that assessments on domestic support practices are based on only 75% (or 101) of the Membership. </w:t>
      </w:r>
    </w:p>
    <w:p w14:paraId="4D90644C" w14:textId="72E8005E" w:rsidR="00522A08" w:rsidRPr="00984779" w:rsidRDefault="00522A08" w:rsidP="00A24487">
      <w:pPr>
        <w:pStyle w:val="Caption"/>
        <w:rPr>
          <w:caps/>
        </w:rPr>
      </w:pPr>
      <w:r w:rsidRPr="00A76B54">
        <w:lastRenderedPageBreak/>
        <w:t xml:space="preserve">Figure </w:t>
      </w:r>
      <w:r w:rsidRPr="00A76B54">
        <w:rPr>
          <w:noProof/>
        </w:rPr>
        <w:t>1</w:t>
      </w:r>
      <w:r w:rsidRPr="00A76B54">
        <w:t xml:space="preserve">: Number </w:t>
      </w:r>
      <w:r w:rsidR="00A24487">
        <w:t>o</w:t>
      </w:r>
      <w:r w:rsidRPr="00A76B54">
        <w:t xml:space="preserve">f Members </w:t>
      </w:r>
      <w:r w:rsidR="00A24487">
        <w:t>t</w:t>
      </w:r>
      <w:r w:rsidRPr="00A76B54">
        <w:t xml:space="preserve">hat </w:t>
      </w:r>
      <w:r w:rsidR="00A24487">
        <w:t>s</w:t>
      </w:r>
      <w:r w:rsidRPr="00A76B54">
        <w:t xml:space="preserve">ubmitted </w:t>
      </w:r>
      <w:r w:rsidR="00A24487">
        <w:t>a</w:t>
      </w:r>
      <w:r w:rsidRPr="00A76B54">
        <w:t xml:space="preserve">t </w:t>
      </w:r>
      <w:r w:rsidR="00A24487">
        <w:t>l</w:t>
      </w:r>
      <w:r w:rsidRPr="00A76B54">
        <w:t xml:space="preserve">east </w:t>
      </w:r>
      <w:r w:rsidR="00A24487">
        <w:t>o</w:t>
      </w:r>
      <w:r w:rsidRPr="00A76B54">
        <w:t xml:space="preserve">ne </w:t>
      </w:r>
      <w:r w:rsidR="00A24487">
        <w:t>n</w:t>
      </w:r>
      <w:r w:rsidRPr="00A76B54">
        <w:t xml:space="preserve">otification </w:t>
      </w:r>
      <w:r w:rsidR="00A24487">
        <w:t>s</w:t>
      </w:r>
      <w:r w:rsidRPr="00A76B54">
        <w:t xml:space="preserve">ince 2001, </w:t>
      </w:r>
      <w:r w:rsidR="00A24487">
        <w:t>a</w:t>
      </w:r>
      <w:r w:rsidRPr="00A76B54">
        <w:t xml:space="preserve">s </w:t>
      </w:r>
      <w:r w:rsidR="00A24487">
        <w:t>o</w:t>
      </w:r>
      <w:r w:rsidRPr="00A76B54">
        <w:t xml:space="preserve">f </w:t>
      </w:r>
      <w:r w:rsidR="00A24487">
        <w:t xml:space="preserve">17 </w:t>
      </w:r>
      <w:r w:rsidRPr="00A76B54">
        <w:t>November 2020</w:t>
      </w:r>
    </w:p>
    <w:p w14:paraId="7E36E6A0" w14:textId="77777777" w:rsidR="00522A08" w:rsidRDefault="00522A08" w:rsidP="00351511">
      <w:pPr>
        <w:jc w:val="center"/>
        <w:rPr>
          <w:u w:val="single"/>
        </w:rPr>
      </w:pPr>
      <w:r w:rsidRPr="00522A08">
        <w:rPr>
          <w:noProof/>
        </w:rPr>
        <w:drawing>
          <wp:inline distT="0" distB="0" distL="0" distR="0" wp14:anchorId="0C0DCD2B" wp14:editId="38ACCE92">
            <wp:extent cx="2933065" cy="12585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1258570"/>
                    </a:xfrm>
                    <a:prstGeom prst="rect">
                      <a:avLst/>
                    </a:prstGeom>
                    <a:noFill/>
                    <a:ln>
                      <a:noFill/>
                    </a:ln>
                  </pic:spPr>
                </pic:pic>
              </a:graphicData>
            </a:graphic>
          </wp:inline>
        </w:drawing>
      </w:r>
    </w:p>
    <w:p w14:paraId="2E509E7D" w14:textId="77777777" w:rsidR="00522A08" w:rsidRDefault="00522A08" w:rsidP="00522A08">
      <w:pPr>
        <w:rPr>
          <w:u w:val="single"/>
        </w:rPr>
      </w:pPr>
    </w:p>
    <w:p w14:paraId="3A80325D" w14:textId="1508989D" w:rsidR="00522A08" w:rsidRPr="00D524F1" w:rsidRDefault="00522A08" w:rsidP="00F44B9F">
      <w:pPr>
        <w:pStyle w:val="Heading2"/>
      </w:pPr>
      <w:r w:rsidRPr="00D524F1">
        <w:t>Timeliness of Notifications</w:t>
      </w:r>
    </w:p>
    <w:p w14:paraId="6318EC5B" w14:textId="51FE2F08" w:rsidR="00522A08" w:rsidRDefault="00522A08" w:rsidP="00A24487">
      <w:pPr>
        <w:pStyle w:val="BodyText"/>
      </w:pPr>
      <w:r w:rsidRPr="00D524F1">
        <w:t xml:space="preserve">The timeliness of notifications is a second type of transparency issue that impedes the analysis of domestic support. For the 101 Members who submitted at least one notification since 2001, the median year of their most recent notification was 2016. As of </w:t>
      </w:r>
      <w:r w:rsidR="008563A7">
        <w:t xml:space="preserve">17 </w:t>
      </w:r>
      <w:r w:rsidRPr="00D524F1">
        <w:t xml:space="preserve">November 2020, 16 Members have submitted a notification for notification year 2019 and three Members have not submitted a notification later than notification year 2004. </w:t>
      </w:r>
    </w:p>
    <w:p w14:paraId="4E303F57" w14:textId="70DB0461" w:rsidR="00522A08" w:rsidRDefault="00522A08" w:rsidP="00A24487">
      <w:pPr>
        <w:pStyle w:val="Caption"/>
      </w:pPr>
      <w:r w:rsidRPr="00D524F1">
        <w:t xml:space="preserve">Figure </w:t>
      </w:r>
      <w:r w:rsidRPr="00D524F1">
        <w:rPr>
          <w:noProof/>
        </w:rPr>
        <w:t>2</w:t>
      </w:r>
      <w:r w:rsidRPr="00D524F1">
        <w:t xml:space="preserve">: Distribution of the </w:t>
      </w:r>
      <w:r w:rsidR="00A24487">
        <w:t>n</w:t>
      </w:r>
      <w:r w:rsidRPr="00D524F1">
        <w:t xml:space="preserve">umber of Members by </w:t>
      </w:r>
      <w:r w:rsidR="00A24487">
        <w:t>m</w:t>
      </w:r>
      <w:r w:rsidRPr="00D524F1">
        <w:t xml:space="preserve">ost </w:t>
      </w:r>
      <w:r w:rsidR="00A24487">
        <w:t>r</w:t>
      </w:r>
      <w:r w:rsidRPr="00D524F1">
        <w:t xml:space="preserve">ecent </w:t>
      </w:r>
      <w:r w:rsidR="00A24487">
        <w:t>y</w:t>
      </w:r>
      <w:r w:rsidRPr="00D524F1">
        <w:t xml:space="preserve">ear </w:t>
      </w:r>
      <w:r w:rsidR="00A24487">
        <w:t>o</w:t>
      </w:r>
      <w:r w:rsidRPr="00D524F1">
        <w:t xml:space="preserve">f </w:t>
      </w:r>
      <w:r w:rsidR="008563A7">
        <w:t>D</w:t>
      </w:r>
      <w:r w:rsidRPr="00D524F1">
        <w:t xml:space="preserve">omestic </w:t>
      </w:r>
      <w:r w:rsidR="008563A7">
        <w:t>S</w:t>
      </w:r>
      <w:r w:rsidRPr="00D524F1">
        <w:t xml:space="preserve">upport </w:t>
      </w:r>
      <w:r w:rsidR="00A24487">
        <w:t>n</w:t>
      </w:r>
      <w:r w:rsidRPr="00D524F1">
        <w:t xml:space="preserve">otification, as of </w:t>
      </w:r>
      <w:r w:rsidR="00A24487">
        <w:t xml:space="preserve">17 </w:t>
      </w:r>
      <w:r w:rsidRPr="00D524F1">
        <w:t>November 2020</w:t>
      </w:r>
    </w:p>
    <w:p w14:paraId="050F991F" w14:textId="3192881F" w:rsidR="00522A08" w:rsidRDefault="00522A08" w:rsidP="001B1D5E">
      <w:pPr>
        <w:spacing w:after="240"/>
        <w:jc w:val="center"/>
      </w:pPr>
      <w:r w:rsidRPr="00522A08">
        <w:rPr>
          <w:noProof/>
        </w:rPr>
        <w:drawing>
          <wp:inline distT="0" distB="0" distL="0" distR="0" wp14:anchorId="357DD223" wp14:editId="19242EAE">
            <wp:extent cx="4512310" cy="2172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310" cy="2172970"/>
                    </a:xfrm>
                    <a:prstGeom prst="rect">
                      <a:avLst/>
                    </a:prstGeom>
                    <a:noFill/>
                    <a:ln>
                      <a:noFill/>
                    </a:ln>
                  </pic:spPr>
                </pic:pic>
              </a:graphicData>
            </a:graphic>
          </wp:inline>
        </w:drawing>
      </w:r>
    </w:p>
    <w:p w14:paraId="71159A4A" w14:textId="09869351" w:rsidR="00522A08" w:rsidRPr="00C93FC5" w:rsidRDefault="00522A08" w:rsidP="00A24487">
      <w:pPr>
        <w:pStyle w:val="BodyText"/>
      </w:pPr>
      <w:r w:rsidRPr="00C93FC5">
        <w:t xml:space="preserve">The year selected to describe and assess trends in domestic support will have implications for the quality and completeness of information. As shown on figure 3, the number of DS:1 notifications submitted to the WTO, as of </w:t>
      </w:r>
      <w:r w:rsidR="008563A7">
        <w:t xml:space="preserve">17 </w:t>
      </w:r>
      <w:r w:rsidRPr="00C93FC5">
        <w:t>November 2020, is relatively comparable for the 2001 to 2015 years, but the number of notifications submitted is lower for more recent years. For example, statistics extracted from the year 2016 (i.e., the median for the most recent notifications) will yield outcomes that reflect the notifications of only 63 Members</w:t>
      </w:r>
      <w:r w:rsidR="00E62DFC">
        <w:rPr>
          <w:rStyle w:val="FootnoteReference"/>
        </w:rPr>
        <w:footnoteReference w:id="2"/>
      </w:r>
      <w:r w:rsidRPr="00C93FC5">
        <w:t xml:space="preserve"> (or 62% of the 101 Members having submitted at least one notification). Taking into account the 34 Members who have yet to submit a notification since 2001, these 63 Members represent only 47% of the 135 Members. The further back we go in time, the more comprehensive the results are, as they include a greater number of Members. However, there is a trade-off in respect of whether older notifications can be reflective of the current situation of a Member.</w:t>
      </w:r>
    </w:p>
    <w:p w14:paraId="2653003A" w14:textId="2729CED5" w:rsidR="00522A08" w:rsidRPr="00C93FC5" w:rsidRDefault="00522A08" w:rsidP="00A24487">
      <w:pPr>
        <w:pStyle w:val="Caption"/>
        <w:rPr>
          <w:u w:val="single"/>
        </w:rPr>
      </w:pPr>
      <w:r w:rsidRPr="00C93FC5">
        <w:lastRenderedPageBreak/>
        <w:t xml:space="preserve">Figure </w:t>
      </w:r>
      <w:r w:rsidRPr="00C93FC5">
        <w:rPr>
          <w:noProof/>
        </w:rPr>
        <w:t>3</w:t>
      </w:r>
      <w:r w:rsidRPr="00C93FC5">
        <w:t xml:space="preserve">: Number of Members </w:t>
      </w:r>
      <w:r w:rsidR="00A24487">
        <w:t>t</w:t>
      </w:r>
      <w:r w:rsidRPr="00C93FC5">
        <w:t xml:space="preserve">hat </w:t>
      </w:r>
      <w:r w:rsidR="00A24487">
        <w:t>h</w:t>
      </w:r>
      <w:r w:rsidRPr="00C93FC5">
        <w:t xml:space="preserve">ave </w:t>
      </w:r>
      <w:r w:rsidR="00A24487">
        <w:t>s</w:t>
      </w:r>
      <w:r w:rsidRPr="00C93FC5">
        <w:t xml:space="preserve">ubmitted a DS:1 </w:t>
      </w:r>
      <w:r w:rsidR="00A24487">
        <w:t>n</w:t>
      </w:r>
      <w:r w:rsidRPr="00C93FC5">
        <w:t>otification, 2001</w:t>
      </w:r>
      <w:r w:rsidR="00062C0C">
        <w:t>-</w:t>
      </w:r>
      <w:r w:rsidRPr="00C93FC5">
        <w:t>2019</w:t>
      </w:r>
    </w:p>
    <w:p w14:paraId="27AD6CE3" w14:textId="77777777" w:rsidR="00A24487" w:rsidRDefault="00522A08" w:rsidP="00522A08">
      <w:pPr>
        <w:rPr>
          <w:u w:val="single"/>
        </w:rPr>
      </w:pPr>
      <w:r w:rsidRPr="00522A08">
        <w:rPr>
          <w:noProof/>
        </w:rPr>
        <w:drawing>
          <wp:inline distT="0" distB="0" distL="0" distR="0" wp14:anchorId="7502CD76" wp14:editId="52D86A11">
            <wp:extent cx="5731510" cy="31756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75635"/>
                    </a:xfrm>
                    <a:prstGeom prst="rect">
                      <a:avLst/>
                    </a:prstGeom>
                    <a:noFill/>
                    <a:ln>
                      <a:noFill/>
                    </a:ln>
                  </pic:spPr>
                </pic:pic>
              </a:graphicData>
            </a:graphic>
          </wp:inline>
        </w:drawing>
      </w:r>
    </w:p>
    <w:p w14:paraId="100B37C0" w14:textId="3BCFE65F" w:rsidR="00522A08" w:rsidRPr="005A034D" w:rsidRDefault="00522A08" w:rsidP="00F44B9F">
      <w:pPr>
        <w:pStyle w:val="Heading2"/>
        <w:spacing w:before="240"/>
      </w:pPr>
      <w:r w:rsidRPr="005A034D">
        <w:t>Omitted support from DS:1 Notifications</w:t>
      </w:r>
    </w:p>
    <w:p w14:paraId="19667B6C" w14:textId="30D3B8A9" w:rsidR="00522A08" w:rsidRPr="005A034D" w:rsidRDefault="00522A08" w:rsidP="00A24487">
      <w:pPr>
        <w:pStyle w:val="BodyText"/>
      </w:pPr>
      <w:r w:rsidRPr="005A034D">
        <w:t>Transparency issues can also be found in the domestic support notifications submitted by the WTO Membership. The WTO Trade Policy Review mechanism highlights the differences between the agricultural policies applied by Members and the agricultural policies reported in the domestic support notifications. Notifications of most WTO Members typically underreport domestic support when compared against the agricultural programs identified in the trade policy reviews or a search of a Member</w:t>
      </w:r>
      <w:r w:rsidR="008563A7">
        <w:t>'</w:t>
      </w:r>
      <w:r w:rsidRPr="005A034D">
        <w:t>s website. Many programs and measures are also omitted in the domestic support notifications. This issue is also discussed regularly in the Committee on Agriculture (COA).</w:t>
      </w:r>
      <w:r w:rsidR="00E62DFC">
        <w:rPr>
          <w:rStyle w:val="FootnoteReference"/>
        </w:rPr>
        <w:footnoteReference w:id="3"/>
      </w:r>
      <w:r w:rsidRPr="005A034D">
        <w:t xml:space="preserve"> Some domestic support notifications notably omit some Green Box general services (paragraph 2, Annex</w:t>
      </w:r>
      <w:r w:rsidR="008563A7">
        <w:t> </w:t>
      </w:r>
      <w:r w:rsidRPr="005A034D">
        <w:t>2), such as expenditures related to inspection services, pest and disease control services, or infrastructural services. Other notifications exclude more trade and production related forms of domestic support, including product and non-product specific Amber Box programs, and market price support policies.</w:t>
      </w:r>
    </w:p>
    <w:p w14:paraId="0B999A55" w14:textId="0BA50F4A" w:rsidR="00522A08" w:rsidRDefault="00522A08" w:rsidP="00A24487">
      <w:pPr>
        <w:pStyle w:val="BodyText"/>
      </w:pPr>
      <w:r w:rsidRPr="005A034D">
        <w:t>Perhaps the best indication that Members exclude certain elements of their domestic support policies from notifications is the number of Members that have reported having no support over the years (in both the Green Box and Article 6). This is in contrast to information about agricultural programs that can be found on a Member</w:t>
      </w:r>
      <w:r w:rsidR="008563A7">
        <w:t>'</w:t>
      </w:r>
      <w:r w:rsidRPr="005A034D">
        <w:t>s governmental web site. Between 2001 and 2019, on average 11 Members notified no support in any given year with a high of 17 Members notifying no support in 2002. In total, 20 Members reported no support in at least one year, and a total of 12</w:t>
      </w:r>
      <w:r w:rsidR="008563A7">
        <w:t> </w:t>
      </w:r>
      <w:r w:rsidRPr="005A034D">
        <w:t>Members reported no domestic support in all their notifications between 2001 and 2019.</w:t>
      </w:r>
      <w:r w:rsidR="00E62DFC">
        <w:rPr>
          <w:rStyle w:val="FootnoteReference"/>
        </w:rPr>
        <w:footnoteReference w:id="4"/>
      </w:r>
      <w:r w:rsidRPr="005A034D">
        <w:t xml:space="preserve"> </w:t>
      </w:r>
    </w:p>
    <w:p w14:paraId="1EC255EB" w14:textId="60C323B9" w:rsidR="00522A08" w:rsidRPr="005A034D" w:rsidRDefault="00522A08" w:rsidP="00A24487">
      <w:pPr>
        <w:pStyle w:val="Caption"/>
        <w:rPr>
          <w:rFonts w:eastAsiaTheme="minorHAnsi" w:cstheme="minorBidi"/>
          <w:i/>
          <w:iCs/>
          <w:color w:val="1F497D" w:themeColor="text2"/>
          <w:szCs w:val="18"/>
        </w:rPr>
      </w:pPr>
      <w:r w:rsidRPr="005A034D">
        <w:lastRenderedPageBreak/>
        <w:t xml:space="preserve">Figure </w:t>
      </w:r>
      <w:r w:rsidRPr="005A034D">
        <w:rPr>
          <w:noProof/>
        </w:rPr>
        <w:t>4</w:t>
      </w:r>
      <w:r w:rsidRPr="005A034D">
        <w:t xml:space="preserve">: Number of Members </w:t>
      </w:r>
      <w:r w:rsidR="00A24487">
        <w:t>t</w:t>
      </w:r>
      <w:r w:rsidRPr="005A034D">
        <w:t xml:space="preserve">hat </w:t>
      </w:r>
      <w:r w:rsidR="00A24487">
        <w:t>n</w:t>
      </w:r>
      <w:r w:rsidRPr="005A034D">
        <w:t xml:space="preserve">otified </w:t>
      </w:r>
      <w:r w:rsidR="00A24487">
        <w:t>h</w:t>
      </w:r>
      <w:r w:rsidRPr="005A034D">
        <w:t xml:space="preserve">aving </w:t>
      </w:r>
      <w:r w:rsidR="00A24487">
        <w:t>n</w:t>
      </w:r>
      <w:r w:rsidRPr="005A034D">
        <w:t>o Domestic Support, 2001</w:t>
      </w:r>
      <w:r w:rsidR="00062C0C">
        <w:t>-</w:t>
      </w:r>
      <w:r w:rsidRPr="005A034D">
        <w:t>2019</w:t>
      </w:r>
    </w:p>
    <w:p w14:paraId="33C4E6FB" w14:textId="44022DC3" w:rsidR="00A24487" w:rsidRDefault="00522A08" w:rsidP="001B1D5E">
      <w:pPr>
        <w:spacing w:after="240"/>
        <w:rPr>
          <w:u w:val="single"/>
        </w:rPr>
      </w:pPr>
      <w:r w:rsidRPr="00522A08">
        <w:rPr>
          <w:noProof/>
        </w:rPr>
        <w:drawing>
          <wp:inline distT="0" distB="0" distL="0" distR="0" wp14:anchorId="5E2435EA" wp14:editId="01A8CE62">
            <wp:extent cx="5581650" cy="257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5323"/>
                    <a:stretch/>
                  </pic:blipFill>
                  <pic:spPr bwMode="auto">
                    <a:xfrm>
                      <a:off x="0" y="0"/>
                      <a:ext cx="5581650" cy="2574925"/>
                    </a:xfrm>
                    <a:prstGeom prst="rect">
                      <a:avLst/>
                    </a:prstGeom>
                    <a:noFill/>
                    <a:ln>
                      <a:noFill/>
                    </a:ln>
                    <a:extLst>
                      <a:ext uri="{53640926-AAD7-44D8-BBD7-CCE9431645EC}">
                        <a14:shadowObscured xmlns:a14="http://schemas.microsoft.com/office/drawing/2010/main"/>
                      </a:ext>
                    </a:extLst>
                  </pic:spPr>
                </pic:pic>
              </a:graphicData>
            </a:graphic>
          </wp:inline>
        </w:drawing>
      </w:r>
    </w:p>
    <w:p w14:paraId="48C9F71F" w14:textId="3C76FD08" w:rsidR="00522A08" w:rsidRPr="00D1051A" w:rsidRDefault="00522A08" w:rsidP="00F44B9F">
      <w:pPr>
        <w:pStyle w:val="Heading2"/>
        <w:spacing w:before="120"/>
      </w:pPr>
      <w:r w:rsidRPr="00D1051A">
        <w:t>Quality of Notifications</w:t>
      </w:r>
    </w:p>
    <w:p w14:paraId="071A3370" w14:textId="4B1A350F" w:rsidR="00522A08" w:rsidRPr="00D1051A" w:rsidRDefault="00522A08" w:rsidP="00A24487">
      <w:pPr>
        <w:pStyle w:val="BodyText"/>
        <w:rPr>
          <w:u w:val="single"/>
        </w:rPr>
      </w:pPr>
      <w:r w:rsidRPr="00D1051A">
        <w:t>A significant number of transparency issues are also related to the quality of domestic support notifications notified by Members. A review of notifications and questions posed in the WTO Committee on Agriculture (</w:t>
      </w:r>
      <w:hyperlink r:id="rId14" w:history="1">
        <w:r w:rsidRPr="00062C0C">
          <w:rPr>
            <w:rStyle w:val="Hyperlink"/>
          </w:rPr>
          <w:t>JOB/AG/181</w:t>
        </w:r>
      </w:hyperlink>
      <w:r w:rsidRPr="00D1051A">
        <w:t>) identified many transparency issues related to quality of notifications. This notably includes incomplete descriptions of programs, classification and non-notification issues, data manipulation related to inflation and changes in notified currency, and inconsistencies in how Members notify similar programs. A more accurate and detailed representation of programs in notifications would help to better monitor and analyze the total amount of domestic support provided by Members and the percentage of Members who are using certain categories of domestic support.</w:t>
      </w:r>
    </w:p>
    <w:p w14:paraId="1333F4A1" w14:textId="3660D0A9" w:rsidR="00522A08" w:rsidRPr="00D1051A" w:rsidRDefault="00522A08" w:rsidP="00F44B9F">
      <w:pPr>
        <w:pStyle w:val="Heading2"/>
      </w:pPr>
      <w:r w:rsidRPr="00D1051A">
        <w:t>Relative-Based Analysis: The Importance of Value of Production</w:t>
      </w:r>
    </w:p>
    <w:p w14:paraId="4B3C8D05" w14:textId="77777777" w:rsidR="00522A08" w:rsidRPr="00D1051A" w:rsidRDefault="00522A08" w:rsidP="00A24487">
      <w:pPr>
        <w:pStyle w:val="BodyText"/>
      </w:pPr>
      <w:r w:rsidRPr="00D1051A">
        <w:t xml:space="preserve">To compare the level of agricultural support of Members with an agriculture sector of varying size, it is necessary to have a common basis for comparison. The total agriculture value of production (VOP) remains a generally accessible and standardized source of data to use as a basis for scaling Members domestic support levels against the size of their respective agriculture sector. </w:t>
      </w:r>
    </w:p>
    <w:p w14:paraId="10023D63" w14:textId="6BB48CA5" w:rsidR="00522A08" w:rsidRPr="00D1051A" w:rsidRDefault="00522A08" w:rsidP="00A24487">
      <w:pPr>
        <w:pStyle w:val="Caption"/>
      </w:pPr>
      <w:r w:rsidRPr="00D1051A">
        <w:t xml:space="preserve">Figure 5: Number of Member that </w:t>
      </w:r>
      <w:r w:rsidR="00A24487">
        <w:t>h</w:t>
      </w:r>
      <w:r w:rsidRPr="00D1051A">
        <w:t xml:space="preserve">ave </w:t>
      </w:r>
      <w:r w:rsidR="00A24487">
        <w:t>r</w:t>
      </w:r>
      <w:r w:rsidRPr="00D1051A">
        <w:t xml:space="preserve">eported </w:t>
      </w:r>
      <w:r w:rsidR="00A24487">
        <w:t>t</w:t>
      </w:r>
      <w:r w:rsidRPr="00D1051A">
        <w:t>otal Value of Production, 2001</w:t>
      </w:r>
      <w:r w:rsidR="00062C0C">
        <w:t>-</w:t>
      </w:r>
      <w:r w:rsidRPr="00D1051A">
        <w:t>2019</w:t>
      </w:r>
    </w:p>
    <w:p w14:paraId="19056070" w14:textId="608E30B4" w:rsidR="00A24487" w:rsidRDefault="00767521" w:rsidP="00522A08">
      <w:r>
        <w:rPr>
          <w:noProof/>
        </w:rPr>
        <w:drawing>
          <wp:inline distT="0" distB="0" distL="0" distR="0" wp14:anchorId="49EF5CDB" wp14:editId="04C84C0D">
            <wp:extent cx="5731510" cy="13163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16355"/>
                    </a:xfrm>
                    <a:prstGeom prst="rect">
                      <a:avLst/>
                    </a:prstGeom>
                  </pic:spPr>
                </pic:pic>
              </a:graphicData>
            </a:graphic>
          </wp:inline>
        </w:drawing>
      </w:r>
    </w:p>
    <w:p w14:paraId="151B0879" w14:textId="77777777" w:rsidR="00A24487" w:rsidRDefault="00A24487" w:rsidP="00522A08"/>
    <w:p w14:paraId="5BE24DAA" w14:textId="7C6E221C" w:rsidR="00522A08" w:rsidRPr="00275481" w:rsidRDefault="00522A08" w:rsidP="00A24487">
      <w:pPr>
        <w:pStyle w:val="BodyText"/>
      </w:pPr>
      <w:r w:rsidRPr="00275481">
        <w:t xml:space="preserve">According to the analysis conducted, 57 Members have never reported to the Secretariat or in a notification total value of production for any year since 2001; 28 Members have reported this information for all years; and 16 Members did not consistently reported this information for all </w:t>
      </w:r>
      <w:r w:rsidRPr="00275481">
        <w:lastRenderedPageBreak/>
        <w:t>years.</w:t>
      </w:r>
      <w:r w:rsidR="00E62DFC" w:rsidRPr="00E45DA4">
        <w:rPr>
          <w:rStyle w:val="FootnoteReference"/>
        </w:rPr>
        <w:footnoteReference w:id="5"/>
      </w:r>
      <w:r w:rsidR="00E45DA4" w:rsidRPr="00E45DA4">
        <w:rPr>
          <w:vertAlign w:val="superscript"/>
        </w:rPr>
        <w:t>,</w:t>
      </w:r>
      <w:r w:rsidR="00E45DA4">
        <w:rPr>
          <w:vertAlign w:val="superscript"/>
        </w:rPr>
        <w:t xml:space="preserve"> </w:t>
      </w:r>
      <w:r w:rsidR="00E62DFC">
        <w:rPr>
          <w:rStyle w:val="FootnoteReference"/>
        </w:rPr>
        <w:footnoteReference w:id="6"/>
      </w:r>
      <w:r w:rsidRPr="00275481">
        <w:t xml:space="preserve"> The inclusion of total value of production data in Members</w:t>
      </w:r>
      <w:r w:rsidR="008563A7">
        <w:t>'</w:t>
      </w:r>
      <w:r w:rsidRPr="00275481">
        <w:t xml:space="preserve"> notifications was also analyzed in </w:t>
      </w:r>
      <w:hyperlink r:id="rId16" w:history="1">
        <w:r w:rsidRPr="00062C0C">
          <w:rPr>
            <w:rStyle w:val="Hyperlink"/>
          </w:rPr>
          <w:t>JOB/AG/181</w:t>
        </w:r>
      </w:hyperlink>
      <w:r w:rsidRPr="00275481">
        <w:t xml:space="preserve">. Although total value of production is only required to determine </w:t>
      </w:r>
      <w:r w:rsidRPr="00275481">
        <w:rPr>
          <w:i/>
        </w:rPr>
        <w:t xml:space="preserve">de minimis </w:t>
      </w:r>
      <w:r w:rsidRPr="00275481">
        <w:t xml:space="preserve">when Members notify non-product specific AMS, the WTO would benefit from more Members reporting their total value of production data (even for the Members that do not report non-product specific AMS) in order to avoid having to rely on third-party sources (e.g., the FAO) to compare data on a relative basis. </w:t>
      </w:r>
    </w:p>
    <w:p w14:paraId="13CA652D" w14:textId="77777777" w:rsidR="00522A08" w:rsidRPr="00275481" w:rsidRDefault="00522A08" w:rsidP="00A24487">
      <w:pPr>
        <w:pStyle w:val="BodyText"/>
      </w:pPr>
      <w:r w:rsidRPr="00275481">
        <w:t xml:space="preserve">At the very least, Members who are notifying non-product specific AMS and product-specific AMS should be required to notify total value of production and value of production for each product. This requirement would not create an additional burden since Members would need this data in order to determine </w:t>
      </w:r>
      <w:r w:rsidRPr="00275481">
        <w:rPr>
          <w:i/>
        </w:rPr>
        <w:t>de minimis</w:t>
      </w:r>
      <w:r w:rsidRPr="00275481">
        <w:t xml:space="preserve">. </w:t>
      </w:r>
    </w:p>
    <w:p w14:paraId="569830D5" w14:textId="76C544E7" w:rsidR="00522A08" w:rsidRPr="00275481" w:rsidRDefault="00522A08" w:rsidP="00F44B9F">
      <w:pPr>
        <w:pStyle w:val="Heading1"/>
      </w:pPr>
      <w:r w:rsidRPr="00275481">
        <w:t xml:space="preserve">TOTAL </w:t>
      </w:r>
      <w:r w:rsidR="00644BDD">
        <w:t>DOMESTIC</w:t>
      </w:r>
      <w:r w:rsidRPr="00275481">
        <w:t xml:space="preserve"> SUPPORT</w:t>
      </w:r>
    </w:p>
    <w:p w14:paraId="27965224" w14:textId="05A27768" w:rsidR="00522A08" w:rsidRPr="00275481" w:rsidRDefault="00522A08" w:rsidP="00F44B9F">
      <w:pPr>
        <w:pStyle w:val="Heading2"/>
      </w:pPr>
      <w:r w:rsidRPr="00275481">
        <w:t>Effects of Transparency Issues on Total Domestic Support</w:t>
      </w:r>
    </w:p>
    <w:p w14:paraId="4CDA0518" w14:textId="77777777" w:rsidR="00522A08" w:rsidRPr="00275481" w:rsidRDefault="00522A08" w:rsidP="00A24487">
      <w:pPr>
        <w:pStyle w:val="BodyText"/>
      </w:pPr>
      <w:r w:rsidRPr="00275481">
        <w:t>Our ability to monitor total domestic support (i.e. the sum of all domestic support notified by Members) of the WTO Membership is affected by the transparency issues identified in the first section:</w:t>
      </w:r>
    </w:p>
    <w:p w14:paraId="630257A3" w14:textId="77777777" w:rsidR="00522A08" w:rsidRPr="00275481" w:rsidRDefault="00522A08" w:rsidP="00522A08">
      <w:pPr>
        <w:pStyle w:val="ListParagraph"/>
        <w:numPr>
          <w:ilvl w:val="0"/>
          <w:numId w:val="18"/>
        </w:numPr>
        <w:spacing w:after="160" w:line="259" w:lineRule="auto"/>
      </w:pPr>
      <w:r w:rsidRPr="00275481">
        <w:t xml:space="preserve">the number of Members participating in the notification exercise; </w:t>
      </w:r>
    </w:p>
    <w:p w14:paraId="6BE8F3F6" w14:textId="77777777" w:rsidR="00522A08" w:rsidRPr="00275481" w:rsidRDefault="00522A08" w:rsidP="00522A08">
      <w:pPr>
        <w:pStyle w:val="ListParagraph"/>
        <w:numPr>
          <w:ilvl w:val="0"/>
          <w:numId w:val="18"/>
        </w:numPr>
        <w:spacing w:after="160" w:line="259" w:lineRule="auto"/>
      </w:pPr>
      <w:r w:rsidRPr="00275481">
        <w:t>the delay in notifications;</w:t>
      </w:r>
    </w:p>
    <w:p w14:paraId="62E405D9" w14:textId="77777777" w:rsidR="00522A08" w:rsidRPr="00275481" w:rsidRDefault="00522A08" w:rsidP="00522A08">
      <w:pPr>
        <w:pStyle w:val="ListParagraph"/>
        <w:numPr>
          <w:ilvl w:val="0"/>
          <w:numId w:val="18"/>
        </w:numPr>
        <w:spacing w:after="160" w:line="259" w:lineRule="auto"/>
      </w:pPr>
      <w:r w:rsidRPr="00275481">
        <w:t>omitted support in notifications, and;</w:t>
      </w:r>
    </w:p>
    <w:p w14:paraId="60C13BCF" w14:textId="0503F9E7" w:rsidR="00522A08" w:rsidRPr="00275481" w:rsidRDefault="00522A08" w:rsidP="00522A08">
      <w:pPr>
        <w:pStyle w:val="ListParagraph"/>
        <w:numPr>
          <w:ilvl w:val="0"/>
          <w:numId w:val="18"/>
        </w:numPr>
        <w:spacing w:after="160" w:line="259" w:lineRule="auto"/>
      </w:pPr>
      <w:r w:rsidRPr="00275481">
        <w:t>the quality of the information</w:t>
      </w:r>
      <w:r w:rsidR="00062C0C">
        <w:t>.</w:t>
      </w:r>
    </w:p>
    <w:p w14:paraId="70205634" w14:textId="451CA4BC" w:rsidR="00522A08" w:rsidRPr="00275481" w:rsidRDefault="00522A08" w:rsidP="00E45DA4">
      <w:pPr>
        <w:pStyle w:val="BodyText"/>
        <w:spacing w:before="240"/>
      </w:pPr>
      <w:r w:rsidRPr="00275481">
        <w:t>These issues impair our collective ability to quantify the overall amount and nature of the domestic support Members have provided. The calculated total amounts based on Members</w:t>
      </w:r>
      <w:r w:rsidR="008563A7">
        <w:t>'</w:t>
      </w:r>
      <w:r w:rsidRPr="00275481">
        <w:t xml:space="preserve"> notifications should therefore be seen as the minimum quantifiable value at a specific time and not as fixed and immutable data.</w:t>
      </w:r>
    </w:p>
    <w:p w14:paraId="2397F936" w14:textId="77777777" w:rsidR="00522A08" w:rsidRPr="00275481" w:rsidRDefault="00522A08" w:rsidP="00A24487">
      <w:pPr>
        <w:pStyle w:val="BodyText"/>
      </w:pPr>
      <w:r w:rsidRPr="00275481">
        <w:t xml:space="preserve">Despite transparency issues limiting the full picture of total domestic support, there are findings that reinforce the reliability of domestic support amounts to identify certain trends. </w:t>
      </w:r>
    </w:p>
    <w:p w14:paraId="18404AE3" w14:textId="1F5F3327" w:rsidR="00522A08" w:rsidRPr="00275481" w:rsidRDefault="00522A08" w:rsidP="00A24487">
      <w:pPr>
        <w:pStyle w:val="BodyText"/>
      </w:pPr>
      <w:r w:rsidRPr="00275481">
        <w:t>First, domestic support notified by the ten largest users of domestic support represents over 90%</w:t>
      </w:r>
      <w:r w:rsidR="00E62DFC">
        <w:rPr>
          <w:rStyle w:val="FootnoteReference"/>
        </w:rPr>
        <w:footnoteReference w:id="7"/>
      </w:r>
      <w:r w:rsidRPr="00275481">
        <w:t xml:space="preserve"> of all support notified by Members and these Members</w:t>
      </w:r>
      <w:r w:rsidR="008563A7">
        <w:t>'</w:t>
      </w:r>
      <w:r w:rsidRPr="00275481">
        <w:t xml:space="preserve"> notifications are generally more up-to-date than those of many other Members.</w:t>
      </w:r>
      <w:r w:rsidR="00E62DFC">
        <w:rPr>
          <w:rStyle w:val="FootnoteReference"/>
        </w:rPr>
        <w:footnoteReference w:id="8"/>
      </w:r>
      <w:r w:rsidRPr="00275481">
        <w:t xml:space="preserve"> Given the size of the support provided by the largest users, the relative weight of the missing notifications or omitted support from smaller Members (transparency item a., b., c.) is likely to be too low to have a decisive impact on the overall trend. On the other hand, this means that this metric is reflective of the behavio</w:t>
      </w:r>
      <w:r w:rsidR="008563A7">
        <w:t>u</w:t>
      </w:r>
      <w:r w:rsidRPr="00275481">
        <w:t>r of the largest Members more than smaller Members. Furthermore this also means that the quality of information and omitted support (transparency item c., d.) provided by the largest users of domestic support would have a large impact on this metric.</w:t>
      </w:r>
    </w:p>
    <w:p w14:paraId="758597C4" w14:textId="0963F5E2" w:rsidR="00522A08" w:rsidRPr="00275481" w:rsidRDefault="00522A08" w:rsidP="00A24487">
      <w:pPr>
        <w:pStyle w:val="BodyText"/>
      </w:pPr>
      <w:r w:rsidRPr="00275481">
        <w:t>Second, as it will be demonstrated in section 4, it is rare to observe a change in the type of support reported by a Member. Measures that have already been notified once in a notification tend to be notified in subsequent notifications. This seems to indicate that although there are "gaps" in Members</w:t>
      </w:r>
      <w:r w:rsidR="008563A7">
        <w:t>'</w:t>
      </w:r>
      <w:r w:rsidRPr="00275481">
        <w:t xml:space="preserve"> data, the overall amounts are comparable over time, because they tend to capture evolutions in the same programs over time. Comparability over time remains however sensitive to the quality of information reported by Members.</w:t>
      </w:r>
    </w:p>
    <w:p w14:paraId="211C27FA" w14:textId="1E40BE12" w:rsidR="00522A08" w:rsidRDefault="00522A08" w:rsidP="00F44B9F">
      <w:pPr>
        <w:pStyle w:val="Heading2"/>
      </w:pPr>
      <w:r w:rsidRPr="00275481">
        <w:lastRenderedPageBreak/>
        <w:t>Trends in Total Domestic Support</w:t>
      </w:r>
    </w:p>
    <w:p w14:paraId="50365957" w14:textId="1CFF0D3B" w:rsidR="00522A08" w:rsidRPr="00275481" w:rsidRDefault="00522A08" w:rsidP="00A24487">
      <w:pPr>
        <w:pStyle w:val="Caption"/>
      </w:pPr>
      <w:bookmarkStart w:id="0" w:name="_Ref67046431"/>
      <w:r w:rsidRPr="00275481">
        <w:t xml:space="preserve">Figure </w:t>
      </w:r>
      <w:r w:rsidRPr="00275481">
        <w:rPr>
          <w:noProof/>
        </w:rPr>
        <w:t>6</w:t>
      </w:r>
      <w:bookmarkEnd w:id="0"/>
      <w:r w:rsidRPr="00275481">
        <w:t xml:space="preserve">: Total Support </w:t>
      </w:r>
      <w:r w:rsidR="00A24487">
        <w:t>i</w:t>
      </w:r>
      <w:r w:rsidRPr="00275481">
        <w:t xml:space="preserve">n </w:t>
      </w:r>
      <w:r w:rsidR="00A24487">
        <w:t>a</w:t>
      </w:r>
      <w:r w:rsidRPr="00275481">
        <w:t xml:space="preserve">ll Domestic Support </w:t>
      </w:r>
      <w:r w:rsidR="00A24487">
        <w:t>c</w:t>
      </w:r>
      <w:r w:rsidRPr="00275481">
        <w:t>ategories, 2001</w:t>
      </w:r>
      <w:r w:rsidR="00062C0C">
        <w:t>-</w:t>
      </w:r>
      <w:r w:rsidRPr="00275481">
        <w:t>2019</w:t>
      </w:r>
    </w:p>
    <w:p w14:paraId="7D326E14" w14:textId="5F3D7725" w:rsidR="00644BDD" w:rsidRDefault="00767521" w:rsidP="00522A08">
      <w:r>
        <w:rPr>
          <w:noProof/>
        </w:rPr>
        <w:drawing>
          <wp:inline distT="0" distB="0" distL="0" distR="0" wp14:anchorId="5410A5AD" wp14:editId="26EB3A66">
            <wp:extent cx="5731510" cy="310388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03880"/>
                    </a:xfrm>
                    <a:prstGeom prst="rect">
                      <a:avLst/>
                    </a:prstGeom>
                  </pic:spPr>
                </pic:pic>
              </a:graphicData>
            </a:graphic>
          </wp:inline>
        </w:drawing>
      </w:r>
    </w:p>
    <w:p w14:paraId="690FB457" w14:textId="77777777" w:rsidR="00644BDD" w:rsidRDefault="00644BDD" w:rsidP="00522A08"/>
    <w:p w14:paraId="21B4F047" w14:textId="6F227395" w:rsidR="00522A08" w:rsidRDefault="00522A08" w:rsidP="00644BDD">
      <w:pPr>
        <w:pStyle w:val="BodyText"/>
      </w:pPr>
      <w:r w:rsidRPr="005E72B5">
        <w:t xml:space="preserve">Figure 6 </w:t>
      </w:r>
      <w:r w:rsidR="00062C0C">
        <w:t>–</w:t>
      </w:r>
      <w:r w:rsidRPr="005E72B5">
        <w:t xml:space="preserve"> Total domestic support has been increasing year after year, but the growth has slowed in recent years. Green Box continues to account for the majority of support reported by Members. As shown above, support under the Green Box as a percentage of total domestic support increases year after year.</w:t>
      </w:r>
    </w:p>
    <w:p w14:paraId="3572A65D" w14:textId="111A823A" w:rsidR="00522A08" w:rsidRPr="005E72B5" w:rsidRDefault="00522A08" w:rsidP="00644BDD">
      <w:pPr>
        <w:pStyle w:val="Caption"/>
      </w:pPr>
      <w:bookmarkStart w:id="1" w:name="_Ref67046414"/>
      <w:r w:rsidRPr="005E72B5">
        <w:t xml:space="preserve">Figure </w:t>
      </w:r>
      <w:r w:rsidRPr="005E72B5">
        <w:rPr>
          <w:noProof/>
        </w:rPr>
        <w:t>7</w:t>
      </w:r>
      <w:bookmarkEnd w:id="1"/>
      <w:r w:rsidRPr="005E72B5">
        <w:t xml:space="preserve">: Total Article 6 </w:t>
      </w:r>
      <w:r w:rsidR="00644BDD">
        <w:t>s</w:t>
      </w:r>
      <w:r w:rsidRPr="005E72B5">
        <w:t>upport, 2001</w:t>
      </w:r>
      <w:r w:rsidR="00062C0C">
        <w:t>-</w:t>
      </w:r>
      <w:r w:rsidRPr="005E72B5">
        <w:t>2019</w:t>
      </w:r>
    </w:p>
    <w:p w14:paraId="2383E5ED" w14:textId="28D177DF" w:rsidR="00644BDD" w:rsidRDefault="00767521" w:rsidP="00522A08">
      <w:r>
        <w:rPr>
          <w:noProof/>
        </w:rPr>
        <w:drawing>
          <wp:inline distT="0" distB="0" distL="0" distR="0" wp14:anchorId="06F07EF5" wp14:editId="2079A2AF">
            <wp:extent cx="5731510" cy="304165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41650"/>
                    </a:xfrm>
                    <a:prstGeom prst="rect">
                      <a:avLst/>
                    </a:prstGeom>
                  </pic:spPr>
                </pic:pic>
              </a:graphicData>
            </a:graphic>
          </wp:inline>
        </w:drawing>
      </w:r>
    </w:p>
    <w:p w14:paraId="466A07C8" w14:textId="77777777" w:rsidR="00644BDD" w:rsidRDefault="00644BDD" w:rsidP="00522A08"/>
    <w:p w14:paraId="2053961F" w14:textId="1AEB8FDB" w:rsidR="00522A08" w:rsidRDefault="00522A08" w:rsidP="00644BDD">
      <w:pPr>
        <w:pStyle w:val="BodyText"/>
      </w:pPr>
      <w:r w:rsidRPr="008C6CE9">
        <w:t xml:space="preserve">Figure 7 </w:t>
      </w:r>
      <w:r w:rsidR="00062C0C">
        <w:t>–</w:t>
      </w:r>
      <w:r w:rsidRPr="008C6CE9">
        <w:t xml:space="preserve"> Support under Article 6 has grown at a slower pace than the Green Box since 2001. Since 2008, notified support in Blue Box and under Article 6.2 has been relatively stable. Support notified under the Amber Box (support under Article</w:t>
      </w:r>
      <w:r w:rsidR="00062C0C">
        <w:t>s</w:t>
      </w:r>
      <w:r w:rsidRPr="008C6CE9">
        <w:t xml:space="preserve"> 6.3 and 6.4) has also stabilized in recent years, but has sharply declined in 2016.</w:t>
      </w:r>
    </w:p>
    <w:p w14:paraId="41B2F1A3" w14:textId="48815197" w:rsidR="00522A08" w:rsidRDefault="00522A08" w:rsidP="00644BDD">
      <w:pPr>
        <w:pStyle w:val="Caption"/>
        <w:rPr>
          <w:lang w:val="en-US"/>
        </w:rPr>
      </w:pPr>
      <w:bookmarkStart w:id="2" w:name="_Ref67046379"/>
      <w:r w:rsidRPr="008C6CE9">
        <w:rPr>
          <w:lang w:val="en-US"/>
        </w:rPr>
        <w:lastRenderedPageBreak/>
        <w:t xml:space="preserve">Figure </w:t>
      </w:r>
      <w:r w:rsidRPr="008C6CE9">
        <w:rPr>
          <w:noProof/>
          <w:lang w:val="en-US"/>
        </w:rPr>
        <w:t>8</w:t>
      </w:r>
      <w:bookmarkEnd w:id="2"/>
      <w:r w:rsidRPr="008C6CE9">
        <w:rPr>
          <w:lang w:val="en-US"/>
        </w:rPr>
        <w:t xml:space="preserve">: Total Amber Box, CTAMS and </w:t>
      </w:r>
      <w:r w:rsidR="00644BDD" w:rsidRPr="008563A7">
        <w:rPr>
          <w:i/>
          <w:iCs/>
          <w:lang w:val="en-US"/>
        </w:rPr>
        <w:t>d</w:t>
      </w:r>
      <w:r w:rsidRPr="008563A7">
        <w:rPr>
          <w:i/>
          <w:iCs/>
          <w:lang w:val="en-US"/>
        </w:rPr>
        <w:t>e</w:t>
      </w:r>
      <w:r w:rsidRPr="00644BDD">
        <w:rPr>
          <w:i/>
          <w:iCs/>
          <w:lang w:val="en-US"/>
        </w:rPr>
        <w:t xml:space="preserve"> </w:t>
      </w:r>
      <w:r w:rsidR="00644BDD">
        <w:rPr>
          <w:i/>
          <w:iCs/>
          <w:lang w:val="en-US"/>
        </w:rPr>
        <w:t>m</w:t>
      </w:r>
      <w:r w:rsidRPr="00644BDD">
        <w:rPr>
          <w:i/>
          <w:iCs/>
          <w:lang w:val="en-US"/>
        </w:rPr>
        <w:t>inimis</w:t>
      </w:r>
      <w:r w:rsidRPr="008C6CE9">
        <w:rPr>
          <w:lang w:val="en-US"/>
        </w:rPr>
        <w:t>, 2001</w:t>
      </w:r>
      <w:r w:rsidR="00062C0C">
        <w:rPr>
          <w:lang w:val="en-US"/>
        </w:rPr>
        <w:t>-</w:t>
      </w:r>
      <w:r w:rsidRPr="008C6CE9">
        <w:rPr>
          <w:lang w:val="en-US"/>
        </w:rPr>
        <w:t>2019</w:t>
      </w:r>
    </w:p>
    <w:p w14:paraId="16BE9408" w14:textId="21241D65" w:rsidR="00644BDD" w:rsidRDefault="00767521" w:rsidP="00522A08">
      <w:r>
        <w:rPr>
          <w:noProof/>
        </w:rPr>
        <w:drawing>
          <wp:inline distT="0" distB="0" distL="0" distR="0" wp14:anchorId="018861F2" wp14:editId="1921C466">
            <wp:extent cx="5731510" cy="26403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640330"/>
                    </a:xfrm>
                    <a:prstGeom prst="rect">
                      <a:avLst/>
                    </a:prstGeom>
                  </pic:spPr>
                </pic:pic>
              </a:graphicData>
            </a:graphic>
          </wp:inline>
        </w:drawing>
      </w:r>
    </w:p>
    <w:p w14:paraId="7D00E2F0" w14:textId="77777777" w:rsidR="00644BDD" w:rsidRDefault="00644BDD" w:rsidP="00522A08"/>
    <w:p w14:paraId="72BE87FA" w14:textId="2841BD1E" w:rsidR="00522A08" w:rsidRPr="00907EED" w:rsidRDefault="00522A08" w:rsidP="00644BDD">
      <w:pPr>
        <w:pStyle w:val="BodyText"/>
      </w:pPr>
      <w:r w:rsidRPr="00907EED">
        <w:t xml:space="preserve">Figure 8 - The share of Amber Box support (CTAMS + </w:t>
      </w:r>
      <w:r w:rsidRPr="008563A7">
        <w:rPr>
          <w:i/>
          <w:iCs/>
        </w:rPr>
        <w:t>de minimis</w:t>
      </w:r>
      <w:r w:rsidRPr="00907EED">
        <w:t xml:space="preserve">) notified under the current total AMS (CTAMS) has significantly decreased since 2001. On the other hand, support notified under </w:t>
      </w:r>
      <w:r w:rsidRPr="00907EED">
        <w:rPr>
          <w:i/>
        </w:rPr>
        <w:t>de minimis</w:t>
      </w:r>
      <w:r w:rsidRPr="00907EED">
        <w:t xml:space="preserve"> now represents the majority of Amber Box support. </w:t>
      </w:r>
      <w:bookmarkStart w:id="3" w:name="_Ref67046334"/>
    </w:p>
    <w:p w14:paraId="7247A968" w14:textId="6FEDD79E" w:rsidR="00522A08" w:rsidRPr="00907EED" w:rsidRDefault="00522A08" w:rsidP="00644BDD">
      <w:pPr>
        <w:pStyle w:val="Caption"/>
        <w:rPr>
          <w:lang w:val="en-US"/>
        </w:rPr>
      </w:pPr>
      <w:r w:rsidRPr="00907EED">
        <w:rPr>
          <w:lang w:val="en-US"/>
        </w:rPr>
        <w:t xml:space="preserve">Figure </w:t>
      </w:r>
      <w:r w:rsidRPr="00907EED">
        <w:rPr>
          <w:noProof/>
          <w:lang w:val="en-US"/>
        </w:rPr>
        <w:t>9</w:t>
      </w:r>
      <w:r w:rsidRPr="00907EED">
        <w:rPr>
          <w:lang w:val="en-US"/>
        </w:rPr>
        <w:t xml:space="preserve">: Share of Amber Box </w:t>
      </w:r>
      <w:r w:rsidR="00062C0C">
        <w:t>–</w:t>
      </w:r>
      <w:r w:rsidRPr="00907EED">
        <w:rPr>
          <w:lang w:val="en-US"/>
        </w:rPr>
        <w:t xml:space="preserve"> </w:t>
      </w:r>
      <w:r w:rsidR="00644BDD">
        <w:rPr>
          <w:lang w:val="en-US"/>
        </w:rPr>
        <w:t>n</w:t>
      </w:r>
      <w:r w:rsidRPr="00907EED">
        <w:rPr>
          <w:lang w:val="en-US"/>
        </w:rPr>
        <w:t xml:space="preserve">on </w:t>
      </w:r>
      <w:r w:rsidR="00644BDD">
        <w:rPr>
          <w:lang w:val="en-US"/>
        </w:rPr>
        <w:t>p</w:t>
      </w:r>
      <w:r w:rsidRPr="00907EED">
        <w:rPr>
          <w:lang w:val="en-US"/>
        </w:rPr>
        <w:t>roduct</w:t>
      </w:r>
      <w:r w:rsidR="00062C0C">
        <w:rPr>
          <w:lang w:val="en-US"/>
        </w:rPr>
        <w:t>-</w:t>
      </w:r>
      <w:r w:rsidR="00644BDD">
        <w:rPr>
          <w:lang w:val="en-US"/>
        </w:rPr>
        <w:t>s</w:t>
      </w:r>
      <w:r w:rsidRPr="00907EED">
        <w:rPr>
          <w:lang w:val="en-US"/>
        </w:rPr>
        <w:t xml:space="preserve">pecific AMS vs. </w:t>
      </w:r>
      <w:r w:rsidR="00644BDD">
        <w:rPr>
          <w:lang w:val="en-US"/>
        </w:rPr>
        <w:t>p</w:t>
      </w:r>
      <w:r w:rsidRPr="00907EED">
        <w:rPr>
          <w:lang w:val="en-US"/>
        </w:rPr>
        <w:t>roduct</w:t>
      </w:r>
      <w:r w:rsidR="00062C0C">
        <w:rPr>
          <w:lang w:val="en-US"/>
        </w:rPr>
        <w:t>-</w:t>
      </w:r>
      <w:r w:rsidR="00644BDD">
        <w:rPr>
          <w:lang w:val="en-US"/>
        </w:rPr>
        <w:t>s</w:t>
      </w:r>
      <w:r w:rsidRPr="00907EED">
        <w:rPr>
          <w:lang w:val="en-US"/>
        </w:rPr>
        <w:t>pecific AMS (%), 2001</w:t>
      </w:r>
      <w:r w:rsidR="00062C0C">
        <w:rPr>
          <w:lang w:val="en-US"/>
        </w:rPr>
        <w:t>-</w:t>
      </w:r>
      <w:r w:rsidRPr="00907EED">
        <w:rPr>
          <w:lang w:val="en-US"/>
        </w:rPr>
        <w:t>2019</w:t>
      </w:r>
      <w:bookmarkEnd w:id="3"/>
    </w:p>
    <w:p w14:paraId="02C90E7D" w14:textId="1A892582" w:rsidR="00522A08" w:rsidRDefault="00767521" w:rsidP="00522A08">
      <w:pPr>
        <w:rPr>
          <w:lang w:val="en-US"/>
        </w:rPr>
      </w:pPr>
      <w:r>
        <w:rPr>
          <w:noProof/>
        </w:rPr>
        <w:drawing>
          <wp:inline distT="0" distB="0" distL="0" distR="0" wp14:anchorId="1A70B12A" wp14:editId="37946538">
            <wp:extent cx="5731510" cy="28086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808605"/>
                    </a:xfrm>
                    <a:prstGeom prst="rect">
                      <a:avLst/>
                    </a:prstGeom>
                  </pic:spPr>
                </pic:pic>
              </a:graphicData>
            </a:graphic>
          </wp:inline>
        </w:drawing>
      </w:r>
    </w:p>
    <w:p w14:paraId="321F9EA1" w14:textId="77777777" w:rsidR="00522A08" w:rsidRPr="00522A08" w:rsidRDefault="00522A08" w:rsidP="00522A08">
      <w:pPr>
        <w:rPr>
          <w:sz w:val="16"/>
          <w:lang w:val="en-US"/>
        </w:rPr>
      </w:pPr>
    </w:p>
    <w:p w14:paraId="730ED2F9" w14:textId="2234D7C4" w:rsidR="00E62DFC" w:rsidRPr="00E3377B" w:rsidRDefault="00E62DFC" w:rsidP="00644BDD">
      <w:pPr>
        <w:pStyle w:val="BodyText"/>
      </w:pPr>
      <w:r w:rsidRPr="00E3377B">
        <w:t xml:space="preserve">Figure 9 </w:t>
      </w:r>
      <w:r w:rsidR="00062C0C">
        <w:t>–</w:t>
      </w:r>
      <w:r w:rsidRPr="00E3377B">
        <w:t xml:space="preserve"> The share of Amber Box support reported under product specific AMS has declined since 2001. The product</w:t>
      </w:r>
      <w:r w:rsidR="00062C0C">
        <w:t>-</w:t>
      </w:r>
      <w:r w:rsidRPr="00E3377B">
        <w:t>specific AMS to non</w:t>
      </w:r>
      <w:r w:rsidR="00062C0C">
        <w:t xml:space="preserve"> </w:t>
      </w:r>
      <w:r w:rsidRPr="00E3377B">
        <w:t>product</w:t>
      </w:r>
      <w:r w:rsidR="00062C0C">
        <w:t>-</w:t>
      </w:r>
      <w:r w:rsidRPr="00E3377B">
        <w:t>specific AMS ratio has been relatively stable since 2008.</w:t>
      </w:r>
    </w:p>
    <w:p w14:paraId="1AC09737" w14:textId="08F14DDA" w:rsidR="00E62DFC" w:rsidRPr="00E3377B" w:rsidRDefault="00E62DFC" w:rsidP="00F44B9F">
      <w:pPr>
        <w:pStyle w:val="Heading1"/>
      </w:pPr>
      <w:r w:rsidRPr="00644BDD">
        <w:t>Percentage of Members using certain categories of domestic</w:t>
      </w:r>
      <w:r w:rsidR="00062C0C">
        <w:t xml:space="preserve"> </w:t>
      </w:r>
      <w:r w:rsidRPr="00644BDD">
        <w:t>SUpport</w:t>
      </w:r>
    </w:p>
    <w:p w14:paraId="6975DD17" w14:textId="4F28066E" w:rsidR="00E62DFC" w:rsidRPr="00E3377B" w:rsidRDefault="00E62DFC" w:rsidP="00F44B9F">
      <w:pPr>
        <w:pStyle w:val="Heading2"/>
      </w:pPr>
      <w:r w:rsidRPr="00E3377B">
        <w:t>Effects of Transparency Issues on the Ability to Monitor the Types of Domestic Support Used by Members</w:t>
      </w:r>
    </w:p>
    <w:p w14:paraId="69AF9977" w14:textId="77777777" w:rsidR="00E62DFC" w:rsidRPr="00E3377B" w:rsidRDefault="00E62DFC" w:rsidP="00644BDD">
      <w:pPr>
        <w:pStyle w:val="BodyText"/>
      </w:pPr>
      <w:r w:rsidRPr="00E3377B">
        <w:t xml:space="preserve">The numbers and percentages of Members reporting support under the different categories of support provide a better understanding of the types of support used by Members. The percentage of Members reporting a specific type of support is calculated as the number of Members that have </w:t>
      </w:r>
      <w:r w:rsidRPr="00E3377B">
        <w:lastRenderedPageBreak/>
        <w:t>notified support under that category of support, divided by the number of Members that have submitted a notification for that year. This metric is very sensitive to the data gaps identified in this paper, but reveals details on the practices of all Members that have notified information, regardless of their size. Unlike total support data, the percentage of Members using each type of support can be more impacted by missing notifications, however the direction of this effect is not predetermined (could be positive or negative).</w:t>
      </w:r>
    </w:p>
    <w:p w14:paraId="109F4978" w14:textId="22568109" w:rsidR="00E62DFC" w:rsidRPr="00E3377B" w:rsidRDefault="00E62DFC" w:rsidP="00F44B9F">
      <w:pPr>
        <w:pStyle w:val="Heading2"/>
      </w:pPr>
      <w:r w:rsidRPr="00E3377B">
        <w:t>Trends in the Percentages of Members Reporting Support in each Category</w:t>
      </w:r>
    </w:p>
    <w:p w14:paraId="49D22EE6" w14:textId="77777777" w:rsidR="00E62DFC" w:rsidRPr="00E3377B" w:rsidRDefault="00E62DFC" w:rsidP="00644BDD">
      <w:pPr>
        <w:pStyle w:val="BodyText"/>
      </w:pPr>
      <w:r w:rsidRPr="00E3377B">
        <w:t xml:space="preserve">This section presents a data series on the percentage of Members that reported using certain types of support over the years. The denominator (number of Members) to calculate the percentage of Members reporting support varies every year depending on the number of notifications submitted for that specific year. </w:t>
      </w:r>
    </w:p>
    <w:p w14:paraId="69CA0301" w14:textId="7D9710E6" w:rsidR="00E62DFC" w:rsidRPr="00E3377B" w:rsidRDefault="00E62DFC" w:rsidP="00644BDD">
      <w:pPr>
        <w:pStyle w:val="Caption"/>
        <w:rPr>
          <w:lang w:val="en-US"/>
        </w:rPr>
      </w:pPr>
      <w:bookmarkStart w:id="4" w:name="_Ref67292663"/>
      <w:bookmarkStart w:id="5" w:name="_Ref67292648"/>
      <w:r w:rsidRPr="00E3377B">
        <w:rPr>
          <w:lang w:val="en-US"/>
        </w:rPr>
        <w:t xml:space="preserve">Table </w:t>
      </w:r>
      <w:r w:rsidRPr="00E3377B">
        <w:rPr>
          <w:noProof/>
          <w:lang w:val="en-US"/>
        </w:rPr>
        <w:t>1</w:t>
      </w:r>
      <w:bookmarkEnd w:id="4"/>
      <w:r w:rsidRPr="00E3377B">
        <w:rPr>
          <w:lang w:val="en-US"/>
        </w:rPr>
        <w:t xml:space="preserve">: Percentage of Members reporting support by </w:t>
      </w:r>
      <w:r w:rsidR="00644BDD">
        <w:rPr>
          <w:lang w:val="en-US"/>
        </w:rPr>
        <w:t>m</w:t>
      </w:r>
      <w:r w:rsidRPr="00E3377B">
        <w:rPr>
          <w:lang w:val="en-US"/>
        </w:rPr>
        <w:t xml:space="preserve">ain </w:t>
      </w:r>
      <w:r w:rsidR="00644BDD">
        <w:rPr>
          <w:lang w:val="en-US"/>
        </w:rPr>
        <w:t>c</w:t>
      </w:r>
      <w:r w:rsidRPr="00E3377B">
        <w:rPr>
          <w:lang w:val="en-US"/>
        </w:rPr>
        <w:t>ategories of Domestic</w:t>
      </w:r>
      <w:r w:rsidR="00062C0C">
        <w:rPr>
          <w:lang w:val="en-US"/>
        </w:rPr>
        <w:t> </w:t>
      </w:r>
      <w:r w:rsidRPr="00E3377B">
        <w:rPr>
          <w:lang w:val="en-US"/>
        </w:rPr>
        <w:t>Support, 2001–2019</w:t>
      </w:r>
      <w:bookmarkEnd w:id="5"/>
    </w:p>
    <w:tbl>
      <w:tblPr>
        <w:tblStyle w:val="WTOTable1"/>
        <w:tblW w:w="5000" w:type="pct"/>
        <w:tblLook w:val="04A0" w:firstRow="1" w:lastRow="0" w:firstColumn="1" w:lastColumn="0" w:noHBand="0" w:noVBand="1"/>
      </w:tblPr>
      <w:tblGrid>
        <w:gridCol w:w="1004"/>
        <w:gridCol w:w="2003"/>
        <w:gridCol w:w="2003"/>
        <w:gridCol w:w="2003"/>
        <w:gridCol w:w="2003"/>
      </w:tblGrid>
      <w:tr w:rsidR="00907FAD" w:rsidRPr="00644BDD" w14:paraId="5E385EE5" w14:textId="77777777" w:rsidTr="00351511">
        <w:trPr>
          <w:cnfStyle w:val="100000000000" w:firstRow="1" w:lastRow="0" w:firstColumn="0" w:lastColumn="0" w:oddVBand="0" w:evenVBand="0" w:oddHBand="0" w:evenHBand="0" w:firstRowFirstColumn="0" w:firstRowLastColumn="0" w:lastRowFirstColumn="0" w:lastRowLastColumn="0"/>
          <w:trHeight w:val="255"/>
        </w:trPr>
        <w:tc>
          <w:tcPr>
            <w:tcW w:w="556" w:type="pct"/>
            <w:noWrap/>
            <w:vAlign w:val="center"/>
            <w:hideMark/>
          </w:tcPr>
          <w:p w14:paraId="05E23900" w14:textId="77777777" w:rsidR="00E62DFC" w:rsidRPr="00644BDD" w:rsidRDefault="00E62DFC" w:rsidP="00644BDD">
            <w:pPr>
              <w:jc w:val="center"/>
              <w:rPr>
                <w:sz w:val="16"/>
                <w:szCs w:val="16"/>
              </w:rPr>
            </w:pPr>
          </w:p>
        </w:tc>
        <w:tc>
          <w:tcPr>
            <w:tcW w:w="1111" w:type="pct"/>
            <w:noWrap/>
            <w:vAlign w:val="center"/>
            <w:hideMark/>
          </w:tcPr>
          <w:p w14:paraId="52B15D3C" w14:textId="77777777" w:rsidR="00E62DFC" w:rsidRPr="00644BDD" w:rsidRDefault="00E62DFC" w:rsidP="00644BDD">
            <w:pPr>
              <w:jc w:val="center"/>
              <w:rPr>
                <w:sz w:val="16"/>
                <w:szCs w:val="16"/>
              </w:rPr>
            </w:pPr>
            <w:r w:rsidRPr="00644BDD">
              <w:rPr>
                <w:sz w:val="16"/>
                <w:szCs w:val="16"/>
              </w:rPr>
              <w:t>Amber Box</w:t>
            </w:r>
          </w:p>
        </w:tc>
        <w:tc>
          <w:tcPr>
            <w:tcW w:w="1111" w:type="pct"/>
            <w:vAlign w:val="center"/>
            <w:hideMark/>
          </w:tcPr>
          <w:p w14:paraId="7952B563" w14:textId="77777777" w:rsidR="00E62DFC" w:rsidRPr="00644BDD" w:rsidRDefault="00E62DFC" w:rsidP="00644BDD">
            <w:pPr>
              <w:jc w:val="center"/>
              <w:rPr>
                <w:sz w:val="16"/>
                <w:szCs w:val="16"/>
              </w:rPr>
            </w:pPr>
            <w:r w:rsidRPr="00644BDD">
              <w:rPr>
                <w:sz w:val="16"/>
                <w:szCs w:val="16"/>
              </w:rPr>
              <w:t>Article 6.2*</w:t>
            </w:r>
          </w:p>
        </w:tc>
        <w:tc>
          <w:tcPr>
            <w:tcW w:w="1111" w:type="pct"/>
            <w:noWrap/>
            <w:vAlign w:val="center"/>
            <w:hideMark/>
          </w:tcPr>
          <w:p w14:paraId="75059B0F" w14:textId="77777777" w:rsidR="00E62DFC" w:rsidRPr="00644BDD" w:rsidRDefault="00E62DFC" w:rsidP="00644BDD">
            <w:pPr>
              <w:jc w:val="center"/>
              <w:rPr>
                <w:sz w:val="16"/>
                <w:szCs w:val="16"/>
              </w:rPr>
            </w:pPr>
            <w:r w:rsidRPr="00644BDD">
              <w:rPr>
                <w:sz w:val="16"/>
                <w:szCs w:val="16"/>
              </w:rPr>
              <w:t>Green Box</w:t>
            </w:r>
          </w:p>
        </w:tc>
        <w:tc>
          <w:tcPr>
            <w:tcW w:w="1111" w:type="pct"/>
            <w:vAlign w:val="center"/>
            <w:hideMark/>
          </w:tcPr>
          <w:p w14:paraId="731A97A4" w14:textId="77777777" w:rsidR="00E62DFC" w:rsidRPr="00644BDD" w:rsidRDefault="00E62DFC" w:rsidP="00644BDD">
            <w:pPr>
              <w:jc w:val="center"/>
              <w:rPr>
                <w:sz w:val="16"/>
                <w:szCs w:val="16"/>
              </w:rPr>
            </w:pPr>
            <w:r w:rsidRPr="00644BDD">
              <w:rPr>
                <w:sz w:val="16"/>
                <w:szCs w:val="16"/>
              </w:rPr>
              <w:t>Blue Box</w:t>
            </w:r>
          </w:p>
        </w:tc>
      </w:tr>
      <w:tr w:rsidR="00E62DFC" w:rsidRPr="00644BDD" w14:paraId="02777BF1" w14:textId="77777777" w:rsidTr="00351511">
        <w:trPr>
          <w:trHeight w:val="255"/>
        </w:trPr>
        <w:tc>
          <w:tcPr>
            <w:tcW w:w="556" w:type="pct"/>
            <w:noWrap/>
            <w:vAlign w:val="center"/>
            <w:hideMark/>
          </w:tcPr>
          <w:p w14:paraId="339D5BD2" w14:textId="77777777" w:rsidR="00E62DFC" w:rsidRPr="00644BDD" w:rsidRDefault="00E62DFC" w:rsidP="00644BDD">
            <w:pPr>
              <w:jc w:val="center"/>
              <w:rPr>
                <w:sz w:val="16"/>
                <w:szCs w:val="16"/>
              </w:rPr>
            </w:pPr>
            <w:r w:rsidRPr="00644BDD">
              <w:rPr>
                <w:sz w:val="16"/>
                <w:szCs w:val="16"/>
              </w:rPr>
              <w:t>2001</w:t>
            </w:r>
          </w:p>
        </w:tc>
        <w:tc>
          <w:tcPr>
            <w:tcW w:w="1111" w:type="pct"/>
            <w:noWrap/>
            <w:vAlign w:val="center"/>
            <w:hideMark/>
          </w:tcPr>
          <w:p w14:paraId="36D85EF5" w14:textId="77777777" w:rsidR="00E62DFC" w:rsidRPr="00644BDD" w:rsidRDefault="00E62DFC" w:rsidP="00644BDD">
            <w:pPr>
              <w:jc w:val="center"/>
              <w:rPr>
                <w:sz w:val="16"/>
                <w:szCs w:val="16"/>
              </w:rPr>
            </w:pPr>
            <w:r w:rsidRPr="00644BDD">
              <w:rPr>
                <w:sz w:val="16"/>
                <w:szCs w:val="16"/>
              </w:rPr>
              <w:t>41%</w:t>
            </w:r>
          </w:p>
        </w:tc>
        <w:tc>
          <w:tcPr>
            <w:tcW w:w="1111" w:type="pct"/>
            <w:noWrap/>
            <w:vAlign w:val="center"/>
            <w:hideMark/>
          </w:tcPr>
          <w:p w14:paraId="25BFA46A" w14:textId="77777777" w:rsidR="00E62DFC" w:rsidRPr="00644BDD" w:rsidRDefault="00E62DFC" w:rsidP="00644BDD">
            <w:pPr>
              <w:jc w:val="center"/>
              <w:rPr>
                <w:sz w:val="16"/>
                <w:szCs w:val="16"/>
              </w:rPr>
            </w:pPr>
            <w:r w:rsidRPr="00644BDD">
              <w:rPr>
                <w:sz w:val="16"/>
                <w:szCs w:val="16"/>
              </w:rPr>
              <w:t>45%</w:t>
            </w:r>
          </w:p>
        </w:tc>
        <w:tc>
          <w:tcPr>
            <w:tcW w:w="1111" w:type="pct"/>
            <w:noWrap/>
            <w:vAlign w:val="center"/>
            <w:hideMark/>
          </w:tcPr>
          <w:p w14:paraId="44132DF4" w14:textId="77777777" w:rsidR="00E62DFC" w:rsidRPr="00644BDD" w:rsidRDefault="00E62DFC" w:rsidP="00644BDD">
            <w:pPr>
              <w:jc w:val="center"/>
              <w:rPr>
                <w:sz w:val="16"/>
                <w:szCs w:val="16"/>
              </w:rPr>
            </w:pPr>
            <w:r w:rsidRPr="00644BDD">
              <w:rPr>
                <w:sz w:val="16"/>
                <w:szCs w:val="16"/>
              </w:rPr>
              <w:t>76%</w:t>
            </w:r>
          </w:p>
        </w:tc>
        <w:tc>
          <w:tcPr>
            <w:tcW w:w="1111" w:type="pct"/>
            <w:noWrap/>
            <w:vAlign w:val="center"/>
            <w:hideMark/>
          </w:tcPr>
          <w:p w14:paraId="2ED6D35E" w14:textId="77777777" w:rsidR="00E62DFC" w:rsidRPr="00644BDD" w:rsidRDefault="00E62DFC" w:rsidP="00644BDD">
            <w:pPr>
              <w:jc w:val="center"/>
              <w:rPr>
                <w:sz w:val="16"/>
                <w:szCs w:val="16"/>
              </w:rPr>
            </w:pPr>
            <w:r w:rsidRPr="00644BDD">
              <w:rPr>
                <w:sz w:val="16"/>
                <w:szCs w:val="16"/>
              </w:rPr>
              <w:t>4%</w:t>
            </w:r>
          </w:p>
        </w:tc>
      </w:tr>
      <w:tr w:rsidR="00907FAD" w:rsidRPr="00644BDD" w14:paraId="05E36D52"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3CDA8845" w14:textId="77777777" w:rsidR="00E62DFC" w:rsidRPr="00644BDD" w:rsidRDefault="00E62DFC" w:rsidP="00644BDD">
            <w:pPr>
              <w:jc w:val="center"/>
              <w:rPr>
                <w:sz w:val="16"/>
                <w:szCs w:val="16"/>
              </w:rPr>
            </w:pPr>
            <w:r w:rsidRPr="00644BDD">
              <w:rPr>
                <w:sz w:val="16"/>
                <w:szCs w:val="16"/>
              </w:rPr>
              <w:t>2002</w:t>
            </w:r>
          </w:p>
        </w:tc>
        <w:tc>
          <w:tcPr>
            <w:tcW w:w="1111" w:type="pct"/>
            <w:noWrap/>
            <w:vAlign w:val="center"/>
            <w:hideMark/>
          </w:tcPr>
          <w:p w14:paraId="26AA8FFE" w14:textId="77777777" w:rsidR="00E62DFC" w:rsidRPr="00644BDD" w:rsidRDefault="00E62DFC" w:rsidP="00644BDD">
            <w:pPr>
              <w:jc w:val="center"/>
              <w:rPr>
                <w:sz w:val="16"/>
                <w:szCs w:val="16"/>
              </w:rPr>
            </w:pPr>
            <w:r w:rsidRPr="00644BDD">
              <w:rPr>
                <w:sz w:val="16"/>
                <w:szCs w:val="16"/>
              </w:rPr>
              <w:t>43%</w:t>
            </w:r>
          </w:p>
        </w:tc>
        <w:tc>
          <w:tcPr>
            <w:tcW w:w="1111" w:type="pct"/>
            <w:noWrap/>
            <w:vAlign w:val="center"/>
            <w:hideMark/>
          </w:tcPr>
          <w:p w14:paraId="7862D458" w14:textId="77777777" w:rsidR="00E62DFC" w:rsidRPr="00644BDD" w:rsidRDefault="00E62DFC" w:rsidP="00644BDD">
            <w:pPr>
              <w:jc w:val="center"/>
              <w:rPr>
                <w:sz w:val="16"/>
                <w:szCs w:val="16"/>
              </w:rPr>
            </w:pPr>
            <w:r w:rsidRPr="00644BDD">
              <w:rPr>
                <w:sz w:val="16"/>
                <w:szCs w:val="16"/>
              </w:rPr>
              <w:t>45%</w:t>
            </w:r>
          </w:p>
        </w:tc>
        <w:tc>
          <w:tcPr>
            <w:tcW w:w="1111" w:type="pct"/>
            <w:noWrap/>
            <w:vAlign w:val="center"/>
            <w:hideMark/>
          </w:tcPr>
          <w:p w14:paraId="02792258" w14:textId="77777777" w:rsidR="00E62DFC" w:rsidRPr="00644BDD" w:rsidRDefault="00E62DFC" w:rsidP="00644BDD">
            <w:pPr>
              <w:jc w:val="center"/>
              <w:rPr>
                <w:sz w:val="16"/>
                <w:szCs w:val="16"/>
              </w:rPr>
            </w:pPr>
            <w:r w:rsidRPr="00644BDD">
              <w:rPr>
                <w:sz w:val="16"/>
                <w:szCs w:val="16"/>
              </w:rPr>
              <w:t>75%</w:t>
            </w:r>
          </w:p>
        </w:tc>
        <w:tc>
          <w:tcPr>
            <w:tcW w:w="1111" w:type="pct"/>
            <w:noWrap/>
            <w:vAlign w:val="center"/>
            <w:hideMark/>
          </w:tcPr>
          <w:p w14:paraId="7C272C82" w14:textId="77777777" w:rsidR="00E62DFC" w:rsidRPr="00644BDD" w:rsidRDefault="00E62DFC" w:rsidP="00644BDD">
            <w:pPr>
              <w:jc w:val="center"/>
              <w:rPr>
                <w:sz w:val="16"/>
                <w:szCs w:val="16"/>
              </w:rPr>
            </w:pPr>
            <w:r w:rsidRPr="00644BDD">
              <w:rPr>
                <w:sz w:val="16"/>
                <w:szCs w:val="16"/>
              </w:rPr>
              <w:t>4%</w:t>
            </w:r>
          </w:p>
        </w:tc>
      </w:tr>
      <w:tr w:rsidR="00E62DFC" w:rsidRPr="00644BDD" w14:paraId="13164235" w14:textId="77777777" w:rsidTr="00351511">
        <w:trPr>
          <w:trHeight w:val="255"/>
        </w:trPr>
        <w:tc>
          <w:tcPr>
            <w:tcW w:w="556" w:type="pct"/>
            <w:noWrap/>
            <w:vAlign w:val="center"/>
            <w:hideMark/>
          </w:tcPr>
          <w:p w14:paraId="00E5912D" w14:textId="77777777" w:rsidR="00E62DFC" w:rsidRPr="00644BDD" w:rsidRDefault="00E62DFC" w:rsidP="00644BDD">
            <w:pPr>
              <w:jc w:val="center"/>
              <w:rPr>
                <w:sz w:val="16"/>
                <w:szCs w:val="16"/>
              </w:rPr>
            </w:pPr>
            <w:r w:rsidRPr="00644BDD">
              <w:rPr>
                <w:sz w:val="16"/>
                <w:szCs w:val="16"/>
              </w:rPr>
              <w:t>2003</w:t>
            </w:r>
          </w:p>
        </w:tc>
        <w:tc>
          <w:tcPr>
            <w:tcW w:w="1111" w:type="pct"/>
            <w:noWrap/>
            <w:vAlign w:val="center"/>
            <w:hideMark/>
          </w:tcPr>
          <w:p w14:paraId="01FF092C"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300F9BB4"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61D508A3" w14:textId="77777777" w:rsidR="00E62DFC" w:rsidRPr="00644BDD" w:rsidRDefault="00E62DFC" w:rsidP="00644BDD">
            <w:pPr>
              <w:jc w:val="center"/>
              <w:rPr>
                <w:sz w:val="16"/>
                <w:szCs w:val="16"/>
              </w:rPr>
            </w:pPr>
            <w:r w:rsidRPr="00644BDD">
              <w:rPr>
                <w:sz w:val="16"/>
                <w:szCs w:val="16"/>
              </w:rPr>
              <w:t>82%</w:t>
            </w:r>
          </w:p>
        </w:tc>
        <w:tc>
          <w:tcPr>
            <w:tcW w:w="1111" w:type="pct"/>
            <w:noWrap/>
            <w:vAlign w:val="center"/>
            <w:hideMark/>
          </w:tcPr>
          <w:p w14:paraId="44B94844" w14:textId="77777777" w:rsidR="00E62DFC" w:rsidRPr="00644BDD" w:rsidRDefault="00E62DFC" w:rsidP="00644BDD">
            <w:pPr>
              <w:jc w:val="center"/>
              <w:rPr>
                <w:sz w:val="16"/>
                <w:szCs w:val="16"/>
              </w:rPr>
            </w:pPr>
            <w:r w:rsidRPr="00644BDD">
              <w:rPr>
                <w:sz w:val="16"/>
                <w:szCs w:val="16"/>
              </w:rPr>
              <w:t>4%</w:t>
            </w:r>
          </w:p>
        </w:tc>
      </w:tr>
      <w:tr w:rsidR="00907FAD" w:rsidRPr="00644BDD" w14:paraId="1436C81B"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57F69523" w14:textId="77777777" w:rsidR="00E62DFC" w:rsidRPr="00644BDD" w:rsidRDefault="00E62DFC" w:rsidP="00644BDD">
            <w:pPr>
              <w:jc w:val="center"/>
              <w:rPr>
                <w:sz w:val="16"/>
                <w:szCs w:val="16"/>
              </w:rPr>
            </w:pPr>
            <w:r w:rsidRPr="00644BDD">
              <w:rPr>
                <w:sz w:val="16"/>
                <w:szCs w:val="16"/>
              </w:rPr>
              <w:t>2004</w:t>
            </w:r>
          </w:p>
        </w:tc>
        <w:tc>
          <w:tcPr>
            <w:tcW w:w="1111" w:type="pct"/>
            <w:noWrap/>
            <w:vAlign w:val="center"/>
            <w:hideMark/>
          </w:tcPr>
          <w:p w14:paraId="29C44E29" w14:textId="77777777" w:rsidR="00E62DFC" w:rsidRPr="00644BDD" w:rsidRDefault="00E62DFC" w:rsidP="00644BDD">
            <w:pPr>
              <w:jc w:val="center"/>
              <w:rPr>
                <w:sz w:val="16"/>
                <w:szCs w:val="16"/>
              </w:rPr>
            </w:pPr>
            <w:r w:rsidRPr="00644BDD">
              <w:rPr>
                <w:sz w:val="16"/>
                <w:szCs w:val="16"/>
              </w:rPr>
              <w:t>43%</w:t>
            </w:r>
          </w:p>
        </w:tc>
        <w:tc>
          <w:tcPr>
            <w:tcW w:w="1111" w:type="pct"/>
            <w:noWrap/>
            <w:vAlign w:val="center"/>
            <w:hideMark/>
          </w:tcPr>
          <w:p w14:paraId="6AF74AB1" w14:textId="77777777" w:rsidR="00E62DFC" w:rsidRPr="00644BDD" w:rsidRDefault="00E62DFC" w:rsidP="00644BDD">
            <w:pPr>
              <w:jc w:val="center"/>
              <w:rPr>
                <w:sz w:val="16"/>
                <w:szCs w:val="16"/>
              </w:rPr>
            </w:pPr>
            <w:r w:rsidRPr="00644BDD">
              <w:rPr>
                <w:sz w:val="16"/>
                <w:szCs w:val="16"/>
              </w:rPr>
              <w:t>49%</w:t>
            </w:r>
          </w:p>
        </w:tc>
        <w:tc>
          <w:tcPr>
            <w:tcW w:w="1111" w:type="pct"/>
            <w:noWrap/>
            <w:vAlign w:val="center"/>
            <w:hideMark/>
          </w:tcPr>
          <w:p w14:paraId="2BF9534D" w14:textId="77777777" w:rsidR="00E62DFC" w:rsidRPr="00644BDD" w:rsidRDefault="00E62DFC" w:rsidP="00644BDD">
            <w:pPr>
              <w:jc w:val="center"/>
              <w:rPr>
                <w:sz w:val="16"/>
                <w:szCs w:val="16"/>
              </w:rPr>
            </w:pPr>
            <w:r w:rsidRPr="00644BDD">
              <w:rPr>
                <w:sz w:val="16"/>
                <w:szCs w:val="16"/>
              </w:rPr>
              <w:t>80%</w:t>
            </w:r>
          </w:p>
        </w:tc>
        <w:tc>
          <w:tcPr>
            <w:tcW w:w="1111" w:type="pct"/>
            <w:noWrap/>
            <w:vAlign w:val="center"/>
            <w:hideMark/>
          </w:tcPr>
          <w:p w14:paraId="16FD7323" w14:textId="77777777" w:rsidR="00E62DFC" w:rsidRPr="00644BDD" w:rsidRDefault="00E62DFC" w:rsidP="00644BDD">
            <w:pPr>
              <w:jc w:val="center"/>
              <w:rPr>
                <w:sz w:val="16"/>
                <w:szCs w:val="16"/>
              </w:rPr>
            </w:pPr>
            <w:r w:rsidRPr="00644BDD">
              <w:rPr>
                <w:sz w:val="16"/>
                <w:szCs w:val="16"/>
              </w:rPr>
              <w:t>4%</w:t>
            </w:r>
          </w:p>
        </w:tc>
      </w:tr>
      <w:tr w:rsidR="00E62DFC" w:rsidRPr="00644BDD" w14:paraId="79829687" w14:textId="77777777" w:rsidTr="00351511">
        <w:trPr>
          <w:trHeight w:val="255"/>
        </w:trPr>
        <w:tc>
          <w:tcPr>
            <w:tcW w:w="556" w:type="pct"/>
            <w:noWrap/>
            <w:vAlign w:val="center"/>
            <w:hideMark/>
          </w:tcPr>
          <w:p w14:paraId="14A764BD" w14:textId="77777777" w:rsidR="00E62DFC" w:rsidRPr="00644BDD" w:rsidRDefault="00E62DFC" w:rsidP="00644BDD">
            <w:pPr>
              <w:jc w:val="center"/>
              <w:rPr>
                <w:sz w:val="16"/>
                <w:szCs w:val="16"/>
              </w:rPr>
            </w:pPr>
            <w:r w:rsidRPr="00644BDD">
              <w:rPr>
                <w:sz w:val="16"/>
                <w:szCs w:val="16"/>
              </w:rPr>
              <w:t>2005</w:t>
            </w:r>
          </w:p>
        </w:tc>
        <w:tc>
          <w:tcPr>
            <w:tcW w:w="1111" w:type="pct"/>
            <w:noWrap/>
            <w:vAlign w:val="center"/>
            <w:hideMark/>
          </w:tcPr>
          <w:p w14:paraId="74D07196" w14:textId="77777777" w:rsidR="00E62DFC" w:rsidRPr="00644BDD" w:rsidRDefault="00E62DFC" w:rsidP="00644BDD">
            <w:pPr>
              <w:jc w:val="center"/>
              <w:rPr>
                <w:sz w:val="16"/>
                <w:szCs w:val="16"/>
              </w:rPr>
            </w:pPr>
            <w:r w:rsidRPr="00644BDD">
              <w:rPr>
                <w:sz w:val="16"/>
                <w:szCs w:val="16"/>
              </w:rPr>
              <w:t>42%</w:t>
            </w:r>
          </w:p>
        </w:tc>
        <w:tc>
          <w:tcPr>
            <w:tcW w:w="1111" w:type="pct"/>
            <w:noWrap/>
            <w:vAlign w:val="center"/>
            <w:hideMark/>
          </w:tcPr>
          <w:p w14:paraId="7BA279E8" w14:textId="77777777" w:rsidR="00E62DFC" w:rsidRPr="00644BDD" w:rsidRDefault="00E62DFC" w:rsidP="00644BDD">
            <w:pPr>
              <w:jc w:val="center"/>
              <w:rPr>
                <w:sz w:val="16"/>
                <w:szCs w:val="16"/>
              </w:rPr>
            </w:pPr>
            <w:r w:rsidRPr="00644BDD">
              <w:rPr>
                <w:sz w:val="16"/>
                <w:szCs w:val="16"/>
              </w:rPr>
              <w:t>49%</w:t>
            </w:r>
          </w:p>
        </w:tc>
        <w:tc>
          <w:tcPr>
            <w:tcW w:w="1111" w:type="pct"/>
            <w:noWrap/>
            <w:vAlign w:val="center"/>
            <w:hideMark/>
          </w:tcPr>
          <w:p w14:paraId="232BA135" w14:textId="77777777" w:rsidR="00E62DFC" w:rsidRPr="00644BDD" w:rsidRDefault="00E62DFC" w:rsidP="00644BDD">
            <w:pPr>
              <w:jc w:val="center"/>
              <w:rPr>
                <w:sz w:val="16"/>
                <w:szCs w:val="16"/>
              </w:rPr>
            </w:pPr>
            <w:r w:rsidRPr="00644BDD">
              <w:rPr>
                <w:sz w:val="16"/>
                <w:szCs w:val="16"/>
              </w:rPr>
              <w:t>81%</w:t>
            </w:r>
          </w:p>
        </w:tc>
        <w:tc>
          <w:tcPr>
            <w:tcW w:w="1111" w:type="pct"/>
            <w:noWrap/>
            <w:vAlign w:val="center"/>
            <w:hideMark/>
          </w:tcPr>
          <w:p w14:paraId="5BD445B2" w14:textId="77777777" w:rsidR="00E62DFC" w:rsidRPr="00644BDD" w:rsidRDefault="00E62DFC" w:rsidP="00644BDD">
            <w:pPr>
              <w:jc w:val="center"/>
              <w:rPr>
                <w:sz w:val="16"/>
                <w:szCs w:val="16"/>
              </w:rPr>
            </w:pPr>
            <w:r w:rsidRPr="00644BDD">
              <w:rPr>
                <w:sz w:val="16"/>
                <w:szCs w:val="16"/>
              </w:rPr>
              <w:t>4%</w:t>
            </w:r>
          </w:p>
        </w:tc>
      </w:tr>
      <w:tr w:rsidR="00907FAD" w:rsidRPr="00644BDD" w14:paraId="6D479913"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21D5A338" w14:textId="77777777" w:rsidR="00E62DFC" w:rsidRPr="00644BDD" w:rsidRDefault="00E62DFC" w:rsidP="00644BDD">
            <w:pPr>
              <w:jc w:val="center"/>
              <w:rPr>
                <w:sz w:val="16"/>
                <w:szCs w:val="16"/>
              </w:rPr>
            </w:pPr>
            <w:r w:rsidRPr="00644BDD">
              <w:rPr>
                <w:sz w:val="16"/>
                <w:szCs w:val="16"/>
              </w:rPr>
              <w:t>2006</w:t>
            </w:r>
          </w:p>
        </w:tc>
        <w:tc>
          <w:tcPr>
            <w:tcW w:w="1111" w:type="pct"/>
            <w:noWrap/>
            <w:vAlign w:val="center"/>
            <w:hideMark/>
          </w:tcPr>
          <w:p w14:paraId="1BE35DA8" w14:textId="77777777" w:rsidR="00E62DFC" w:rsidRPr="00644BDD" w:rsidRDefault="00E62DFC" w:rsidP="00644BDD">
            <w:pPr>
              <w:jc w:val="center"/>
              <w:rPr>
                <w:sz w:val="16"/>
                <w:szCs w:val="16"/>
              </w:rPr>
            </w:pPr>
            <w:r w:rsidRPr="00644BDD">
              <w:rPr>
                <w:sz w:val="16"/>
                <w:szCs w:val="16"/>
              </w:rPr>
              <w:t>43%</w:t>
            </w:r>
          </w:p>
        </w:tc>
        <w:tc>
          <w:tcPr>
            <w:tcW w:w="1111" w:type="pct"/>
            <w:noWrap/>
            <w:vAlign w:val="center"/>
            <w:hideMark/>
          </w:tcPr>
          <w:p w14:paraId="7C8CC65A" w14:textId="77777777" w:rsidR="00E62DFC" w:rsidRPr="00644BDD" w:rsidRDefault="00E62DFC" w:rsidP="00644BDD">
            <w:pPr>
              <w:jc w:val="center"/>
              <w:rPr>
                <w:sz w:val="16"/>
                <w:szCs w:val="16"/>
              </w:rPr>
            </w:pPr>
            <w:r w:rsidRPr="00644BDD">
              <w:rPr>
                <w:sz w:val="16"/>
                <w:szCs w:val="16"/>
              </w:rPr>
              <w:t>63%</w:t>
            </w:r>
          </w:p>
        </w:tc>
        <w:tc>
          <w:tcPr>
            <w:tcW w:w="1111" w:type="pct"/>
            <w:noWrap/>
            <w:vAlign w:val="center"/>
            <w:hideMark/>
          </w:tcPr>
          <w:p w14:paraId="3FA2601C" w14:textId="77777777" w:rsidR="00E62DFC" w:rsidRPr="00644BDD" w:rsidRDefault="00E62DFC" w:rsidP="00644BDD">
            <w:pPr>
              <w:jc w:val="center"/>
              <w:rPr>
                <w:sz w:val="16"/>
                <w:szCs w:val="16"/>
              </w:rPr>
            </w:pPr>
            <w:r w:rsidRPr="00644BDD">
              <w:rPr>
                <w:sz w:val="16"/>
                <w:szCs w:val="16"/>
              </w:rPr>
              <w:t>81%</w:t>
            </w:r>
          </w:p>
        </w:tc>
        <w:tc>
          <w:tcPr>
            <w:tcW w:w="1111" w:type="pct"/>
            <w:noWrap/>
            <w:vAlign w:val="center"/>
            <w:hideMark/>
          </w:tcPr>
          <w:p w14:paraId="534DDDEC" w14:textId="77777777" w:rsidR="00E62DFC" w:rsidRPr="00644BDD" w:rsidRDefault="00E62DFC" w:rsidP="00644BDD">
            <w:pPr>
              <w:jc w:val="center"/>
              <w:rPr>
                <w:sz w:val="16"/>
                <w:szCs w:val="16"/>
              </w:rPr>
            </w:pPr>
            <w:r w:rsidRPr="00644BDD">
              <w:rPr>
                <w:sz w:val="16"/>
                <w:szCs w:val="16"/>
              </w:rPr>
              <w:t>5%</w:t>
            </w:r>
          </w:p>
        </w:tc>
      </w:tr>
      <w:tr w:rsidR="00E62DFC" w:rsidRPr="00644BDD" w14:paraId="2213A0AF" w14:textId="77777777" w:rsidTr="00351511">
        <w:trPr>
          <w:trHeight w:val="255"/>
        </w:trPr>
        <w:tc>
          <w:tcPr>
            <w:tcW w:w="556" w:type="pct"/>
            <w:noWrap/>
            <w:vAlign w:val="center"/>
            <w:hideMark/>
          </w:tcPr>
          <w:p w14:paraId="6EC84EC8" w14:textId="77777777" w:rsidR="00E62DFC" w:rsidRPr="00644BDD" w:rsidRDefault="00E62DFC" w:rsidP="00644BDD">
            <w:pPr>
              <w:jc w:val="center"/>
              <w:rPr>
                <w:sz w:val="16"/>
                <w:szCs w:val="16"/>
              </w:rPr>
            </w:pPr>
            <w:r w:rsidRPr="00644BDD">
              <w:rPr>
                <w:sz w:val="16"/>
                <w:szCs w:val="16"/>
              </w:rPr>
              <w:t>2007</w:t>
            </w:r>
          </w:p>
        </w:tc>
        <w:tc>
          <w:tcPr>
            <w:tcW w:w="1111" w:type="pct"/>
            <w:noWrap/>
            <w:vAlign w:val="center"/>
            <w:hideMark/>
          </w:tcPr>
          <w:p w14:paraId="1583499E"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68ABE8B8" w14:textId="77777777" w:rsidR="00E62DFC" w:rsidRPr="00644BDD" w:rsidRDefault="00E62DFC" w:rsidP="00644BDD">
            <w:pPr>
              <w:jc w:val="center"/>
              <w:rPr>
                <w:sz w:val="16"/>
                <w:szCs w:val="16"/>
              </w:rPr>
            </w:pPr>
            <w:r w:rsidRPr="00644BDD">
              <w:rPr>
                <w:sz w:val="16"/>
                <w:szCs w:val="16"/>
              </w:rPr>
              <w:t>52%</w:t>
            </w:r>
          </w:p>
        </w:tc>
        <w:tc>
          <w:tcPr>
            <w:tcW w:w="1111" w:type="pct"/>
            <w:noWrap/>
            <w:vAlign w:val="center"/>
            <w:hideMark/>
          </w:tcPr>
          <w:p w14:paraId="260BCF22" w14:textId="77777777" w:rsidR="00E62DFC" w:rsidRPr="00644BDD" w:rsidRDefault="00E62DFC" w:rsidP="00644BDD">
            <w:pPr>
              <w:jc w:val="center"/>
              <w:rPr>
                <w:sz w:val="16"/>
                <w:szCs w:val="16"/>
              </w:rPr>
            </w:pPr>
            <w:r w:rsidRPr="00644BDD">
              <w:rPr>
                <w:sz w:val="16"/>
                <w:szCs w:val="16"/>
              </w:rPr>
              <w:t>84%</w:t>
            </w:r>
          </w:p>
        </w:tc>
        <w:tc>
          <w:tcPr>
            <w:tcW w:w="1111" w:type="pct"/>
            <w:noWrap/>
            <w:vAlign w:val="center"/>
            <w:hideMark/>
          </w:tcPr>
          <w:p w14:paraId="2E162198" w14:textId="77777777" w:rsidR="00E62DFC" w:rsidRPr="00644BDD" w:rsidRDefault="00E62DFC" w:rsidP="00644BDD">
            <w:pPr>
              <w:jc w:val="center"/>
              <w:rPr>
                <w:sz w:val="16"/>
                <w:szCs w:val="16"/>
              </w:rPr>
            </w:pPr>
            <w:r w:rsidRPr="00644BDD">
              <w:rPr>
                <w:sz w:val="16"/>
                <w:szCs w:val="16"/>
              </w:rPr>
              <w:t>5%</w:t>
            </w:r>
          </w:p>
        </w:tc>
      </w:tr>
      <w:tr w:rsidR="00907FAD" w:rsidRPr="00644BDD" w14:paraId="55CAED31"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66081298" w14:textId="77777777" w:rsidR="00E62DFC" w:rsidRPr="00644BDD" w:rsidRDefault="00E62DFC" w:rsidP="00644BDD">
            <w:pPr>
              <w:jc w:val="center"/>
              <w:rPr>
                <w:sz w:val="16"/>
                <w:szCs w:val="16"/>
              </w:rPr>
            </w:pPr>
            <w:r w:rsidRPr="00644BDD">
              <w:rPr>
                <w:sz w:val="16"/>
                <w:szCs w:val="16"/>
              </w:rPr>
              <w:t>2008</w:t>
            </w:r>
          </w:p>
        </w:tc>
        <w:tc>
          <w:tcPr>
            <w:tcW w:w="1111" w:type="pct"/>
            <w:noWrap/>
            <w:vAlign w:val="center"/>
            <w:hideMark/>
          </w:tcPr>
          <w:p w14:paraId="5EBE33D3"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41D700FD" w14:textId="77777777" w:rsidR="00E62DFC" w:rsidRPr="00644BDD" w:rsidRDefault="00E62DFC" w:rsidP="00644BDD">
            <w:pPr>
              <w:jc w:val="center"/>
              <w:rPr>
                <w:sz w:val="16"/>
                <w:szCs w:val="16"/>
              </w:rPr>
            </w:pPr>
            <w:r w:rsidRPr="00644BDD">
              <w:rPr>
                <w:sz w:val="16"/>
                <w:szCs w:val="16"/>
              </w:rPr>
              <w:t>51%</w:t>
            </w:r>
          </w:p>
        </w:tc>
        <w:tc>
          <w:tcPr>
            <w:tcW w:w="1111" w:type="pct"/>
            <w:noWrap/>
            <w:vAlign w:val="center"/>
            <w:hideMark/>
          </w:tcPr>
          <w:p w14:paraId="704DD3DB" w14:textId="77777777" w:rsidR="00E62DFC" w:rsidRPr="00644BDD" w:rsidRDefault="00E62DFC" w:rsidP="00644BDD">
            <w:pPr>
              <w:jc w:val="center"/>
              <w:rPr>
                <w:sz w:val="16"/>
                <w:szCs w:val="16"/>
              </w:rPr>
            </w:pPr>
            <w:r w:rsidRPr="00644BDD">
              <w:rPr>
                <w:sz w:val="16"/>
                <w:szCs w:val="16"/>
              </w:rPr>
              <w:t>84%</w:t>
            </w:r>
          </w:p>
        </w:tc>
        <w:tc>
          <w:tcPr>
            <w:tcW w:w="1111" w:type="pct"/>
            <w:noWrap/>
            <w:vAlign w:val="center"/>
            <w:hideMark/>
          </w:tcPr>
          <w:p w14:paraId="74C5729D" w14:textId="77777777" w:rsidR="00E62DFC" w:rsidRPr="00644BDD" w:rsidRDefault="00E62DFC" w:rsidP="00644BDD">
            <w:pPr>
              <w:jc w:val="center"/>
              <w:rPr>
                <w:sz w:val="16"/>
                <w:szCs w:val="16"/>
              </w:rPr>
            </w:pPr>
            <w:r w:rsidRPr="00644BDD">
              <w:rPr>
                <w:sz w:val="16"/>
                <w:szCs w:val="16"/>
              </w:rPr>
              <w:t>5%</w:t>
            </w:r>
          </w:p>
        </w:tc>
      </w:tr>
      <w:tr w:rsidR="00E62DFC" w:rsidRPr="00644BDD" w14:paraId="21A62B9B" w14:textId="77777777" w:rsidTr="00351511">
        <w:trPr>
          <w:trHeight w:val="255"/>
        </w:trPr>
        <w:tc>
          <w:tcPr>
            <w:tcW w:w="556" w:type="pct"/>
            <w:noWrap/>
            <w:vAlign w:val="center"/>
            <w:hideMark/>
          </w:tcPr>
          <w:p w14:paraId="64FA49E3" w14:textId="77777777" w:rsidR="00E62DFC" w:rsidRPr="00644BDD" w:rsidRDefault="00E62DFC" w:rsidP="00644BDD">
            <w:pPr>
              <w:jc w:val="center"/>
              <w:rPr>
                <w:sz w:val="16"/>
                <w:szCs w:val="16"/>
              </w:rPr>
            </w:pPr>
            <w:r w:rsidRPr="00644BDD">
              <w:rPr>
                <w:sz w:val="16"/>
                <w:szCs w:val="16"/>
              </w:rPr>
              <w:t>2009</w:t>
            </w:r>
          </w:p>
        </w:tc>
        <w:tc>
          <w:tcPr>
            <w:tcW w:w="1111" w:type="pct"/>
            <w:noWrap/>
            <w:vAlign w:val="center"/>
            <w:hideMark/>
          </w:tcPr>
          <w:p w14:paraId="70F1888A"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7D1018BB" w14:textId="77777777" w:rsidR="00E62DFC" w:rsidRPr="00644BDD" w:rsidRDefault="00E62DFC" w:rsidP="00644BDD">
            <w:pPr>
              <w:jc w:val="center"/>
              <w:rPr>
                <w:sz w:val="16"/>
                <w:szCs w:val="16"/>
              </w:rPr>
            </w:pPr>
            <w:r w:rsidRPr="00644BDD">
              <w:rPr>
                <w:sz w:val="16"/>
                <w:szCs w:val="16"/>
              </w:rPr>
              <w:t>48%</w:t>
            </w:r>
          </w:p>
        </w:tc>
        <w:tc>
          <w:tcPr>
            <w:tcW w:w="1111" w:type="pct"/>
            <w:noWrap/>
            <w:vAlign w:val="center"/>
            <w:hideMark/>
          </w:tcPr>
          <w:p w14:paraId="6D91AED9" w14:textId="77777777" w:rsidR="00E62DFC" w:rsidRPr="00644BDD" w:rsidRDefault="00E62DFC" w:rsidP="00644BDD">
            <w:pPr>
              <w:jc w:val="center"/>
              <w:rPr>
                <w:sz w:val="16"/>
                <w:szCs w:val="16"/>
              </w:rPr>
            </w:pPr>
            <w:r w:rsidRPr="00644BDD">
              <w:rPr>
                <w:sz w:val="16"/>
                <w:szCs w:val="16"/>
              </w:rPr>
              <w:t>81%</w:t>
            </w:r>
          </w:p>
        </w:tc>
        <w:tc>
          <w:tcPr>
            <w:tcW w:w="1111" w:type="pct"/>
            <w:noWrap/>
            <w:vAlign w:val="center"/>
            <w:hideMark/>
          </w:tcPr>
          <w:p w14:paraId="08EDB0D9" w14:textId="77777777" w:rsidR="00E62DFC" w:rsidRPr="00644BDD" w:rsidRDefault="00E62DFC" w:rsidP="00644BDD">
            <w:pPr>
              <w:jc w:val="center"/>
              <w:rPr>
                <w:sz w:val="16"/>
                <w:szCs w:val="16"/>
              </w:rPr>
            </w:pPr>
            <w:r w:rsidRPr="00644BDD">
              <w:rPr>
                <w:sz w:val="16"/>
                <w:szCs w:val="16"/>
              </w:rPr>
              <w:t>5%</w:t>
            </w:r>
          </w:p>
        </w:tc>
      </w:tr>
      <w:tr w:rsidR="00907FAD" w:rsidRPr="00644BDD" w14:paraId="73FBE8D9"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7EE3AAAD" w14:textId="77777777" w:rsidR="00E62DFC" w:rsidRPr="00644BDD" w:rsidRDefault="00E62DFC" w:rsidP="00644BDD">
            <w:pPr>
              <w:jc w:val="center"/>
              <w:rPr>
                <w:sz w:val="16"/>
                <w:szCs w:val="16"/>
              </w:rPr>
            </w:pPr>
            <w:r w:rsidRPr="00644BDD">
              <w:rPr>
                <w:sz w:val="16"/>
                <w:szCs w:val="16"/>
              </w:rPr>
              <w:t>2010</w:t>
            </w:r>
          </w:p>
        </w:tc>
        <w:tc>
          <w:tcPr>
            <w:tcW w:w="1111" w:type="pct"/>
            <w:noWrap/>
            <w:vAlign w:val="center"/>
            <w:hideMark/>
          </w:tcPr>
          <w:p w14:paraId="7F17B916" w14:textId="77777777" w:rsidR="00E62DFC" w:rsidRPr="00644BDD" w:rsidRDefault="00E62DFC" w:rsidP="00644BDD">
            <w:pPr>
              <w:jc w:val="center"/>
              <w:rPr>
                <w:sz w:val="16"/>
                <w:szCs w:val="16"/>
              </w:rPr>
            </w:pPr>
            <w:r w:rsidRPr="00644BDD">
              <w:rPr>
                <w:sz w:val="16"/>
                <w:szCs w:val="16"/>
              </w:rPr>
              <w:t>42%</w:t>
            </w:r>
          </w:p>
        </w:tc>
        <w:tc>
          <w:tcPr>
            <w:tcW w:w="1111" w:type="pct"/>
            <w:noWrap/>
            <w:vAlign w:val="center"/>
            <w:hideMark/>
          </w:tcPr>
          <w:p w14:paraId="4C248624" w14:textId="77777777" w:rsidR="00E62DFC" w:rsidRPr="00644BDD" w:rsidRDefault="00E62DFC" w:rsidP="00644BDD">
            <w:pPr>
              <w:jc w:val="center"/>
              <w:rPr>
                <w:sz w:val="16"/>
                <w:szCs w:val="16"/>
              </w:rPr>
            </w:pPr>
            <w:r w:rsidRPr="00644BDD">
              <w:rPr>
                <w:sz w:val="16"/>
                <w:szCs w:val="16"/>
              </w:rPr>
              <w:t>46%</w:t>
            </w:r>
          </w:p>
        </w:tc>
        <w:tc>
          <w:tcPr>
            <w:tcW w:w="1111" w:type="pct"/>
            <w:noWrap/>
            <w:vAlign w:val="center"/>
            <w:hideMark/>
          </w:tcPr>
          <w:p w14:paraId="303AE460" w14:textId="77777777" w:rsidR="00E62DFC" w:rsidRPr="00644BDD" w:rsidRDefault="00E62DFC" w:rsidP="00644BDD">
            <w:pPr>
              <w:jc w:val="center"/>
              <w:rPr>
                <w:sz w:val="16"/>
                <w:szCs w:val="16"/>
              </w:rPr>
            </w:pPr>
            <w:r w:rsidRPr="00644BDD">
              <w:rPr>
                <w:sz w:val="16"/>
                <w:szCs w:val="16"/>
              </w:rPr>
              <w:t>84%</w:t>
            </w:r>
          </w:p>
        </w:tc>
        <w:tc>
          <w:tcPr>
            <w:tcW w:w="1111" w:type="pct"/>
            <w:noWrap/>
            <w:vAlign w:val="center"/>
            <w:hideMark/>
          </w:tcPr>
          <w:p w14:paraId="5E5813C9" w14:textId="77777777" w:rsidR="00E62DFC" w:rsidRPr="00644BDD" w:rsidRDefault="00E62DFC" w:rsidP="00644BDD">
            <w:pPr>
              <w:jc w:val="center"/>
              <w:rPr>
                <w:sz w:val="16"/>
                <w:szCs w:val="16"/>
              </w:rPr>
            </w:pPr>
            <w:r w:rsidRPr="00644BDD">
              <w:rPr>
                <w:sz w:val="16"/>
                <w:szCs w:val="16"/>
              </w:rPr>
              <w:t>5%</w:t>
            </w:r>
          </w:p>
        </w:tc>
      </w:tr>
      <w:tr w:rsidR="00E62DFC" w:rsidRPr="00644BDD" w14:paraId="01966602" w14:textId="77777777" w:rsidTr="00351511">
        <w:trPr>
          <w:trHeight w:val="255"/>
        </w:trPr>
        <w:tc>
          <w:tcPr>
            <w:tcW w:w="556" w:type="pct"/>
            <w:noWrap/>
            <w:vAlign w:val="center"/>
            <w:hideMark/>
          </w:tcPr>
          <w:p w14:paraId="2220BD14" w14:textId="77777777" w:rsidR="00E62DFC" w:rsidRPr="00644BDD" w:rsidRDefault="00E62DFC" w:rsidP="00644BDD">
            <w:pPr>
              <w:jc w:val="center"/>
              <w:rPr>
                <w:sz w:val="16"/>
                <w:szCs w:val="16"/>
              </w:rPr>
            </w:pPr>
            <w:r w:rsidRPr="00644BDD">
              <w:rPr>
                <w:sz w:val="16"/>
                <w:szCs w:val="16"/>
              </w:rPr>
              <w:t>2011</w:t>
            </w:r>
          </w:p>
        </w:tc>
        <w:tc>
          <w:tcPr>
            <w:tcW w:w="1111" w:type="pct"/>
            <w:noWrap/>
            <w:vAlign w:val="center"/>
            <w:hideMark/>
          </w:tcPr>
          <w:p w14:paraId="5D025FA3" w14:textId="77777777" w:rsidR="00E62DFC" w:rsidRPr="00644BDD" w:rsidRDefault="00E62DFC" w:rsidP="00644BDD">
            <w:pPr>
              <w:jc w:val="center"/>
              <w:rPr>
                <w:sz w:val="16"/>
                <w:szCs w:val="16"/>
              </w:rPr>
            </w:pPr>
            <w:r w:rsidRPr="00644BDD">
              <w:rPr>
                <w:sz w:val="16"/>
                <w:szCs w:val="16"/>
              </w:rPr>
              <w:t>42%</w:t>
            </w:r>
          </w:p>
        </w:tc>
        <w:tc>
          <w:tcPr>
            <w:tcW w:w="1111" w:type="pct"/>
            <w:noWrap/>
            <w:vAlign w:val="center"/>
            <w:hideMark/>
          </w:tcPr>
          <w:p w14:paraId="3F1BD2F9" w14:textId="77777777" w:rsidR="00E62DFC" w:rsidRPr="00644BDD" w:rsidRDefault="00E62DFC" w:rsidP="00644BDD">
            <w:pPr>
              <w:jc w:val="center"/>
              <w:rPr>
                <w:sz w:val="16"/>
                <w:szCs w:val="16"/>
              </w:rPr>
            </w:pPr>
            <w:r w:rsidRPr="00644BDD">
              <w:rPr>
                <w:sz w:val="16"/>
                <w:szCs w:val="16"/>
              </w:rPr>
              <w:t>46%</w:t>
            </w:r>
          </w:p>
        </w:tc>
        <w:tc>
          <w:tcPr>
            <w:tcW w:w="1111" w:type="pct"/>
            <w:noWrap/>
            <w:vAlign w:val="center"/>
            <w:hideMark/>
          </w:tcPr>
          <w:p w14:paraId="29795D5F" w14:textId="77777777" w:rsidR="00E62DFC" w:rsidRPr="00644BDD" w:rsidRDefault="00E62DFC" w:rsidP="00644BDD">
            <w:pPr>
              <w:jc w:val="center"/>
              <w:rPr>
                <w:sz w:val="16"/>
                <w:szCs w:val="16"/>
              </w:rPr>
            </w:pPr>
            <w:r w:rsidRPr="00644BDD">
              <w:rPr>
                <w:sz w:val="16"/>
                <w:szCs w:val="16"/>
              </w:rPr>
              <w:t>82%</w:t>
            </w:r>
          </w:p>
        </w:tc>
        <w:tc>
          <w:tcPr>
            <w:tcW w:w="1111" w:type="pct"/>
            <w:noWrap/>
            <w:vAlign w:val="center"/>
            <w:hideMark/>
          </w:tcPr>
          <w:p w14:paraId="2FFFC0DB" w14:textId="77777777" w:rsidR="00E62DFC" w:rsidRPr="00644BDD" w:rsidRDefault="00E62DFC" w:rsidP="00644BDD">
            <w:pPr>
              <w:jc w:val="center"/>
              <w:rPr>
                <w:sz w:val="16"/>
                <w:szCs w:val="16"/>
              </w:rPr>
            </w:pPr>
            <w:r w:rsidRPr="00644BDD">
              <w:rPr>
                <w:sz w:val="16"/>
                <w:szCs w:val="16"/>
              </w:rPr>
              <w:t>5%</w:t>
            </w:r>
          </w:p>
        </w:tc>
      </w:tr>
      <w:tr w:rsidR="00907FAD" w:rsidRPr="00644BDD" w14:paraId="33E2A9B9"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01D4030B" w14:textId="77777777" w:rsidR="00E62DFC" w:rsidRPr="00644BDD" w:rsidRDefault="00E62DFC" w:rsidP="00644BDD">
            <w:pPr>
              <w:jc w:val="center"/>
              <w:rPr>
                <w:sz w:val="16"/>
                <w:szCs w:val="16"/>
              </w:rPr>
            </w:pPr>
            <w:r w:rsidRPr="00644BDD">
              <w:rPr>
                <w:sz w:val="16"/>
                <w:szCs w:val="16"/>
              </w:rPr>
              <w:t>2012</w:t>
            </w:r>
          </w:p>
        </w:tc>
        <w:tc>
          <w:tcPr>
            <w:tcW w:w="1111" w:type="pct"/>
            <w:noWrap/>
            <w:vAlign w:val="center"/>
            <w:hideMark/>
          </w:tcPr>
          <w:p w14:paraId="3D8565D5"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41A0817E" w14:textId="77777777" w:rsidR="00E62DFC" w:rsidRPr="00644BDD" w:rsidRDefault="00E62DFC" w:rsidP="00644BDD">
            <w:pPr>
              <w:jc w:val="center"/>
              <w:rPr>
                <w:sz w:val="16"/>
                <w:szCs w:val="16"/>
              </w:rPr>
            </w:pPr>
            <w:r w:rsidRPr="00644BDD">
              <w:rPr>
                <w:sz w:val="16"/>
                <w:szCs w:val="16"/>
              </w:rPr>
              <w:t>52%</w:t>
            </w:r>
          </w:p>
        </w:tc>
        <w:tc>
          <w:tcPr>
            <w:tcW w:w="1111" w:type="pct"/>
            <w:noWrap/>
            <w:vAlign w:val="center"/>
            <w:hideMark/>
          </w:tcPr>
          <w:p w14:paraId="45949996" w14:textId="77777777" w:rsidR="00E62DFC" w:rsidRPr="00644BDD" w:rsidRDefault="00E62DFC" w:rsidP="00644BDD">
            <w:pPr>
              <w:jc w:val="center"/>
              <w:rPr>
                <w:sz w:val="16"/>
                <w:szCs w:val="16"/>
              </w:rPr>
            </w:pPr>
            <w:r w:rsidRPr="00644BDD">
              <w:rPr>
                <w:sz w:val="16"/>
                <w:szCs w:val="16"/>
              </w:rPr>
              <w:t>83%</w:t>
            </w:r>
          </w:p>
        </w:tc>
        <w:tc>
          <w:tcPr>
            <w:tcW w:w="1111" w:type="pct"/>
            <w:noWrap/>
            <w:vAlign w:val="center"/>
            <w:hideMark/>
          </w:tcPr>
          <w:p w14:paraId="70D4EF06" w14:textId="77777777" w:rsidR="00E62DFC" w:rsidRPr="00644BDD" w:rsidRDefault="00E62DFC" w:rsidP="00644BDD">
            <w:pPr>
              <w:jc w:val="center"/>
              <w:rPr>
                <w:sz w:val="16"/>
                <w:szCs w:val="16"/>
              </w:rPr>
            </w:pPr>
            <w:r w:rsidRPr="00644BDD">
              <w:rPr>
                <w:sz w:val="16"/>
                <w:szCs w:val="16"/>
              </w:rPr>
              <w:t>5%</w:t>
            </w:r>
          </w:p>
        </w:tc>
      </w:tr>
      <w:tr w:rsidR="00E62DFC" w:rsidRPr="00644BDD" w14:paraId="705C6858" w14:textId="77777777" w:rsidTr="00351511">
        <w:trPr>
          <w:trHeight w:val="255"/>
        </w:trPr>
        <w:tc>
          <w:tcPr>
            <w:tcW w:w="556" w:type="pct"/>
            <w:noWrap/>
            <w:vAlign w:val="center"/>
            <w:hideMark/>
          </w:tcPr>
          <w:p w14:paraId="1995F174" w14:textId="77777777" w:rsidR="00E62DFC" w:rsidRPr="00644BDD" w:rsidRDefault="00E62DFC" w:rsidP="00644BDD">
            <w:pPr>
              <w:jc w:val="center"/>
              <w:rPr>
                <w:sz w:val="16"/>
                <w:szCs w:val="16"/>
              </w:rPr>
            </w:pPr>
            <w:r w:rsidRPr="00644BDD">
              <w:rPr>
                <w:sz w:val="16"/>
                <w:szCs w:val="16"/>
              </w:rPr>
              <w:t>2013</w:t>
            </w:r>
          </w:p>
        </w:tc>
        <w:tc>
          <w:tcPr>
            <w:tcW w:w="1111" w:type="pct"/>
            <w:noWrap/>
            <w:vAlign w:val="center"/>
            <w:hideMark/>
          </w:tcPr>
          <w:p w14:paraId="285CC16A" w14:textId="77777777" w:rsidR="00E62DFC" w:rsidRPr="00644BDD" w:rsidRDefault="00E62DFC" w:rsidP="00644BDD">
            <w:pPr>
              <w:jc w:val="center"/>
              <w:rPr>
                <w:sz w:val="16"/>
                <w:szCs w:val="16"/>
              </w:rPr>
            </w:pPr>
            <w:r w:rsidRPr="00644BDD">
              <w:rPr>
                <w:sz w:val="16"/>
                <w:szCs w:val="16"/>
              </w:rPr>
              <w:t>47%</w:t>
            </w:r>
          </w:p>
        </w:tc>
        <w:tc>
          <w:tcPr>
            <w:tcW w:w="1111" w:type="pct"/>
            <w:noWrap/>
            <w:vAlign w:val="center"/>
            <w:hideMark/>
          </w:tcPr>
          <w:p w14:paraId="0974C3EC" w14:textId="77777777" w:rsidR="00E62DFC" w:rsidRPr="00644BDD" w:rsidRDefault="00E62DFC" w:rsidP="00644BDD">
            <w:pPr>
              <w:jc w:val="center"/>
              <w:rPr>
                <w:sz w:val="16"/>
                <w:szCs w:val="16"/>
              </w:rPr>
            </w:pPr>
            <w:r w:rsidRPr="00644BDD">
              <w:rPr>
                <w:sz w:val="16"/>
                <w:szCs w:val="16"/>
              </w:rPr>
              <w:t>47%</w:t>
            </w:r>
          </w:p>
        </w:tc>
        <w:tc>
          <w:tcPr>
            <w:tcW w:w="1111" w:type="pct"/>
            <w:noWrap/>
            <w:vAlign w:val="center"/>
            <w:hideMark/>
          </w:tcPr>
          <w:p w14:paraId="5F8CE1FD" w14:textId="77777777" w:rsidR="00E62DFC" w:rsidRPr="00644BDD" w:rsidRDefault="00E62DFC" w:rsidP="00644BDD">
            <w:pPr>
              <w:jc w:val="center"/>
              <w:rPr>
                <w:sz w:val="16"/>
                <w:szCs w:val="16"/>
              </w:rPr>
            </w:pPr>
            <w:r w:rsidRPr="00644BDD">
              <w:rPr>
                <w:sz w:val="16"/>
                <w:szCs w:val="16"/>
              </w:rPr>
              <w:t>81%</w:t>
            </w:r>
          </w:p>
        </w:tc>
        <w:tc>
          <w:tcPr>
            <w:tcW w:w="1111" w:type="pct"/>
            <w:noWrap/>
            <w:vAlign w:val="center"/>
            <w:hideMark/>
          </w:tcPr>
          <w:p w14:paraId="3AC69C06" w14:textId="77777777" w:rsidR="00E62DFC" w:rsidRPr="00644BDD" w:rsidRDefault="00E62DFC" w:rsidP="00644BDD">
            <w:pPr>
              <w:jc w:val="center"/>
              <w:rPr>
                <w:sz w:val="16"/>
                <w:szCs w:val="16"/>
              </w:rPr>
            </w:pPr>
            <w:r w:rsidRPr="00644BDD">
              <w:rPr>
                <w:sz w:val="16"/>
                <w:szCs w:val="16"/>
              </w:rPr>
              <w:t>5%</w:t>
            </w:r>
          </w:p>
        </w:tc>
      </w:tr>
      <w:tr w:rsidR="00907FAD" w:rsidRPr="00644BDD" w14:paraId="4EDEB489"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241BF3D4" w14:textId="77777777" w:rsidR="00E62DFC" w:rsidRPr="00644BDD" w:rsidRDefault="00E62DFC" w:rsidP="00644BDD">
            <w:pPr>
              <w:jc w:val="center"/>
              <w:rPr>
                <w:sz w:val="16"/>
                <w:szCs w:val="16"/>
              </w:rPr>
            </w:pPr>
            <w:r w:rsidRPr="00644BDD">
              <w:rPr>
                <w:sz w:val="16"/>
                <w:szCs w:val="16"/>
              </w:rPr>
              <w:t>2014</w:t>
            </w:r>
          </w:p>
        </w:tc>
        <w:tc>
          <w:tcPr>
            <w:tcW w:w="1111" w:type="pct"/>
            <w:noWrap/>
            <w:vAlign w:val="center"/>
            <w:hideMark/>
          </w:tcPr>
          <w:p w14:paraId="5F65C93B" w14:textId="77777777" w:rsidR="00E62DFC" w:rsidRPr="00644BDD" w:rsidRDefault="00E62DFC" w:rsidP="00644BDD">
            <w:pPr>
              <w:jc w:val="center"/>
              <w:rPr>
                <w:sz w:val="16"/>
                <w:szCs w:val="16"/>
              </w:rPr>
            </w:pPr>
            <w:r w:rsidRPr="00644BDD">
              <w:rPr>
                <w:sz w:val="16"/>
                <w:szCs w:val="16"/>
              </w:rPr>
              <w:t>45%</w:t>
            </w:r>
          </w:p>
        </w:tc>
        <w:tc>
          <w:tcPr>
            <w:tcW w:w="1111" w:type="pct"/>
            <w:noWrap/>
            <w:vAlign w:val="center"/>
            <w:hideMark/>
          </w:tcPr>
          <w:p w14:paraId="5EE5C5A2" w14:textId="77777777" w:rsidR="00E62DFC" w:rsidRPr="00644BDD" w:rsidRDefault="00E62DFC" w:rsidP="00644BDD">
            <w:pPr>
              <w:jc w:val="center"/>
              <w:rPr>
                <w:sz w:val="16"/>
                <w:szCs w:val="16"/>
              </w:rPr>
            </w:pPr>
            <w:r w:rsidRPr="00644BDD">
              <w:rPr>
                <w:sz w:val="16"/>
                <w:szCs w:val="16"/>
              </w:rPr>
              <w:t>51%</w:t>
            </w:r>
          </w:p>
        </w:tc>
        <w:tc>
          <w:tcPr>
            <w:tcW w:w="1111" w:type="pct"/>
            <w:noWrap/>
            <w:vAlign w:val="center"/>
            <w:hideMark/>
          </w:tcPr>
          <w:p w14:paraId="2FDBB297" w14:textId="77777777" w:rsidR="00E62DFC" w:rsidRPr="00644BDD" w:rsidRDefault="00E62DFC" w:rsidP="00644BDD">
            <w:pPr>
              <w:jc w:val="center"/>
              <w:rPr>
                <w:sz w:val="16"/>
                <w:szCs w:val="16"/>
              </w:rPr>
            </w:pPr>
            <w:r w:rsidRPr="00644BDD">
              <w:rPr>
                <w:sz w:val="16"/>
                <w:szCs w:val="16"/>
              </w:rPr>
              <w:t>81%</w:t>
            </w:r>
          </w:p>
        </w:tc>
        <w:tc>
          <w:tcPr>
            <w:tcW w:w="1111" w:type="pct"/>
            <w:noWrap/>
            <w:vAlign w:val="center"/>
            <w:hideMark/>
          </w:tcPr>
          <w:p w14:paraId="1A5F236C" w14:textId="77777777" w:rsidR="00E62DFC" w:rsidRPr="00644BDD" w:rsidRDefault="00E62DFC" w:rsidP="00644BDD">
            <w:pPr>
              <w:jc w:val="center"/>
              <w:rPr>
                <w:sz w:val="16"/>
                <w:szCs w:val="16"/>
              </w:rPr>
            </w:pPr>
            <w:r w:rsidRPr="00644BDD">
              <w:rPr>
                <w:sz w:val="16"/>
                <w:szCs w:val="16"/>
              </w:rPr>
              <w:t>5%</w:t>
            </w:r>
          </w:p>
        </w:tc>
      </w:tr>
      <w:tr w:rsidR="00E62DFC" w:rsidRPr="00644BDD" w14:paraId="3F06A251" w14:textId="77777777" w:rsidTr="00351511">
        <w:trPr>
          <w:trHeight w:val="255"/>
        </w:trPr>
        <w:tc>
          <w:tcPr>
            <w:tcW w:w="556" w:type="pct"/>
            <w:noWrap/>
            <w:vAlign w:val="center"/>
            <w:hideMark/>
          </w:tcPr>
          <w:p w14:paraId="50C0BE7D" w14:textId="77777777" w:rsidR="00E62DFC" w:rsidRPr="00644BDD" w:rsidRDefault="00E62DFC" w:rsidP="00644BDD">
            <w:pPr>
              <w:jc w:val="center"/>
              <w:rPr>
                <w:sz w:val="16"/>
                <w:szCs w:val="16"/>
              </w:rPr>
            </w:pPr>
            <w:r w:rsidRPr="00644BDD">
              <w:rPr>
                <w:sz w:val="16"/>
                <w:szCs w:val="16"/>
              </w:rPr>
              <w:t>2015</w:t>
            </w:r>
          </w:p>
        </w:tc>
        <w:tc>
          <w:tcPr>
            <w:tcW w:w="1111" w:type="pct"/>
            <w:noWrap/>
            <w:vAlign w:val="center"/>
            <w:hideMark/>
          </w:tcPr>
          <w:p w14:paraId="0D58AFA2" w14:textId="77777777" w:rsidR="00E62DFC" w:rsidRPr="00644BDD" w:rsidRDefault="00E62DFC" w:rsidP="00644BDD">
            <w:pPr>
              <w:jc w:val="center"/>
              <w:rPr>
                <w:sz w:val="16"/>
                <w:szCs w:val="16"/>
              </w:rPr>
            </w:pPr>
            <w:r w:rsidRPr="00644BDD">
              <w:rPr>
                <w:sz w:val="16"/>
                <w:szCs w:val="16"/>
              </w:rPr>
              <w:t>44%</w:t>
            </w:r>
          </w:p>
        </w:tc>
        <w:tc>
          <w:tcPr>
            <w:tcW w:w="1111" w:type="pct"/>
            <w:noWrap/>
            <w:vAlign w:val="center"/>
            <w:hideMark/>
          </w:tcPr>
          <w:p w14:paraId="1E5694BF" w14:textId="77777777" w:rsidR="00E62DFC" w:rsidRPr="00644BDD" w:rsidRDefault="00E62DFC" w:rsidP="00644BDD">
            <w:pPr>
              <w:jc w:val="center"/>
              <w:rPr>
                <w:sz w:val="16"/>
                <w:szCs w:val="16"/>
              </w:rPr>
            </w:pPr>
            <w:r w:rsidRPr="00644BDD">
              <w:rPr>
                <w:sz w:val="16"/>
                <w:szCs w:val="16"/>
              </w:rPr>
              <w:t>49%</w:t>
            </w:r>
          </w:p>
        </w:tc>
        <w:tc>
          <w:tcPr>
            <w:tcW w:w="1111" w:type="pct"/>
            <w:noWrap/>
            <w:vAlign w:val="center"/>
            <w:hideMark/>
          </w:tcPr>
          <w:p w14:paraId="7A953462" w14:textId="77777777" w:rsidR="00E62DFC" w:rsidRPr="00644BDD" w:rsidRDefault="00E62DFC" w:rsidP="00644BDD">
            <w:pPr>
              <w:jc w:val="center"/>
              <w:rPr>
                <w:sz w:val="16"/>
                <w:szCs w:val="16"/>
              </w:rPr>
            </w:pPr>
            <w:r w:rsidRPr="00644BDD">
              <w:rPr>
                <w:sz w:val="16"/>
                <w:szCs w:val="16"/>
              </w:rPr>
              <w:t>79%</w:t>
            </w:r>
          </w:p>
        </w:tc>
        <w:tc>
          <w:tcPr>
            <w:tcW w:w="1111" w:type="pct"/>
            <w:noWrap/>
            <w:vAlign w:val="center"/>
            <w:hideMark/>
          </w:tcPr>
          <w:p w14:paraId="49077B01" w14:textId="77777777" w:rsidR="00E62DFC" w:rsidRPr="00644BDD" w:rsidRDefault="00E62DFC" w:rsidP="00644BDD">
            <w:pPr>
              <w:jc w:val="center"/>
              <w:rPr>
                <w:sz w:val="16"/>
                <w:szCs w:val="16"/>
              </w:rPr>
            </w:pPr>
            <w:r w:rsidRPr="00644BDD">
              <w:rPr>
                <w:sz w:val="16"/>
                <w:szCs w:val="16"/>
              </w:rPr>
              <w:t>5%</w:t>
            </w:r>
          </w:p>
        </w:tc>
      </w:tr>
      <w:tr w:rsidR="00907FAD" w:rsidRPr="00644BDD" w14:paraId="093399F7"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7C8DC5CE" w14:textId="77777777" w:rsidR="00E62DFC" w:rsidRPr="00644BDD" w:rsidRDefault="00E62DFC" w:rsidP="00644BDD">
            <w:pPr>
              <w:jc w:val="center"/>
              <w:rPr>
                <w:sz w:val="16"/>
                <w:szCs w:val="16"/>
              </w:rPr>
            </w:pPr>
            <w:r w:rsidRPr="00644BDD">
              <w:rPr>
                <w:sz w:val="16"/>
                <w:szCs w:val="16"/>
              </w:rPr>
              <w:t>2016</w:t>
            </w:r>
          </w:p>
        </w:tc>
        <w:tc>
          <w:tcPr>
            <w:tcW w:w="1111" w:type="pct"/>
            <w:noWrap/>
            <w:vAlign w:val="center"/>
            <w:hideMark/>
          </w:tcPr>
          <w:p w14:paraId="65EA5B82" w14:textId="77777777" w:rsidR="00E62DFC" w:rsidRPr="00644BDD" w:rsidRDefault="00E62DFC" w:rsidP="00644BDD">
            <w:pPr>
              <w:jc w:val="center"/>
              <w:rPr>
                <w:sz w:val="16"/>
                <w:szCs w:val="16"/>
              </w:rPr>
            </w:pPr>
            <w:r w:rsidRPr="00644BDD">
              <w:rPr>
                <w:sz w:val="16"/>
                <w:szCs w:val="16"/>
              </w:rPr>
              <w:t>48%</w:t>
            </w:r>
          </w:p>
        </w:tc>
        <w:tc>
          <w:tcPr>
            <w:tcW w:w="1111" w:type="pct"/>
            <w:noWrap/>
            <w:vAlign w:val="center"/>
            <w:hideMark/>
          </w:tcPr>
          <w:p w14:paraId="6AC564D0" w14:textId="77777777" w:rsidR="00E62DFC" w:rsidRPr="00644BDD" w:rsidRDefault="00E62DFC" w:rsidP="00644BDD">
            <w:pPr>
              <w:jc w:val="center"/>
              <w:rPr>
                <w:sz w:val="16"/>
                <w:szCs w:val="16"/>
              </w:rPr>
            </w:pPr>
            <w:r w:rsidRPr="00644BDD">
              <w:rPr>
                <w:sz w:val="16"/>
                <w:szCs w:val="16"/>
              </w:rPr>
              <w:t>51%</w:t>
            </w:r>
          </w:p>
        </w:tc>
        <w:tc>
          <w:tcPr>
            <w:tcW w:w="1111" w:type="pct"/>
            <w:noWrap/>
            <w:vAlign w:val="center"/>
            <w:hideMark/>
          </w:tcPr>
          <w:p w14:paraId="31B9708E" w14:textId="77777777" w:rsidR="00E62DFC" w:rsidRPr="00644BDD" w:rsidRDefault="00E62DFC" w:rsidP="00644BDD">
            <w:pPr>
              <w:jc w:val="center"/>
              <w:rPr>
                <w:sz w:val="16"/>
                <w:szCs w:val="16"/>
              </w:rPr>
            </w:pPr>
            <w:r w:rsidRPr="00644BDD">
              <w:rPr>
                <w:sz w:val="16"/>
                <w:szCs w:val="16"/>
              </w:rPr>
              <w:t>83%</w:t>
            </w:r>
          </w:p>
        </w:tc>
        <w:tc>
          <w:tcPr>
            <w:tcW w:w="1111" w:type="pct"/>
            <w:noWrap/>
            <w:vAlign w:val="center"/>
            <w:hideMark/>
          </w:tcPr>
          <w:p w14:paraId="321FCE21" w14:textId="77777777" w:rsidR="00E62DFC" w:rsidRPr="00644BDD" w:rsidRDefault="00E62DFC" w:rsidP="00644BDD">
            <w:pPr>
              <w:jc w:val="center"/>
              <w:rPr>
                <w:sz w:val="16"/>
                <w:szCs w:val="16"/>
              </w:rPr>
            </w:pPr>
            <w:r w:rsidRPr="00644BDD">
              <w:rPr>
                <w:sz w:val="16"/>
                <w:szCs w:val="16"/>
              </w:rPr>
              <w:t>8%</w:t>
            </w:r>
          </w:p>
        </w:tc>
      </w:tr>
      <w:tr w:rsidR="00E62DFC" w:rsidRPr="00644BDD" w14:paraId="0CFB45BC" w14:textId="77777777" w:rsidTr="00351511">
        <w:trPr>
          <w:trHeight w:val="255"/>
        </w:trPr>
        <w:tc>
          <w:tcPr>
            <w:tcW w:w="556" w:type="pct"/>
            <w:noWrap/>
            <w:vAlign w:val="center"/>
            <w:hideMark/>
          </w:tcPr>
          <w:p w14:paraId="1BA64145" w14:textId="77777777" w:rsidR="00E62DFC" w:rsidRPr="00644BDD" w:rsidRDefault="00E62DFC" w:rsidP="00644BDD">
            <w:pPr>
              <w:jc w:val="center"/>
              <w:rPr>
                <w:sz w:val="16"/>
                <w:szCs w:val="16"/>
              </w:rPr>
            </w:pPr>
            <w:r w:rsidRPr="00644BDD">
              <w:rPr>
                <w:sz w:val="16"/>
                <w:szCs w:val="16"/>
              </w:rPr>
              <w:t>2017</w:t>
            </w:r>
          </w:p>
        </w:tc>
        <w:tc>
          <w:tcPr>
            <w:tcW w:w="1111" w:type="pct"/>
            <w:noWrap/>
            <w:vAlign w:val="center"/>
            <w:hideMark/>
          </w:tcPr>
          <w:p w14:paraId="5422B1CE" w14:textId="77777777" w:rsidR="00E62DFC" w:rsidRPr="00644BDD" w:rsidRDefault="00E62DFC" w:rsidP="00644BDD">
            <w:pPr>
              <w:jc w:val="center"/>
              <w:rPr>
                <w:sz w:val="16"/>
                <w:szCs w:val="16"/>
              </w:rPr>
            </w:pPr>
            <w:r w:rsidRPr="00644BDD">
              <w:rPr>
                <w:sz w:val="16"/>
                <w:szCs w:val="16"/>
              </w:rPr>
              <w:t>46%</w:t>
            </w:r>
          </w:p>
        </w:tc>
        <w:tc>
          <w:tcPr>
            <w:tcW w:w="1111" w:type="pct"/>
            <w:noWrap/>
            <w:vAlign w:val="center"/>
            <w:hideMark/>
          </w:tcPr>
          <w:p w14:paraId="520C1F73" w14:textId="77777777" w:rsidR="00E62DFC" w:rsidRPr="00644BDD" w:rsidRDefault="00E62DFC" w:rsidP="00644BDD">
            <w:pPr>
              <w:jc w:val="center"/>
              <w:rPr>
                <w:sz w:val="16"/>
                <w:szCs w:val="16"/>
              </w:rPr>
            </w:pPr>
            <w:r w:rsidRPr="00644BDD">
              <w:rPr>
                <w:sz w:val="16"/>
                <w:szCs w:val="16"/>
              </w:rPr>
              <w:t>43%</w:t>
            </w:r>
          </w:p>
        </w:tc>
        <w:tc>
          <w:tcPr>
            <w:tcW w:w="1111" w:type="pct"/>
            <w:noWrap/>
            <w:vAlign w:val="center"/>
            <w:hideMark/>
          </w:tcPr>
          <w:p w14:paraId="361F6308" w14:textId="77777777" w:rsidR="00E62DFC" w:rsidRPr="00644BDD" w:rsidRDefault="00E62DFC" w:rsidP="00644BDD">
            <w:pPr>
              <w:jc w:val="center"/>
              <w:rPr>
                <w:sz w:val="16"/>
                <w:szCs w:val="16"/>
              </w:rPr>
            </w:pPr>
            <w:r w:rsidRPr="00644BDD">
              <w:rPr>
                <w:sz w:val="16"/>
                <w:szCs w:val="16"/>
              </w:rPr>
              <w:t>83%</w:t>
            </w:r>
          </w:p>
        </w:tc>
        <w:tc>
          <w:tcPr>
            <w:tcW w:w="1111" w:type="pct"/>
            <w:noWrap/>
            <w:vAlign w:val="center"/>
            <w:hideMark/>
          </w:tcPr>
          <w:p w14:paraId="6D270517" w14:textId="77777777" w:rsidR="00E62DFC" w:rsidRPr="00644BDD" w:rsidRDefault="00E62DFC" w:rsidP="00644BDD">
            <w:pPr>
              <w:jc w:val="center"/>
              <w:rPr>
                <w:sz w:val="16"/>
                <w:szCs w:val="16"/>
              </w:rPr>
            </w:pPr>
            <w:r w:rsidRPr="00644BDD">
              <w:rPr>
                <w:sz w:val="16"/>
                <w:szCs w:val="16"/>
              </w:rPr>
              <w:t>7%</w:t>
            </w:r>
          </w:p>
        </w:tc>
      </w:tr>
      <w:tr w:rsidR="00907FAD" w:rsidRPr="00644BDD" w14:paraId="15E595B1"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56" w:type="pct"/>
            <w:noWrap/>
            <w:vAlign w:val="center"/>
            <w:hideMark/>
          </w:tcPr>
          <w:p w14:paraId="1EAEF2DF" w14:textId="77777777" w:rsidR="00E62DFC" w:rsidRPr="00644BDD" w:rsidRDefault="00E62DFC" w:rsidP="00644BDD">
            <w:pPr>
              <w:jc w:val="center"/>
              <w:rPr>
                <w:sz w:val="16"/>
                <w:szCs w:val="16"/>
              </w:rPr>
            </w:pPr>
            <w:r w:rsidRPr="00644BDD">
              <w:rPr>
                <w:sz w:val="16"/>
                <w:szCs w:val="16"/>
              </w:rPr>
              <w:t>2018</w:t>
            </w:r>
          </w:p>
        </w:tc>
        <w:tc>
          <w:tcPr>
            <w:tcW w:w="1111" w:type="pct"/>
            <w:noWrap/>
            <w:vAlign w:val="center"/>
            <w:hideMark/>
          </w:tcPr>
          <w:p w14:paraId="38A829FB" w14:textId="77777777" w:rsidR="00E62DFC" w:rsidRPr="00644BDD" w:rsidRDefault="00E62DFC" w:rsidP="00644BDD">
            <w:pPr>
              <w:jc w:val="center"/>
              <w:rPr>
                <w:sz w:val="16"/>
                <w:szCs w:val="16"/>
              </w:rPr>
            </w:pPr>
            <w:r w:rsidRPr="00644BDD">
              <w:rPr>
                <w:sz w:val="16"/>
                <w:szCs w:val="16"/>
              </w:rPr>
              <w:t>40%</w:t>
            </w:r>
          </w:p>
        </w:tc>
        <w:tc>
          <w:tcPr>
            <w:tcW w:w="1111" w:type="pct"/>
            <w:noWrap/>
            <w:vAlign w:val="center"/>
            <w:hideMark/>
          </w:tcPr>
          <w:p w14:paraId="265F5B46" w14:textId="77777777" w:rsidR="00E62DFC" w:rsidRPr="00644BDD" w:rsidRDefault="00E62DFC" w:rsidP="00644BDD">
            <w:pPr>
              <w:jc w:val="center"/>
              <w:rPr>
                <w:sz w:val="16"/>
                <w:szCs w:val="16"/>
              </w:rPr>
            </w:pPr>
            <w:r w:rsidRPr="00644BDD">
              <w:rPr>
                <w:sz w:val="16"/>
                <w:szCs w:val="16"/>
              </w:rPr>
              <w:t>48%</w:t>
            </w:r>
          </w:p>
        </w:tc>
        <w:tc>
          <w:tcPr>
            <w:tcW w:w="1111" w:type="pct"/>
            <w:noWrap/>
            <w:vAlign w:val="center"/>
            <w:hideMark/>
          </w:tcPr>
          <w:p w14:paraId="333D6525" w14:textId="77777777" w:rsidR="00E62DFC" w:rsidRPr="00644BDD" w:rsidRDefault="00E62DFC" w:rsidP="00644BDD">
            <w:pPr>
              <w:jc w:val="center"/>
              <w:rPr>
                <w:sz w:val="16"/>
                <w:szCs w:val="16"/>
              </w:rPr>
            </w:pPr>
            <w:r w:rsidRPr="00644BDD">
              <w:rPr>
                <w:sz w:val="16"/>
                <w:szCs w:val="16"/>
              </w:rPr>
              <w:t>83%</w:t>
            </w:r>
          </w:p>
        </w:tc>
        <w:tc>
          <w:tcPr>
            <w:tcW w:w="1111" w:type="pct"/>
            <w:noWrap/>
            <w:vAlign w:val="center"/>
            <w:hideMark/>
          </w:tcPr>
          <w:p w14:paraId="555E18AD" w14:textId="77777777" w:rsidR="00E62DFC" w:rsidRPr="00644BDD" w:rsidRDefault="00E62DFC" w:rsidP="00644BDD">
            <w:pPr>
              <w:jc w:val="center"/>
              <w:rPr>
                <w:sz w:val="16"/>
                <w:szCs w:val="16"/>
              </w:rPr>
            </w:pPr>
            <w:r w:rsidRPr="00644BDD">
              <w:rPr>
                <w:sz w:val="16"/>
                <w:szCs w:val="16"/>
              </w:rPr>
              <w:t>3%</w:t>
            </w:r>
          </w:p>
        </w:tc>
      </w:tr>
      <w:tr w:rsidR="00E62DFC" w:rsidRPr="00644BDD" w14:paraId="717DD6EC" w14:textId="77777777" w:rsidTr="00351511">
        <w:trPr>
          <w:trHeight w:val="255"/>
        </w:trPr>
        <w:tc>
          <w:tcPr>
            <w:tcW w:w="556" w:type="pct"/>
            <w:noWrap/>
            <w:vAlign w:val="center"/>
            <w:hideMark/>
          </w:tcPr>
          <w:p w14:paraId="23AC6FE9" w14:textId="77777777" w:rsidR="00E62DFC" w:rsidRPr="00644BDD" w:rsidRDefault="00E62DFC" w:rsidP="00644BDD">
            <w:pPr>
              <w:jc w:val="center"/>
              <w:rPr>
                <w:sz w:val="16"/>
                <w:szCs w:val="16"/>
              </w:rPr>
            </w:pPr>
            <w:r w:rsidRPr="00644BDD">
              <w:rPr>
                <w:sz w:val="16"/>
                <w:szCs w:val="16"/>
              </w:rPr>
              <w:t>2019</w:t>
            </w:r>
          </w:p>
        </w:tc>
        <w:tc>
          <w:tcPr>
            <w:tcW w:w="1111" w:type="pct"/>
            <w:noWrap/>
            <w:vAlign w:val="center"/>
            <w:hideMark/>
          </w:tcPr>
          <w:p w14:paraId="294DF17F" w14:textId="77777777" w:rsidR="00E62DFC" w:rsidRPr="00644BDD" w:rsidRDefault="00E62DFC" w:rsidP="00644BDD">
            <w:pPr>
              <w:jc w:val="center"/>
              <w:rPr>
                <w:sz w:val="16"/>
                <w:szCs w:val="16"/>
              </w:rPr>
            </w:pPr>
            <w:r w:rsidRPr="00644BDD">
              <w:rPr>
                <w:sz w:val="16"/>
                <w:szCs w:val="16"/>
              </w:rPr>
              <w:t>38%</w:t>
            </w:r>
          </w:p>
        </w:tc>
        <w:tc>
          <w:tcPr>
            <w:tcW w:w="1111" w:type="pct"/>
            <w:noWrap/>
            <w:vAlign w:val="center"/>
            <w:hideMark/>
          </w:tcPr>
          <w:p w14:paraId="2E36634A" w14:textId="77777777" w:rsidR="00E62DFC" w:rsidRPr="00644BDD" w:rsidRDefault="00E62DFC" w:rsidP="00644BDD">
            <w:pPr>
              <w:jc w:val="center"/>
              <w:rPr>
                <w:sz w:val="16"/>
                <w:szCs w:val="16"/>
              </w:rPr>
            </w:pPr>
            <w:r w:rsidRPr="00644BDD">
              <w:rPr>
                <w:sz w:val="16"/>
                <w:szCs w:val="16"/>
              </w:rPr>
              <w:t>36%</w:t>
            </w:r>
          </w:p>
        </w:tc>
        <w:tc>
          <w:tcPr>
            <w:tcW w:w="1111" w:type="pct"/>
            <w:noWrap/>
            <w:vAlign w:val="center"/>
            <w:hideMark/>
          </w:tcPr>
          <w:p w14:paraId="778BD2AA" w14:textId="77777777" w:rsidR="00E62DFC" w:rsidRPr="00644BDD" w:rsidRDefault="00E62DFC" w:rsidP="00644BDD">
            <w:pPr>
              <w:jc w:val="center"/>
              <w:rPr>
                <w:sz w:val="16"/>
                <w:szCs w:val="16"/>
              </w:rPr>
            </w:pPr>
            <w:r w:rsidRPr="00644BDD">
              <w:rPr>
                <w:sz w:val="16"/>
                <w:szCs w:val="16"/>
              </w:rPr>
              <w:t>94%</w:t>
            </w:r>
          </w:p>
        </w:tc>
        <w:tc>
          <w:tcPr>
            <w:tcW w:w="1111" w:type="pct"/>
            <w:noWrap/>
            <w:vAlign w:val="center"/>
            <w:hideMark/>
          </w:tcPr>
          <w:p w14:paraId="4A1DBA38" w14:textId="77777777" w:rsidR="00E62DFC" w:rsidRPr="00644BDD" w:rsidRDefault="00E62DFC" w:rsidP="00644BDD">
            <w:pPr>
              <w:jc w:val="center"/>
              <w:rPr>
                <w:sz w:val="16"/>
                <w:szCs w:val="16"/>
              </w:rPr>
            </w:pPr>
            <w:r w:rsidRPr="00644BDD">
              <w:rPr>
                <w:sz w:val="16"/>
                <w:szCs w:val="16"/>
              </w:rPr>
              <w:t>6%</w:t>
            </w:r>
          </w:p>
        </w:tc>
      </w:tr>
    </w:tbl>
    <w:p w14:paraId="03AB211C" w14:textId="1E6AA71D" w:rsidR="00E62DFC" w:rsidRPr="00E3377B" w:rsidRDefault="00E62DFC" w:rsidP="001B1D5E">
      <w:pPr>
        <w:pStyle w:val="NoteText"/>
        <w:spacing w:before="120" w:after="240"/>
      </w:pPr>
      <w:r w:rsidRPr="00E3377B">
        <w:t>*</w:t>
      </w:r>
      <w:r w:rsidR="00644BDD">
        <w:tab/>
      </w:r>
      <w:r w:rsidRPr="00E3377B">
        <w:t>Relative to the number of Members that may exempt support under Article 6.2.</w:t>
      </w:r>
    </w:p>
    <w:p w14:paraId="4BD836C4" w14:textId="43515310" w:rsidR="00E62DFC" w:rsidRPr="00E3377B" w:rsidRDefault="00E62DFC" w:rsidP="00644BDD">
      <w:pPr>
        <w:pStyle w:val="BodyText"/>
      </w:pPr>
      <w:r w:rsidRPr="00E3377B">
        <w:t xml:space="preserve">Table 1 </w:t>
      </w:r>
      <w:r w:rsidR="00062C0C">
        <w:t>–</w:t>
      </w:r>
      <w:r w:rsidRPr="00E3377B">
        <w:t xml:space="preserve"> The percentage of Members reporting support in the main categories of domestic support has been stable over time and has only experienced small variations between 2001 and 2016. Green Box is the type of support with the highest proportion of users (81% on average), followed by Article 6.2 (48% of developing Members that may exempt support under Article 6.2), the Amber Box (43%), and the Blue Box (5%). </w:t>
      </w:r>
    </w:p>
    <w:p w14:paraId="369DBA19" w14:textId="4593F2B8" w:rsidR="00E62DFC" w:rsidRPr="00E3377B" w:rsidRDefault="00E62DFC" w:rsidP="00351511">
      <w:pPr>
        <w:pStyle w:val="Caption"/>
        <w:keepNext w:val="0"/>
        <w:rPr>
          <w:noProof/>
          <w:lang w:val="en-US"/>
        </w:rPr>
      </w:pPr>
      <w:bookmarkStart w:id="6" w:name="_Ref67292696"/>
      <w:r w:rsidRPr="00E3377B">
        <w:rPr>
          <w:noProof/>
          <w:lang w:val="en-US"/>
        </w:rPr>
        <w:t>Table 2</w:t>
      </w:r>
      <w:bookmarkEnd w:id="6"/>
      <w:r w:rsidRPr="00E3377B">
        <w:rPr>
          <w:noProof/>
          <w:lang w:val="en-US"/>
        </w:rPr>
        <w:t xml:space="preserve">: Percentage of Members reporting support in Green Box </w:t>
      </w:r>
      <w:r w:rsidR="00644BDD">
        <w:rPr>
          <w:noProof/>
          <w:lang w:val="en-US"/>
        </w:rPr>
        <w:t>s</w:t>
      </w:r>
      <w:r w:rsidRPr="00E3377B">
        <w:rPr>
          <w:noProof/>
          <w:lang w:val="en-US"/>
        </w:rPr>
        <w:t>ub-</w:t>
      </w:r>
      <w:r w:rsidR="00644BDD">
        <w:rPr>
          <w:noProof/>
          <w:lang w:val="en-US"/>
        </w:rPr>
        <w:t>c</w:t>
      </w:r>
      <w:r w:rsidRPr="00E3377B">
        <w:rPr>
          <w:noProof/>
          <w:lang w:val="en-US"/>
        </w:rPr>
        <w:t>ategories, 2001</w:t>
      </w:r>
      <w:r w:rsidR="00644BDD">
        <w:rPr>
          <w:noProof/>
          <w:lang w:val="en-US"/>
        </w:rPr>
        <w:noBreakHyphen/>
      </w:r>
      <w:r w:rsidRPr="00E3377B">
        <w:rPr>
          <w:noProof/>
          <w:lang w:val="en-US"/>
        </w:rPr>
        <w:t>2019</w:t>
      </w:r>
    </w:p>
    <w:tbl>
      <w:tblPr>
        <w:tblStyle w:val="WTOTable1"/>
        <w:tblW w:w="0" w:type="auto"/>
        <w:tblLayout w:type="fixed"/>
        <w:tblLook w:val="04A0" w:firstRow="1" w:lastRow="0" w:firstColumn="1" w:lastColumn="0" w:noHBand="0" w:noVBand="1"/>
      </w:tblPr>
      <w:tblGrid>
        <w:gridCol w:w="1017"/>
        <w:gridCol w:w="1813"/>
        <w:gridCol w:w="1843"/>
        <w:gridCol w:w="1985"/>
        <w:gridCol w:w="2358"/>
      </w:tblGrid>
      <w:tr w:rsidR="00907FAD" w:rsidRPr="00644BDD" w14:paraId="6EF3F796" w14:textId="77777777" w:rsidTr="00351511">
        <w:trPr>
          <w:cnfStyle w:val="100000000000" w:firstRow="1" w:lastRow="0" w:firstColumn="0" w:lastColumn="0" w:oddVBand="0" w:evenVBand="0" w:oddHBand="0" w:evenHBand="0" w:firstRowFirstColumn="0" w:firstRowLastColumn="0" w:lastRowFirstColumn="0" w:lastRowLastColumn="0"/>
          <w:trHeight w:val="270"/>
          <w:tblHeader/>
        </w:trPr>
        <w:tc>
          <w:tcPr>
            <w:tcW w:w="1017" w:type="dxa"/>
            <w:noWrap/>
            <w:vAlign w:val="center"/>
            <w:hideMark/>
          </w:tcPr>
          <w:p w14:paraId="5BF91ABC" w14:textId="11C91435" w:rsidR="00E62DFC" w:rsidRPr="00644BDD" w:rsidRDefault="00E62DFC" w:rsidP="00351511">
            <w:pPr>
              <w:jc w:val="center"/>
              <w:rPr>
                <w:b w:val="0"/>
                <w:bCs/>
                <w:sz w:val="16"/>
                <w:szCs w:val="16"/>
              </w:rPr>
            </w:pPr>
          </w:p>
        </w:tc>
        <w:tc>
          <w:tcPr>
            <w:tcW w:w="1813" w:type="dxa"/>
            <w:noWrap/>
            <w:vAlign w:val="center"/>
            <w:hideMark/>
          </w:tcPr>
          <w:p w14:paraId="7E838D56" w14:textId="77777777" w:rsidR="00E62DFC" w:rsidRPr="00907FAD" w:rsidRDefault="00E62DFC" w:rsidP="00351511">
            <w:pPr>
              <w:jc w:val="center"/>
              <w:rPr>
                <w:sz w:val="16"/>
                <w:szCs w:val="16"/>
              </w:rPr>
            </w:pPr>
            <w:r w:rsidRPr="00907FAD">
              <w:rPr>
                <w:sz w:val="16"/>
                <w:szCs w:val="16"/>
              </w:rPr>
              <w:t>General Services</w:t>
            </w:r>
          </w:p>
        </w:tc>
        <w:tc>
          <w:tcPr>
            <w:tcW w:w="1843" w:type="dxa"/>
            <w:noWrap/>
            <w:vAlign w:val="center"/>
            <w:hideMark/>
          </w:tcPr>
          <w:p w14:paraId="17D223CA" w14:textId="77777777" w:rsidR="00E62DFC" w:rsidRPr="00907FAD" w:rsidRDefault="00E62DFC" w:rsidP="00351511">
            <w:pPr>
              <w:jc w:val="center"/>
              <w:rPr>
                <w:sz w:val="16"/>
                <w:szCs w:val="16"/>
              </w:rPr>
            </w:pPr>
            <w:r w:rsidRPr="00907FAD">
              <w:rPr>
                <w:sz w:val="16"/>
                <w:szCs w:val="16"/>
              </w:rPr>
              <w:t>Direct Payments</w:t>
            </w:r>
          </w:p>
        </w:tc>
        <w:tc>
          <w:tcPr>
            <w:tcW w:w="1985" w:type="dxa"/>
            <w:noWrap/>
            <w:vAlign w:val="center"/>
            <w:hideMark/>
          </w:tcPr>
          <w:p w14:paraId="73B3C67C" w14:textId="77777777" w:rsidR="00E62DFC" w:rsidRPr="00907FAD" w:rsidRDefault="00E62DFC" w:rsidP="00351511">
            <w:pPr>
              <w:jc w:val="center"/>
              <w:rPr>
                <w:sz w:val="16"/>
                <w:szCs w:val="16"/>
              </w:rPr>
            </w:pPr>
            <w:r w:rsidRPr="00907FAD">
              <w:rPr>
                <w:sz w:val="16"/>
                <w:szCs w:val="16"/>
              </w:rPr>
              <w:t>Domestic Food Aid</w:t>
            </w:r>
          </w:p>
        </w:tc>
        <w:tc>
          <w:tcPr>
            <w:tcW w:w="2358" w:type="dxa"/>
            <w:noWrap/>
            <w:vAlign w:val="center"/>
            <w:hideMark/>
          </w:tcPr>
          <w:p w14:paraId="52D27589" w14:textId="004A843C" w:rsidR="00E62DFC" w:rsidRPr="00907FAD" w:rsidRDefault="00E62DFC" w:rsidP="00351511">
            <w:pPr>
              <w:jc w:val="center"/>
              <w:rPr>
                <w:sz w:val="16"/>
                <w:szCs w:val="16"/>
              </w:rPr>
            </w:pPr>
            <w:r w:rsidRPr="00907FAD">
              <w:rPr>
                <w:sz w:val="16"/>
                <w:szCs w:val="16"/>
              </w:rPr>
              <w:t xml:space="preserve">Public Stockholding for </w:t>
            </w:r>
            <w:r w:rsidR="00907FAD">
              <w:rPr>
                <w:sz w:val="16"/>
                <w:szCs w:val="16"/>
              </w:rPr>
              <w:t>F</w:t>
            </w:r>
            <w:r w:rsidRPr="00907FAD">
              <w:rPr>
                <w:sz w:val="16"/>
                <w:szCs w:val="16"/>
              </w:rPr>
              <w:t xml:space="preserve">ood </w:t>
            </w:r>
            <w:r w:rsidR="00907FAD">
              <w:rPr>
                <w:sz w:val="16"/>
                <w:szCs w:val="16"/>
              </w:rPr>
              <w:t>S</w:t>
            </w:r>
            <w:r w:rsidRPr="00907FAD">
              <w:rPr>
                <w:sz w:val="16"/>
                <w:szCs w:val="16"/>
              </w:rPr>
              <w:t xml:space="preserve">ecurity </w:t>
            </w:r>
            <w:r w:rsidR="00907FAD">
              <w:rPr>
                <w:sz w:val="16"/>
                <w:szCs w:val="16"/>
              </w:rPr>
              <w:t>P</w:t>
            </w:r>
            <w:r w:rsidRPr="00907FAD">
              <w:rPr>
                <w:sz w:val="16"/>
                <w:szCs w:val="16"/>
              </w:rPr>
              <w:t>urposes</w:t>
            </w:r>
          </w:p>
        </w:tc>
      </w:tr>
      <w:tr w:rsidR="00907FAD" w:rsidRPr="00644BDD" w14:paraId="60C2C377" w14:textId="77777777" w:rsidTr="00351511">
        <w:trPr>
          <w:trHeight w:val="270"/>
        </w:trPr>
        <w:tc>
          <w:tcPr>
            <w:tcW w:w="1017" w:type="dxa"/>
            <w:noWrap/>
            <w:vAlign w:val="center"/>
          </w:tcPr>
          <w:p w14:paraId="206E2822" w14:textId="77777777" w:rsidR="00E62DFC" w:rsidRPr="00644BDD" w:rsidRDefault="00E62DFC" w:rsidP="00351511">
            <w:pPr>
              <w:jc w:val="center"/>
              <w:rPr>
                <w:sz w:val="16"/>
                <w:szCs w:val="16"/>
              </w:rPr>
            </w:pPr>
          </w:p>
        </w:tc>
        <w:tc>
          <w:tcPr>
            <w:tcW w:w="1813" w:type="dxa"/>
            <w:noWrap/>
            <w:vAlign w:val="center"/>
          </w:tcPr>
          <w:p w14:paraId="3D0676E5" w14:textId="77777777" w:rsidR="00E62DFC" w:rsidRPr="00644BDD" w:rsidRDefault="00E62DFC" w:rsidP="00351511">
            <w:pPr>
              <w:jc w:val="center"/>
              <w:rPr>
                <w:sz w:val="16"/>
                <w:szCs w:val="16"/>
              </w:rPr>
            </w:pPr>
            <w:r w:rsidRPr="00644BDD">
              <w:rPr>
                <w:sz w:val="16"/>
                <w:szCs w:val="16"/>
              </w:rPr>
              <w:t>Para.2</w:t>
            </w:r>
          </w:p>
        </w:tc>
        <w:tc>
          <w:tcPr>
            <w:tcW w:w="1843" w:type="dxa"/>
            <w:noWrap/>
            <w:vAlign w:val="center"/>
          </w:tcPr>
          <w:p w14:paraId="3C0C012A" w14:textId="77777777" w:rsidR="00E62DFC" w:rsidRPr="00644BDD" w:rsidRDefault="00E62DFC" w:rsidP="00351511">
            <w:pPr>
              <w:jc w:val="center"/>
              <w:rPr>
                <w:sz w:val="16"/>
                <w:szCs w:val="16"/>
              </w:rPr>
            </w:pPr>
            <w:r w:rsidRPr="00644BDD">
              <w:rPr>
                <w:sz w:val="16"/>
                <w:szCs w:val="16"/>
              </w:rPr>
              <w:t>Paras. 5-13</w:t>
            </w:r>
          </w:p>
        </w:tc>
        <w:tc>
          <w:tcPr>
            <w:tcW w:w="1985" w:type="dxa"/>
            <w:noWrap/>
            <w:vAlign w:val="center"/>
          </w:tcPr>
          <w:p w14:paraId="33957729" w14:textId="77777777" w:rsidR="00E62DFC" w:rsidRPr="00644BDD" w:rsidRDefault="00E62DFC" w:rsidP="00351511">
            <w:pPr>
              <w:jc w:val="center"/>
              <w:rPr>
                <w:sz w:val="16"/>
                <w:szCs w:val="16"/>
              </w:rPr>
            </w:pPr>
            <w:r w:rsidRPr="00644BDD">
              <w:rPr>
                <w:sz w:val="16"/>
                <w:szCs w:val="16"/>
              </w:rPr>
              <w:t>Para. 4</w:t>
            </w:r>
          </w:p>
        </w:tc>
        <w:tc>
          <w:tcPr>
            <w:tcW w:w="2358" w:type="dxa"/>
            <w:noWrap/>
            <w:vAlign w:val="center"/>
          </w:tcPr>
          <w:p w14:paraId="08091DA4" w14:textId="77777777" w:rsidR="00E62DFC" w:rsidRPr="00644BDD" w:rsidRDefault="00E62DFC" w:rsidP="00351511">
            <w:pPr>
              <w:jc w:val="center"/>
              <w:rPr>
                <w:sz w:val="16"/>
                <w:szCs w:val="16"/>
              </w:rPr>
            </w:pPr>
            <w:r w:rsidRPr="00644BDD">
              <w:rPr>
                <w:sz w:val="16"/>
                <w:szCs w:val="16"/>
              </w:rPr>
              <w:t>Para. 3</w:t>
            </w:r>
          </w:p>
        </w:tc>
      </w:tr>
      <w:tr w:rsidR="00907FAD" w:rsidRPr="00644BDD" w14:paraId="618C9FAA"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2AD1907C" w14:textId="77777777" w:rsidR="00E62DFC" w:rsidRPr="00644BDD" w:rsidRDefault="00E62DFC" w:rsidP="00351511">
            <w:pPr>
              <w:jc w:val="center"/>
              <w:rPr>
                <w:sz w:val="16"/>
                <w:szCs w:val="16"/>
              </w:rPr>
            </w:pPr>
            <w:r w:rsidRPr="00644BDD">
              <w:rPr>
                <w:sz w:val="16"/>
                <w:szCs w:val="16"/>
              </w:rPr>
              <w:t>2001</w:t>
            </w:r>
          </w:p>
        </w:tc>
        <w:tc>
          <w:tcPr>
            <w:tcW w:w="1813" w:type="dxa"/>
            <w:noWrap/>
            <w:vAlign w:val="center"/>
            <w:hideMark/>
          </w:tcPr>
          <w:p w14:paraId="44A0C03C" w14:textId="77777777" w:rsidR="00E62DFC" w:rsidRPr="00644BDD" w:rsidRDefault="00E62DFC" w:rsidP="00351511">
            <w:pPr>
              <w:jc w:val="center"/>
              <w:rPr>
                <w:sz w:val="16"/>
                <w:szCs w:val="16"/>
              </w:rPr>
            </w:pPr>
            <w:r w:rsidRPr="00644BDD">
              <w:rPr>
                <w:sz w:val="16"/>
                <w:szCs w:val="16"/>
              </w:rPr>
              <w:t>76%</w:t>
            </w:r>
          </w:p>
        </w:tc>
        <w:tc>
          <w:tcPr>
            <w:tcW w:w="1843" w:type="dxa"/>
            <w:noWrap/>
            <w:vAlign w:val="center"/>
            <w:hideMark/>
          </w:tcPr>
          <w:p w14:paraId="65FB99CF" w14:textId="77777777" w:rsidR="00E62DFC" w:rsidRPr="00644BDD" w:rsidRDefault="00E62DFC" w:rsidP="00351511">
            <w:pPr>
              <w:jc w:val="center"/>
              <w:rPr>
                <w:sz w:val="16"/>
                <w:szCs w:val="16"/>
              </w:rPr>
            </w:pPr>
            <w:r w:rsidRPr="00644BDD">
              <w:rPr>
                <w:sz w:val="16"/>
                <w:szCs w:val="16"/>
              </w:rPr>
              <w:t>44%</w:t>
            </w:r>
          </w:p>
        </w:tc>
        <w:tc>
          <w:tcPr>
            <w:tcW w:w="1985" w:type="dxa"/>
            <w:noWrap/>
            <w:vAlign w:val="center"/>
            <w:hideMark/>
          </w:tcPr>
          <w:p w14:paraId="00487624" w14:textId="77777777" w:rsidR="00E62DFC" w:rsidRPr="00644BDD" w:rsidRDefault="00E62DFC" w:rsidP="00351511">
            <w:pPr>
              <w:jc w:val="center"/>
              <w:rPr>
                <w:sz w:val="16"/>
                <w:szCs w:val="16"/>
              </w:rPr>
            </w:pPr>
            <w:r w:rsidRPr="00644BDD">
              <w:rPr>
                <w:sz w:val="16"/>
                <w:szCs w:val="16"/>
              </w:rPr>
              <w:t>20%</w:t>
            </w:r>
          </w:p>
        </w:tc>
        <w:tc>
          <w:tcPr>
            <w:tcW w:w="2358" w:type="dxa"/>
            <w:noWrap/>
            <w:vAlign w:val="center"/>
            <w:hideMark/>
          </w:tcPr>
          <w:p w14:paraId="76E8F1AE" w14:textId="77777777" w:rsidR="00E62DFC" w:rsidRPr="00644BDD" w:rsidRDefault="00E62DFC" w:rsidP="00351511">
            <w:pPr>
              <w:jc w:val="center"/>
              <w:rPr>
                <w:sz w:val="16"/>
                <w:szCs w:val="16"/>
              </w:rPr>
            </w:pPr>
            <w:r w:rsidRPr="00644BDD">
              <w:rPr>
                <w:sz w:val="16"/>
                <w:szCs w:val="16"/>
              </w:rPr>
              <w:t>20%</w:t>
            </w:r>
          </w:p>
        </w:tc>
      </w:tr>
      <w:tr w:rsidR="00907FAD" w:rsidRPr="00644BDD" w14:paraId="0A3FC200" w14:textId="77777777" w:rsidTr="00351511">
        <w:trPr>
          <w:trHeight w:val="270"/>
        </w:trPr>
        <w:tc>
          <w:tcPr>
            <w:tcW w:w="1017" w:type="dxa"/>
            <w:noWrap/>
            <w:vAlign w:val="center"/>
            <w:hideMark/>
          </w:tcPr>
          <w:p w14:paraId="6AD623EF" w14:textId="77777777" w:rsidR="00E62DFC" w:rsidRPr="00644BDD" w:rsidRDefault="00E62DFC" w:rsidP="00351511">
            <w:pPr>
              <w:jc w:val="center"/>
              <w:rPr>
                <w:sz w:val="16"/>
                <w:szCs w:val="16"/>
              </w:rPr>
            </w:pPr>
            <w:r w:rsidRPr="00644BDD">
              <w:rPr>
                <w:sz w:val="16"/>
                <w:szCs w:val="16"/>
              </w:rPr>
              <w:t>2002</w:t>
            </w:r>
          </w:p>
        </w:tc>
        <w:tc>
          <w:tcPr>
            <w:tcW w:w="1813" w:type="dxa"/>
            <w:noWrap/>
            <w:vAlign w:val="center"/>
            <w:hideMark/>
          </w:tcPr>
          <w:p w14:paraId="342D663C" w14:textId="77777777" w:rsidR="00E62DFC" w:rsidRPr="00644BDD" w:rsidRDefault="00E62DFC" w:rsidP="00351511">
            <w:pPr>
              <w:jc w:val="center"/>
              <w:rPr>
                <w:sz w:val="16"/>
                <w:szCs w:val="16"/>
              </w:rPr>
            </w:pPr>
            <w:r w:rsidRPr="00644BDD">
              <w:rPr>
                <w:sz w:val="16"/>
                <w:szCs w:val="16"/>
              </w:rPr>
              <w:t>75%</w:t>
            </w:r>
          </w:p>
        </w:tc>
        <w:tc>
          <w:tcPr>
            <w:tcW w:w="1843" w:type="dxa"/>
            <w:noWrap/>
            <w:vAlign w:val="center"/>
            <w:hideMark/>
          </w:tcPr>
          <w:p w14:paraId="4CB7E08A" w14:textId="77777777" w:rsidR="00E62DFC" w:rsidRPr="00644BDD" w:rsidRDefault="00E62DFC" w:rsidP="00351511">
            <w:pPr>
              <w:jc w:val="center"/>
              <w:rPr>
                <w:sz w:val="16"/>
                <w:szCs w:val="16"/>
              </w:rPr>
            </w:pPr>
            <w:r w:rsidRPr="00644BDD">
              <w:rPr>
                <w:sz w:val="16"/>
                <w:szCs w:val="16"/>
              </w:rPr>
              <w:t>47%</w:t>
            </w:r>
          </w:p>
        </w:tc>
        <w:tc>
          <w:tcPr>
            <w:tcW w:w="1985" w:type="dxa"/>
            <w:noWrap/>
            <w:vAlign w:val="center"/>
            <w:hideMark/>
          </w:tcPr>
          <w:p w14:paraId="452DF8AE" w14:textId="77777777" w:rsidR="00E62DFC" w:rsidRPr="00644BDD" w:rsidRDefault="00E62DFC" w:rsidP="00351511">
            <w:pPr>
              <w:jc w:val="center"/>
              <w:rPr>
                <w:sz w:val="16"/>
                <w:szCs w:val="16"/>
              </w:rPr>
            </w:pPr>
            <w:r w:rsidRPr="00644BDD">
              <w:rPr>
                <w:sz w:val="16"/>
                <w:szCs w:val="16"/>
              </w:rPr>
              <w:t>20%</w:t>
            </w:r>
          </w:p>
        </w:tc>
        <w:tc>
          <w:tcPr>
            <w:tcW w:w="2358" w:type="dxa"/>
            <w:noWrap/>
            <w:vAlign w:val="center"/>
            <w:hideMark/>
          </w:tcPr>
          <w:p w14:paraId="0FAA104B" w14:textId="77777777" w:rsidR="00E62DFC" w:rsidRPr="00644BDD" w:rsidRDefault="00E62DFC" w:rsidP="00351511">
            <w:pPr>
              <w:jc w:val="center"/>
              <w:rPr>
                <w:sz w:val="16"/>
                <w:szCs w:val="16"/>
              </w:rPr>
            </w:pPr>
            <w:r w:rsidRPr="00644BDD">
              <w:rPr>
                <w:sz w:val="16"/>
                <w:szCs w:val="16"/>
              </w:rPr>
              <w:t>19%</w:t>
            </w:r>
          </w:p>
        </w:tc>
      </w:tr>
      <w:tr w:rsidR="00907FAD" w:rsidRPr="00644BDD" w14:paraId="3120ECF0"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4B0228AE" w14:textId="77777777" w:rsidR="00E62DFC" w:rsidRPr="00644BDD" w:rsidRDefault="00E62DFC" w:rsidP="00351511">
            <w:pPr>
              <w:jc w:val="center"/>
              <w:rPr>
                <w:sz w:val="16"/>
                <w:szCs w:val="16"/>
              </w:rPr>
            </w:pPr>
            <w:r w:rsidRPr="00644BDD">
              <w:rPr>
                <w:sz w:val="16"/>
                <w:szCs w:val="16"/>
              </w:rPr>
              <w:t>2003</w:t>
            </w:r>
          </w:p>
        </w:tc>
        <w:tc>
          <w:tcPr>
            <w:tcW w:w="1813" w:type="dxa"/>
            <w:noWrap/>
            <w:vAlign w:val="center"/>
            <w:hideMark/>
          </w:tcPr>
          <w:p w14:paraId="2CDF7B45" w14:textId="77777777" w:rsidR="00E62DFC" w:rsidRPr="00644BDD" w:rsidRDefault="00E62DFC" w:rsidP="00351511">
            <w:pPr>
              <w:jc w:val="center"/>
              <w:rPr>
                <w:sz w:val="16"/>
                <w:szCs w:val="16"/>
              </w:rPr>
            </w:pPr>
            <w:r w:rsidRPr="00644BDD">
              <w:rPr>
                <w:sz w:val="16"/>
                <w:szCs w:val="16"/>
              </w:rPr>
              <w:t>82%</w:t>
            </w:r>
          </w:p>
        </w:tc>
        <w:tc>
          <w:tcPr>
            <w:tcW w:w="1843" w:type="dxa"/>
            <w:noWrap/>
            <w:vAlign w:val="center"/>
            <w:hideMark/>
          </w:tcPr>
          <w:p w14:paraId="1488DAAA" w14:textId="77777777" w:rsidR="00E62DFC" w:rsidRPr="00644BDD" w:rsidRDefault="00E62DFC" w:rsidP="00351511">
            <w:pPr>
              <w:jc w:val="center"/>
              <w:rPr>
                <w:sz w:val="16"/>
                <w:szCs w:val="16"/>
              </w:rPr>
            </w:pPr>
            <w:r w:rsidRPr="00644BDD">
              <w:rPr>
                <w:sz w:val="16"/>
                <w:szCs w:val="16"/>
              </w:rPr>
              <w:t>52%</w:t>
            </w:r>
          </w:p>
        </w:tc>
        <w:tc>
          <w:tcPr>
            <w:tcW w:w="1985" w:type="dxa"/>
            <w:noWrap/>
            <w:vAlign w:val="center"/>
            <w:hideMark/>
          </w:tcPr>
          <w:p w14:paraId="61396201" w14:textId="77777777" w:rsidR="00E62DFC" w:rsidRPr="00644BDD" w:rsidRDefault="00E62DFC" w:rsidP="00351511">
            <w:pPr>
              <w:jc w:val="center"/>
              <w:rPr>
                <w:sz w:val="16"/>
                <w:szCs w:val="16"/>
              </w:rPr>
            </w:pPr>
            <w:r w:rsidRPr="00644BDD">
              <w:rPr>
                <w:sz w:val="16"/>
                <w:szCs w:val="16"/>
              </w:rPr>
              <w:t>21%</w:t>
            </w:r>
          </w:p>
        </w:tc>
        <w:tc>
          <w:tcPr>
            <w:tcW w:w="2358" w:type="dxa"/>
            <w:noWrap/>
            <w:vAlign w:val="center"/>
            <w:hideMark/>
          </w:tcPr>
          <w:p w14:paraId="7171ADAE" w14:textId="77777777" w:rsidR="00E62DFC" w:rsidRPr="00644BDD" w:rsidRDefault="00E62DFC" w:rsidP="00351511">
            <w:pPr>
              <w:jc w:val="center"/>
              <w:rPr>
                <w:sz w:val="16"/>
                <w:szCs w:val="16"/>
              </w:rPr>
            </w:pPr>
            <w:r w:rsidRPr="00644BDD">
              <w:rPr>
                <w:sz w:val="16"/>
                <w:szCs w:val="16"/>
              </w:rPr>
              <w:t>19%</w:t>
            </w:r>
          </w:p>
        </w:tc>
      </w:tr>
      <w:tr w:rsidR="00907FAD" w:rsidRPr="00644BDD" w14:paraId="7190057D" w14:textId="77777777" w:rsidTr="00351511">
        <w:trPr>
          <w:trHeight w:val="270"/>
        </w:trPr>
        <w:tc>
          <w:tcPr>
            <w:tcW w:w="1017" w:type="dxa"/>
            <w:noWrap/>
            <w:vAlign w:val="center"/>
            <w:hideMark/>
          </w:tcPr>
          <w:p w14:paraId="572E8F6C" w14:textId="77777777" w:rsidR="00E62DFC" w:rsidRPr="00644BDD" w:rsidRDefault="00E62DFC" w:rsidP="00351511">
            <w:pPr>
              <w:jc w:val="center"/>
              <w:rPr>
                <w:sz w:val="16"/>
                <w:szCs w:val="16"/>
              </w:rPr>
            </w:pPr>
            <w:r w:rsidRPr="00644BDD">
              <w:rPr>
                <w:sz w:val="16"/>
                <w:szCs w:val="16"/>
              </w:rPr>
              <w:t>2004</w:t>
            </w:r>
          </w:p>
        </w:tc>
        <w:tc>
          <w:tcPr>
            <w:tcW w:w="1813" w:type="dxa"/>
            <w:noWrap/>
            <w:vAlign w:val="center"/>
            <w:hideMark/>
          </w:tcPr>
          <w:p w14:paraId="30411314" w14:textId="77777777" w:rsidR="00E62DFC" w:rsidRPr="00644BDD" w:rsidRDefault="00E62DFC" w:rsidP="00351511">
            <w:pPr>
              <w:jc w:val="center"/>
              <w:rPr>
                <w:sz w:val="16"/>
                <w:szCs w:val="16"/>
              </w:rPr>
            </w:pPr>
            <w:r w:rsidRPr="00644BDD">
              <w:rPr>
                <w:sz w:val="16"/>
                <w:szCs w:val="16"/>
              </w:rPr>
              <w:t>80%</w:t>
            </w:r>
          </w:p>
        </w:tc>
        <w:tc>
          <w:tcPr>
            <w:tcW w:w="1843" w:type="dxa"/>
            <w:noWrap/>
            <w:vAlign w:val="center"/>
            <w:hideMark/>
          </w:tcPr>
          <w:p w14:paraId="4B85AEDF" w14:textId="77777777" w:rsidR="00E62DFC" w:rsidRPr="00644BDD" w:rsidRDefault="00E62DFC" w:rsidP="00351511">
            <w:pPr>
              <w:jc w:val="center"/>
              <w:rPr>
                <w:sz w:val="16"/>
                <w:szCs w:val="16"/>
              </w:rPr>
            </w:pPr>
            <w:r w:rsidRPr="00644BDD">
              <w:rPr>
                <w:sz w:val="16"/>
                <w:szCs w:val="16"/>
              </w:rPr>
              <w:t>51%</w:t>
            </w:r>
          </w:p>
        </w:tc>
        <w:tc>
          <w:tcPr>
            <w:tcW w:w="1985" w:type="dxa"/>
            <w:noWrap/>
            <w:vAlign w:val="center"/>
            <w:hideMark/>
          </w:tcPr>
          <w:p w14:paraId="62927B39"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288E2E39" w14:textId="77777777" w:rsidR="00E62DFC" w:rsidRPr="00644BDD" w:rsidRDefault="00E62DFC" w:rsidP="00351511">
            <w:pPr>
              <w:jc w:val="center"/>
              <w:rPr>
                <w:sz w:val="16"/>
                <w:szCs w:val="16"/>
              </w:rPr>
            </w:pPr>
            <w:r w:rsidRPr="00644BDD">
              <w:rPr>
                <w:sz w:val="16"/>
                <w:szCs w:val="16"/>
              </w:rPr>
              <w:t>19%</w:t>
            </w:r>
          </w:p>
        </w:tc>
      </w:tr>
      <w:tr w:rsidR="00907FAD" w:rsidRPr="00644BDD" w14:paraId="20102BC2"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3D2F82DF" w14:textId="77777777" w:rsidR="00E62DFC" w:rsidRPr="00644BDD" w:rsidRDefault="00E62DFC" w:rsidP="00351511">
            <w:pPr>
              <w:jc w:val="center"/>
              <w:rPr>
                <w:sz w:val="16"/>
                <w:szCs w:val="16"/>
              </w:rPr>
            </w:pPr>
            <w:r w:rsidRPr="00644BDD">
              <w:rPr>
                <w:sz w:val="16"/>
                <w:szCs w:val="16"/>
              </w:rPr>
              <w:t>2005</w:t>
            </w:r>
          </w:p>
        </w:tc>
        <w:tc>
          <w:tcPr>
            <w:tcW w:w="1813" w:type="dxa"/>
            <w:noWrap/>
            <w:vAlign w:val="center"/>
            <w:hideMark/>
          </w:tcPr>
          <w:p w14:paraId="62BC8598" w14:textId="77777777" w:rsidR="00E62DFC" w:rsidRPr="00644BDD" w:rsidRDefault="00E62DFC" w:rsidP="00351511">
            <w:pPr>
              <w:jc w:val="center"/>
              <w:rPr>
                <w:sz w:val="16"/>
                <w:szCs w:val="16"/>
              </w:rPr>
            </w:pPr>
            <w:r w:rsidRPr="00644BDD">
              <w:rPr>
                <w:sz w:val="16"/>
                <w:szCs w:val="16"/>
              </w:rPr>
              <w:t>81%</w:t>
            </w:r>
          </w:p>
        </w:tc>
        <w:tc>
          <w:tcPr>
            <w:tcW w:w="1843" w:type="dxa"/>
            <w:noWrap/>
            <w:vAlign w:val="center"/>
            <w:hideMark/>
          </w:tcPr>
          <w:p w14:paraId="755DF73A" w14:textId="77777777" w:rsidR="00E62DFC" w:rsidRPr="00644BDD" w:rsidRDefault="00E62DFC" w:rsidP="00351511">
            <w:pPr>
              <w:jc w:val="center"/>
              <w:rPr>
                <w:sz w:val="16"/>
                <w:szCs w:val="16"/>
              </w:rPr>
            </w:pPr>
            <w:r w:rsidRPr="00644BDD">
              <w:rPr>
                <w:sz w:val="16"/>
                <w:szCs w:val="16"/>
              </w:rPr>
              <w:t>53%</w:t>
            </w:r>
          </w:p>
        </w:tc>
        <w:tc>
          <w:tcPr>
            <w:tcW w:w="1985" w:type="dxa"/>
            <w:noWrap/>
            <w:vAlign w:val="center"/>
            <w:hideMark/>
          </w:tcPr>
          <w:p w14:paraId="30E25233"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7578382E" w14:textId="77777777" w:rsidR="00E62DFC" w:rsidRPr="00644BDD" w:rsidRDefault="00E62DFC" w:rsidP="00351511">
            <w:pPr>
              <w:jc w:val="center"/>
              <w:rPr>
                <w:sz w:val="16"/>
                <w:szCs w:val="16"/>
              </w:rPr>
            </w:pPr>
            <w:r w:rsidRPr="00644BDD">
              <w:rPr>
                <w:sz w:val="16"/>
                <w:szCs w:val="16"/>
              </w:rPr>
              <w:t>22%</w:t>
            </w:r>
          </w:p>
        </w:tc>
      </w:tr>
      <w:tr w:rsidR="00907FAD" w:rsidRPr="00644BDD" w14:paraId="13B5BD9E" w14:textId="77777777" w:rsidTr="00351511">
        <w:trPr>
          <w:trHeight w:val="270"/>
        </w:trPr>
        <w:tc>
          <w:tcPr>
            <w:tcW w:w="1017" w:type="dxa"/>
            <w:noWrap/>
            <w:vAlign w:val="center"/>
            <w:hideMark/>
          </w:tcPr>
          <w:p w14:paraId="276B6C72" w14:textId="77777777" w:rsidR="00E62DFC" w:rsidRPr="00644BDD" w:rsidRDefault="00E62DFC" w:rsidP="00351511">
            <w:pPr>
              <w:jc w:val="center"/>
              <w:rPr>
                <w:sz w:val="16"/>
                <w:szCs w:val="16"/>
              </w:rPr>
            </w:pPr>
            <w:r w:rsidRPr="00644BDD">
              <w:rPr>
                <w:sz w:val="16"/>
                <w:szCs w:val="16"/>
              </w:rPr>
              <w:t>2006</w:t>
            </w:r>
          </w:p>
        </w:tc>
        <w:tc>
          <w:tcPr>
            <w:tcW w:w="1813" w:type="dxa"/>
            <w:noWrap/>
            <w:vAlign w:val="center"/>
            <w:hideMark/>
          </w:tcPr>
          <w:p w14:paraId="5F2C2961" w14:textId="77777777" w:rsidR="00E62DFC" w:rsidRPr="00644BDD" w:rsidRDefault="00E62DFC" w:rsidP="00351511">
            <w:pPr>
              <w:jc w:val="center"/>
              <w:rPr>
                <w:sz w:val="16"/>
                <w:szCs w:val="16"/>
              </w:rPr>
            </w:pPr>
            <w:r w:rsidRPr="00644BDD">
              <w:rPr>
                <w:sz w:val="16"/>
                <w:szCs w:val="16"/>
              </w:rPr>
              <w:t>81%</w:t>
            </w:r>
          </w:p>
        </w:tc>
        <w:tc>
          <w:tcPr>
            <w:tcW w:w="1843" w:type="dxa"/>
            <w:noWrap/>
            <w:vAlign w:val="center"/>
            <w:hideMark/>
          </w:tcPr>
          <w:p w14:paraId="3C3C5185" w14:textId="77777777" w:rsidR="00E62DFC" w:rsidRPr="00644BDD" w:rsidRDefault="00E62DFC" w:rsidP="00351511">
            <w:pPr>
              <w:jc w:val="center"/>
              <w:rPr>
                <w:sz w:val="16"/>
                <w:szCs w:val="16"/>
              </w:rPr>
            </w:pPr>
            <w:r w:rsidRPr="00644BDD">
              <w:rPr>
                <w:sz w:val="16"/>
                <w:szCs w:val="16"/>
              </w:rPr>
              <w:t>51%</w:t>
            </w:r>
          </w:p>
        </w:tc>
        <w:tc>
          <w:tcPr>
            <w:tcW w:w="1985" w:type="dxa"/>
            <w:noWrap/>
            <w:vAlign w:val="center"/>
            <w:hideMark/>
          </w:tcPr>
          <w:p w14:paraId="711028A4"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13F406CE" w14:textId="77777777" w:rsidR="00E62DFC" w:rsidRPr="00644BDD" w:rsidRDefault="00E62DFC" w:rsidP="00351511">
            <w:pPr>
              <w:jc w:val="center"/>
              <w:rPr>
                <w:sz w:val="16"/>
                <w:szCs w:val="16"/>
              </w:rPr>
            </w:pPr>
            <w:r w:rsidRPr="00644BDD">
              <w:rPr>
                <w:sz w:val="16"/>
                <w:szCs w:val="16"/>
              </w:rPr>
              <w:t>23%</w:t>
            </w:r>
          </w:p>
        </w:tc>
      </w:tr>
      <w:tr w:rsidR="00907FAD" w:rsidRPr="00644BDD" w14:paraId="1F78E181"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3E381364" w14:textId="77777777" w:rsidR="00E62DFC" w:rsidRPr="00644BDD" w:rsidRDefault="00E62DFC" w:rsidP="00351511">
            <w:pPr>
              <w:jc w:val="center"/>
              <w:rPr>
                <w:sz w:val="16"/>
                <w:szCs w:val="16"/>
              </w:rPr>
            </w:pPr>
            <w:r w:rsidRPr="00644BDD">
              <w:rPr>
                <w:sz w:val="16"/>
                <w:szCs w:val="16"/>
              </w:rPr>
              <w:lastRenderedPageBreak/>
              <w:t>2007</w:t>
            </w:r>
          </w:p>
        </w:tc>
        <w:tc>
          <w:tcPr>
            <w:tcW w:w="1813" w:type="dxa"/>
            <w:noWrap/>
            <w:vAlign w:val="center"/>
            <w:hideMark/>
          </w:tcPr>
          <w:p w14:paraId="084CB7A0" w14:textId="77777777" w:rsidR="00E62DFC" w:rsidRPr="00644BDD" w:rsidRDefault="00E62DFC" w:rsidP="00351511">
            <w:pPr>
              <w:jc w:val="center"/>
              <w:rPr>
                <w:sz w:val="16"/>
                <w:szCs w:val="16"/>
              </w:rPr>
            </w:pPr>
            <w:r w:rsidRPr="00644BDD">
              <w:rPr>
                <w:sz w:val="16"/>
                <w:szCs w:val="16"/>
              </w:rPr>
              <w:t>84%</w:t>
            </w:r>
          </w:p>
        </w:tc>
        <w:tc>
          <w:tcPr>
            <w:tcW w:w="1843" w:type="dxa"/>
            <w:noWrap/>
            <w:vAlign w:val="center"/>
            <w:hideMark/>
          </w:tcPr>
          <w:p w14:paraId="022D35DE" w14:textId="77777777" w:rsidR="00E62DFC" w:rsidRPr="00644BDD" w:rsidRDefault="00E62DFC" w:rsidP="00351511">
            <w:pPr>
              <w:jc w:val="center"/>
              <w:rPr>
                <w:sz w:val="16"/>
                <w:szCs w:val="16"/>
              </w:rPr>
            </w:pPr>
            <w:r w:rsidRPr="00644BDD">
              <w:rPr>
                <w:sz w:val="16"/>
                <w:szCs w:val="16"/>
              </w:rPr>
              <w:t>56%</w:t>
            </w:r>
          </w:p>
        </w:tc>
        <w:tc>
          <w:tcPr>
            <w:tcW w:w="1985" w:type="dxa"/>
            <w:noWrap/>
            <w:vAlign w:val="center"/>
            <w:hideMark/>
          </w:tcPr>
          <w:p w14:paraId="1B7836BB" w14:textId="77777777" w:rsidR="00E62DFC" w:rsidRPr="00644BDD" w:rsidRDefault="00E62DFC" w:rsidP="00351511">
            <w:pPr>
              <w:jc w:val="center"/>
              <w:rPr>
                <w:sz w:val="16"/>
                <w:szCs w:val="16"/>
              </w:rPr>
            </w:pPr>
            <w:r w:rsidRPr="00644BDD">
              <w:rPr>
                <w:sz w:val="16"/>
                <w:szCs w:val="16"/>
              </w:rPr>
              <w:t>25%</w:t>
            </w:r>
          </w:p>
        </w:tc>
        <w:tc>
          <w:tcPr>
            <w:tcW w:w="2358" w:type="dxa"/>
            <w:noWrap/>
            <w:vAlign w:val="center"/>
            <w:hideMark/>
          </w:tcPr>
          <w:p w14:paraId="6DD8566F" w14:textId="77777777" w:rsidR="00E62DFC" w:rsidRPr="00644BDD" w:rsidRDefault="00E62DFC" w:rsidP="00351511">
            <w:pPr>
              <w:jc w:val="center"/>
              <w:rPr>
                <w:sz w:val="16"/>
                <w:szCs w:val="16"/>
              </w:rPr>
            </w:pPr>
            <w:r w:rsidRPr="00644BDD">
              <w:rPr>
                <w:sz w:val="16"/>
                <w:szCs w:val="16"/>
              </w:rPr>
              <w:t>26%</w:t>
            </w:r>
          </w:p>
        </w:tc>
      </w:tr>
      <w:tr w:rsidR="00907FAD" w:rsidRPr="00644BDD" w14:paraId="75DDC795" w14:textId="77777777" w:rsidTr="00351511">
        <w:trPr>
          <w:trHeight w:val="270"/>
        </w:trPr>
        <w:tc>
          <w:tcPr>
            <w:tcW w:w="1017" w:type="dxa"/>
            <w:noWrap/>
            <w:vAlign w:val="center"/>
            <w:hideMark/>
          </w:tcPr>
          <w:p w14:paraId="7B6FCB08" w14:textId="77777777" w:rsidR="00E62DFC" w:rsidRPr="00644BDD" w:rsidRDefault="00E62DFC" w:rsidP="00351511">
            <w:pPr>
              <w:jc w:val="center"/>
              <w:rPr>
                <w:sz w:val="16"/>
                <w:szCs w:val="16"/>
              </w:rPr>
            </w:pPr>
            <w:r w:rsidRPr="00644BDD">
              <w:rPr>
                <w:sz w:val="16"/>
                <w:szCs w:val="16"/>
              </w:rPr>
              <w:t>2008</w:t>
            </w:r>
          </w:p>
        </w:tc>
        <w:tc>
          <w:tcPr>
            <w:tcW w:w="1813" w:type="dxa"/>
            <w:noWrap/>
            <w:vAlign w:val="center"/>
            <w:hideMark/>
          </w:tcPr>
          <w:p w14:paraId="0ACCE274" w14:textId="77777777" w:rsidR="00E62DFC" w:rsidRPr="00644BDD" w:rsidRDefault="00E62DFC" w:rsidP="00351511">
            <w:pPr>
              <w:jc w:val="center"/>
              <w:rPr>
                <w:sz w:val="16"/>
                <w:szCs w:val="16"/>
              </w:rPr>
            </w:pPr>
            <w:r w:rsidRPr="00644BDD">
              <w:rPr>
                <w:sz w:val="16"/>
                <w:szCs w:val="16"/>
              </w:rPr>
              <w:t>82%</w:t>
            </w:r>
          </w:p>
        </w:tc>
        <w:tc>
          <w:tcPr>
            <w:tcW w:w="1843" w:type="dxa"/>
            <w:noWrap/>
            <w:vAlign w:val="center"/>
            <w:hideMark/>
          </w:tcPr>
          <w:p w14:paraId="71182905" w14:textId="77777777" w:rsidR="00E62DFC" w:rsidRPr="00644BDD" w:rsidRDefault="00E62DFC" w:rsidP="00351511">
            <w:pPr>
              <w:jc w:val="center"/>
              <w:rPr>
                <w:sz w:val="16"/>
                <w:szCs w:val="16"/>
              </w:rPr>
            </w:pPr>
            <w:r w:rsidRPr="00644BDD">
              <w:rPr>
                <w:sz w:val="16"/>
                <w:szCs w:val="16"/>
              </w:rPr>
              <w:t>55%</w:t>
            </w:r>
          </w:p>
        </w:tc>
        <w:tc>
          <w:tcPr>
            <w:tcW w:w="1985" w:type="dxa"/>
            <w:noWrap/>
            <w:vAlign w:val="center"/>
            <w:hideMark/>
          </w:tcPr>
          <w:p w14:paraId="46EA9D73" w14:textId="77777777" w:rsidR="00E62DFC" w:rsidRPr="00644BDD" w:rsidRDefault="00E62DFC" w:rsidP="00351511">
            <w:pPr>
              <w:jc w:val="center"/>
              <w:rPr>
                <w:sz w:val="16"/>
                <w:szCs w:val="16"/>
              </w:rPr>
            </w:pPr>
            <w:r w:rsidRPr="00644BDD">
              <w:rPr>
                <w:sz w:val="16"/>
                <w:szCs w:val="16"/>
              </w:rPr>
              <w:t>21%</w:t>
            </w:r>
          </w:p>
        </w:tc>
        <w:tc>
          <w:tcPr>
            <w:tcW w:w="2358" w:type="dxa"/>
            <w:noWrap/>
            <w:vAlign w:val="center"/>
            <w:hideMark/>
          </w:tcPr>
          <w:p w14:paraId="31A72FB4" w14:textId="77777777" w:rsidR="00E62DFC" w:rsidRPr="00644BDD" w:rsidRDefault="00E62DFC" w:rsidP="00351511">
            <w:pPr>
              <w:jc w:val="center"/>
              <w:rPr>
                <w:sz w:val="16"/>
                <w:szCs w:val="16"/>
              </w:rPr>
            </w:pPr>
            <w:r w:rsidRPr="00644BDD">
              <w:rPr>
                <w:sz w:val="16"/>
                <w:szCs w:val="16"/>
              </w:rPr>
              <w:t>26%</w:t>
            </w:r>
          </w:p>
        </w:tc>
      </w:tr>
      <w:tr w:rsidR="00907FAD" w:rsidRPr="00644BDD" w14:paraId="7CAF4C33"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583E8C00" w14:textId="77777777" w:rsidR="00E62DFC" w:rsidRPr="00644BDD" w:rsidRDefault="00E62DFC" w:rsidP="00351511">
            <w:pPr>
              <w:jc w:val="center"/>
              <w:rPr>
                <w:sz w:val="16"/>
                <w:szCs w:val="16"/>
              </w:rPr>
            </w:pPr>
            <w:r w:rsidRPr="00644BDD">
              <w:rPr>
                <w:sz w:val="16"/>
                <w:szCs w:val="16"/>
              </w:rPr>
              <w:t>2009</w:t>
            </w:r>
          </w:p>
        </w:tc>
        <w:tc>
          <w:tcPr>
            <w:tcW w:w="1813" w:type="dxa"/>
            <w:noWrap/>
            <w:vAlign w:val="center"/>
            <w:hideMark/>
          </w:tcPr>
          <w:p w14:paraId="728DB2FD" w14:textId="77777777" w:rsidR="00E62DFC" w:rsidRPr="00644BDD" w:rsidRDefault="00E62DFC" w:rsidP="00351511">
            <w:pPr>
              <w:jc w:val="center"/>
              <w:rPr>
                <w:sz w:val="16"/>
                <w:szCs w:val="16"/>
              </w:rPr>
            </w:pPr>
            <w:r w:rsidRPr="00644BDD">
              <w:rPr>
                <w:sz w:val="16"/>
                <w:szCs w:val="16"/>
              </w:rPr>
              <w:t>81%</w:t>
            </w:r>
          </w:p>
        </w:tc>
        <w:tc>
          <w:tcPr>
            <w:tcW w:w="1843" w:type="dxa"/>
            <w:noWrap/>
            <w:vAlign w:val="center"/>
            <w:hideMark/>
          </w:tcPr>
          <w:p w14:paraId="41188FB1" w14:textId="77777777" w:rsidR="00E62DFC" w:rsidRPr="00644BDD" w:rsidRDefault="00E62DFC" w:rsidP="00351511">
            <w:pPr>
              <w:jc w:val="center"/>
              <w:rPr>
                <w:sz w:val="16"/>
                <w:szCs w:val="16"/>
              </w:rPr>
            </w:pPr>
            <w:r w:rsidRPr="00644BDD">
              <w:rPr>
                <w:sz w:val="16"/>
                <w:szCs w:val="16"/>
              </w:rPr>
              <w:t>53%</w:t>
            </w:r>
          </w:p>
        </w:tc>
        <w:tc>
          <w:tcPr>
            <w:tcW w:w="1985" w:type="dxa"/>
            <w:noWrap/>
            <w:vAlign w:val="center"/>
            <w:hideMark/>
          </w:tcPr>
          <w:p w14:paraId="664D55D6" w14:textId="77777777" w:rsidR="00E62DFC" w:rsidRPr="00644BDD" w:rsidRDefault="00E62DFC" w:rsidP="00351511">
            <w:pPr>
              <w:jc w:val="center"/>
              <w:rPr>
                <w:sz w:val="16"/>
                <w:szCs w:val="16"/>
              </w:rPr>
            </w:pPr>
            <w:r w:rsidRPr="00644BDD">
              <w:rPr>
                <w:sz w:val="16"/>
                <w:szCs w:val="16"/>
              </w:rPr>
              <w:t>23%</w:t>
            </w:r>
          </w:p>
        </w:tc>
        <w:tc>
          <w:tcPr>
            <w:tcW w:w="2358" w:type="dxa"/>
            <w:noWrap/>
            <w:vAlign w:val="center"/>
            <w:hideMark/>
          </w:tcPr>
          <w:p w14:paraId="3FE2D918" w14:textId="77777777" w:rsidR="00E62DFC" w:rsidRPr="00644BDD" w:rsidRDefault="00E62DFC" w:rsidP="00351511">
            <w:pPr>
              <w:jc w:val="center"/>
              <w:rPr>
                <w:sz w:val="16"/>
                <w:szCs w:val="16"/>
              </w:rPr>
            </w:pPr>
            <w:r w:rsidRPr="00644BDD">
              <w:rPr>
                <w:sz w:val="16"/>
                <w:szCs w:val="16"/>
              </w:rPr>
              <w:t>26%</w:t>
            </w:r>
          </w:p>
        </w:tc>
      </w:tr>
      <w:tr w:rsidR="00907FAD" w:rsidRPr="00644BDD" w14:paraId="36B30EFE" w14:textId="77777777" w:rsidTr="00351511">
        <w:trPr>
          <w:trHeight w:val="270"/>
        </w:trPr>
        <w:tc>
          <w:tcPr>
            <w:tcW w:w="1017" w:type="dxa"/>
            <w:noWrap/>
            <w:vAlign w:val="center"/>
            <w:hideMark/>
          </w:tcPr>
          <w:p w14:paraId="6C0B429A" w14:textId="77777777" w:rsidR="00E62DFC" w:rsidRPr="00644BDD" w:rsidRDefault="00E62DFC" w:rsidP="00351511">
            <w:pPr>
              <w:jc w:val="center"/>
              <w:rPr>
                <w:sz w:val="16"/>
                <w:szCs w:val="16"/>
              </w:rPr>
            </w:pPr>
            <w:r w:rsidRPr="00644BDD">
              <w:rPr>
                <w:sz w:val="16"/>
                <w:szCs w:val="16"/>
              </w:rPr>
              <w:t>2010</w:t>
            </w:r>
          </w:p>
        </w:tc>
        <w:tc>
          <w:tcPr>
            <w:tcW w:w="1813" w:type="dxa"/>
            <w:noWrap/>
            <w:vAlign w:val="center"/>
            <w:hideMark/>
          </w:tcPr>
          <w:p w14:paraId="0706F460" w14:textId="77777777" w:rsidR="00E62DFC" w:rsidRPr="00644BDD" w:rsidRDefault="00E62DFC" w:rsidP="00351511">
            <w:pPr>
              <w:jc w:val="center"/>
              <w:rPr>
                <w:sz w:val="16"/>
                <w:szCs w:val="16"/>
              </w:rPr>
            </w:pPr>
            <w:r w:rsidRPr="00644BDD">
              <w:rPr>
                <w:sz w:val="16"/>
                <w:szCs w:val="16"/>
              </w:rPr>
              <w:t>83%</w:t>
            </w:r>
          </w:p>
        </w:tc>
        <w:tc>
          <w:tcPr>
            <w:tcW w:w="1843" w:type="dxa"/>
            <w:noWrap/>
            <w:vAlign w:val="center"/>
            <w:hideMark/>
          </w:tcPr>
          <w:p w14:paraId="30D9C60A" w14:textId="77777777" w:rsidR="00E62DFC" w:rsidRPr="00644BDD" w:rsidRDefault="00E62DFC" w:rsidP="00351511">
            <w:pPr>
              <w:jc w:val="center"/>
              <w:rPr>
                <w:sz w:val="16"/>
                <w:szCs w:val="16"/>
              </w:rPr>
            </w:pPr>
            <w:r w:rsidRPr="00644BDD">
              <w:rPr>
                <w:sz w:val="16"/>
                <w:szCs w:val="16"/>
              </w:rPr>
              <w:t>57%</w:t>
            </w:r>
          </w:p>
        </w:tc>
        <w:tc>
          <w:tcPr>
            <w:tcW w:w="1985" w:type="dxa"/>
            <w:noWrap/>
            <w:vAlign w:val="center"/>
            <w:hideMark/>
          </w:tcPr>
          <w:p w14:paraId="2D8F4C32" w14:textId="77777777" w:rsidR="00E62DFC" w:rsidRPr="00644BDD" w:rsidRDefault="00E62DFC" w:rsidP="00351511">
            <w:pPr>
              <w:jc w:val="center"/>
              <w:rPr>
                <w:sz w:val="16"/>
                <w:szCs w:val="16"/>
              </w:rPr>
            </w:pPr>
            <w:r w:rsidRPr="00644BDD">
              <w:rPr>
                <w:sz w:val="16"/>
                <w:szCs w:val="16"/>
              </w:rPr>
              <w:t>21%</w:t>
            </w:r>
          </w:p>
        </w:tc>
        <w:tc>
          <w:tcPr>
            <w:tcW w:w="2358" w:type="dxa"/>
            <w:noWrap/>
            <w:vAlign w:val="center"/>
            <w:hideMark/>
          </w:tcPr>
          <w:p w14:paraId="6D6AD67B" w14:textId="77777777" w:rsidR="00E62DFC" w:rsidRPr="00644BDD" w:rsidRDefault="00E62DFC" w:rsidP="00351511">
            <w:pPr>
              <w:jc w:val="center"/>
              <w:rPr>
                <w:sz w:val="16"/>
                <w:szCs w:val="16"/>
              </w:rPr>
            </w:pPr>
            <w:r w:rsidRPr="00644BDD">
              <w:rPr>
                <w:sz w:val="16"/>
                <w:szCs w:val="16"/>
              </w:rPr>
              <w:t>24%</w:t>
            </w:r>
          </w:p>
        </w:tc>
      </w:tr>
      <w:tr w:rsidR="00907FAD" w:rsidRPr="00644BDD" w14:paraId="78625CC8"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0E52E5BE" w14:textId="77777777" w:rsidR="00E62DFC" w:rsidRPr="00644BDD" w:rsidRDefault="00E62DFC" w:rsidP="00351511">
            <w:pPr>
              <w:jc w:val="center"/>
              <w:rPr>
                <w:sz w:val="16"/>
                <w:szCs w:val="16"/>
              </w:rPr>
            </w:pPr>
            <w:r w:rsidRPr="00644BDD">
              <w:rPr>
                <w:sz w:val="16"/>
                <w:szCs w:val="16"/>
              </w:rPr>
              <w:t>2011</w:t>
            </w:r>
          </w:p>
        </w:tc>
        <w:tc>
          <w:tcPr>
            <w:tcW w:w="1813" w:type="dxa"/>
            <w:noWrap/>
            <w:vAlign w:val="center"/>
            <w:hideMark/>
          </w:tcPr>
          <w:p w14:paraId="1D4457BB" w14:textId="77777777" w:rsidR="00E62DFC" w:rsidRPr="00644BDD" w:rsidRDefault="00E62DFC" w:rsidP="00351511">
            <w:pPr>
              <w:jc w:val="center"/>
              <w:rPr>
                <w:sz w:val="16"/>
                <w:szCs w:val="16"/>
              </w:rPr>
            </w:pPr>
            <w:r w:rsidRPr="00644BDD">
              <w:rPr>
                <w:sz w:val="16"/>
                <w:szCs w:val="16"/>
              </w:rPr>
              <w:t>80%</w:t>
            </w:r>
          </w:p>
        </w:tc>
        <w:tc>
          <w:tcPr>
            <w:tcW w:w="1843" w:type="dxa"/>
            <w:noWrap/>
            <w:vAlign w:val="center"/>
            <w:hideMark/>
          </w:tcPr>
          <w:p w14:paraId="61E67321" w14:textId="77777777" w:rsidR="00E62DFC" w:rsidRPr="00644BDD" w:rsidRDefault="00E62DFC" w:rsidP="00351511">
            <w:pPr>
              <w:jc w:val="center"/>
              <w:rPr>
                <w:sz w:val="16"/>
                <w:szCs w:val="16"/>
              </w:rPr>
            </w:pPr>
            <w:r w:rsidRPr="00644BDD">
              <w:rPr>
                <w:sz w:val="16"/>
                <w:szCs w:val="16"/>
              </w:rPr>
              <w:t>54%</w:t>
            </w:r>
          </w:p>
        </w:tc>
        <w:tc>
          <w:tcPr>
            <w:tcW w:w="1985" w:type="dxa"/>
            <w:noWrap/>
            <w:vAlign w:val="center"/>
            <w:hideMark/>
          </w:tcPr>
          <w:p w14:paraId="60DB9CCB" w14:textId="77777777" w:rsidR="00E62DFC" w:rsidRPr="00644BDD" w:rsidRDefault="00E62DFC" w:rsidP="00351511">
            <w:pPr>
              <w:jc w:val="center"/>
              <w:rPr>
                <w:sz w:val="16"/>
                <w:szCs w:val="16"/>
              </w:rPr>
            </w:pPr>
            <w:r w:rsidRPr="00644BDD">
              <w:rPr>
                <w:sz w:val="16"/>
                <w:szCs w:val="16"/>
              </w:rPr>
              <w:t>21%</w:t>
            </w:r>
          </w:p>
        </w:tc>
        <w:tc>
          <w:tcPr>
            <w:tcW w:w="2358" w:type="dxa"/>
            <w:noWrap/>
            <w:vAlign w:val="center"/>
            <w:hideMark/>
          </w:tcPr>
          <w:p w14:paraId="641AEF7C" w14:textId="77777777" w:rsidR="00E62DFC" w:rsidRPr="00644BDD" w:rsidRDefault="00E62DFC" w:rsidP="00351511">
            <w:pPr>
              <w:jc w:val="center"/>
              <w:rPr>
                <w:sz w:val="16"/>
                <w:szCs w:val="16"/>
              </w:rPr>
            </w:pPr>
            <w:r w:rsidRPr="00644BDD">
              <w:rPr>
                <w:sz w:val="16"/>
                <w:szCs w:val="16"/>
              </w:rPr>
              <w:t>21%</w:t>
            </w:r>
          </w:p>
        </w:tc>
      </w:tr>
      <w:tr w:rsidR="00907FAD" w:rsidRPr="00644BDD" w14:paraId="05E98670" w14:textId="77777777" w:rsidTr="00351511">
        <w:trPr>
          <w:trHeight w:val="270"/>
        </w:trPr>
        <w:tc>
          <w:tcPr>
            <w:tcW w:w="1017" w:type="dxa"/>
            <w:noWrap/>
            <w:vAlign w:val="center"/>
            <w:hideMark/>
          </w:tcPr>
          <w:p w14:paraId="708E64B5" w14:textId="77777777" w:rsidR="00E62DFC" w:rsidRPr="00644BDD" w:rsidRDefault="00E62DFC" w:rsidP="00351511">
            <w:pPr>
              <w:jc w:val="center"/>
              <w:rPr>
                <w:sz w:val="16"/>
                <w:szCs w:val="16"/>
              </w:rPr>
            </w:pPr>
            <w:r w:rsidRPr="00644BDD">
              <w:rPr>
                <w:sz w:val="16"/>
                <w:szCs w:val="16"/>
              </w:rPr>
              <w:t>2012</w:t>
            </w:r>
          </w:p>
        </w:tc>
        <w:tc>
          <w:tcPr>
            <w:tcW w:w="1813" w:type="dxa"/>
            <w:noWrap/>
            <w:vAlign w:val="center"/>
            <w:hideMark/>
          </w:tcPr>
          <w:p w14:paraId="21BA5DEE" w14:textId="77777777" w:rsidR="00E62DFC" w:rsidRPr="00644BDD" w:rsidRDefault="00E62DFC" w:rsidP="00351511">
            <w:pPr>
              <w:jc w:val="center"/>
              <w:rPr>
                <w:sz w:val="16"/>
                <w:szCs w:val="16"/>
              </w:rPr>
            </w:pPr>
            <w:r w:rsidRPr="00644BDD">
              <w:rPr>
                <w:sz w:val="16"/>
                <w:szCs w:val="16"/>
              </w:rPr>
              <w:t>82%</w:t>
            </w:r>
          </w:p>
        </w:tc>
        <w:tc>
          <w:tcPr>
            <w:tcW w:w="1843" w:type="dxa"/>
            <w:noWrap/>
            <w:vAlign w:val="center"/>
            <w:hideMark/>
          </w:tcPr>
          <w:p w14:paraId="05B235C7" w14:textId="77777777" w:rsidR="00E62DFC" w:rsidRPr="00644BDD" w:rsidRDefault="00E62DFC" w:rsidP="00351511">
            <w:pPr>
              <w:jc w:val="center"/>
              <w:rPr>
                <w:sz w:val="16"/>
                <w:szCs w:val="16"/>
              </w:rPr>
            </w:pPr>
            <w:r w:rsidRPr="00644BDD">
              <w:rPr>
                <w:sz w:val="16"/>
                <w:szCs w:val="16"/>
              </w:rPr>
              <w:t>53%</w:t>
            </w:r>
          </w:p>
        </w:tc>
        <w:tc>
          <w:tcPr>
            <w:tcW w:w="1985" w:type="dxa"/>
            <w:noWrap/>
            <w:vAlign w:val="center"/>
            <w:hideMark/>
          </w:tcPr>
          <w:p w14:paraId="20C5BD41"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5CFA35A9" w14:textId="77777777" w:rsidR="00E62DFC" w:rsidRPr="00644BDD" w:rsidRDefault="00E62DFC" w:rsidP="00351511">
            <w:pPr>
              <w:jc w:val="center"/>
              <w:rPr>
                <w:sz w:val="16"/>
                <w:szCs w:val="16"/>
              </w:rPr>
            </w:pPr>
            <w:r w:rsidRPr="00644BDD">
              <w:rPr>
                <w:sz w:val="16"/>
                <w:szCs w:val="16"/>
              </w:rPr>
              <w:t>23%</w:t>
            </w:r>
          </w:p>
        </w:tc>
      </w:tr>
      <w:tr w:rsidR="00907FAD" w:rsidRPr="00644BDD" w14:paraId="4989FDFF"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6AD73BB2" w14:textId="77777777" w:rsidR="00E62DFC" w:rsidRPr="00644BDD" w:rsidRDefault="00E62DFC" w:rsidP="00351511">
            <w:pPr>
              <w:jc w:val="center"/>
              <w:rPr>
                <w:sz w:val="16"/>
                <w:szCs w:val="16"/>
              </w:rPr>
            </w:pPr>
            <w:r w:rsidRPr="00644BDD">
              <w:rPr>
                <w:sz w:val="16"/>
                <w:szCs w:val="16"/>
              </w:rPr>
              <w:t>2013</w:t>
            </w:r>
          </w:p>
        </w:tc>
        <w:tc>
          <w:tcPr>
            <w:tcW w:w="1813" w:type="dxa"/>
            <w:noWrap/>
            <w:vAlign w:val="center"/>
            <w:hideMark/>
          </w:tcPr>
          <w:p w14:paraId="5E1A00AA" w14:textId="77777777" w:rsidR="00E62DFC" w:rsidRPr="00644BDD" w:rsidRDefault="00E62DFC" w:rsidP="00351511">
            <w:pPr>
              <w:jc w:val="center"/>
              <w:rPr>
                <w:sz w:val="16"/>
                <w:szCs w:val="16"/>
              </w:rPr>
            </w:pPr>
            <w:r w:rsidRPr="00644BDD">
              <w:rPr>
                <w:sz w:val="16"/>
                <w:szCs w:val="16"/>
              </w:rPr>
              <w:t>79%</w:t>
            </w:r>
          </w:p>
        </w:tc>
        <w:tc>
          <w:tcPr>
            <w:tcW w:w="1843" w:type="dxa"/>
            <w:noWrap/>
            <w:vAlign w:val="center"/>
            <w:hideMark/>
          </w:tcPr>
          <w:p w14:paraId="26987444" w14:textId="77777777" w:rsidR="00E62DFC" w:rsidRPr="00644BDD" w:rsidRDefault="00E62DFC" w:rsidP="00351511">
            <w:pPr>
              <w:jc w:val="center"/>
              <w:rPr>
                <w:sz w:val="16"/>
                <w:szCs w:val="16"/>
              </w:rPr>
            </w:pPr>
            <w:r w:rsidRPr="00644BDD">
              <w:rPr>
                <w:sz w:val="16"/>
                <w:szCs w:val="16"/>
              </w:rPr>
              <w:t>50%</w:t>
            </w:r>
          </w:p>
        </w:tc>
        <w:tc>
          <w:tcPr>
            <w:tcW w:w="1985" w:type="dxa"/>
            <w:noWrap/>
            <w:vAlign w:val="center"/>
            <w:hideMark/>
          </w:tcPr>
          <w:p w14:paraId="41B12DDE"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45397D55" w14:textId="77777777" w:rsidR="00E62DFC" w:rsidRPr="00644BDD" w:rsidRDefault="00E62DFC" w:rsidP="00351511">
            <w:pPr>
              <w:jc w:val="center"/>
              <w:rPr>
                <w:sz w:val="16"/>
                <w:szCs w:val="16"/>
              </w:rPr>
            </w:pPr>
            <w:r w:rsidRPr="00644BDD">
              <w:rPr>
                <w:sz w:val="16"/>
                <w:szCs w:val="16"/>
              </w:rPr>
              <w:t>18%</w:t>
            </w:r>
          </w:p>
        </w:tc>
      </w:tr>
      <w:tr w:rsidR="00907FAD" w:rsidRPr="00644BDD" w14:paraId="5413A78D" w14:textId="77777777" w:rsidTr="00351511">
        <w:trPr>
          <w:trHeight w:val="270"/>
        </w:trPr>
        <w:tc>
          <w:tcPr>
            <w:tcW w:w="1017" w:type="dxa"/>
            <w:noWrap/>
            <w:vAlign w:val="center"/>
            <w:hideMark/>
          </w:tcPr>
          <w:p w14:paraId="4DE1EA7D" w14:textId="77777777" w:rsidR="00E62DFC" w:rsidRPr="00644BDD" w:rsidRDefault="00E62DFC" w:rsidP="00351511">
            <w:pPr>
              <w:jc w:val="center"/>
              <w:rPr>
                <w:sz w:val="16"/>
                <w:szCs w:val="16"/>
              </w:rPr>
            </w:pPr>
            <w:r w:rsidRPr="00644BDD">
              <w:rPr>
                <w:sz w:val="16"/>
                <w:szCs w:val="16"/>
              </w:rPr>
              <w:t>2014</w:t>
            </w:r>
          </w:p>
        </w:tc>
        <w:tc>
          <w:tcPr>
            <w:tcW w:w="1813" w:type="dxa"/>
            <w:noWrap/>
            <w:vAlign w:val="center"/>
            <w:hideMark/>
          </w:tcPr>
          <w:p w14:paraId="6EEDA8DB" w14:textId="77777777" w:rsidR="00E62DFC" w:rsidRPr="00644BDD" w:rsidRDefault="00E62DFC" w:rsidP="00351511">
            <w:pPr>
              <w:jc w:val="center"/>
              <w:rPr>
                <w:sz w:val="16"/>
                <w:szCs w:val="16"/>
              </w:rPr>
            </w:pPr>
            <w:r w:rsidRPr="00644BDD">
              <w:rPr>
                <w:sz w:val="16"/>
                <w:szCs w:val="16"/>
              </w:rPr>
              <w:t>79%</w:t>
            </w:r>
          </w:p>
        </w:tc>
        <w:tc>
          <w:tcPr>
            <w:tcW w:w="1843" w:type="dxa"/>
            <w:noWrap/>
            <w:vAlign w:val="center"/>
            <w:hideMark/>
          </w:tcPr>
          <w:p w14:paraId="2E73C588" w14:textId="77777777" w:rsidR="00E62DFC" w:rsidRPr="00644BDD" w:rsidRDefault="00E62DFC" w:rsidP="00351511">
            <w:pPr>
              <w:jc w:val="center"/>
              <w:rPr>
                <w:sz w:val="16"/>
                <w:szCs w:val="16"/>
              </w:rPr>
            </w:pPr>
            <w:r w:rsidRPr="00644BDD">
              <w:rPr>
                <w:sz w:val="16"/>
                <w:szCs w:val="16"/>
              </w:rPr>
              <w:t>50%</w:t>
            </w:r>
          </w:p>
        </w:tc>
        <w:tc>
          <w:tcPr>
            <w:tcW w:w="1985" w:type="dxa"/>
            <w:noWrap/>
            <w:vAlign w:val="center"/>
            <w:hideMark/>
          </w:tcPr>
          <w:p w14:paraId="2A6DC282" w14:textId="77777777" w:rsidR="00E62DFC" w:rsidRPr="00644BDD" w:rsidRDefault="00E62DFC" w:rsidP="00351511">
            <w:pPr>
              <w:jc w:val="center"/>
              <w:rPr>
                <w:sz w:val="16"/>
                <w:szCs w:val="16"/>
              </w:rPr>
            </w:pPr>
            <w:r w:rsidRPr="00644BDD">
              <w:rPr>
                <w:sz w:val="16"/>
                <w:szCs w:val="16"/>
              </w:rPr>
              <w:t>22%</w:t>
            </w:r>
          </w:p>
        </w:tc>
        <w:tc>
          <w:tcPr>
            <w:tcW w:w="2358" w:type="dxa"/>
            <w:noWrap/>
            <w:vAlign w:val="center"/>
            <w:hideMark/>
          </w:tcPr>
          <w:p w14:paraId="4FCBAF5F" w14:textId="77777777" w:rsidR="00E62DFC" w:rsidRPr="00644BDD" w:rsidRDefault="00E62DFC" w:rsidP="00351511">
            <w:pPr>
              <w:jc w:val="center"/>
              <w:rPr>
                <w:sz w:val="16"/>
                <w:szCs w:val="16"/>
              </w:rPr>
            </w:pPr>
            <w:r w:rsidRPr="00644BDD">
              <w:rPr>
                <w:sz w:val="16"/>
                <w:szCs w:val="16"/>
              </w:rPr>
              <w:t>18%</w:t>
            </w:r>
          </w:p>
        </w:tc>
      </w:tr>
      <w:tr w:rsidR="00907FAD" w:rsidRPr="00644BDD" w14:paraId="0527AE55"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110FB679" w14:textId="77777777" w:rsidR="00E62DFC" w:rsidRPr="00644BDD" w:rsidRDefault="00E62DFC" w:rsidP="00351511">
            <w:pPr>
              <w:jc w:val="center"/>
              <w:rPr>
                <w:sz w:val="16"/>
                <w:szCs w:val="16"/>
              </w:rPr>
            </w:pPr>
            <w:r w:rsidRPr="00644BDD">
              <w:rPr>
                <w:sz w:val="16"/>
                <w:szCs w:val="16"/>
              </w:rPr>
              <w:t>2015</w:t>
            </w:r>
          </w:p>
        </w:tc>
        <w:tc>
          <w:tcPr>
            <w:tcW w:w="1813" w:type="dxa"/>
            <w:noWrap/>
            <w:vAlign w:val="center"/>
            <w:hideMark/>
          </w:tcPr>
          <w:p w14:paraId="22D8092A" w14:textId="77777777" w:rsidR="00E62DFC" w:rsidRPr="00644BDD" w:rsidRDefault="00E62DFC" w:rsidP="00351511">
            <w:pPr>
              <w:jc w:val="center"/>
              <w:rPr>
                <w:sz w:val="16"/>
                <w:szCs w:val="16"/>
              </w:rPr>
            </w:pPr>
            <w:r w:rsidRPr="00644BDD">
              <w:rPr>
                <w:sz w:val="16"/>
                <w:szCs w:val="16"/>
              </w:rPr>
              <w:t>78%</w:t>
            </w:r>
          </w:p>
        </w:tc>
        <w:tc>
          <w:tcPr>
            <w:tcW w:w="1843" w:type="dxa"/>
            <w:noWrap/>
            <w:vAlign w:val="center"/>
            <w:hideMark/>
          </w:tcPr>
          <w:p w14:paraId="54E4557E" w14:textId="77777777" w:rsidR="00E62DFC" w:rsidRPr="00644BDD" w:rsidRDefault="00E62DFC" w:rsidP="00351511">
            <w:pPr>
              <w:jc w:val="center"/>
              <w:rPr>
                <w:sz w:val="16"/>
                <w:szCs w:val="16"/>
              </w:rPr>
            </w:pPr>
            <w:r w:rsidRPr="00644BDD">
              <w:rPr>
                <w:sz w:val="16"/>
                <w:szCs w:val="16"/>
              </w:rPr>
              <w:t>48%</w:t>
            </w:r>
          </w:p>
        </w:tc>
        <w:tc>
          <w:tcPr>
            <w:tcW w:w="1985" w:type="dxa"/>
            <w:noWrap/>
            <w:vAlign w:val="center"/>
            <w:hideMark/>
          </w:tcPr>
          <w:p w14:paraId="56B09651" w14:textId="77777777" w:rsidR="00E62DFC" w:rsidRPr="00644BDD" w:rsidRDefault="00E62DFC" w:rsidP="00351511">
            <w:pPr>
              <w:jc w:val="center"/>
              <w:rPr>
                <w:sz w:val="16"/>
                <w:szCs w:val="16"/>
              </w:rPr>
            </w:pPr>
            <w:r w:rsidRPr="00644BDD">
              <w:rPr>
                <w:sz w:val="16"/>
                <w:szCs w:val="16"/>
              </w:rPr>
              <w:t>19%</w:t>
            </w:r>
          </w:p>
        </w:tc>
        <w:tc>
          <w:tcPr>
            <w:tcW w:w="2358" w:type="dxa"/>
            <w:noWrap/>
            <w:vAlign w:val="center"/>
            <w:hideMark/>
          </w:tcPr>
          <w:p w14:paraId="4F838F92" w14:textId="77777777" w:rsidR="00E62DFC" w:rsidRPr="00644BDD" w:rsidRDefault="00E62DFC" w:rsidP="00351511">
            <w:pPr>
              <w:jc w:val="center"/>
              <w:rPr>
                <w:sz w:val="16"/>
                <w:szCs w:val="16"/>
              </w:rPr>
            </w:pPr>
            <w:r w:rsidRPr="00644BDD">
              <w:rPr>
                <w:sz w:val="16"/>
                <w:szCs w:val="16"/>
              </w:rPr>
              <w:t>18%</w:t>
            </w:r>
          </w:p>
        </w:tc>
      </w:tr>
      <w:tr w:rsidR="00907FAD" w:rsidRPr="00644BDD" w14:paraId="6E5B5424" w14:textId="77777777" w:rsidTr="00351511">
        <w:trPr>
          <w:trHeight w:val="270"/>
        </w:trPr>
        <w:tc>
          <w:tcPr>
            <w:tcW w:w="1017" w:type="dxa"/>
            <w:noWrap/>
            <w:vAlign w:val="center"/>
            <w:hideMark/>
          </w:tcPr>
          <w:p w14:paraId="5E57A1A2" w14:textId="77777777" w:rsidR="00E62DFC" w:rsidRPr="00644BDD" w:rsidRDefault="00E62DFC" w:rsidP="00351511">
            <w:pPr>
              <w:jc w:val="center"/>
              <w:rPr>
                <w:sz w:val="16"/>
                <w:szCs w:val="16"/>
              </w:rPr>
            </w:pPr>
            <w:r w:rsidRPr="00644BDD">
              <w:rPr>
                <w:sz w:val="16"/>
                <w:szCs w:val="16"/>
              </w:rPr>
              <w:t>2016</w:t>
            </w:r>
          </w:p>
        </w:tc>
        <w:tc>
          <w:tcPr>
            <w:tcW w:w="1813" w:type="dxa"/>
            <w:noWrap/>
            <w:vAlign w:val="center"/>
            <w:hideMark/>
          </w:tcPr>
          <w:p w14:paraId="62E0AAE0" w14:textId="77777777" w:rsidR="00E62DFC" w:rsidRPr="00644BDD" w:rsidRDefault="00E62DFC" w:rsidP="00351511">
            <w:pPr>
              <w:jc w:val="center"/>
              <w:rPr>
                <w:sz w:val="16"/>
                <w:szCs w:val="16"/>
              </w:rPr>
            </w:pPr>
            <w:r w:rsidRPr="00644BDD">
              <w:rPr>
                <w:sz w:val="16"/>
                <w:szCs w:val="16"/>
              </w:rPr>
              <w:t>83%</w:t>
            </w:r>
          </w:p>
        </w:tc>
        <w:tc>
          <w:tcPr>
            <w:tcW w:w="1843" w:type="dxa"/>
            <w:noWrap/>
            <w:vAlign w:val="center"/>
            <w:hideMark/>
          </w:tcPr>
          <w:p w14:paraId="60084A36" w14:textId="77777777" w:rsidR="00E62DFC" w:rsidRPr="00644BDD" w:rsidRDefault="00E62DFC" w:rsidP="00351511">
            <w:pPr>
              <w:jc w:val="center"/>
              <w:rPr>
                <w:sz w:val="16"/>
                <w:szCs w:val="16"/>
              </w:rPr>
            </w:pPr>
            <w:r w:rsidRPr="00644BDD">
              <w:rPr>
                <w:sz w:val="16"/>
                <w:szCs w:val="16"/>
              </w:rPr>
              <w:t>57%</w:t>
            </w:r>
          </w:p>
        </w:tc>
        <w:tc>
          <w:tcPr>
            <w:tcW w:w="1985" w:type="dxa"/>
            <w:noWrap/>
            <w:vAlign w:val="center"/>
            <w:hideMark/>
          </w:tcPr>
          <w:p w14:paraId="3913D69B" w14:textId="77777777" w:rsidR="00E62DFC" w:rsidRPr="00644BDD" w:rsidRDefault="00E62DFC" w:rsidP="00351511">
            <w:pPr>
              <w:jc w:val="center"/>
              <w:rPr>
                <w:sz w:val="16"/>
                <w:szCs w:val="16"/>
              </w:rPr>
            </w:pPr>
            <w:r w:rsidRPr="00644BDD">
              <w:rPr>
                <w:sz w:val="16"/>
                <w:szCs w:val="16"/>
              </w:rPr>
              <w:t>21%</w:t>
            </w:r>
          </w:p>
        </w:tc>
        <w:tc>
          <w:tcPr>
            <w:tcW w:w="2358" w:type="dxa"/>
            <w:noWrap/>
            <w:vAlign w:val="center"/>
            <w:hideMark/>
          </w:tcPr>
          <w:p w14:paraId="491CBBBE" w14:textId="77777777" w:rsidR="00E62DFC" w:rsidRPr="00644BDD" w:rsidRDefault="00E62DFC" w:rsidP="00351511">
            <w:pPr>
              <w:jc w:val="center"/>
              <w:rPr>
                <w:sz w:val="16"/>
                <w:szCs w:val="16"/>
              </w:rPr>
            </w:pPr>
            <w:r w:rsidRPr="00644BDD">
              <w:rPr>
                <w:sz w:val="16"/>
                <w:szCs w:val="16"/>
              </w:rPr>
              <w:t>17%</w:t>
            </w:r>
          </w:p>
        </w:tc>
      </w:tr>
      <w:tr w:rsidR="00907FAD" w:rsidRPr="00644BDD" w14:paraId="25A6AF0A"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40B7ED67" w14:textId="77777777" w:rsidR="00E62DFC" w:rsidRPr="00644BDD" w:rsidRDefault="00E62DFC" w:rsidP="00351511">
            <w:pPr>
              <w:jc w:val="center"/>
              <w:rPr>
                <w:sz w:val="16"/>
                <w:szCs w:val="16"/>
              </w:rPr>
            </w:pPr>
            <w:r w:rsidRPr="00644BDD">
              <w:rPr>
                <w:sz w:val="16"/>
                <w:szCs w:val="16"/>
              </w:rPr>
              <w:t>2017</w:t>
            </w:r>
          </w:p>
        </w:tc>
        <w:tc>
          <w:tcPr>
            <w:tcW w:w="1813" w:type="dxa"/>
            <w:noWrap/>
            <w:vAlign w:val="center"/>
            <w:hideMark/>
          </w:tcPr>
          <w:p w14:paraId="6B1B59DD" w14:textId="77777777" w:rsidR="00E62DFC" w:rsidRPr="00644BDD" w:rsidRDefault="00E62DFC" w:rsidP="00351511">
            <w:pPr>
              <w:jc w:val="center"/>
              <w:rPr>
                <w:sz w:val="16"/>
                <w:szCs w:val="16"/>
              </w:rPr>
            </w:pPr>
            <w:r w:rsidRPr="00644BDD">
              <w:rPr>
                <w:sz w:val="16"/>
                <w:szCs w:val="16"/>
              </w:rPr>
              <w:t>83%</w:t>
            </w:r>
          </w:p>
        </w:tc>
        <w:tc>
          <w:tcPr>
            <w:tcW w:w="1843" w:type="dxa"/>
            <w:noWrap/>
            <w:vAlign w:val="center"/>
            <w:hideMark/>
          </w:tcPr>
          <w:p w14:paraId="13535E23" w14:textId="77777777" w:rsidR="00E62DFC" w:rsidRPr="00644BDD" w:rsidRDefault="00E62DFC" w:rsidP="00351511">
            <w:pPr>
              <w:jc w:val="center"/>
              <w:rPr>
                <w:sz w:val="16"/>
                <w:szCs w:val="16"/>
              </w:rPr>
            </w:pPr>
            <w:r w:rsidRPr="00644BDD">
              <w:rPr>
                <w:sz w:val="16"/>
                <w:szCs w:val="16"/>
              </w:rPr>
              <w:t>54%</w:t>
            </w:r>
          </w:p>
        </w:tc>
        <w:tc>
          <w:tcPr>
            <w:tcW w:w="1985" w:type="dxa"/>
            <w:noWrap/>
            <w:vAlign w:val="center"/>
            <w:hideMark/>
          </w:tcPr>
          <w:p w14:paraId="004F1918" w14:textId="77777777" w:rsidR="00E62DFC" w:rsidRPr="00644BDD" w:rsidRDefault="00E62DFC" w:rsidP="00351511">
            <w:pPr>
              <w:jc w:val="center"/>
              <w:rPr>
                <w:sz w:val="16"/>
                <w:szCs w:val="16"/>
              </w:rPr>
            </w:pPr>
            <w:r w:rsidRPr="00644BDD">
              <w:rPr>
                <w:sz w:val="16"/>
                <w:szCs w:val="16"/>
              </w:rPr>
              <w:t>24%</w:t>
            </w:r>
          </w:p>
        </w:tc>
        <w:tc>
          <w:tcPr>
            <w:tcW w:w="2358" w:type="dxa"/>
            <w:noWrap/>
            <w:vAlign w:val="center"/>
            <w:hideMark/>
          </w:tcPr>
          <w:p w14:paraId="75825FEB" w14:textId="77777777" w:rsidR="00E62DFC" w:rsidRPr="00644BDD" w:rsidRDefault="00E62DFC" w:rsidP="00351511">
            <w:pPr>
              <w:jc w:val="center"/>
              <w:rPr>
                <w:sz w:val="16"/>
                <w:szCs w:val="16"/>
              </w:rPr>
            </w:pPr>
            <w:r w:rsidRPr="00644BDD">
              <w:rPr>
                <w:sz w:val="16"/>
                <w:szCs w:val="16"/>
              </w:rPr>
              <w:t>17%</w:t>
            </w:r>
          </w:p>
        </w:tc>
      </w:tr>
      <w:tr w:rsidR="00907FAD" w:rsidRPr="00644BDD" w14:paraId="6DAE89C1" w14:textId="77777777" w:rsidTr="00351511">
        <w:trPr>
          <w:trHeight w:val="270"/>
        </w:trPr>
        <w:tc>
          <w:tcPr>
            <w:tcW w:w="1017" w:type="dxa"/>
            <w:noWrap/>
            <w:vAlign w:val="center"/>
            <w:hideMark/>
          </w:tcPr>
          <w:p w14:paraId="0695CD75" w14:textId="77777777" w:rsidR="00E62DFC" w:rsidRPr="00644BDD" w:rsidRDefault="00E62DFC" w:rsidP="00351511">
            <w:pPr>
              <w:jc w:val="center"/>
              <w:rPr>
                <w:sz w:val="16"/>
                <w:szCs w:val="16"/>
              </w:rPr>
            </w:pPr>
            <w:r w:rsidRPr="00644BDD">
              <w:rPr>
                <w:sz w:val="16"/>
                <w:szCs w:val="16"/>
              </w:rPr>
              <w:t>2018</w:t>
            </w:r>
          </w:p>
        </w:tc>
        <w:tc>
          <w:tcPr>
            <w:tcW w:w="1813" w:type="dxa"/>
            <w:noWrap/>
            <w:vAlign w:val="center"/>
            <w:hideMark/>
          </w:tcPr>
          <w:p w14:paraId="3BF7A52C" w14:textId="77777777" w:rsidR="00E62DFC" w:rsidRPr="00644BDD" w:rsidRDefault="00E62DFC" w:rsidP="00351511">
            <w:pPr>
              <w:jc w:val="center"/>
              <w:rPr>
                <w:sz w:val="16"/>
                <w:szCs w:val="16"/>
              </w:rPr>
            </w:pPr>
            <w:r w:rsidRPr="00644BDD">
              <w:rPr>
                <w:sz w:val="16"/>
                <w:szCs w:val="16"/>
              </w:rPr>
              <w:t>83%</w:t>
            </w:r>
          </w:p>
        </w:tc>
        <w:tc>
          <w:tcPr>
            <w:tcW w:w="1843" w:type="dxa"/>
            <w:noWrap/>
            <w:vAlign w:val="center"/>
            <w:hideMark/>
          </w:tcPr>
          <w:p w14:paraId="26884E25" w14:textId="77777777" w:rsidR="00E62DFC" w:rsidRPr="00644BDD" w:rsidRDefault="00E62DFC" w:rsidP="00351511">
            <w:pPr>
              <w:jc w:val="center"/>
              <w:rPr>
                <w:sz w:val="16"/>
                <w:szCs w:val="16"/>
              </w:rPr>
            </w:pPr>
            <w:r w:rsidRPr="00644BDD">
              <w:rPr>
                <w:sz w:val="16"/>
                <w:szCs w:val="16"/>
              </w:rPr>
              <w:t>63%</w:t>
            </w:r>
          </w:p>
        </w:tc>
        <w:tc>
          <w:tcPr>
            <w:tcW w:w="1985" w:type="dxa"/>
            <w:noWrap/>
            <w:vAlign w:val="center"/>
            <w:hideMark/>
          </w:tcPr>
          <w:p w14:paraId="562AAE04" w14:textId="77777777" w:rsidR="00E62DFC" w:rsidRPr="00644BDD" w:rsidRDefault="00E62DFC" w:rsidP="00351511">
            <w:pPr>
              <w:jc w:val="center"/>
              <w:rPr>
                <w:sz w:val="16"/>
                <w:szCs w:val="16"/>
              </w:rPr>
            </w:pPr>
            <w:r w:rsidRPr="00644BDD">
              <w:rPr>
                <w:sz w:val="16"/>
                <w:szCs w:val="16"/>
              </w:rPr>
              <w:t>23%</w:t>
            </w:r>
          </w:p>
        </w:tc>
        <w:tc>
          <w:tcPr>
            <w:tcW w:w="2358" w:type="dxa"/>
            <w:noWrap/>
            <w:vAlign w:val="center"/>
            <w:hideMark/>
          </w:tcPr>
          <w:p w14:paraId="3E62C1B8" w14:textId="77777777" w:rsidR="00E62DFC" w:rsidRPr="00644BDD" w:rsidRDefault="00E62DFC" w:rsidP="00351511">
            <w:pPr>
              <w:jc w:val="center"/>
              <w:rPr>
                <w:sz w:val="16"/>
                <w:szCs w:val="16"/>
              </w:rPr>
            </w:pPr>
            <w:r w:rsidRPr="00644BDD">
              <w:rPr>
                <w:sz w:val="16"/>
                <w:szCs w:val="16"/>
              </w:rPr>
              <w:t>23%</w:t>
            </w:r>
          </w:p>
        </w:tc>
      </w:tr>
      <w:tr w:rsidR="00907FAD" w:rsidRPr="00644BDD" w14:paraId="2F5D41DC" w14:textId="77777777" w:rsidTr="00351511">
        <w:trPr>
          <w:cnfStyle w:val="000000010000" w:firstRow="0" w:lastRow="0" w:firstColumn="0" w:lastColumn="0" w:oddVBand="0" w:evenVBand="0" w:oddHBand="0" w:evenHBand="1" w:firstRowFirstColumn="0" w:firstRowLastColumn="0" w:lastRowFirstColumn="0" w:lastRowLastColumn="0"/>
          <w:trHeight w:val="270"/>
        </w:trPr>
        <w:tc>
          <w:tcPr>
            <w:tcW w:w="1017" w:type="dxa"/>
            <w:noWrap/>
            <w:vAlign w:val="center"/>
            <w:hideMark/>
          </w:tcPr>
          <w:p w14:paraId="5BE7B01E" w14:textId="77777777" w:rsidR="00E62DFC" w:rsidRPr="00644BDD" w:rsidRDefault="00E62DFC" w:rsidP="00351511">
            <w:pPr>
              <w:jc w:val="center"/>
              <w:rPr>
                <w:sz w:val="16"/>
                <w:szCs w:val="16"/>
              </w:rPr>
            </w:pPr>
            <w:r w:rsidRPr="00644BDD">
              <w:rPr>
                <w:sz w:val="16"/>
                <w:szCs w:val="16"/>
              </w:rPr>
              <w:t>2019</w:t>
            </w:r>
          </w:p>
        </w:tc>
        <w:tc>
          <w:tcPr>
            <w:tcW w:w="1813" w:type="dxa"/>
            <w:noWrap/>
            <w:vAlign w:val="center"/>
            <w:hideMark/>
          </w:tcPr>
          <w:p w14:paraId="625C443D" w14:textId="77777777" w:rsidR="00E62DFC" w:rsidRPr="00644BDD" w:rsidRDefault="00E62DFC" w:rsidP="00351511">
            <w:pPr>
              <w:jc w:val="center"/>
              <w:rPr>
                <w:sz w:val="16"/>
                <w:szCs w:val="16"/>
              </w:rPr>
            </w:pPr>
            <w:r w:rsidRPr="00644BDD">
              <w:rPr>
                <w:sz w:val="16"/>
                <w:szCs w:val="16"/>
              </w:rPr>
              <w:t>88%</w:t>
            </w:r>
          </w:p>
        </w:tc>
        <w:tc>
          <w:tcPr>
            <w:tcW w:w="1843" w:type="dxa"/>
            <w:noWrap/>
            <w:vAlign w:val="center"/>
            <w:hideMark/>
          </w:tcPr>
          <w:p w14:paraId="08B2D418" w14:textId="77777777" w:rsidR="00E62DFC" w:rsidRPr="00644BDD" w:rsidRDefault="00E62DFC" w:rsidP="00351511">
            <w:pPr>
              <w:jc w:val="center"/>
              <w:rPr>
                <w:sz w:val="16"/>
                <w:szCs w:val="16"/>
              </w:rPr>
            </w:pPr>
            <w:r w:rsidRPr="00644BDD">
              <w:rPr>
                <w:sz w:val="16"/>
                <w:szCs w:val="16"/>
              </w:rPr>
              <w:t>63%</w:t>
            </w:r>
          </w:p>
        </w:tc>
        <w:tc>
          <w:tcPr>
            <w:tcW w:w="1985" w:type="dxa"/>
            <w:noWrap/>
            <w:vAlign w:val="center"/>
            <w:hideMark/>
          </w:tcPr>
          <w:p w14:paraId="4F7F60D4" w14:textId="77777777" w:rsidR="00E62DFC" w:rsidRPr="00644BDD" w:rsidRDefault="00E62DFC" w:rsidP="00351511">
            <w:pPr>
              <w:jc w:val="center"/>
              <w:rPr>
                <w:sz w:val="16"/>
                <w:szCs w:val="16"/>
              </w:rPr>
            </w:pPr>
            <w:r w:rsidRPr="00644BDD">
              <w:rPr>
                <w:sz w:val="16"/>
                <w:szCs w:val="16"/>
              </w:rPr>
              <w:t>6%</w:t>
            </w:r>
          </w:p>
        </w:tc>
        <w:tc>
          <w:tcPr>
            <w:tcW w:w="2358" w:type="dxa"/>
            <w:noWrap/>
            <w:vAlign w:val="center"/>
            <w:hideMark/>
          </w:tcPr>
          <w:p w14:paraId="64B28320" w14:textId="77777777" w:rsidR="00E62DFC" w:rsidRPr="00644BDD" w:rsidRDefault="00E62DFC" w:rsidP="00351511">
            <w:pPr>
              <w:jc w:val="center"/>
              <w:rPr>
                <w:sz w:val="16"/>
                <w:szCs w:val="16"/>
              </w:rPr>
            </w:pPr>
            <w:r w:rsidRPr="00644BDD">
              <w:rPr>
                <w:sz w:val="16"/>
                <w:szCs w:val="16"/>
              </w:rPr>
              <w:t>19%</w:t>
            </w:r>
          </w:p>
        </w:tc>
      </w:tr>
    </w:tbl>
    <w:p w14:paraId="61C29067" w14:textId="77777777" w:rsidR="00644BDD" w:rsidRDefault="00644BDD" w:rsidP="001B1D5E">
      <w:pPr>
        <w:spacing w:after="120"/>
      </w:pPr>
    </w:p>
    <w:p w14:paraId="27B46998" w14:textId="06A37567" w:rsidR="00E62DFC" w:rsidRPr="00E3377B" w:rsidRDefault="00E62DFC" w:rsidP="00644BDD">
      <w:pPr>
        <w:pStyle w:val="BodyText"/>
      </w:pPr>
      <w:r w:rsidRPr="00E3377B">
        <w:t xml:space="preserve">Table 2 </w:t>
      </w:r>
      <w:r w:rsidR="00062C0C">
        <w:t>–</w:t>
      </w:r>
      <w:r w:rsidRPr="00E3377B">
        <w:t xml:space="preserve"> The percentage of Members reporting support in all Green Box subcategories has also been stable since 2001. The general service subcategory is the most used Green Box category (80% on average), followed by direct payments (52%), domestic food aid (21.4%) and public stockholding for food security purposes (21.2%).</w:t>
      </w:r>
    </w:p>
    <w:p w14:paraId="71C7F085" w14:textId="52F74DC0" w:rsidR="00E62DFC" w:rsidRPr="00E3377B" w:rsidRDefault="00E62DFC" w:rsidP="00644BDD">
      <w:pPr>
        <w:pStyle w:val="Caption"/>
        <w:rPr>
          <w:noProof/>
          <w:lang w:val="en-US"/>
        </w:rPr>
      </w:pPr>
      <w:r w:rsidRPr="00E3377B">
        <w:rPr>
          <w:noProof/>
          <w:lang w:val="en-US"/>
        </w:rPr>
        <w:t xml:space="preserve">Table 3: Percentage of Members – </w:t>
      </w:r>
      <w:r w:rsidR="00644BDD">
        <w:rPr>
          <w:noProof/>
          <w:lang w:val="en-US"/>
        </w:rPr>
        <w:t>p</w:t>
      </w:r>
      <w:r w:rsidRPr="00E3377B">
        <w:rPr>
          <w:noProof/>
          <w:lang w:val="en-US"/>
        </w:rPr>
        <w:t>roduct</w:t>
      </w:r>
      <w:r w:rsidR="00644BDD">
        <w:rPr>
          <w:noProof/>
          <w:lang w:val="en-US"/>
        </w:rPr>
        <w:t>-s</w:t>
      </w:r>
      <w:r w:rsidRPr="00E3377B">
        <w:rPr>
          <w:noProof/>
          <w:lang w:val="en-US"/>
        </w:rPr>
        <w:t xml:space="preserve">pecific AMS, </w:t>
      </w:r>
      <w:r w:rsidR="00644BDD">
        <w:rPr>
          <w:noProof/>
          <w:lang w:val="en-US"/>
        </w:rPr>
        <w:t>n</w:t>
      </w:r>
      <w:r w:rsidRPr="00E3377B">
        <w:rPr>
          <w:noProof/>
          <w:lang w:val="en-US"/>
        </w:rPr>
        <w:t>on</w:t>
      </w:r>
      <w:r w:rsidR="00644BDD">
        <w:rPr>
          <w:noProof/>
          <w:lang w:val="en-US"/>
        </w:rPr>
        <w:t xml:space="preserve"> p</w:t>
      </w:r>
      <w:r w:rsidRPr="00E3377B">
        <w:rPr>
          <w:noProof/>
          <w:lang w:val="en-US"/>
        </w:rPr>
        <w:t>roduct</w:t>
      </w:r>
      <w:r w:rsidR="00644BDD">
        <w:rPr>
          <w:noProof/>
          <w:lang w:val="en-US"/>
        </w:rPr>
        <w:t>-s</w:t>
      </w:r>
      <w:r w:rsidRPr="00E3377B">
        <w:rPr>
          <w:noProof/>
          <w:lang w:val="en-US"/>
        </w:rPr>
        <w:t>pecific AMS, and CTAMS, 2001</w:t>
      </w:r>
      <w:r w:rsidR="00644BDD">
        <w:rPr>
          <w:noProof/>
          <w:lang w:val="en-US"/>
        </w:rPr>
        <w:t>-</w:t>
      </w:r>
      <w:r w:rsidRPr="00E3377B">
        <w:rPr>
          <w:noProof/>
          <w:lang w:val="en-US"/>
        </w:rPr>
        <w:t>2019</w:t>
      </w:r>
    </w:p>
    <w:tbl>
      <w:tblPr>
        <w:tblStyle w:val="WTOTable1"/>
        <w:tblW w:w="5000" w:type="pct"/>
        <w:tblLook w:val="04A0" w:firstRow="1" w:lastRow="0" w:firstColumn="1" w:lastColumn="0" w:noHBand="0" w:noVBand="1"/>
      </w:tblPr>
      <w:tblGrid>
        <w:gridCol w:w="1067"/>
        <w:gridCol w:w="2649"/>
        <w:gridCol w:w="2649"/>
        <w:gridCol w:w="2651"/>
      </w:tblGrid>
      <w:tr w:rsidR="00E62DFC" w:rsidRPr="00644BDD" w14:paraId="2E7E24E9" w14:textId="77777777" w:rsidTr="00351511">
        <w:trPr>
          <w:cnfStyle w:val="100000000000" w:firstRow="1" w:lastRow="0" w:firstColumn="0" w:lastColumn="0" w:oddVBand="0" w:evenVBand="0" w:oddHBand="0" w:evenHBand="0" w:firstRowFirstColumn="0" w:firstRowLastColumn="0" w:lastRowFirstColumn="0" w:lastRowLastColumn="0"/>
          <w:trHeight w:val="255"/>
        </w:trPr>
        <w:tc>
          <w:tcPr>
            <w:tcW w:w="592" w:type="pct"/>
            <w:noWrap/>
            <w:vAlign w:val="center"/>
            <w:hideMark/>
          </w:tcPr>
          <w:p w14:paraId="1E631F6C" w14:textId="3D902D9A" w:rsidR="00E62DFC" w:rsidRPr="00644BDD" w:rsidRDefault="00E62DFC" w:rsidP="00644BDD">
            <w:pPr>
              <w:jc w:val="center"/>
              <w:rPr>
                <w:b w:val="0"/>
                <w:bCs/>
                <w:sz w:val="16"/>
                <w:szCs w:val="16"/>
              </w:rPr>
            </w:pPr>
          </w:p>
        </w:tc>
        <w:tc>
          <w:tcPr>
            <w:tcW w:w="1469" w:type="pct"/>
            <w:noWrap/>
            <w:vAlign w:val="center"/>
            <w:hideMark/>
          </w:tcPr>
          <w:p w14:paraId="5BB92483" w14:textId="77777777" w:rsidR="00E62DFC" w:rsidRPr="00644BDD" w:rsidRDefault="00E62DFC" w:rsidP="00644BDD">
            <w:pPr>
              <w:jc w:val="center"/>
              <w:rPr>
                <w:sz w:val="16"/>
                <w:szCs w:val="16"/>
              </w:rPr>
            </w:pPr>
            <w:r w:rsidRPr="00644BDD">
              <w:rPr>
                <w:sz w:val="16"/>
                <w:szCs w:val="16"/>
              </w:rPr>
              <w:t>Product Specific AMS</w:t>
            </w:r>
          </w:p>
        </w:tc>
        <w:tc>
          <w:tcPr>
            <w:tcW w:w="1469" w:type="pct"/>
            <w:noWrap/>
            <w:vAlign w:val="center"/>
            <w:hideMark/>
          </w:tcPr>
          <w:p w14:paraId="68BA8ADB" w14:textId="77777777" w:rsidR="00E62DFC" w:rsidRPr="00644BDD" w:rsidRDefault="00E62DFC" w:rsidP="00644BDD">
            <w:pPr>
              <w:jc w:val="center"/>
              <w:rPr>
                <w:sz w:val="16"/>
                <w:szCs w:val="16"/>
              </w:rPr>
            </w:pPr>
            <w:r w:rsidRPr="00644BDD">
              <w:rPr>
                <w:sz w:val="16"/>
                <w:szCs w:val="16"/>
              </w:rPr>
              <w:t>Non-Product Specific AMS</w:t>
            </w:r>
          </w:p>
        </w:tc>
        <w:tc>
          <w:tcPr>
            <w:tcW w:w="1470" w:type="pct"/>
            <w:noWrap/>
            <w:vAlign w:val="center"/>
            <w:hideMark/>
          </w:tcPr>
          <w:p w14:paraId="576DE885" w14:textId="77777777" w:rsidR="00E62DFC" w:rsidRPr="00644BDD" w:rsidRDefault="00E62DFC" w:rsidP="00644BDD">
            <w:pPr>
              <w:jc w:val="center"/>
              <w:rPr>
                <w:sz w:val="16"/>
                <w:szCs w:val="16"/>
              </w:rPr>
            </w:pPr>
            <w:r w:rsidRPr="00644BDD">
              <w:rPr>
                <w:sz w:val="16"/>
                <w:szCs w:val="16"/>
              </w:rPr>
              <w:t>CTAMS</w:t>
            </w:r>
          </w:p>
        </w:tc>
      </w:tr>
      <w:tr w:rsidR="00E62DFC" w:rsidRPr="00644BDD" w14:paraId="75C4AF1E" w14:textId="77777777" w:rsidTr="00351511">
        <w:trPr>
          <w:trHeight w:val="255"/>
        </w:trPr>
        <w:tc>
          <w:tcPr>
            <w:tcW w:w="592" w:type="pct"/>
            <w:noWrap/>
            <w:vAlign w:val="center"/>
            <w:hideMark/>
          </w:tcPr>
          <w:p w14:paraId="385ADC61" w14:textId="77777777" w:rsidR="00E62DFC" w:rsidRPr="00644BDD" w:rsidRDefault="00E62DFC" w:rsidP="00644BDD">
            <w:pPr>
              <w:jc w:val="center"/>
              <w:rPr>
                <w:sz w:val="16"/>
                <w:szCs w:val="16"/>
              </w:rPr>
            </w:pPr>
            <w:r w:rsidRPr="00644BDD">
              <w:rPr>
                <w:sz w:val="16"/>
                <w:szCs w:val="16"/>
              </w:rPr>
              <w:t>2001</w:t>
            </w:r>
          </w:p>
        </w:tc>
        <w:tc>
          <w:tcPr>
            <w:tcW w:w="1469" w:type="pct"/>
            <w:noWrap/>
            <w:vAlign w:val="center"/>
            <w:hideMark/>
          </w:tcPr>
          <w:p w14:paraId="10C557FF" w14:textId="77777777" w:rsidR="00E62DFC" w:rsidRPr="00644BDD" w:rsidRDefault="00E62DFC" w:rsidP="00644BDD">
            <w:pPr>
              <w:jc w:val="center"/>
              <w:rPr>
                <w:sz w:val="16"/>
                <w:szCs w:val="16"/>
              </w:rPr>
            </w:pPr>
            <w:r w:rsidRPr="00644BDD">
              <w:rPr>
                <w:sz w:val="16"/>
                <w:szCs w:val="16"/>
              </w:rPr>
              <w:t>37%</w:t>
            </w:r>
          </w:p>
        </w:tc>
        <w:tc>
          <w:tcPr>
            <w:tcW w:w="1469" w:type="pct"/>
            <w:noWrap/>
            <w:vAlign w:val="center"/>
            <w:hideMark/>
          </w:tcPr>
          <w:p w14:paraId="7DCD948B" w14:textId="77777777" w:rsidR="00E62DFC" w:rsidRPr="00644BDD" w:rsidRDefault="00E62DFC" w:rsidP="00644BDD">
            <w:pPr>
              <w:jc w:val="center"/>
              <w:rPr>
                <w:sz w:val="16"/>
                <w:szCs w:val="16"/>
              </w:rPr>
            </w:pPr>
            <w:r w:rsidRPr="00644BDD">
              <w:rPr>
                <w:sz w:val="16"/>
                <w:szCs w:val="16"/>
              </w:rPr>
              <w:t>27%</w:t>
            </w:r>
          </w:p>
        </w:tc>
        <w:tc>
          <w:tcPr>
            <w:tcW w:w="1470" w:type="pct"/>
            <w:noWrap/>
            <w:vAlign w:val="center"/>
            <w:hideMark/>
          </w:tcPr>
          <w:p w14:paraId="52C8A091" w14:textId="77777777" w:rsidR="00E62DFC" w:rsidRPr="00644BDD" w:rsidRDefault="00E62DFC" w:rsidP="00644BDD">
            <w:pPr>
              <w:jc w:val="center"/>
              <w:rPr>
                <w:sz w:val="16"/>
                <w:szCs w:val="16"/>
              </w:rPr>
            </w:pPr>
            <w:r w:rsidRPr="00644BDD">
              <w:rPr>
                <w:sz w:val="16"/>
                <w:szCs w:val="16"/>
              </w:rPr>
              <w:t>21%</w:t>
            </w:r>
          </w:p>
        </w:tc>
      </w:tr>
      <w:tr w:rsidR="00E62DFC" w:rsidRPr="00644BDD" w14:paraId="3895D25A"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157F06F0" w14:textId="77777777" w:rsidR="00E62DFC" w:rsidRPr="00644BDD" w:rsidRDefault="00E62DFC" w:rsidP="00644BDD">
            <w:pPr>
              <w:jc w:val="center"/>
              <w:rPr>
                <w:sz w:val="16"/>
                <w:szCs w:val="16"/>
              </w:rPr>
            </w:pPr>
            <w:r w:rsidRPr="00644BDD">
              <w:rPr>
                <w:sz w:val="16"/>
                <w:szCs w:val="16"/>
              </w:rPr>
              <w:t>2002</w:t>
            </w:r>
          </w:p>
        </w:tc>
        <w:tc>
          <w:tcPr>
            <w:tcW w:w="1469" w:type="pct"/>
            <w:noWrap/>
            <w:vAlign w:val="center"/>
            <w:hideMark/>
          </w:tcPr>
          <w:p w14:paraId="4539F489" w14:textId="77777777" w:rsidR="00E62DFC" w:rsidRPr="00644BDD" w:rsidRDefault="00E62DFC" w:rsidP="00644BDD">
            <w:pPr>
              <w:jc w:val="center"/>
              <w:rPr>
                <w:sz w:val="16"/>
                <w:szCs w:val="16"/>
              </w:rPr>
            </w:pPr>
            <w:r w:rsidRPr="00644BDD">
              <w:rPr>
                <w:sz w:val="16"/>
                <w:szCs w:val="16"/>
              </w:rPr>
              <w:t>37%</w:t>
            </w:r>
          </w:p>
        </w:tc>
        <w:tc>
          <w:tcPr>
            <w:tcW w:w="1469" w:type="pct"/>
            <w:noWrap/>
            <w:vAlign w:val="center"/>
            <w:hideMark/>
          </w:tcPr>
          <w:p w14:paraId="5B671352" w14:textId="77777777" w:rsidR="00E62DFC" w:rsidRPr="00644BDD" w:rsidRDefault="00E62DFC" w:rsidP="00644BDD">
            <w:pPr>
              <w:jc w:val="center"/>
              <w:rPr>
                <w:sz w:val="16"/>
                <w:szCs w:val="16"/>
              </w:rPr>
            </w:pPr>
            <w:r w:rsidRPr="00644BDD">
              <w:rPr>
                <w:sz w:val="16"/>
                <w:szCs w:val="16"/>
              </w:rPr>
              <w:t>29%</w:t>
            </w:r>
          </w:p>
        </w:tc>
        <w:tc>
          <w:tcPr>
            <w:tcW w:w="1470" w:type="pct"/>
            <w:noWrap/>
            <w:vAlign w:val="center"/>
            <w:hideMark/>
          </w:tcPr>
          <w:p w14:paraId="1C5D0BAE" w14:textId="77777777" w:rsidR="00E62DFC" w:rsidRPr="00644BDD" w:rsidRDefault="00E62DFC" w:rsidP="00644BDD">
            <w:pPr>
              <w:jc w:val="center"/>
              <w:rPr>
                <w:sz w:val="16"/>
                <w:szCs w:val="16"/>
              </w:rPr>
            </w:pPr>
            <w:r w:rsidRPr="00644BDD">
              <w:rPr>
                <w:sz w:val="16"/>
                <w:szCs w:val="16"/>
              </w:rPr>
              <w:t>24%</w:t>
            </w:r>
          </w:p>
        </w:tc>
      </w:tr>
      <w:tr w:rsidR="00E62DFC" w:rsidRPr="00644BDD" w14:paraId="16536422" w14:textId="77777777" w:rsidTr="00351511">
        <w:trPr>
          <w:trHeight w:val="255"/>
        </w:trPr>
        <w:tc>
          <w:tcPr>
            <w:tcW w:w="592" w:type="pct"/>
            <w:noWrap/>
            <w:vAlign w:val="center"/>
            <w:hideMark/>
          </w:tcPr>
          <w:p w14:paraId="66B38CC0" w14:textId="77777777" w:rsidR="00E62DFC" w:rsidRPr="00644BDD" w:rsidRDefault="00E62DFC" w:rsidP="00644BDD">
            <w:pPr>
              <w:jc w:val="center"/>
              <w:rPr>
                <w:sz w:val="16"/>
                <w:szCs w:val="16"/>
              </w:rPr>
            </w:pPr>
            <w:r w:rsidRPr="00644BDD">
              <w:rPr>
                <w:sz w:val="16"/>
                <w:szCs w:val="16"/>
              </w:rPr>
              <w:t>2003</w:t>
            </w:r>
          </w:p>
        </w:tc>
        <w:tc>
          <w:tcPr>
            <w:tcW w:w="1469" w:type="pct"/>
            <w:noWrap/>
            <w:vAlign w:val="center"/>
            <w:hideMark/>
          </w:tcPr>
          <w:p w14:paraId="112B9B96" w14:textId="77777777" w:rsidR="00E62DFC" w:rsidRPr="00644BDD" w:rsidRDefault="00E62DFC" w:rsidP="00644BDD">
            <w:pPr>
              <w:jc w:val="center"/>
              <w:rPr>
                <w:sz w:val="16"/>
                <w:szCs w:val="16"/>
              </w:rPr>
            </w:pPr>
            <w:r w:rsidRPr="00644BDD">
              <w:rPr>
                <w:sz w:val="16"/>
                <w:szCs w:val="16"/>
              </w:rPr>
              <w:t>40%</w:t>
            </w:r>
          </w:p>
        </w:tc>
        <w:tc>
          <w:tcPr>
            <w:tcW w:w="1469" w:type="pct"/>
            <w:noWrap/>
            <w:vAlign w:val="center"/>
            <w:hideMark/>
          </w:tcPr>
          <w:p w14:paraId="50FC8A4E" w14:textId="77777777" w:rsidR="00E62DFC" w:rsidRPr="00644BDD" w:rsidRDefault="00E62DFC" w:rsidP="00644BDD">
            <w:pPr>
              <w:jc w:val="center"/>
              <w:rPr>
                <w:sz w:val="16"/>
                <w:szCs w:val="16"/>
              </w:rPr>
            </w:pPr>
            <w:r w:rsidRPr="00644BDD">
              <w:rPr>
                <w:sz w:val="16"/>
                <w:szCs w:val="16"/>
              </w:rPr>
              <w:t>30%</w:t>
            </w:r>
          </w:p>
        </w:tc>
        <w:tc>
          <w:tcPr>
            <w:tcW w:w="1470" w:type="pct"/>
            <w:noWrap/>
            <w:vAlign w:val="center"/>
            <w:hideMark/>
          </w:tcPr>
          <w:p w14:paraId="0352B0C0" w14:textId="77777777" w:rsidR="00E62DFC" w:rsidRPr="00644BDD" w:rsidRDefault="00E62DFC" w:rsidP="00644BDD">
            <w:pPr>
              <w:jc w:val="center"/>
              <w:rPr>
                <w:sz w:val="16"/>
                <w:szCs w:val="16"/>
              </w:rPr>
            </w:pPr>
            <w:r w:rsidRPr="00644BDD">
              <w:rPr>
                <w:sz w:val="16"/>
                <w:szCs w:val="16"/>
              </w:rPr>
              <w:t>25%</w:t>
            </w:r>
          </w:p>
        </w:tc>
      </w:tr>
      <w:tr w:rsidR="00E62DFC" w:rsidRPr="00644BDD" w14:paraId="42A16050"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1835308B" w14:textId="77777777" w:rsidR="00E62DFC" w:rsidRPr="00644BDD" w:rsidRDefault="00E62DFC" w:rsidP="00644BDD">
            <w:pPr>
              <w:jc w:val="center"/>
              <w:rPr>
                <w:sz w:val="16"/>
                <w:szCs w:val="16"/>
              </w:rPr>
            </w:pPr>
            <w:r w:rsidRPr="00644BDD">
              <w:rPr>
                <w:sz w:val="16"/>
                <w:szCs w:val="16"/>
              </w:rPr>
              <w:t>2004</w:t>
            </w:r>
          </w:p>
        </w:tc>
        <w:tc>
          <w:tcPr>
            <w:tcW w:w="1469" w:type="pct"/>
            <w:noWrap/>
            <w:vAlign w:val="center"/>
            <w:hideMark/>
          </w:tcPr>
          <w:p w14:paraId="4B93F3DA" w14:textId="77777777" w:rsidR="00E62DFC" w:rsidRPr="00644BDD" w:rsidRDefault="00E62DFC" w:rsidP="00644BDD">
            <w:pPr>
              <w:jc w:val="center"/>
              <w:rPr>
                <w:sz w:val="16"/>
                <w:szCs w:val="16"/>
              </w:rPr>
            </w:pPr>
            <w:r w:rsidRPr="00644BDD">
              <w:rPr>
                <w:sz w:val="16"/>
                <w:szCs w:val="16"/>
              </w:rPr>
              <w:t>39%</w:t>
            </w:r>
          </w:p>
        </w:tc>
        <w:tc>
          <w:tcPr>
            <w:tcW w:w="1469" w:type="pct"/>
            <w:noWrap/>
            <w:vAlign w:val="center"/>
            <w:hideMark/>
          </w:tcPr>
          <w:p w14:paraId="05FEC43F" w14:textId="77777777" w:rsidR="00E62DFC" w:rsidRPr="00644BDD" w:rsidRDefault="00E62DFC" w:rsidP="00644BDD">
            <w:pPr>
              <w:jc w:val="center"/>
              <w:rPr>
                <w:sz w:val="16"/>
                <w:szCs w:val="16"/>
              </w:rPr>
            </w:pPr>
            <w:r w:rsidRPr="00644BDD">
              <w:rPr>
                <w:sz w:val="16"/>
                <w:szCs w:val="16"/>
              </w:rPr>
              <w:t>29%</w:t>
            </w:r>
          </w:p>
        </w:tc>
        <w:tc>
          <w:tcPr>
            <w:tcW w:w="1470" w:type="pct"/>
            <w:noWrap/>
            <w:vAlign w:val="center"/>
            <w:hideMark/>
          </w:tcPr>
          <w:p w14:paraId="19BB5465" w14:textId="77777777" w:rsidR="00E62DFC" w:rsidRPr="00644BDD" w:rsidRDefault="00E62DFC" w:rsidP="00644BDD">
            <w:pPr>
              <w:jc w:val="center"/>
              <w:rPr>
                <w:sz w:val="16"/>
                <w:szCs w:val="16"/>
              </w:rPr>
            </w:pPr>
            <w:r w:rsidRPr="00644BDD">
              <w:rPr>
                <w:sz w:val="16"/>
                <w:szCs w:val="16"/>
              </w:rPr>
              <w:t>24%</w:t>
            </w:r>
          </w:p>
        </w:tc>
      </w:tr>
      <w:tr w:rsidR="00E62DFC" w:rsidRPr="00644BDD" w14:paraId="6FEF7124" w14:textId="77777777" w:rsidTr="00351511">
        <w:trPr>
          <w:trHeight w:val="255"/>
        </w:trPr>
        <w:tc>
          <w:tcPr>
            <w:tcW w:w="592" w:type="pct"/>
            <w:noWrap/>
            <w:vAlign w:val="center"/>
            <w:hideMark/>
          </w:tcPr>
          <w:p w14:paraId="43F8AAB0" w14:textId="77777777" w:rsidR="00E62DFC" w:rsidRPr="00644BDD" w:rsidRDefault="00E62DFC" w:rsidP="00644BDD">
            <w:pPr>
              <w:jc w:val="center"/>
              <w:rPr>
                <w:sz w:val="16"/>
                <w:szCs w:val="16"/>
              </w:rPr>
            </w:pPr>
            <w:r w:rsidRPr="00644BDD">
              <w:rPr>
                <w:sz w:val="16"/>
                <w:szCs w:val="16"/>
              </w:rPr>
              <w:t>2005</w:t>
            </w:r>
          </w:p>
        </w:tc>
        <w:tc>
          <w:tcPr>
            <w:tcW w:w="1469" w:type="pct"/>
            <w:noWrap/>
            <w:vAlign w:val="center"/>
            <w:hideMark/>
          </w:tcPr>
          <w:p w14:paraId="35B902AC" w14:textId="77777777" w:rsidR="00E62DFC" w:rsidRPr="00644BDD" w:rsidRDefault="00E62DFC" w:rsidP="00644BDD">
            <w:pPr>
              <w:jc w:val="center"/>
              <w:rPr>
                <w:sz w:val="16"/>
                <w:szCs w:val="16"/>
              </w:rPr>
            </w:pPr>
            <w:r w:rsidRPr="00644BDD">
              <w:rPr>
                <w:sz w:val="16"/>
                <w:szCs w:val="16"/>
              </w:rPr>
              <w:t>38%</w:t>
            </w:r>
          </w:p>
        </w:tc>
        <w:tc>
          <w:tcPr>
            <w:tcW w:w="1469" w:type="pct"/>
            <w:noWrap/>
            <w:vAlign w:val="center"/>
            <w:hideMark/>
          </w:tcPr>
          <w:p w14:paraId="15A84712" w14:textId="77777777" w:rsidR="00E62DFC" w:rsidRPr="00644BDD" w:rsidRDefault="00E62DFC" w:rsidP="00644BDD">
            <w:pPr>
              <w:jc w:val="center"/>
              <w:rPr>
                <w:sz w:val="16"/>
                <w:szCs w:val="16"/>
              </w:rPr>
            </w:pPr>
            <w:r w:rsidRPr="00644BDD">
              <w:rPr>
                <w:sz w:val="16"/>
                <w:szCs w:val="16"/>
              </w:rPr>
              <w:t>30%</w:t>
            </w:r>
          </w:p>
        </w:tc>
        <w:tc>
          <w:tcPr>
            <w:tcW w:w="1470" w:type="pct"/>
            <w:noWrap/>
            <w:vAlign w:val="center"/>
            <w:hideMark/>
          </w:tcPr>
          <w:p w14:paraId="73BB350F" w14:textId="77777777" w:rsidR="00E62DFC" w:rsidRPr="00644BDD" w:rsidRDefault="00E62DFC" w:rsidP="00644BDD">
            <w:pPr>
              <w:jc w:val="center"/>
              <w:rPr>
                <w:sz w:val="16"/>
                <w:szCs w:val="16"/>
              </w:rPr>
            </w:pPr>
            <w:r w:rsidRPr="00644BDD">
              <w:rPr>
                <w:sz w:val="16"/>
                <w:szCs w:val="16"/>
              </w:rPr>
              <w:t>26%</w:t>
            </w:r>
          </w:p>
        </w:tc>
      </w:tr>
      <w:tr w:rsidR="00E62DFC" w:rsidRPr="00644BDD" w14:paraId="31AEEA2E"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4FD4531C" w14:textId="77777777" w:rsidR="00E62DFC" w:rsidRPr="00644BDD" w:rsidRDefault="00E62DFC" w:rsidP="00644BDD">
            <w:pPr>
              <w:jc w:val="center"/>
              <w:rPr>
                <w:sz w:val="16"/>
                <w:szCs w:val="16"/>
              </w:rPr>
            </w:pPr>
            <w:r w:rsidRPr="00644BDD">
              <w:rPr>
                <w:sz w:val="16"/>
                <w:szCs w:val="16"/>
              </w:rPr>
              <w:t>2006</w:t>
            </w:r>
          </w:p>
        </w:tc>
        <w:tc>
          <w:tcPr>
            <w:tcW w:w="1469" w:type="pct"/>
            <w:noWrap/>
            <w:vAlign w:val="center"/>
            <w:hideMark/>
          </w:tcPr>
          <w:p w14:paraId="1F853BB4" w14:textId="77777777" w:rsidR="00E62DFC" w:rsidRPr="00644BDD" w:rsidRDefault="00E62DFC" w:rsidP="00644BDD">
            <w:pPr>
              <w:jc w:val="center"/>
              <w:rPr>
                <w:sz w:val="16"/>
                <w:szCs w:val="16"/>
              </w:rPr>
            </w:pPr>
            <w:r w:rsidRPr="00644BDD">
              <w:rPr>
                <w:sz w:val="16"/>
                <w:szCs w:val="16"/>
              </w:rPr>
              <w:t>38%</w:t>
            </w:r>
          </w:p>
        </w:tc>
        <w:tc>
          <w:tcPr>
            <w:tcW w:w="1469" w:type="pct"/>
            <w:noWrap/>
            <w:vAlign w:val="center"/>
            <w:hideMark/>
          </w:tcPr>
          <w:p w14:paraId="55503CC2"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0237CC8D" w14:textId="77777777" w:rsidR="00E62DFC" w:rsidRPr="00644BDD" w:rsidRDefault="00E62DFC" w:rsidP="00644BDD">
            <w:pPr>
              <w:jc w:val="center"/>
              <w:rPr>
                <w:sz w:val="16"/>
                <w:szCs w:val="16"/>
              </w:rPr>
            </w:pPr>
            <w:r w:rsidRPr="00644BDD">
              <w:rPr>
                <w:sz w:val="16"/>
                <w:szCs w:val="16"/>
              </w:rPr>
              <w:t>27%</w:t>
            </w:r>
          </w:p>
        </w:tc>
      </w:tr>
      <w:tr w:rsidR="00E62DFC" w:rsidRPr="00644BDD" w14:paraId="3B81B01C" w14:textId="77777777" w:rsidTr="00351511">
        <w:trPr>
          <w:trHeight w:val="255"/>
        </w:trPr>
        <w:tc>
          <w:tcPr>
            <w:tcW w:w="592" w:type="pct"/>
            <w:noWrap/>
            <w:vAlign w:val="center"/>
            <w:hideMark/>
          </w:tcPr>
          <w:p w14:paraId="1E5ABFF5" w14:textId="77777777" w:rsidR="00E62DFC" w:rsidRPr="00644BDD" w:rsidRDefault="00E62DFC" w:rsidP="00644BDD">
            <w:pPr>
              <w:jc w:val="center"/>
              <w:rPr>
                <w:sz w:val="16"/>
                <w:szCs w:val="16"/>
              </w:rPr>
            </w:pPr>
            <w:r w:rsidRPr="00644BDD">
              <w:rPr>
                <w:sz w:val="16"/>
                <w:szCs w:val="16"/>
              </w:rPr>
              <w:t>2007</w:t>
            </w:r>
          </w:p>
        </w:tc>
        <w:tc>
          <w:tcPr>
            <w:tcW w:w="1469" w:type="pct"/>
            <w:noWrap/>
            <w:vAlign w:val="center"/>
            <w:hideMark/>
          </w:tcPr>
          <w:p w14:paraId="1A82CAEF" w14:textId="77777777" w:rsidR="00E62DFC" w:rsidRPr="00644BDD" w:rsidRDefault="00E62DFC" w:rsidP="00644BDD">
            <w:pPr>
              <w:jc w:val="center"/>
              <w:rPr>
                <w:sz w:val="16"/>
                <w:szCs w:val="16"/>
              </w:rPr>
            </w:pPr>
            <w:r w:rsidRPr="00644BDD">
              <w:rPr>
                <w:sz w:val="16"/>
                <w:szCs w:val="16"/>
              </w:rPr>
              <w:t>40%</w:t>
            </w:r>
          </w:p>
        </w:tc>
        <w:tc>
          <w:tcPr>
            <w:tcW w:w="1469" w:type="pct"/>
            <w:noWrap/>
            <w:vAlign w:val="center"/>
            <w:hideMark/>
          </w:tcPr>
          <w:p w14:paraId="26AFFDC1" w14:textId="77777777" w:rsidR="00E62DFC" w:rsidRPr="00644BDD" w:rsidRDefault="00E62DFC" w:rsidP="00644BDD">
            <w:pPr>
              <w:jc w:val="center"/>
              <w:rPr>
                <w:sz w:val="16"/>
                <w:szCs w:val="16"/>
              </w:rPr>
            </w:pPr>
            <w:r w:rsidRPr="00644BDD">
              <w:rPr>
                <w:sz w:val="16"/>
                <w:szCs w:val="16"/>
              </w:rPr>
              <w:t>31%</w:t>
            </w:r>
          </w:p>
        </w:tc>
        <w:tc>
          <w:tcPr>
            <w:tcW w:w="1470" w:type="pct"/>
            <w:noWrap/>
            <w:vAlign w:val="center"/>
            <w:hideMark/>
          </w:tcPr>
          <w:p w14:paraId="48A6A12A" w14:textId="77777777" w:rsidR="00E62DFC" w:rsidRPr="00644BDD" w:rsidRDefault="00E62DFC" w:rsidP="00644BDD">
            <w:pPr>
              <w:jc w:val="center"/>
              <w:rPr>
                <w:sz w:val="16"/>
                <w:szCs w:val="16"/>
              </w:rPr>
            </w:pPr>
            <w:r w:rsidRPr="00644BDD">
              <w:rPr>
                <w:sz w:val="16"/>
                <w:szCs w:val="16"/>
              </w:rPr>
              <w:t>27%</w:t>
            </w:r>
          </w:p>
        </w:tc>
      </w:tr>
      <w:tr w:rsidR="00E62DFC" w:rsidRPr="00644BDD" w14:paraId="101A41CF"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794DF291" w14:textId="77777777" w:rsidR="00E62DFC" w:rsidRPr="00644BDD" w:rsidRDefault="00E62DFC" w:rsidP="00644BDD">
            <w:pPr>
              <w:jc w:val="center"/>
              <w:rPr>
                <w:sz w:val="16"/>
                <w:szCs w:val="16"/>
              </w:rPr>
            </w:pPr>
            <w:r w:rsidRPr="00644BDD">
              <w:rPr>
                <w:sz w:val="16"/>
                <w:szCs w:val="16"/>
              </w:rPr>
              <w:t>2008</w:t>
            </w:r>
          </w:p>
        </w:tc>
        <w:tc>
          <w:tcPr>
            <w:tcW w:w="1469" w:type="pct"/>
            <w:noWrap/>
            <w:vAlign w:val="center"/>
            <w:hideMark/>
          </w:tcPr>
          <w:p w14:paraId="3E5FA10F" w14:textId="77777777" w:rsidR="00E62DFC" w:rsidRPr="00644BDD" w:rsidRDefault="00E62DFC" w:rsidP="00644BDD">
            <w:pPr>
              <w:jc w:val="center"/>
              <w:rPr>
                <w:sz w:val="16"/>
                <w:szCs w:val="16"/>
              </w:rPr>
            </w:pPr>
            <w:r w:rsidRPr="00644BDD">
              <w:rPr>
                <w:sz w:val="16"/>
                <w:szCs w:val="16"/>
              </w:rPr>
              <w:t>39%</w:t>
            </w:r>
          </w:p>
        </w:tc>
        <w:tc>
          <w:tcPr>
            <w:tcW w:w="1469" w:type="pct"/>
            <w:noWrap/>
            <w:vAlign w:val="center"/>
            <w:hideMark/>
          </w:tcPr>
          <w:p w14:paraId="75B28401" w14:textId="77777777" w:rsidR="00E62DFC" w:rsidRPr="00644BDD" w:rsidRDefault="00E62DFC" w:rsidP="00644BDD">
            <w:pPr>
              <w:jc w:val="center"/>
              <w:rPr>
                <w:sz w:val="16"/>
                <w:szCs w:val="16"/>
              </w:rPr>
            </w:pPr>
            <w:r w:rsidRPr="00644BDD">
              <w:rPr>
                <w:sz w:val="16"/>
                <w:szCs w:val="16"/>
              </w:rPr>
              <w:t>31%</w:t>
            </w:r>
          </w:p>
        </w:tc>
        <w:tc>
          <w:tcPr>
            <w:tcW w:w="1470" w:type="pct"/>
            <w:noWrap/>
            <w:vAlign w:val="center"/>
            <w:hideMark/>
          </w:tcPr>
          <w:p w14:paraId="5C7F061C" w14:textId="77777777" w:rsidR="00E62DFC" w:rsidRPr="00644BDD" w:rsidRDefault="00E62DFC" w:rsidP="00644BDD">
            <w:pPr>
              <w:jc w:val="center"/>
              <w:rPr>
                <w:sz w:val="16"/>
                <w:szCs w:val="16"/>
              </w:rPr>
            </w:pPr>
            <w:r w:rsidRPr="00644BDD">
              <w:rPr>
                <w:sz w:val="16"/>
                <w:szCs w:val="16"/>
              </w:rPr>
              <w:t>23%</w:t>
            </w:r>
          </w:p>
        </w:tc>
      </w:tr>
      <w:tr w:rsidR="00E62DFC" w:rsidRPr="00644BDD" w14:paraId="22D30C21" w14:textId="77777777" w:rsidTr="00351511">
        <w:trPr>
          <w:trHeight w:val="255"/>
        </w:trPr>
        <w:tc>
          <w:tcPr>
            <w:tcW w:w="592" w:type="pct"/>
            <w:noWrap/>
            <w:vAlign w:val="center"/>
            <w:hideMark/>
          </w:tcPr>
          <w:p w14:paraId="5A5B494F" w14:textId="77777777" w:rsidR="00E62DFC" w:rsidRPr="00644BDD" w:rsidRDefault="00E62DFC" w:rsidP="00644BDD">
            <w:pPr>
              <w:jc w:val="center"/>
              <w:rPr>
                <w:sz w:val="16"/>
                <w:szCs w:val="16"/>
              </w:rPr>
            </w:pPr>
            <w:r w:rsidRPr="00644BDD">
              <w:rPr>
                <w:sz w:val="16"/>
                <w:szCs w:val="16"/>
              </w:rPr>
              <w:t>2009</w:t>
            </w:r>
          </w:p>
        </w:tc>
        <w:tc>
          <w:tcPr>
            <w:tcW w:w="1469" w:type="pct"/>
            <w:noWrap/>
            <w:vAlign w:val="center"/>
            <w:hideMark/>
          </w:tcPr>
          <w:p w14:paraId="7B1854DB" w14:textId="77777777" w:rsidR="00E62DFC" w:rsidRPr="00644BDD" w:rsidRDefault="00E62DFC" w:rsidP="00644BDD">
            <w:pPr>
              <w:jc w:val="center"/>
              <w:rPr>
                <w:sz w:val="16"/>
                <w:szCs w:val="16"/>
              </w:rPr>
            </w:pPr>
            <w:r w:rsidRPr="00644BDD">
              <w:rPr>
                <w:sz w:val="16"/>
                <w:szCs w:val="16"/>
              </w:rPr>
              <w:t>37%</w:t>
            </w:r>
          </w:p>
        </w:tc>
        <w:tc>
          <w:tcPr>
            <w:tcW w:w="1469" w:type="pct"/>
            <w:noWrap/>
            <w:vAlign w:val="center"/>
            <w:hideMark/>
          </w:tcPr>
          <w:p w14:paraId="6F7C4ABE" w14:textId="77777777" w:rsidR="00E62DFC" w:rsidRPr="00644BDD" w:rsidRDefault="00E62DFC" w:rsidP="00644BDD">
            <w:pPr>
              <w:jc w:val="center"/>
              <w:rPr>
                <w:sz w:val="16"/>
                <w:szCs w:val="16"/>
              </w:rPr>
            </w:pPr>
            <w:r w:rsidRPr="00644BDD">
              <w:rPr>
                <w:sz w:val="16"/>
                <w:szCs w:val="16"/>
              </w:rPr>
              <w:t>31%</w:t>
            </w:r>
          </w:p>
        </w:tc>
        <w:tc>
          <w:tcPr>
            <w:tcW w:w="1470" w:type="pct"/>
            <w:noWrap/>
            <w:vAlign w:val="center"/>
            <w:hideMark/>
          </w:tcPr>
          <w:p w14:paraId="0E4C5E87" w14:textId="77777777" w:rsidR="00E62DFC" w:rsidRPr="00644BDD" w:rsidRDefault="00E62DFC" w:rsidP="00644BDD">
            <w:pPr>
              <w:jc w:val="center"/>
              <w:rPr>
                <w:sz w:val="16"/>
                <w:szCs w:val="16"/>
              </w:rPr>
            </w:pPr>
            <w:r w:rsidRPr="00644BDD">
              <w:rPr>
                <w:sz w:val="16"/>
                <w:szCs w:val="16"/>
              </w:rPr>
              <w:t>24%</w:t>
            </w:r>
          </w:p>
        </w:tc>
      </w:tr>
      <w:tr w:rsidR="00E62DFC" w:rsidRPr="00644BDD" w14:paraId="28805A9D"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1585127A" w14:textId="77777777" w:rsidR="00E62DFC" w:rsidRPr="00644BDD" w:rsidRDefault="00E62DFC" w:rsidP="00644BDD">
            <w:pPr>
              <w:jc w:val="center"/>
              <w:rPr>
                <w:sz w:val="16"/>
                <w:szCs w:val="16"/>
              </w:rPr>
            </w:pPr>
            <w:r w:rsidRPr="00644BDD">
              <w:rPr>
                <w:sz w:val="16"/>
                <w:szCs w:val="16"/>
              </w:rPr>
              <w:t>2010</w:t>
            </w:r>
          </w:p>
        </w:tc>
        <w:tc>
          <w:tcPr>
            <w:tcW w:w="1469" w:type="pct"/>
            <w:noWrap/>
            <w:vAlign w:val="center"/>
            <w:hideMark/>
          </w:tcPr>
          <w:p w14:paraId="2D22868C" w14:textId="77777777" w:rsidR="00E62DFC" w:rsidRPr="00644BDD" w:rsidRDefault="00E62DFC" w:rsidP="00644BDD">
            <w:pPr>
              <w:jc w:val="center"/>
              <w:rPr>
                <w:sz w:val="16"/>
                <w:szCs w:val="16"/>
              </w:rPr>
            </w:pPr>
            <w:r w:rsidRPr="00644BDD">
              <w:rPr>
                <w:sz w:val="16"/>
                <w:szCs w:val="16"/>
              </w:rPr>
              <w:t>36%</w:t>
            </w:r>
          </w:p>
        </w:tc>
        <w:tc>
          <w:tcPr>
            <w:tcW w:w="1469" w:type="pct"/>
            <w:noWrap/>
            <w:vAlign w:val="center"/>
            <w:hideMark/>
          </w:tcPr>
          <w:p w14:paraId="2090737D"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60AB58F3" w14:textId="77777777" w:rsidR="00E62DFC" w:rsidRPr="00644BDD" w:rsidRDefault="00E62DFC" w:rsidP="00644BDD">
            <w:pPr>
              <w:jc w:val="center"/>
              <w:rPr>
                <w:sz w:val="16"/>
                <w:szCs w:val="16"/>
              </w:rPr>
            </w:pPr>
            <w:r w:rsidRPr="00644BDD">
              <w:rPr>
                <w:sz w:val="16"/>
                <w:szCs w:val="16"/>
              </w:rPr>
              <w:t>25%</w:t>
            </w:r>
          </w:p>
        </w:tc>
      </w:tr>
      <w:tr w:rsidR="00E62DFC" w:rsidRPr="00644BDD" w14:paraId="1D3203B4" w14:textId="77777777" w:rsidTr="00351511">
        <w:trPr>
          <w:trHeight w:val="255"/>
        </w:trPr>
        <w:tc>
          <w:tcPr>
            <w:tcW w:w="592" w:type="pct"/>
            <w:noWrap/>
            <w:vAlign w:val="center"/>
            <w:hideMark/>
          </w:tcPr>
          <w:p w14:paraId="5F2107EF" w14:textId="77777777" w:rsidR="00E62DFC" w:rsidRPr="00644BDD" w:rsidRDefault="00E62DFC" w:rsidP="00644BDD">
            <w:pPr>
              <w:jc w:val="center"/>
              <w:rPr>
                <w:sz w:val="16"/>
                <w:szCs w:val="16"/>
              </w:rPr>
            </w:pPr>
            <w:r w:rsidRPr="00644BDD">
              <w:rPr>
                <w:sz w:val="16"/>
                <w:szCs w:val="16"/>
              </w:rPr>
              <w:t>2011</w:t>
            </w:r>
          </w:p>
        </w:tc>
        <w:tc>
          <w:tcPr>
            <w:tcW w:w="1469" w:type="pct"/>
            <w:noWrap/>
            <w:vAlign w:val="center"/>
            <w:hideMark/>
          </w:tcPr>
          <w:p w14:paraId="113A3FEE" w14:textId="77777777" w:rsidR="00E62DFC" w:rsidRPr="00644BDD" w:rsidRDefault="00E62DFC" w:rsidP="00644BDD">
            <w:pPr>
              <w:jc w:val="center"/>
              <w:rPr>
                <w:sz w:val="16"/>
                <w:szCs w:val="16"/>
              </w:rPr>
            </w:pPr>
            <w:r w:rsidRPr="00644BDD">
              <w:rPr>
                <w:sz w:val="16"/>
                <w:szCs w:val="16"/>
              </w:rPr>
              <w:t>38%</w:t>
            </w:r>
          </w:p>
        </w:tc>
        <w:tc>
          <w:tcPr>
            <w:tcW w:w="1469" w:type="pct"/>
            <w:noWrap/>
            <w:vAlign w:val="center"/>
            <w:hideMark/>
          </w:tcPr>
          <w:p w14:paraId="02B35AB7"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35ABDC5F" w14:textId="77777777" w:rsidR="00E62DFC" w:rsidRPr="00644BDD" w:rsidRDefault="00E62DFC" w:rsidP="00644BDD">
            <w:pPr>
              <w:jc w:val="center"/>
              <w:rPr>
                <w:sz w:val="16"/>
                <w:szCs w:val="16"/>
              </w:rPr>
            </w:pPr>
            <w:r w:rsidRPr="00644BDD">
              <w:rPr>
                <w:sz w:val="16"/>
                <w:szCs w:val="16"/>
              </w:rPr>
              <w:t>22%</w:t>
            </w:r>
          </w:p>
        </w:tc>
      </w:tr>
      <w:tr w:rsidR="00E62DFC" w:rsidRPr="00644BDD" w14:paraId="1BA414CC"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22C4DD0B" w14:textId="77777777" w:rsidR="00E62DFC" w:rsidRPr="00644BDD" w:rsidRDefault="00E62DFC" w:rsidP="00644BDD">
            <w:pPr>
              <w:jc w:val="center"/>
              <w:rPr>
                <w:sz w:val="16"/>
                <w:szCs w:val="16"/>
              </w:rPr>
            </w:pPr>
            <w:r w:rsidRPr="00644BDD">
              <w:rPr>
                <w:sz w:val="16"/>
                <w:szCs w:val="16"/>
              </w:rPr>
              <w:t>2012</w:t>
            </w:r>
          </w:p>
        </w:tc>
        <w:tc>
          <w:tcPr>
            <w:tcW w:w="1469" w:type="pct"/>
            <w:noWrap/>
            <w:vAlign w:val="center"/>
            <w:hideMark/>
          </w:tcPr>
          <w:p w14:paraId="7560C1DD" w14:textId="77777777" w:rsidR="00E62DFC" w:rsidRPr="00644BDD" w:rsidRDefault="00E62DFC" w:rsidP="00644BDD">
            <w:pPr>
              <w:jc w:val="center"/>
              <w:rPr>
                <w:sz w:val="16"/>
                <w:szCs w:val="16"/>
              </w:rPr>
            </w:pPr>
            <w:r w:rsidRPr="00644BDD">
              <w:rPr>
                <w:sz w:val="16"/>
                <w:szCs w:val="16"/>
              </w:rPr>
              <w:t>39%</w:t>
            </w:r>
          </w:p>
        </w:tc>
        <w:tc>
          <w:tcPr>
            <w:tcW w:w="1469" w:type="pct"/>
            <w:noWrap/>
            <w:vAlign w:val="center"/>
            <w:hideMark/>
          </w:tcPr>
          <w:p w14:paraId="1BFA3772"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692DC323" w14:textId="77777777" w:rsidR="00E62DFC" w:rsidRPr="00644BDD" w:rsidRDefault="00E62DFC" w:rsidP="00644BDD">
            <w:pPr>
              <w:jc w:val="center"/>
              <w:rPr>
                <w:sz w:val="16"/>
                <w:szCs w:val="16"/>
              </w:rPr>
            </w:pPr>
            <w:r w:rsidRPr="00644BDD">
              <w:rPr>
                <w:sz w:val="16"/>
                <w:szCs w:val="16"/>
              </w:rPr>
              <w:t>25%</w:t>
            </w:r>
          </w:p>
        </w:tc>
      </w:tr>
      <w:tr w:rsidR="00E62DFC" w:rsidRPr="00644BDD" w14:paraId="48D22427" w14:textId="77777777" w:rsidTr="00351511">
        <w:trPr>
          <w:trHeight w:val="255"/>
        </w:trPr>
        <w:tc>
          <w:tcPr>
            <w:tcW w:w="592" w:type="pct"/>
            <w:noWrap/>
            <w:vAlign w:val="center"/>
            <w:hideMark/>
          </w:tcPr>
          <w:p w14:paraId="00BE8BFD" w14:textId="77777777" w:rsidR="00E62DFC" w:rsidRPr="00644BDD" w:rsidRDefault="00E62DFC" w:rsidP="00644BDD">
            <w:pPr>
              <w:jc w:val="center"/>
              <w:rPr>
                <w:sz w:val="16"/>
                <w:szCs w:val="16"/>
              </w:rPr>
            </w:pPr>
            <w:r w:rsidRPr="00644BDD">
              <w:rPr>
                <w:sz w:val="16"/>
                <w:szCs w:val="16"/>
              </w:rPr>
              <w:t>2013</w:t>
            </w:r>
          </w:p>
        </w:tc>
        <w:tc>
          <w:tcPr>
            <w:tcW w:w="1469" w:type="pct"/>
            <w:noWrap/>
            <w:vAlign w:val="center"/>
            <w:hideMark/>
          </w:tcPr>
          <w:p w14:paraId="290D0D07" w14:textId="77777777" w:rsidR="00E62DFC" w:rsidRPr="00644BDD" w:rsidRDefault="00E62DFC" w:rsidP="00644BDD">
            <w:pPr>
              <w:jc w:val="center"/>
              <w:rPr>
                <w:sz w:val="16"/>
                <w:szCs w:val="16"/>
              </w:rPr>
            </w:pPr>
            <w:r w:rsidRPr="00644BDD">
              <w:rPr>
                <w:sz w:val="16"/>
                <w:szCs w:val="16"/>
              </w:rPr>
              <w:t>41%</w:t>
            </w:r>
          </w:p>
        </w:tc>
        <w:tc>
          <w:tcPr>
            <w:tcW w:w="1469" w:type="pct"/>
            <w:noWrap/>
            <w:vAlign w:val="center"/>
            <w:hideMark/>
          </w:tcPr>
          <w:p w14:paraId="74B98E26" w14:textId="77777777" w:rsidR="00E62DFC" w:rsidRPr="00644BDD" w:rsidRDefault="00E62DFC" w:rsidP="00644BDD">
            <w:pPr>
              <w:jc w:val="center"/>
              <w:rPr>
                <w:sz w:val="16"/>
                <w:szCs w:val="16"/>
              </w:rPr>
            </w:pPr>
            <w:r w:rsidRPr="00644BDD">
              <w:rPr>
                <w:sz w:val="16"/>
                <w:szCs w:val="16"/>
              </w:rPr>
              <w:t>33%</w:t>
            </w:r>
          </w:p>
        </w:tc>
        <w:tc>
          <w:tcPr>
            <w:tcW w:w="1470" w:type="pct"/>
            <w:noWrap/>
            <w:vAlign w:val="center"/>
            <w:hideMark/>
          </w:tcPr>
          <w:p w14:paraId="0D8F2D86" w14:textId="77777777" w:rsidR="00E62DFC" w:rsidRPr="00644BDD" w:rsidRDefault="00E62DFC" w:rsidP="00644BDD">
            <w:pPr>
              <w:jc w:val="center"/>
              <w:rPr>
                <w:sz w:val="16"/>
                <w:szCs w:val="16"/>
              </w:rPr>
            </w:pPr>
            <w:r w:rsidRPr="00644BDD">
              <w:rPr>
                <w:sz w:val="16"/>
                <w:szCs w:val="16"/>
              </w:rPr>
              <w:t>23%</w:t>
            </w:r>
          </w:p>
        </w:tc>
      </w:tr>
      <w:tr w:rsidR="00E62DFC" w:rsidRPr="00644BDD" w14:paraId="19687B4C"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40C1C808" w14:textId="77777777" w:rsidR="00E62DFC" w:rsidRPr="00644BDD" w:rsidRDefault="00E62DFC" w:rsidP="00644BDD">
            <w:pPr>
              <w:jc w:val="center"/>
              <w:rPr>
                <w:sz w:val="16"/>
                <w:szCs w:val="16"/>
              </w:rPr>
            </w:pPr>
            <w:r w:rsidRPr="00644BDD">
              <w:rPr>
                <w:sz w:val="16"/>
                <w:szCs w:val="16"/>
              </w:rPr>
              <w:t>2014</w:t>
            </w:r>
          </w:p>
        </w:tc>
        <w:tc>
          <w:tcPr>
            <w:tcW w:w="1469" w:type="pct"/>
            <w:noWrap/>
            <w:vAlign w:val="center"/>
            <w:hideMark/>
          </w:tcPr>
          <w:p w14:paraId="6523A8E8" w14:textId="77777777" w:rsidR="00E62DFC" w:rsidRPr="00644BDD" w:rsidRDefault="00E62DFC" w:rsidP="00644BDD">
            <w:pPr>
              <w:jc w:val="center"/>
              <w:rPr>
                <w:sz w:val="16"/>
                <w:szCs w:val="16"/>
              </w:rPr>
            </w:pPr>
            <w:r w:rsidRPr="00644BDD">
              <w:rPr>
                <w:sz w:val="16"/>
                <w:szCs w:val="16"/>
              </w:rPr>
              <w:t>38%</w:t>
            </w:r>
          </w:p>
        </w:tc>
        <w:tc>
          <w:tcPr>
            <w:tcW w:w="1469" w:type="pct"/>
            <w:noWrap/>
            <w:vAlign w:val="center"/>
            <w:hideMark/>
          </w:tcPr>
          <w:p w14:paraId="2413A97E"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215A1F1E" w14:textId="77777777" w:rsidR="00E62DFC" w:rsidRPr="00644BDD" w:rsidRDefault="00E62DFC" w:rsidP="00644BDD">
            <w:pPr>
              <w:jc w:val="center"/>
              <w:rPr>
                <w:sz w:val="16"/>
                <w:szCs w:val="16"/>
              </w:rPr>
            </w:pPr>
            <w:r w:rsidRPr="00644BDD">
              <w:rPr>
                <w:sz w:val="16"/>
                <w:szCs w:val="16"/>
              </w:rPr>
              <w:t>23%</w:t>
            </w:r>
          </w:p>
        </w:tc>
      </w:tr>
      <w:tr w:rsidR="00E62DFC" w:rsidRPr="00644BDD" w14:paraId="1811C47E" w14:textId="77777777" w:rsidTr="00351511">
        <w:trPr>
          <w:trHeight w:val="255"/>
        </w:trPr>
        <w:tc>
          <w:tcPr>
            <w:tcW w:w="592" w:type="pct"/>
            <w:noWrap/>
            <w:vAlign w:val="center"/>
            <w:hideMark/>
          </w:tcPr>
          <w:p w14:paraId="584ECB54" w14:textId="77777777" w:rsidR="00E62DFC" w:rsidRPr="00644BDD" w:rsidRDefault="00E62DFC" w:rsidP="00644BDD">
            <w:pPr>
              <w:jc w:val="center"/>
              <w:rPr>
                <w:sz w:val="16"/>
                <w:szCs w:val="16"/>
              </w:rPr>
            </w:pPr>
            <w:r w:rsidRPr="00644BDD">
              <w:rPr>
                <w:sz w:val="16"/>
                <w:szCs w:val="16"/>
              </w:rPr>
              <w:t>2015</w:t>
            </w:r>
          </w:p>
        </w:tc>
        <w:tc>
          <w:tcPr>
            <w:tcW w:w="1469" w:type="pct"/>
            <w:noWrap/>
            <w:vAlign w:val="center"/>
            <w:hideMark/>
          </w:tcPr>
          <w:p w14:paraId="61DB429C" w14:textId="77777777" w:rsidR="00E62DFC" w:rsidRPr="00644BDD" w:rsidRDefault="00E62DFC" w:rsidP="00644BDD">
            <w:pPr>
              <w:jc w:val="center"/>
              <w:rPr>
                <w:sz w:val="16"/>
                <w:szCs w:val="16"/>
              </w:rPr>
            </w:pPr>
            <w:r w:rsidRPr="00644BDD">
              <w:rPr>
                <w:sz w:val="16"/>
                <w:szCs w:val="16"/>
              </w:rPr>
              <w:t>36%</w:t>
            </w:r>
          </w:p>
        </w:tc>
        <w:tc>
          <w:tcPr>
            <w:tcW w:w="1469" w:type="pct"/>
            <w:noWrap/>
            <w:vAlign w:val="center"/>
            <w:hideMark/>
          </w:tcPr>
          <w:p w14:paraId="3397467F" w14:textId="77777777" w:rsidR="00E62DFC" w:rsidRPr="00644BDD" w:rsidRDefault="00E62DFC" w:rsidP="00644BDD">
            <w:pPr>
              <w:jc w:val="center"/>
              <w:rPr>
                <w:sz w:val="16"/>
                <w:szCs w:val="16"/>
              </w:rPr>
            </w:pPr>
            <w:r w:rsidRPr="00644BDD">
              <w:rPr>
                <w:sz w:val="16"/>
                <w:szCs w:val="16"/>
              </w:rPr>
              <w:t>32%</w:t>
            </w:r>
          </w:p>
        </w:tc>
        <w:tc>
          <w:tcPr>
            <w:tcW w:w="1470" w:type="pct"/>
            <w:noWrap/>
            <w:vAlign w:val="center"/>
            <w:hideMark/>
          </w:tcPr>
          <w:p w14:paraId="4D783839" w14:textId="77777777" w:rsidR="00E62DFC" w:rsidRPr="00644BDD" w:rsidRDefault="00E62DFC" w:rsidP="00644BDD">
            <w:pPr>
              <w:jc w:val="center"/>
              <w:rPr>
                <w:sz w:val="16"/>
                <w:szCs w:val="16"/>
              </w:rPr>
            </w:pPr>
            <w:r w:rsidRPr="00644BDD">
              <w:rPr>
                <w:sz w:val="16"/>
                <w:szCs w:val="16"/>
              </w:rPr>
              <w:t>26%</w:t>
            </w:r>
          </w:p>
        </w:tc>
      </w:tr>
      <w:tr w:rsidR="00E62DFC" w:rsidRPr="00644BDD" w14:paraId="480470BD"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7CABCAD2" w14:textId="77777777" w:rsidR="00E62DFC" w:rsidRPr="00644BDD" w:rsidRDefault="00E62DFC" w:rsidP="00644BDD">
            <w:pPr>
              <w:jc w:val="center"/>
              <w:rPr>
                <w:sz w:val="16"/>
                <w:szCs w:val="16"/>
              </w:rPr>
            </w:pPr>
            <w:r w:rsidRPr="00644BDD">
              <w:rPr>
                <w:sz w:val="16"/>
                <w:szCs w:val="16"/>
              </w:rPr>
              <w:t>2016</w:t>
            </w:r>
          </w:p>
        </w:tc>
        <w:tc>
          <w:tcPr>
            <w:tcW w:w="1469" w:type="pct"/>
            <w:noWrap/>
            <w:vAlign w:val="center"/>
            <w:hideMark/>
          </w:tcPr>
          <w:p w14:paraId="6590CB34" w14:textId="77777777" w:rsidR="00E62DFC" w:rsidRPr="00644BDD" w:rsidRDefault="00E62DFC" w:rsidP="00644BDD">
            <w:pPr>
              <w:jc w:val="center"/>
              <w:rPr>
                <w:sz w:val="16"/>
                <w:szCs w:val="16"/>
              </w:rPr>
            </w:pPr>
            <w:r w:rsidRPr="00644BDD">
              <w:rPr>
                <w:sz w:val="16"/>
                <w:szCs w:val="16"/>
              </w:rPr>
              <w:t>40%</w:t>
            </w:r>
          </w:p>
        </w:tc>
        <w:tc>
          <w:tcPr>
            <w:tcW w:w="1469" w:type="pct"/>
            <w:noWrap/>
            <w:vAlign w:val="center"/>
            <w:hideMark/>
          </w:tcPr>
          <w:p w14:paraId="7ED07FE6" w14:textId="77777777" w:rsidR="00E62DFC" w:rsidRPr="00644BDD" w:rsidRDefault="00E62DFC" w:rsidP="00644BDD">
            <w:pPr>
              <w:jc w:val="center"/>
              <w:rPr>
                <w:sz w:val="16"/>
                <w:szCs w:val="16"/>
              </w:rPr>
            </w:pPr>
            <w:r w:rsidRPr="00644BDD">
              <w:rPr>
                <w:sz w:val="16"/>
                <w:szCs w:val="16"/>
              </w:rPr>
              <w:t>38%</w:t>
            </w:r>
          </w:p>
        </w:tc>
        <w:tc>
          <w:tcPr>
            <w:tcW w:w="1470" w:type="pct"/>
            <w:noWrap/>
            <w:vAlign w:val="center"/>
            <w:hideMark/>
          </w:tcPr>
          <w:p w14:paraId="1FC79DFB" w14:textId="77777777" w:rsidR="00E62DFC" w:rsidRPr="00644BDD" w:rsidRDefault="00E62DFC" w:rsidP="00644BDD">
            <w:pPr>
              <w:jc w:val="center"/>
              <w:rPr>
                <w:sz w:val="16"/>
                <w:szCs w:val="16"/>
              </w:rPr>
            </w:pPr>
            <w:r w:rsidRPr="00644BDD">
              <w:rPr>
                <w:sz w:val="16"/>
                <w:szCs w:val="16"/>
              </w:rPr>
              <w:t>25%</w:t>
            </w:r>
          </w:p>
        </w:tc>
      </w:tr>
      <w:tr w:rsidR="00E62DFC" w:rsidRPr="00644BDD" w14:paraId="1E6ADB7C" w14:textId="77777777" w:rsidTr="00351511">
        <w:trPr>
          <w:trHeight w:val="255"/>
        </w:trPr>
        <w:tc>
          <w:tcPr>
            <w:tcW w:w="592" w:type="pct"/>
            <w:noWrap/>
            <w:vAlign w:val="center"/>
            <w:hideMark/>
          </w:tcPr>
          <w:p w14:paraId="6D65D23B" w14:textId="77777777" w:rsidR="00E62DFC" w:rsidRPr="00644BDD" w:rsidRDefault="00E62DFC" w:rsidP="00644BDD">
            <w:pPr>
              <w:jc w:val="center"/>
              <w:rPr>
                <w:sz w:val="16"/>
                <w:szCs w:val="16"/>
              </w:rPr>
            </w:pPr>
            <w:r w:rsidRPr="00644BDD">
              <w:rPr>
                <w:sz w:val="16"/>
                <w:szCs w:val="16"/>
              </w:rPr>
              <w:t>2017</w:t>
            </w:r>
          </w:p>
        </w:tc>
        <w:tc>
          <w:tcPr>
            <w:tcW w:w="1469" w:type="pct"/>
            <w:noWrap/>
            <w:vAlign w:val="center"/>
            <w:hideMark/>
          </w:tcPr>
          <w:p w14:paraId="763F1DE3" w14:textId="77777777" w:rsidR="00E62DFC" w:rsidRPr="00644BDD" w:rsidRDefault="00E62DFC" w:rsidP="00644BDD">
            <w:pPr>
              <w:jc w:val="center"/>
              <w:rPr>
                <w:sz w:val="16"/>
                <w:szCs w:val="16"/>
              </w:rPr>
            </w:pPr>
            <w:r w:rsidRPr="00644BDD">
              <w:rPr>
                <w:sz w:val="16"/>
                <w:szCs w:val="16"/>
              </w:rPr>
              <w:t>37%</w:t>
            </w:r>
          </w:p>
        </w:tc>
        <w:tc>
          <w:tcPr>
            <w:tcW w:w="1469" w:type="pct"/>
            <w:noWrap/>
            <w:vAlign w:val="center"/>
            <w:hideMark/>
          </w:tcPr>
          <w:p w14:paraId="6E6A826D" w14:textId="77777777" w:rsidR="00E62DFC" w:rsidRPr="00644BDD" w:rsidRDefault="00E62DFC" w:rsidP="00644BDD">
            <w:pPr>
              <w:jc w:val="center"/>
              <w:rPr>
                <w:sz w:val="16"/>
                <w:szCs w:val="16"/>
              </w:rPr>
            </w:pPr>
            <w:r w:rsidRPr="00644BDD">
              <w:rPr>
                <w:sz w:val="16"/>
                <w:szCs w:val="16"/>
              </w:rPr>
              <w:t>39%</w:t>
            </w:r>
          </w:p>
        </w:tc>
        <w:tc>
          <w:tcPr>
            <w:tcW w:w="1470" w:type="pct"/>
            <w:noWrap/>
            <w:vAlign w:val="center"/>
            <w:hideMark/>
          </w:tcPr>
          <w:p w14:paraId="071A7E45" w14:textId="77777777" w:rsidR="00E62DFC" w:rsidRPr="00644BDD" w:rsidRDefault="00E62DFC" w:rsidP="00644BDD">
            <w:pPr>
              <w:jc w:val="center"/>
              <w:rPr>
                <w:sz w:val="16"/>
                <w:szCs w:val="16"/>
              </w:rPr>
            </w:pPr>
            <w:r w:rsidRPr="00644BDD">
              <w:rPr>
                <w:sz w:val="16"/>
                <w:szCs w:val="16"/>
              </w:rPr>
              <w:t>22%</w:t>
            </w:r>
          </w:p>
        </w:tc>
      </w:tr>
      <w:tr w:rsidR="00E62DFC" w:rsidRPr="00644BDD" w14:paraId="4B314207" w14:textId="77777777" w:rsidTr="00351511">
        <w:trPr>
          <w:cnfStyle w:val="000000010000" w:firstRow="0" w:lastRow="0" w:firstColumn="0" w:lastColumn="0" w:oddVBand="0" w:evenVBand="0" w:oddHBand="0" w:evenHBand="1" w:firstRowFirstColumn="0" w:firstRowLastColumn="0" w:lastRowFirstColumn="0" w:lastRowLastColumn="0"/>
          <w:trHeight w:val="255"/>
        </w:trPr>
        <w:tc>
          <w:tcPr>
            <w:tcW w:w="592" w:type="pct"/>
            <w:noWrap/>
            <w:vAlign w:val="center"/>
            <w:hideMark/>
          </w:tcPr>
          <w:p w14:paraId="0472E34A" w14:textId="77777777" w:rsidR="00E62DFC" w:rsidRPr="00644BDD" w:rsidRDefault="00E62DFC" w:rsidP="00644BDD">
            <w:pPr>
              <w:jc w:val="center"/>
              <w:rPr>
                <w:sz w:val="16"/>
                <w:szCs w:val="16"/>
              </w:rPr>
            </w:pPr>
            <w:r w:rsidRPr="00644BDD">
              <w:rPr>
                <w:sz w:val="16"/>
                <w:szCs w:val="16"/>
              </w:rPr>
              <w:t>2018</w:t>
            </w:r>
          </w:p>
        </w:tc>
        <w:tc>
          <w:tcPr>
            <w:tcW w:w="1469" w:type="pct"/>
            <w:noWrap/>
            <w:vAlign w:val="center"/>
            <w:hideMark/>
          </w:tcPr>
          <w:p w14:paraId="46864D0C" w14:textId="77777777" w:rsidR="00E62DFC" w:rsidRPr="00644BDD" w:rsidRDefault="00E62DFC" w:rsidP="00644BDD">
            <w:pPr>
              <w:jc w:val="center"/>
              <w:rPr>
                <w:sz w:val="16"/>
                <w:szCs w:val="16"/>
              </w:rPr>
            </w:pPr>
            <w:r w:rsidRPr="00644BDD">
              <w:rPr>
                <w:sz w:val="16"/>
                <w:szCs w:val="16"/>
              </w:rPr>
              <w:t>31%</w:t>
            </w:r>
          </w:p>
        </w:tc>
        <w:tc>
          <w:tcPr>
            <w:tcW w:w="1469" w:type="pct"/>
            <w:noWrap/>
            <w:vAlign w:val="center"/>
            <w:hideMark/>
          </w:tcPr>
          <w:p w14:paraId="2946A3EC" w14:textId="77777777" w:rsidR="00E62DFC" w:rsidRPr="00644BDD" w:rsidRDefault="00E62DFC" w:rsidP="00644BDD">
            <w:pPr>
              <w:jc w:val="center"/>
              <w:rPr>
                <w:sz w:val="16"/>
                <w:szCs w:val="16"/>
              </w:rPr>
            </w:pPr>
            <w:r w:rsidRPr="00644BDD">
              <w:rPr>
                <w:sz w:val="16"/>
                <w:szCs w:val="16"/>
              </w:rPr>
              <w:t>31%</w:t>
            </w:r>
          </w:p>
        </w:tc>
        <w:tc>
          <w:tcPr>
            <w:tcW w:w="1470" w:type="pct"/>
            <w:noWrap/>
            <w:vAlign w:val="center"/>
            <w:hideMark/>
          </w:tcPr>
          <w:p w14:paraId="160B510E" w14:textId="77777777" w:rsidR="00E62DFC" w:rsidRPr="00644BDD" w:rsidRDefault="00E62DFC" w:rsidP="00644BDD">
            <w:pPr>
              <w:jc w:val="center"/>
              <w:rPr>
                <w:sz w:val="16"/>
                <w:szCs w:val="16"/>
              </w:rPr>
            </w:pPr>
            <w:r w:rsidRPr="00644BDD">
              <w:rPr>
                <w:sz w:val="16"/>
                <w:szCs w:val="16"/>
              </w:rPr>
              <w:t>20%</w:t>
            </w:r>
          </w:p>
        </w:tc>
      </w:tr>
      <w:tr w:rsidR="00E62DFC" w:rsidRPr="00644BDD" w14:paraId="453787BF" w14:textId="77777777" w:rsidTr="00351511">
        <w:trPr>
          <w:trHeight w:val="255"/>
        </w:trPr>
        <w:tc>
          <w:tcPr>
            <w:tcW w:w="592" w:type="pct"/>
            <w:noWrap/>
            <w:vAlign w:val="center"/>
            <w:hideMark/>
          </w:tcPr>
          <w:p w14:paraId="3BBEEC5F" w14:textId="77777777" w:rsidR="00E62DFC" w:rsidRPr="00644BDD" w:rsidRDefault="00E62DFC" w:rsidP="00644BDD">
            <w:pPr>
              <w:jc w:val="center"/>
              <w:rPr>
                <w:sz w:val="16"/>
                <w:szCs w:val="16"/>
              </w:rPr>
            </w:pPr>
            <w:r w:rsidRPr="00644BDD">
              <w:rPr>
                <w:sz w:val="16"/>
                <w:szCs w:val="16"/>
              </w:rPr>
              <w:t>2019</w:t>
            </w:r>
          </w:p>
        </w:tc>
        <w:tc>
          <w:tcPr>
            <w:tcW w:w="1469" w:type="pct"/>
            <w:noWrap/>
            <w:vAlign w:val="center"/>
            <w:hideMark/>
          </w:tcPr>
          <w:p w14:paraId="267ECC95" w14:textId="77777777" w:rsidR="00E62DFC" w:rsidRPr="00644BDD" w:rsidRDefault="00E62DFC" w:rsidP="00644BDD">
            <w:pPr>
              <w:jc w:val="center"/>
              <w:rPr>
                <w:sz w:val="16"/>
                <w:szCs w:val="16"/>
              </w:rPr>
            </w:pPr>
            <w:r w:rsidRPr="00644BDD">
              <w:rPr>
                <w:sz w:val="16"/>
                <w:szCs w:val="16"/>
              </w:rPr>
              <w:t>25%</w:t>
            </w:r>
          </w:p>
        </w:tc>
        <w:tc>
          <w:tcPr>
            <w:tcW w:w="1469" w:type="pct"/>
            <w:noWrap/>
            <w:vAlign w:val="center"/>
            <w:hideMark/>
          </w:tcPr>
          <w:p w14:paraId="697B4253" w14:textId="77777777" w:rsidR="00E62DFC" w:rsidRPr="00644BDD" w:rsidRDefault="00E62DFC" w:rsidP="00644BDD">
            <w:pPr>
              <w:jc w:val="center"/>
              <w:rPr>
                <w:sz w:val="16"/>
                <w:szCs w:val="16"/>
              </w:rPr>
            </w:pPr>
            <w:r w:rsidRPr="00644BDD">
              <w:rPr>
                <w:sz w:val="16"/>
                <w:szCs w:val="16"/>
              </w:rPr>
              <w:t>25%</w:t>
            </w:r>
          </w:p>
        </w:tc>
        <w:tc>
          <w:tcPr>
            <w:tcW w:w="1470" w:type="pct"/>
            <w:noWrap/>
            <w:vAlign w:val="center"/>
            <w:hideMark/>
          </w:tcPr>
          <w:p w14:paraId="38AC4DF5" w14:textId="77777777" w:rsidR="00E62DFC" w:rsidRPr="00644BDD" w:rsidRDefault="00E62DFC" w:rsidP="00644BDD">
            <w:pPr>
              <w:jc w:val="center"/>
              <w:rPr>
                <w:sz w:val="16"/>
                <w:szCs w:val="16"/>
              </w:rPr>
            </w:pPr>
            <w:r w:rsidRPr="00644BDD">
              <w:rPr>
                <w:sz w:val="16"/>
                <w:szCs w:val="16"/>
              </w:rPr>
              <w:t>19%</w:t>
            </w:r>
          </w:p>
        </w:tc>
      </w:tr>
    </w:tbl>
    <w:p w14:paraId="7E5F78C2" w14:textId="77777777" w:rsidR="00E62DFC" w:rsidRPr="00E3377B" w:rsidRDefault="00E62DFC" w:rsidP="001B1D5E">
      <w:pPr>
        <w:spacing w:after="120"/>
      </w:pPr>
    </w:p>
    <w:p w14:paraId="2FA8AA88" w14:textId="50BB74C8" w:rsidR="00E62DFC" w:rsidRPr="00E3377B" w:rsidRDefault="00E62DFC" w:rsidP="00E62DFC">
      <w:r w:rsidRPr="00E3377B">
        <w:t xml:space="preserve">Table </w:t>
      </w:r>
      <w:r w:rsidR="00351511">
        <w:t>3</w:t>
      </w:r>
      <w:r w:rsidRPr="00E3377B">
        <w:t xml:space="preserve"> </w:t>
      </w:r>
      <w:r w:rsidR="00351511">
        <w:t>–</w:t>
      </w:r>
      <w:r w:rsidRPr="00E3377B">
        <w:t xml:space="preserve"> Regarding Amber Box, the percentage of Members that notified product</w:t>
      </w:r>
      <w:r w:rsidR="00351511">
        <w:t>-</w:t>
      </w:r>
      <w:r w:rsidRPr="00E3377B">
        <w:t>specific AMS and non-product specific AMS did not change significantly over the years.</w:t>
      </w:r>
      <w:r>
        <w:rPr>
          <w:rStyle w:val="FootnoteReference"/>
        </w:rPr>
        <w:footnoteReference w:id="9"/>
      </w:r>
      <w:r w:rsidRPr="00E3377B">
        <w:t xml:space="preserve"> On average, more Members reported product specific AMS (38%) than non-product specific AMS (31%). The number of Members who reported a positive current total AMS (CTAMS) was also relatively stable, at 24% of Members on average.</w:t>
      </w:r>
    </w:p>
    <w:p w14:paraId="74A2E737" w14:textId="556D01A9" w:rsidR="00E62DFC" w:rsidRPr="00E3377B" w:rsidRDefault="00E62DFC" w:rsidP="00644BDD">
      <w:pPr>
        <w:pStyle w:val="Caption"/>
        <w:rPr>
          <w:noProof/>
          <w:lang w:val="en-US"/>
        </w:rPr>
      </w:pPr>
      <w:r w:rsidRPr="00E3377B">
        <w:rPr>
          <w:noProof/>
          <w:lang w:val="en-US"/>
        </w:rPr>
        <w:lastRenderedPageBreak/>
        <w:t>Figure 10: Number of Members that notified CTAMS over FBTAMS at least once over five years increment, 2001</w:t>
      </w:r>
      <w:r w:rsidR="00644BDD">
        <w:rPr>
          <w:noProof/>
          <w:lang w:val="en-US"/>
        </w:rPr>
        <w:t>-</w:t>
      </w:r>
      <w:r w:rsidRPr="00E3377B">
        <w:rPr>
          <w:noProof/>
          <w:lang w:val="en-US"/>
        </w:rPr>
        <w:t>2019</w:t>
      </w:r>
    </w:p>
    <w:p w14:paraId="4B74080D" w14:textId="15B34C66" w:rsidR="00E62DFC" w:rsidRDefault="00E62DFC" w:rsidP="001B1D5E">
      <w:pPr>
        <w:spacing w:after="240"/>
        <w:jc w:val="center"/>
      </w:pPr>
      <w:r w:rsidRPr="00E62DFC">
        <w:rPr>
          <w:noProof/>
        </w:rPr>
        <w:drawing>
          <wp:inline distT="0" distB="0" distL="0" distR="0" wp14:anchorId="60629140" wp14:editId="17D88478">
            <wp:extent cx="4084955" cy="2636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4955" cy="2636520"/>
                    </a:xfrm>
                    <a:prstGeom prst="rect">
                      <a:avLst/>
                    </a:prstGeom>
                    <a:noFill/>
                    <a:ln>
                      <a:noFill/>
                    </a:ln>
                  </pic:spPr>
                </pic:pic>
              </a:graphicData>
            </a:graphic>
          </wp:inline>
        </w:drawing>
      </w:r>
    </w:p>
    <w:p w14:paraId="160D7E1D" w14:textId="11D3B7EE" w:rsidR="00E62DFC" w:rsidRPr="00353934" w:rsidRDefault="00E62DFC" w:rsidP="00644BDD">
      <w:pPr>
        <w:pStyle w:val="BodyText"/>
      </w:pPr>
      <w:r w:rsidRPr="00353934">
        <w:t xml:space="preserve">Figure 10 </w:t>
      </w:r>
      <w:r w:rsidR="00351511">
        <w:t>–</w:t>
      </w:r>
      <w:r w:rsidRPr="00353934">
        <w:t xml:space="preserve"> A total of </w:t>
      </w:r>
      <w:r w:rsidR="00351511">
        <w:t>nine</w:t>
      </w:r>
      <w:r w:rsidRPr="00353934">
        <w:t xml:space="preserve"> different Members have reported a current total AMS (CTAMS) support greater than their final bound total AMS (FBTAMS) at least once since 2001.</w:t>
      </w:r>
      <w:r>
        <w:rPr>
          <w:rStyle w:val="FootnoteReference"/>
        </w:rPr>
        <w:footnoteReference w:id="10"/>
      </w:r>
      <w:r w:rsidRPr="00353934">
        <w:t xml:space="preserve"> </w:t>
      </w:r>
      <w:r w:rsidR="00351511">
        <w:t xml:space="preserve">Eight </w:t>
      </w:r>
      <w:r w:rsidRPr="00353934">
        <w:t xml:space="preserve">of the </w:t>
      </w:r>
      <w:r w:rsidR="00351511">
        <w:t>nine</w:t>
      </w:r>
      <w:r w:rsidRPr="00353934">
        <w:t xml:space="preserve"> Members reported CTAMS over FBTAMS for consecutive years, and one Member reported CTAMS over FBTAMS for 14 consecutive years. Five Members reported CTAMS over FBTAMS in their last DS:1 notification year.</w:t>
      </w:r>
    </w:p>
    <w:p w14:paraId="1EABE57F" w14:textId="77777777" w:rsidR="00E62DFC" w:rsidRPr="00644BDD" w:rsidRDefault="00E62DFC" w:rsidP="00F44B9F">
      <w:pPr>
        <w:pStyle w:val="Heading1"/>
      </w:pPr>
      <w:r w:rsidRPr="00644BDD">
        <w:t>Conclusion</w:t>
      </w:r>
    </w:p>
    <w:p w14:paraId="438FED23" w14:textId="77777777" w:rsidR="00E62DFC" w:rsidRPr="00353934" w:rsidRDefault="00E62DFC" w:rsidP="00644BDD">
      <w:pPr>
        <w:pStyle w:val="BodyText"/>
      </w:pPr>
      <w:r w:rsidRPr="00353934">
        <w:t>Transparency issues related to the rate of participation in the notification process, the timeliness of notification, the omission of measures and the quality of information contained therein are all elements that contribute to obscuring our understanding of the worldwide state of domestic support in agriculture. Despite these data limitations, an analysis of total support and the percentage of Members using various domestic support categories can provide useful insights into trends in domestic support practices of Members. While undertaking this analysis, it is important to keep in mind the potential bias and limitations stemming from these transparency issues.</w:t>
      </w:r>
    </w:p>
    <w:p w14:paraId="038933CE" w14:textId="77777777" w:rsidR="00E62DFC" w:rsidRPr="00353934" w:rsidRDefault="00E62DFC" w:rsidP="00644BDD">
      <w:pPr>
        <w:pStyle w:val="BodyText"/>
      </w:pPr>
      <w:r w:rsidRPr="00353934">
        <w:t>Improving transparency can help facilitate the negotiation of new rules on domestic support that address the current situation and practices of WTO Members. Taking steps to increase the participation rate, the frequency of notifications and timeliness of notifications, the completeness and the quality of the information are elements that can be addressed in the short-term.</w:t>
      </w:r>
    </w:p>
    <w:p w14:paraId="41952261" w14:textId="77777777" w:rsidR="00E62DFC" w:rsidRPr="00353934" w:rsidRDefault="00E62DFC" w:rsidP="00644BDD">
      <w:pPr>
        <w:pStyle w:val="BodyText"/>
      </w:pPr>
      <w:r w:rsidRPr="00353934">
        <w:t xml:space="preserve">In addition, additional data on total value of agriculture production and values of production for each product is also needed in order to be able to better compare Members in relative terms. Members that have not notified or have inconsistently reported total value of production should be invited to supplement these submissions by the Membership in support of increased transparency. Members should also reflect on the merits of requiring DS:1 notifications to include total value of production data, even for Members that have not provided non-product specific AMS. </w:t>
      </w:r>
    </w:p>
    <w:p w14:paraId="1154B417" w14:textId="77777777" w:rsidR="00E62DFC" w:rsidRPr="00353934" w:rsidRDefault="00E62DFC" w:rsidP="00644BDD">
      <w:pPr>
        <w:pStyle w:val="BodyText"/>
      </w:pPr>
      <w:r w:rsidRPr="00353934">
        <w:t xml:space="preserve">These adjustments are needed to address the current limitations and to improve our understanding of the state of play in the domestic support pillar. </w:t>
      </w:r>
    </w:p>
    <w:p w14:paraId="7D73772B" w14:textId="51AFA2B5" w:rsidR="00644BDD" w:rsidRPr="00644BDD" w:rsidRDefault="00644BDD" w:rsidP="00644BDD">
      <w:pPr>
        <w:jc w:val="center"/>
        <w:rPr>
          <w:sz w:val="16"/>
        </w:rPr>
      </w:pPr>
      <w:r>
        <w:rPr>
          <w:b/>
          <w:sz w:val="16"/>
        </w:rPr>
        <w:t>__________</w:t>
      </w:r>
    </w:p>
    <w:sectPr w:rsidR="00644BDD" w:rsidRPr="00644BDD" w:rsidSect="00E15F27">
      <w:headerReference w:type="even" r:id="rId22"/>
      <w:headerReference w:type="default" r:id="rId23"/>
      <w:footerReference w:type="even" r:id="rId24"/>
      <w:footerReference w:type="default" r:id="rId25"/>
      <w:head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7C4E" w14:textId="77777777" w:rsidR="00A24487" w:rsidRDefault="00A24487" w:rsidP="00ED54E0">
      <w:r>
        <w:separator/>
      </w:r>
    </w:p>
  </w:endnote>
  <w:endnote w:type="continuationSeparator" w:id="0">
    <w:p w14:paraId="52975192" w14:textId="77777777" w:rsidR="00A24487" w:rsidRDefault="00A2448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F045" w14:textId="5E2B2C57" w:rsidR="00A24487" w:rsidRPr="00E15F27" w:rsidRDefault="00E15F27" w:rsidP="00E15F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8DC0" w14:textId="2B6BFC78" w:rsidR="00A24487" w:rsidRPr="00E15F27" w:rsidRDefault="00E15F27" w:rsidP="00E15F2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80B8" w14:textId="77777777" w:rsidR="00A24487" w:rsidRDefault="00A24487" w:rsidP="00ED54E0">
      <w:r>
        <w:separator/>
      </w:r>
    </w:p>
  </w:footnote>
  <w:footnote w:type="continuationSeparator" w:id="0">
    <w:p w14:paraId="2EADD5BB" w14:textId="77777777" w:rsidR="00A24487" w:rsidRDefault="00A24487" w:rsidP="00ED54E0">
      <w:r>
        <w:continuationSeparator/>
      </w:r>
    </w:p>
  </w:footnote>
  <w:footnote w:id="1">
    <w:p w14:paraId="6FDF97AD" w14:textId="3B15E22A" w:rsidR="00A24487" w:rsidRDefault="00A24487" w:rsidP="00E62DFC">
      <w:pPr>
        <w:pStyle w:val="FootnoteText"/>
      </w:pPr>
      <w:r>
        <w:rPr>
          <w:rStyle w:val="FootnoteReference"/>
        </w:rPr>
        <w:footnoteRef/>
      </w:r>
      <w:r>
        <w:t xml:space="preserve"> </w:t>
      </w:r>
      <w:r w:rsidRPr="00F60CF6">
        <w:t xml:space="preserve">The European Union and its </w:t>
      </w:r>
      <w:r w:rsidR="008563A7">
        <w:t>m</w:t>
      </w:r>
      <w:r w:rsidRPr="00F60CF6">
        <w:t xml:space="preserve">ember States are counted as one Member. The United Kingdom is not listed separately in the tables as it was an EU </w:t>
      </w:r>
      <w:r w:rsidR="008563A7">
        <w:t>m</w:t>
      </w:r>
      <w:r w:rsidRPr="00F60CF6">
        <w:t xml:space="preserve">ember State in the years covered in this document. Switzerland and Liechtenstein are also counted as one Member as they submit a joint domestic support notification. The number of Members individually accounted for in any one year is thus smaller than the full number of Members.  </w:t>
      </w:r>
    </w:p>
  </w:footnote>
  <w:footnote w:id="2">
    <w:p w14:paraId="64E9CCCE" w14:textId="01F16CD5" w:rsidR="00A24487" w:rsidRDefault="00A24487" w:rsidP="00E62DFC">
      <w:pPr>
        <w:pStyle w:val="FootnoteText"/>
      </w:pPr>
      <w:r>
        <w:rPr>
          <w:rStyle w:val="FootnoteReference"/>
        </w:rPr>
        <w:footnoteRef/>
      </w:r>
      <w:r>
        <w:t xml:space="preserve"> </w:t>
      </w:r>
      <w:r w:rsidRPr="00C93FC5">
        <w:t>This number excludes four Members compared to figure 2, as they have submitted earlier notifications, but did not provide a notification for 2016.</w:t>
      </w:r>
    </w:p>
  </w:footnote>
  <w:footnote w:id="3">
    <w:p w14:paraId="69BF5B77" w14:textId="7C03F727" w:rsidR="00A24487" w:rsidRDefault="00A24487" w:rsidP="00E62DFC">
      <w:pPr>
        <w:pStyle w:val="FootnoteText"/>
      </w:pPr>
      <w:r>
        <w:rPr>
          <w:rStyle w:val="FootnoteReference"/>
        </w:rPr>
        <w:footnoteRef/>
      </w:r>
      <w:r>
        <w:t xml:space="preserve"> </w:t>
      </w:r>
      <w:r w:rsidRPr="005A034D">
        <w:t xml:space="preserve">In </w:t>
      </w:r>
      <w:hyperlink r:id="rId1" w:history="1">
        <w:r w:rsidRPr="008563A7">
          <w:rPr>
            <w:rStyle w:val="Hyperlink"/>
          </w:rPr>
          <w:t>JOB/AG/181</w:t>
        </w:r>
      </w:hyperlink>
      <w:r w:rsidRPr="005A034D">
        <w:t>, it was identified that Members posed market price support-related questions to at least seven notifying Members regarding the potential omission of market price support measures in their notifications.</w:t>
      </w:r>
    </w:p>
  </w:footnote>
  <w:footnote w:id="4">
    <w:p w14:paraId="79070B68" w14:textId="062BA2A6" w:rsidR="00A24487" w:rsidRDefault="00A24487" w:rsidP="00E62DFC">
      <w:pPr>
        <w:pStyle w:val="FootnoteText"/>
      </w:pPr>
      <w:r>
        <w:rPr>
          <w:rStyle w:val="FootnoteReference"/>
        </w:rPr>
        <w:footnoteRef/>
      </w:r>
      <w:r>
        <w:t xml:space="preserve"> </w:t>
      </w:r>
      <w:r w:rsidRPr="005A034D">
        <w:t>Yearly differences in the number of Members that have reported no support varies for a variety of reasons, which for the 20 Members includes inconsistencies in submission of notifications, no recent submission of DS:1 notifications, date of accession, measures reported in some years but not others and least-developed status (</w:t>
      </w:r>
      <w:hyperlink r:id="rId2" w:history="1">
        <w:r w:rsidRPr="00062C0C">
          <w:rPr>
            <w:rStyle w:val="Hyperlink"/>
          </w:rPr>
          <w:t>G/AG/2</w:t>
        </w:r>
      </w:hyperlink>
      <w:r w:rsidRPr="005A034D">
        <w:t xml:space="preserve"> only requires least-developed Members to submit Supporting Tables DS:1 to DS:3 every two years).</w:t>
      </w:r>
    </w:p>
  </w:footnote>
  <w:footnote w:id="5">
    <w:p w14:paraId="15CA45BE" w14:textId="257D8607" w:rsidR="00A24487" w:rsidRDefault="00A24487" w:rsidP="00E62DFC">
      <w:pPr>
        <w:pStyle w:val="FootnoteText"/>
      </w:pPr>
      <w:r>
        <w:rPr>
          <w:rStyle w:val="FootnoteReference"/>
        </w:rPr>
        <w:footnoteRef/>
      </w:r>
      <w:r>
        <w:t xml:space="preserve"> </w:t>
      </w:r>
      <w:r w:rsidRPr="00275481">
        <w:t xml:space="preserve">A Member was classified in </w:t>
      </w:r>
      <w:r w:rsidR="00062C0C">
        <w:t>"</w:t>
      </w:r>
      <w:r w:rsidRPr="00275481">
        <w:t>VOP Reported for All Years</w:t>
      </w:r>
      <w:r w:rsidR="00062C0C">
        <w:t>"</w:t>
      </w:r>
      <w:r w:rsidRPr="00275481">
        <w:t xml:space="preserve"> if for each year a DS:1 notification was notified, the total value of production was reported to the Secretariat (as part of CoA-SS transparency exercise) or in the notification itself.</w:t>
      </w:r>
    </w:p>
  </w:footnote>
  <w:footnote w:id="6">
    <w:p w14:paraId="23D4D118" w14:textId="5FCC2175" w:rsidR="00A24487" w:rsidRDefault="00A24487" w:rsidP="00E62DFC">
      <w:pPr>
        <w:pStyle w:val="FootnoteText"/>
      </w:pPr>
      <w:r>
        <w:rPr>
          <w:rStyle w:val="FootnoteReference"/>
        </w:rPr>
        <w:footnoteRef/>
      </w:r>
      <w:r>
        <w:t xml:space="preserve"> </w:t>
      </w:r>
      <w:r w:rsidRPr="00275481">
        <w:t xml:space="preserve">This compilation of data does not differentiate whether a Member had to report total value of production to calculate non-product AMS </w:t>
      </w:r>
      <w:r w:rsidRPr="00275481">
        <w:rPr>
          <w:i/>
        </w:rPr>
        <w:t xml:space="preserve">de minimis </w:t>
      </w:r>
      <w:r w:rsidRPr="00275481">
        <w:t>or not.</w:t>
      </w:r>
    </w:p>
  </w:footnote>
  <w:footnote w:id="7">
    <w:p w14:paraId="0B6123D8" w14:textId="6C0648EA" w:rsidR="00A24487" w:rsidRDefault="00A24487" w:rsidP="00E62DFC">
      <w:pPr>
        <w:pStyle w:val="FootnoteText"/>
      </w:pPr>
      <w:r>
        <w:rPr>
          <w:rStyle w:val="FootnoteReference"/>
        </w:rPr>
        <w:footnoteRef/>
      </w:r>
      <w:r>
        <w:t xml:space="preserve"> </w:t>
      </w:r>
      <w:r w:rsidRPr="00275481">
        <w:t xml:space="preserve">Between 2012 and 2016, the </w:t>
      </w:r>
      <w:r w:rsidR="00062C0C">
        <w:t>10</w:t>
      </w:r>
      <w:r w:rsidRPr="00275481">
        <w:t xml:space="preserve"> largest domestic support users reported between 90% and 94% of all domestic support.</w:t>
      </w:r>
    </w:p>
  </w:footnote>
  <w:footnote w:id="8">
    <w:p w14:paraId="796BEEEE" w14:textId="161A7677" w:rsidR="00A24487" w:rsidRDefault="00A24487" w:rsidP="00E62DFC">
      <w:pPr>
        <w:pStyle w:val="FootnoteText"/>
      </w:pPr>
      <w:r>
        <w:rPr>
          <w:rStyle w:val="FootnoteReference"/>
        </w:rPr>
        <w:footnoteRef/>
      </w:r>
      <w:r>
        <w:t xml:space="preserve"> </w:t>
      </w:r>
      <w:r w:rsidRPr="00275481">
        <w:t xml:space="preserve">As of </w:t>
      </w:r>
      <w:r w:rsidR="00062C0C">
        <w:t xml:space="preserve">17 </w:t>
      </w:r>
      <w:r w:rsidRPr="00275481">
        <w:t>November 2020 only one of the 10 largest users of domestic support most recent notification was below the median year of 2016. For that Member, the most recent year was 2015.</w:t>
      </w:r>
    </w:p>
  </w:footnote>
  <w:footnote w:id="9">
    <w:p w14:paraId="36EC3CD0" w14:textId="51E36D1A" w:rsidR="00A24487" w:rsidRDefault="00A24487" w:rsidP="00E62DFC">
      <w:pPr>
        <w:pStyle w:val="FootnoteText"/>
      </w:pPr>
      <w:r>
        <w:rPr>
          <w:rStyle w:val="FootnoteReference"/>
        </w:rPr>
        <w:footnoteRef/>
      </w:r>
      <w:r>
        <w:t xml:space="preserve"> </w:t>
      </w:r>
      <w:r w:rsidRPr="00E3377B">
        <w:t>Product</w:t>
      </w:r>
      <w:r w:rsidR="00351511">
        <w:t>-</w:t>
      </w:r>
      <w:r w:rsidRPr="00E3377B">
        <w:t>specific AMS and non</w:t>
      </w:r>
      <w:r w:rsidR="00351511">
        <w:t xml:space="preserve"> </w:t>
      </w:r>
      <w:r w:rsidRPr="00E3377B">
        <w:t>product</w:t>
      </w:r>
      <w:r w:rsidR="00351511">
        <w:t>-</w:t>
      </w:r>
      <w:r w:rsidRPr="00E3377B">
        <w:t xml:space="preserve">specific AMS refers to support above and below </w:t>
      </w:r>
      <w:r w:rsidRPr="00E3377B">
        <w:rPr>
          <w:i/>
        </w:rPr>
        <w:t>de minimis</w:t>
      </w:r>
      <w:r w:rsidRPr="00E3377B">
        <w:t xml:space="preserve"> (</w:t>
      </w:r>
      <w:r w:rsidR="00351511">
        <w:t>A</w:t>
      </w:r>
      <w:r w:rsidRPr="00E3377B">
        <w:t>rticle</w:t>
      </w:r>
      <w:r w:rsidR="00351511">
        <w:t>s</w:t>
      </w:r>
      <w:r w:rsidRPr="00E3377B">
        <w:t xml:space="preserve"> 6.3 and 6.4)</w:t>
      </w:r>
      <w:r w:rsidR="00351511">
        <w:t>.</w:t>
      </w:r>
    </w:p>
  </w:footnote>
  <w:footnote w:id="10">
    <w:p w14:paraId="44CB5EDE" w14:textId="271867A9" w:rsidR="00A24487" w:rsidRDefault="00A24487" w:rsidP="00E62DFC">
      <w:pPr>
        <w:pStyle w:val="FootnoteText"/>
      </w:pPr>
      <w:r>
        <w:rPr>
          <w:rStyle w:val="FootnoteReference"/>
        </w:rPr>
        <w:footnoteRef/>
      </w:r>
      <w:r>
        <w:t xml:space="preserve"> </w:t>
      </w:r>
      <w:r w:rsidRPr="00353934">
        <w:t>For ease of understanding, Members with no FBTAMS in their Schedules were assumed to have an FBTAMS of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1649" w14:textId="77777777" w:rsidR="00E15F27" w:rsidRPr="00E15F27" w:rsidRDefault="00E15F27" w:rsidP="00E15F27">
    <w:pPr>
      <w:pStyle w:val="Header"/>
      <w:pBdr>
        <w:bottom w:val="single" w:sz="4" w:space="1" w:color="auto"/>
      </w:pBdr>
      <w:tabs>
        <w:tab w:val="clear" w:pos="4513"/>
        <w:tab w:val="clear" w:pos="9027"/>
      </w:tabs>
      <w:jc w:val="center"/>
    </w:pPr>
    <w:r w:rsidRPr="00E15F27">
      <w:t>JOB/AG/197</w:t>
    </w:r>
  </w:p>
  <w:p w14:paraId="2B7E116F" w14:textId="77777777" w:rsidR="00E15F27" w:rsidRPr="00E15F27" w:rsidRDefault="00E15F27" w:rsidP="00E15F27">
    <w:pPr>
      <w:pStyle w:val="Header"/>
      <w:pBdr>
        <w:bottom w:val="single" w:sz="4" w:space="1" w:color="auto"/>
      </w:pBdr>
      <w:tabs>
        <w:tab w:val="clear" w:pos="4513"/>
        <w:tab w:val="clear" w:pos="9027"/>
      </w:tabs>
      <w:jc w:val="center"/>
    </w:pPr>
  </w:p>
  <w:p w14:paraId="61C70492" w14:textId="2ED7E522" w:rsidR="00E15F27" w:rsidRPr="00E15F27" w:rsidRDefault="00E15F27" w:rsidP="00E15F27">
    <w:pPr>
      <w:pStyle w:val="Header"/>
      <w:pBdr>
        <w:bottom w:val="single" w:sz="4" w:space="1" w:color="auto"/>
      </w:pBdr>
      <w:tabs>
        <w:tab w:val="clear" w:pos="4513"/>
        <w:tab w:val="clear" w:pos="9027"/>
      </w:tabs>
      <w:jc w:val="center"/>
    </w:pPr>
    <w:r w:rsidRPr="00E15F27">
      <w:t xml:space="preserve">- </w:t>
    </w:r>
    <w:r w:rsidRPr="00E15F27">
      <w:fldChar w:fldCharType="begin"/>
    </w:r>
    <w:r w:rsidRPr="00E15F27">
      <w:instrText xml:space="preserve"> PAGE </w:instrText>
    </w:r>
    <w:r w:rsidRPr="00E15F27">
      <w:fldChar w:fldCharType="separate"/>
    </w:r>
    <w:r w:rsidRPr="00E15F27">
      <w:rPr>
        <w:noProof/>
      </w:rPr>
      <w:t>2</w:t>
    </w:r>
    <w:r w:rsidRPr="00E15F27">
      <w:fldChar w:fldCharType="end"/>
    </w:r>
    <w:r w:rsidRPr="00E15F27">
      <w:t xml:space="preserve"> -</w:t>
    </w:r>
  </w:p>
  <w:p w14:paraId="69C4CDD5" w14:textId="2B045F41" w:rsidR="00A24487" w:rsidRPr="00E15F27" w:rsidRDefault="00A24487" w:rsidP="00E15F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0CC2" w14:textId="77777777" w:rsidR="00E15F27" w:rsidRPr="00E15F27" w:rsidRDefault="00E15F27" w:rsidP="00E15F27">
    <w:pPr>
      <w:pStyle w:val="Header"/>
      <w:pBdr>
        <w:bottom w:val="single" w:sz="4" w:space="1" w:color="auto"/>
      </w:pBdr>
      <w:tabs>
        <w:tab w:val="clear" w:pos="4513"/>
        <w:tab w:val="clear" w:pos="9027"/>
      </w:tabs>
      <w:jc w:val="center"/>
    </w:pPr>
    <w:r w:rsidRPr="00E15F27">
      <w:t>JOB/AG/197</w:t>
    </w:r>
  </w:p>
  <w:p w14:paraId="733DF59C" w14:textId="77777777" w:rsidR="00E15F27" w:rsidRPr="00E15F27" w:rsidRDefault="00E15F27" w:rsidP="00E15F27">
    <w:pPr>
      <w:pStyle w:val="Header"/>
      <w:pBdr>
        <w:bottom w:val="single" w:sz="4" w:space="1" w:color="auto"/>
      </w:pBdr>
      <w:tabs>
        <w:tab w:val="clear" w:pos="4513"/>
        <w:tab w:val="clear" w:pos="9027"/>
      </w:tabs>
      <w:jc w:val="center"/>
    </w:pPr>
  </w:p>
  <w:p w14:paraId="6F4B2211" w14:textId="111F2793" w:rsidR="00E15F27" w:rsidRPr="00E15F27" w:rsidRDefault="00E15F27" w:rsidP="00E15F27">
    <w:pPr>
      <w:pStyle w:val="Header"/>
      <w:pBdr>
        <w:bottom w:val="single" w:sz="4" w:space="1" w:color="auto"/>
      </w:pBdr>
      <w:tabs>
        <w:tab w:val="clear" w:pos="4513"/>
        <w:tab w:val="clear" w:pos="9027"/>
      </w:tabs>
      <w:jc w:val="center"/>
    </w:pPr>
    <w:r w:rsidRPr="00E15F27">
      <w:t xml:space="preserve">- </w:t>
    </w:r>
    <w:r w:rsidRPr="00E15F27">
      <w:fldChar w:fldCharType="begin"/>
    </w:r>
    <w:r w:rsidRPr="00E15F27">
      <w:instrText xml:space="preserve"> PAGE </w:instrText>
    </w:r>
    <w:r w:rsidRPr="00E15F27">
      <w:fldChar w:fldCharType="separate"/>
    </w:r>
    <w:r w:rsidRPr="00E15F27">
      <w:rPr>
        <w:noProof/>
      </w:rPr>
      <w:t>3</w:t>
    </w:r>
    <w:r w:rsidRPr="00E15F27">
      <w:fldChar w:fldCharType="end"/>
    </w:r>
    <w:r w:rsidRPr="00E15F27">
      <w:t xml:space="preserve"> -</w:t>
    </w:r>
  </w:p>
  <w:p w14:paraId="03E61059" w14:textId="3950E417" w:rsidR="00A24487" w:rsidRPr="00E15F27" w:rsidRDefault="00A24487" w:rsidP="00E15F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4487" w:rsidRPr="00182B84" w14:paraId="53B4F500" w14:textId="77777777" w:rsidTr="00544326">
      <w:trPr>
        <w:trHeight w:val="240"/>
        <w:jc w:val="center"/>
      </w:trPr>
      <w:tc>
        <w:tcPr>
          <w:tcW w:w="3794" w:type="dxa"/>
          <w:shd w:val="clear" w:color="auto" w:fill="FFFFFF"/>
          <w:tcMar>
            <w:left w:w="108" w:type="dxa"/>
            <w:right w:w="108" w:type="dxa"/>
          </w:tcMar>
          <w:vAlign w:val="center"/>
        </w:tcPr>
        <w:p w14:paraId="4E3FBAD2" w14:textId="77777777" w:rsidR="00A24487" w:rsidRPr="00182B84" w:rsidRDefault="00A24487" w:rsidP="00E62DFC">
          <w:pPr>
            <w:rPr>
              <w:noProof/>
              <w:lang w:eastAsia="en-GB"/>
            </w:rPr>
          </w:pPr>
          <w:bookmarkStart w:id="7" w:name="bmkRestricted" w:colFirst="1" w:colLast="1"/>
        </w:p>
      </w:tc>
      <w:tc>
        <w:tcPr>
          <w:tcW w:w="5448" w:type="dxa"/>
          <w:gridSpan w:val="2"/>
          <w:shd w:val="clear" w:color="auto" w:fill="FFFFFF"/>
          <w:tcMar>
            <w:left w:w="108" w:type="dxa"/>
            <w:right w:w="108" w:type="dxa"/>
          </w:tcMar>
          <w:vAlign w:val="center"/>
        </w:tcPr>
        <w:p w14:paraId="7DEEF835" w14:textId="4C16CB4B" w:rsidR="00A24487" w:rsidRPr="00182B84" w:rsidRDefault="00E15F27" w:rsidP="00E62DFC">
          <w:pPr>
            <w:jc w:val="right"/>
            <w:rPr>
              <w:b/>
              <w:color w:val="FF0000"/>
              <w:szCs w:val="16"/>
            </w:rPr>
          </w:pPr>
          <w:r>
            <w:rPr>
              <w:b/>
              <w:color w:val="FF0000"/>
              <w:szCs w:val="16"/>
            </w:rPr>
            <w:t xml:space="preserve"> </w:t>
          </w:r>
        </w:p>
      </w:tc>
    </w:tr>
    <w:bookmarkEnd w:id="7"/>
    <w:tr w:rsidR="00A24487" w:rsidRPr="00182B84" w14:paraId="07B41F51" w14:textId="77777777" w:rsidTr="00544326">
      <w:trPr>
        <w:trHeight w:val="213"/>
        <w:jc w:val="center"/>
      </w:trPr>
      <w:tc>
        <w:tcPr>
          <w:tcW w:w="3794" w:type="dxa"/>
          <w:vMerge w:val="restart"/>
          <w:shd w:val="clear" w:color="auto" w:fill="FFFFFF"/>
          <w:tcMar>
            <w:left w:w="0" w:type="dxa"/>
            <w:right w:w="0" w:type="dxa"/>
          </w:tcMar>
        </w:tcPr>
        <w:p w14:paraId="6027E2A1" w14:textId="77777777" w:rsidR="00A24487" w:rsidRPr="00182B84" w:rsidRDefault="00A24487" w:rsidP="00E62DFC">
          <w:pPr>
            <w:jc w:val="left"/>
          </w:pPr>
          <w:r w:rsidRPr="00182B84">
            <w:rPr>
              <w:noProof/>
              <w:lang w:val="en-US"/>
            </w:rPr>
            <w:drawing>
              <wp:inline distT="0" distB="0" distL="0" distR="0" wp14:anchorId="0599432D" wp14:editId="63B2C83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2E2E53" w14:textId="77777777" w:rsidR="00A24487" w:rsidRPr="00182B84" w:rsidRDefault="00A24487" w:rsidP="00E62DFC">
          <w:pPr>
            <w:jc w:val="right"/>
            <w:rPr>
              <w:b/>
              <w:szCs w:val="16"/>
            </w:rPr>
          </w:pPr>
        </w:p>
      </w:tc>
    </w:tr>
    <w:tr w:rsidR="00A24487" w:rsidRPr="00182B84" w14:paraId="7AF37781" w14:textId="77777777" w:rsidTr="00544326">
      <w:trPr>
        <w:trHeight w:val="868"/>
        <w:jc w:val="center"/>
      </w:trPr>
      <w:tc>
        <w:tcPr>
          <w:tcW w:w="3794" w:type="dxa"/>
          <w:vMerge/>
          <w:shd w:val="clear" w:color="auto" w:fill="FFFFFF"/>
          <w:tcMar>
            <w:left w:w="108" w:type="dxa"/>
            <w:right w:w="108" w:type="dxa"/>
          </w:tcMar>
        </w:tcPr>
        <w:p w14:paraId="24220EF7" w14:textId="77777777" w:rsidR="00A24487" w:rsidRPr="00182B84" w:rsidRDefault="00A24487" w:rsidP="00E62DFC">
          <w:pPr>
            <w:jc w:val="left"/>
            <w:rPr>
              <w:noProof/>
              <w:lang w:eastAsia="en-GB"/>
            </w:rPr>
          </w:pPr>
        </w:p>
      </w:tc>
      <w:tc>
        <w:tcPr>
          <w:tcW w:w="5448" w:type="dxa"/>
          <w:gridSpan w:val="2"/>
          <w:shd w:val="clear" w:color="auto" w:fill="FFFFFF"/>
          <w:tcMar>
            <w:left w:w="108" w:type="dxa"/>
            <w:right w:w="108" w:type="dxa"/>
          </w:tcMar>
        </w:tcPr>
        <w:p w14:paraId="4D287ED4" w14:textId="77777777" w:rsidR="00E15F27" w:rsidRDefault="00E15F27" w:rsidP="00E62DFC">
          <w:pPr>
            <w:jc w:val="right"/>
            <w:rPr>
              <w:b/>
              <w:szCs w:val="16"/>
            </w:rPr>
          </w:pPr>
          <w:bookmarkStart w:id="8" w:name="bmkSymbols"/>
          <w:r>
            <w:rPr>
              <w:b/>
              <w:szCs w:val="16"/>
            </w:rPr>
            <w:t>JOB/AG/197</w:t>
          </w:r>
        </w:p>
        <w:bookmarkEnd w:id="8"/>
        <w:p w14:paraId="53EB0A35" w14:textId="3EDD5C3E" w:rsidR="00A24487" w:rsidRPr="00182B84" w:rsidRDefault="00A24487" w:rsidP="00E62DFC">
          <w:pPr>
            <w:jc w:val="right"/>
            <w:rPr>
              <w:b/>
              <w:szCs w:val="16"/>
            </w:rPr>
          </w:pPr>
        </w:p>
      </w:tc>
    </w:tr>
    <w:tr w:rsidR="00A24487" w:rsidRPr="00182B84" w14:paraId="3F638920" w14:textId="77777777" w:rsidTr="00544326">
      <w:trPr>
        <w:trHeight w:val="240"/>
        <w:jc w:val="center"/>
      </w:trPr>
      <w:tc>
        <w:tcPr>
          <w:tcW w:w="3794" w:type="dxa"/>
          <w:vMerge/>
          <w:shd w:val="clear" w:color="auto" w:fill="FFFFFF"/>
          <w:tcMar>
            <w:left w:w="108" w:type="dxa"/>
            <w:right w:w="108" w:type="dxa"/>
          </w:tcMar>
          <w:vAlign w:val="center"/>
        </w:tcPr>
        <w:p w14:paraId="693C916A" w14:textId="77777777" w:rsidR="00A24487" w:rsidRPr="00182B84" w:rsidRDefault="00A24487" w:rsidP="00E62DFC"/>
      </w:tc>
      <w:tc>
        <w:tcPr>
          <w:tcW w:w="5448" w:type="dxa"/>
          <w:gridSpan w:val="2"/>
          <w:shd w:val="clear" w:color="auto" w:fill="FFFFFF"/>
          <w:tcMar>
            <w:left w:w="108" w:type="dxa"/>
            <w:right w:w="108" w:type="dxa"/>
          </w:tcMar>
          <w:vAlign w:val="center"/>
        </w:tcPr>
        <w:p w14:paraId="53A36B98" w14:textId="59B1208F" w:rsidR="00A24487" w:rsidRPr="00182B84" w:rsidRDefault="00A24487" w:rsidP="00E62DFC">
          <w:pPr>
            <w:jc w:val="right"/>
            <w:rPr>
              <w:szCs w:val="16"/>
            </w:rPr>
          </w:pPr>
          <w:r>
            <w:rPr>
              <w:szCs w:val="16"/>
            </w:rPr>
            <w:t>1</w:t>
          </w:r>
          <w:r w:rsidR="00E15F27">
            <w:rPr>
              <w:szCs w:val="16"/>
            </w:rPr>
            <w:t>8</w:t>
          </w:r>
          <w:r>
            <w:rPr>
              <w:szCs w:val="16"/>
            </w:rPr>
            <w:t xml:space="preserve"> May 2021</w:t>
          </w:r>
        </w:p>
      </w:tc>
    </w:tr>
    <w:tr w:rsidR="00A24487" w:rsidRPr="00182B84" w14:paraId="1E995C6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906178" w14:textId="3E3B358E" w:rsidR="00A24487" w:rsidRPr="00182B84" w:rsidRDefault="00A24487" w:rsidP="00E62DFC">
          <w:pPr>
            <w:jc w:val="left"/>
            <w:rPr>
              <w:b/>
            </w:rPr>
          </w:pPr>
          <w:bookmarkStart w:id="9" w:name="bmkSerial" w:colFirst="0" w:colLast="0"/>
          <w:r w:rsidRPr="00182B84">
            <w:rPr>
              <w:color w:val="FF0000"/>
              <w:szCs w:val="16"/>
            </w:rPr>
            <w:t>(</w:t>
          </w:r>
          <w:r w:rsidR="00443A94">
            <w:rPr>
              <w:color w:val="FF0000"/>
              <w:szCs w:val="16"/>
            </w:rPr>
            <w:t>21</w:t>
          </w:r>
          <w:r w:rsidRPr="00182B84">
            <w:rPr>
              <w:color w:val="FF0000"/>
              <w:szCs w:val="16"/>
            </w:rPr>
            <w:t>-</w:t>
          </w:r>
          <w:r w:rsidR="001B1D5E">
            <w:rPr>
              <w:color w:val="FF0000"/>
              <w:szCs w:val="16"/>
            </w:rPr>
            <w:t>4197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5F8386D" w14:textId="77777777" w:rsidR="00A24487" w:rsidRPr="00182B84" w:rsidRDefault="00A24487" w:rsidP="00E62DFC">
          <w:pPr>
            <w:jc w:val="right"/>
            <w:rPr>
              <w:szCs w:val="16"/>
            </w:rPr>
          </w:pPr>
          <w:bookmarkStart w:id="1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10"/>
        </w:p>
      </w:tc>
    </w:tr>
    <w:tr w:rsidR="00A24487" w:rsidRPr="00182B84" w14:paraId="2A89EB3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C6FA38" w14:textId="77777777" w:rsidR="00E15F27" w:rsidRDefault="00E15F27" w:rsidP="00E62DFC">
          <w:pPr>
            <w:jc w:val="left"/>
            <w:rPr>
              <w:b/>
            </w:rPr>
          </w:pPr>
          <w:bookmarkStart w:id="11" w:name="bmkCommittee"/>
          <w:bookmarkStart w:id="12" w:name="bmkLanguage" w:colFirst="1" w:colLast="1"/>
          <w:bookmarkEnd w:id="9"/>
          <w:r>
            <w:rPr>
              <w:b/>
            </w:rPr>
            <w:t>Committee on Agriculture</w:t>
          </w:r>
        </w:p>
        <w:p w14:paraId="300C2692" w14:textId="587A22D7" w:rsidR="00A24487" w:rsidRPr="00182B84" w:rsidRDefault="00E15F27" w:rsidP="00E62DFC">
          <w:pPr>
            <w:jc w:val="left"/>
            <w:rPr>
              <w:sz w:val="14"/>
              <w:szCs w:val="16"/>
            </w:rPr>
          </w:pPr>
          <w:r>
            <w:rPr>
              <w:b/>
            </w:rPr>
            <w:t>Special Session</w:t>
          </w:r>
          <w:bookmarkEnd w:id="11"/>
        </w:p>
      </w:tc>
      <w:tc>
        <w:tcPr>
          <w:tcW w:w="3325" w:type="dxa"/>
          <w:tcBorders>
            <w:top w:val="single" w:sz="4" w:space="0" w:color="auto"/>
          </w:tcBorders>
          <w:tcMar>
            <w:top w:w="113" w:type="dxa"/>
            <w:left w:w="108" w:type="dxa"/>
            <w:bottom w:w="57" w:type="dxa"/>
            <w:right w:w="108" w:type="dxa"/>
          </w:tcMar>
          <w:vAlign w:val="center"/>
        </w:tcPr>
        <w:p w14:paraId="5D308C79" w14:textId="608AF503" w:rsidR="00A24487" w:rsidRPr="00182B84" w:rsidRDefault="00E15F27" w:rsidP="00E62DFC">
          <w:pPr>
            <w:jc w:val="right"/>
            <w:rPr>
              <w:bCs/>
              <w:szCs w:val="18"/>
            </w:rPr>
          </w:pPr>
          <w:r>
            <w:rPr>
              <w:szCs w:val="18"/>
            </w:rPr>
            <w:t>Original: English</w:t>
          </w:r>
        </w:p>
      </w:tc>
    </w:tr>
    <w:bookmarkEnd w:id="12"/>
  </w:tbl>
  <w:p w14:paraId="0810FD4A" w14:textId="77777777" w:rsidR="00A24487" w:rsidRDefault="00A2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C21E64"/>
    <w:multiLevelType w:val="hybridMultilevel"/>
    <w:tmpl w:val="8FFEAE06"/>
    <w:lvl w:ilvl="0" w:tplc="86BA3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536F7"/>
    <w:multiLevelType w:val="hybridMultilevel"/>
    <w:tmpl w:val="A9BC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08"/>
    <w:rsid w:val="000272F6"/>
    <w:rsid w:val="00037AC4"/>
    <w:rsid w:val="000423BF"/>
    <w:rsid w:val="00062C0C"/>
    <w:rsid w:val="000A4945"/>
    <w:rsid w:val="000B31E1"/>
    <w:rsid w:val="0011356B"/>
    <w:rsid w:val="0013337F"/>
    <w:rsid w:val="00182B84"/>
    <w:rsid w:val="001B1D5E"/>
    <w:rsid w:val="001E291F"/>
    <w:rsid w:val="00233408"/>
    <w:rsid w:val="0027067B"/>
    <w:rsid w:val="003156C6"/>
    <w:rsid w:val="00351511"/>
    <w:rsid w:val="003572B4"/>
    <w:rsid w:val="00443A94"/>
    <w:rsid w:val="00467032"/>
    <w:rsid w:val="0046754A"/>
    <w:rsid w:val="004F203A"/>
    <w:rsid w:val="00522A08"/>
    <w:rsid w:val="005336B8"/>
    <w:rsid w:val="00544326"/>
    <w:rsid w:val="00547B5F"/>
    <w:rsid w:val="005A1A22"/>
    <w:rsid w:val="005B04B9"/>
    <w:rsid w:val="005B68C7"/>
    <w:rsid w:val="005B7054"/>
    <w:rsid w:val="005D5981"/>
    <w:rsid w:val="005F30CB"/>
    <w:rsid w:val="00612644"/>
    <w:rsid w:val="00644BDD"/>
    <w:rsid w:val="00674CCD"/>
    <w:rsid w:val="006F5826"/>
    <w:rsid w:val="00700181"/>
    <w:rsid w:val="007141CF"/>
    <w:rsid w:val="00745146"/>
    <w:rsid w:val="007577E3"/>
    <w:rsid w:val="00760DB3"/>
    <w:rsid w:val="00767521"/>
    <w:rsid w:val="007E6507"/>
    <w:rsid w:val="007F2B8E"/>
    <w:rsid w:val="007F32D1"/>
    <w:rsid w:val="00807247"/>
    <w:rsid w:val="00840C2B"/>
    <w:rsid w:val="008563A7"/>
    <w:rsid w:val="008739FD"/>
    <w:rsid w:val="00893E85"/>
    <w:rsid w:val="008E372C"/>
    <w:rsid w:val="00907FAD"/>
    <w:rsid w:val="009A6F54"/>
    <w:rsid w:val="00A24487"/>
    <w:rsid w:val="00A6057A"/>
    <w:rsid w:val="00A74017"/>
    <w:rsid w:val="00A90193"/>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56971"/>
    <w:rsid w:val="00D747AE"/>
    <w:rsid w:val="00D9226C"/>
    <w:rsid w:val="00DA20BD"/>
    <w:rsid w:val="00DE50DB"/>
    <w:rsid w:val="00DF6AE1"/>
    <w:rsid w:val="00E15F27"/>
    <w:rsid w:val="00E36B07"/>
    <w:rsid w:val="00E45DA4"/>
    <w:rsid w:val="00E46FD5"/>
    <w:rsid w:val="00E544BB"/>
    <w:rsid w:val="00E56545"/>
    <w:rsid w:val="00E62DFC"/>
    <w:rsid w:val="00EA5D4F"/>
    <w:rsid w:val="00EB6C56"/>
    <w:rsid w:val="00ED1D47"/>
    <w:rsid w:val="00ED54E0"/>
    <w:rsid w:val="00F04A9D"/>
    <w:rsid w:val="00F1136A"/>
    <w:rsid w:val="00F32397"/>
    <w:rsid w:val="00F40595"/>
    <w:rsid w:val="00F44B9F"/>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F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62DF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62DF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62DF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62DF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62DF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62DF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62DF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62DF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62DF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62DF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E62DF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E62DF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E62DF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E62DF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E62DF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E62DF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E62DF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E62DF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E62DF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62DF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E62DFC"/>
    <w:pPr>
      <w:numPr>
        <w:ilvl w:val="6"/>
        <w:numId w:val="7"/>
      </w:numPr>
      <w:spacing w:after="240"/>
    </w:pPr>
  </w:style>
  <w:style w:type="character" w:customStyle="1" w:styleId="BodyTextChar">
    <w:name w:val="Body Text Char"/>
    <w:basedOn w:val="DefaultParagraphFont"/>
    <w:link w:val="BodyText"/>
    <w:uiPriority w:val="1"/>
    <w:rsid w:val="00E62DFC"/>
    <w:rPr>
      <w:rFonts w:ascii="Verdana" w:hAnsi="Verdana"/>
      <w:sz w:val="18"/>
    </w:rPr>
  </w:style>
  <w:style w:type="paragraph" w:styleId="BodyText2">
    <w:name w:val="Body Text 2"/>
    <w:basedOn w:val="Normal"/>
    <w:link w:val="BodyText2Char"/>
    <w:uiPriority w:val="1"/>
    <w:qFormat/>
    <w:rsid w:val="00E62DFC"/>
    <w:pPr>
      <w:numPr>
        <w:ilvl w:val="7"/>
        <w:numId w:val="7"/>
      </w:numPr>
      <w:spacing w:after="240"/>
    </w:pPr>
  </w:style>
  <w:style w:type="character" w:customStyle="1" w:styleId="BodyText2Char">
    <w:name w:val="Body Text 2 Char"/>
    <w:basedOn w:val="DefaultParagraphFont"/>
    <w:link w:val="BodyText2"/>
    <w:uiPriority w:val="1"/>
    <w:rsid w:val="00E62DFC"/>
    <w:rPr>
      <w:rFonts w:ascii="Verdana" w:hAnsi="Verdana"/>
      <w:sz w:val="18"/>
    </w:rPr>
  </w:style>
  <w:style w:type="paragraph" w:styleId="BodyText3">
    <w:name w:val="Body Text 3"/>
    <w:basedOn w:val="Normal"/>
    <w:link w:val="BodyText3Char"/>
    <w:uiPriority w:val="1"/>
    <w:qFormat/>
    <w:rsid w:val="00E62DFC"/>
    <w:pPr>
      <w:numPr>
        <w:ilvl w:val="8"/>
        <w:numId w:val="7"/>
      </w:numPr>
      <w:spacing w:after="240"/>
    </w:pPr>
    <w:rPr>
      <w:szCs w:val="16"/>
    </w:rPr>
  </w:style>
  <w:style w:type="character" w:customStyle="1" w:styleId="BodyText3Char">
    <w:name w:val="Body Text 3 Char"/>
    <w:basedOn w:val="DefaultParagraphFont"/>
    <w:link w:val="BodyText3"/>
    <w:uiPriority w:val="1"/>
    <w:rsid w:val="00E62DFC"/>
    <w:rPr>
      <w:rFonts w:ascii="Verdana" w:hAnsi="Verdana"/>
      <w:sz w:val="18"/>
      <w:szCs w:val="16"/>
    </w:rPr>
  </w:style>
  <w:style w:type="numbering" w:customStyle="1" w:styleId="LegalHeadings">
    <w:name w:val="LegalHeadings"/>
    <w:uiPriority w:val="99"/>
    <w:rsid w:val="00E62DFC"/>
    <w:pPr>
      <w:numPr>
        <w:numId w:val="6"/>
      </w:numPr>
    </w:pPr>
  </w:style>
  <w:style w:type="paragraph" w:styleId="ListBullet">
    <w:name w:val="List Bullet"/>
    <w:basedOn w:val="Normal"/>
    <w:uiPriority w:val="1"/>
    <w:rsid w:val="00E62DFC"/>
    <w:pPr>
      <w:numPr>
        <w:numId w:val="9"/>
      </w:numPr>
      <w:spacing w:after="240"/>
    </w:pPr>
  </w:style>
  <w:style w:type="paragraph" w:styleId="ListBullet2">
    <w:name w:val="List Bullet 2"/>
    <w:basedOn w:val="Normal"/>
    <w:uiPriority w:val="1"/>
    <w:rsid w:val="00E62DFC"/>
    <w:pPr>
      <w:numPr>
        <w:ilvl w:val="1"/>
        <w:numId w:val="9"/>
      </w:numPr>
      <w:spacing w:after="240"/>
    </w:pPr>
  </w:style>
  <w:style w:type="paragraph" w:styleId="ListBullet3">
    <w:name w:val="List Bullet 3"/>
    <w:basedOn w:val="Normal"/>
    <w:uiPriority w:val="1"/>
    <w:rsid w:val="00E62DFC"/>
    <w:pPr>
      <w:numPr>
        <w:ilvl w:val="2"/>
        <w:numId w:val="9"/>
      </w:numPr>
      <w:spacing w:after="240"/>
    </w:pPr>
  </w:style>
  <w:style w:type="paragraph" w:styleId="ListBullet4">
    <w:name w:val="List Bullet 4"/>
    <w:basedOn w:val="Normal"/>
    <w:uiPriority w:val="1"/>
    <w:rsid w:val="00E62DFC"/>
    <w:pPr>
      <w:numPr>
        <w:ilvl w:val="3"/>
        <w:numId w:val="9"/>
      </w:numPr>
      <w:spacing w:after="240"/>
      <w:ind w:left="1587" w:hanging="340"/>
    </w:pPr>
  </w:style>
  <w:style w:type="paragraph" w:styleId="ListBullet5">
    <w:name w:val="List Bullet 5"/>
    <w:basedOn w:val="Normal"/>
    <w:uiPriority w:val="1"/>
    <w:rsid w:val="00E62DFC"/>
    <w:pPr>
      <w:numPr>
        <w:ilvl w:val="4"/>
        <w:numId w:val="9"/>
      </w:numPr>
      <w:spacing w:after="240"/>
    </w:pPr>
  </w:style>
  <w:style w:type="numbering" w:customStyle="1" w:styleId="ListBullets">
    <w:name w:val="ListBullets"/>
    <w:uiPriority w:val="99"/>
    <w:rsid w:val="00E62DFC"/>
    <w:pPr>
      <w:numPr>
        <w:numId w:val="8"/>
      </w:numPr>
    </w:pPr>
  </w:style>
  <w:style w:type="paragraph" w:customStyle="1" w:styleId="Answer">
    <w:name w:val="Answer"/>
    <w:basedOn w:val="Normal"/>
    <w:link w:val="AnswerChar"/>
    <w:uiPriority w:val="6"/>
    <w:qFormat/>
    <w:rsid w:val="00E62DFC"/>
    <w:pPr>
      <w:spacing w:after="240"/>
      <w:ind w:left="1077"/>
    </w:pPr>
    <w:rPr>
      <w:rFonts w:eastAsia="Calibri" w:cs="Times New Roman"/>
    </w:rPr>
  </w:style>
  <w:style w:type="character" w:customStyle="1" w:styleId="AnswerChar">
    <w:name w:val="Answer Char"/>
    <w:link w:val="Answer"/>
    <w:uiPriority w:val="6"/>
    <w:rsid w:val="00E62DFC"/>
    <w:rPr>
      <w:rFonts w:ascii="Verdana" w:eastAsia="Calibri" w:hAnsi="Verdana" w:cs="Times New Roman"/>
      <w:sz w:val="18"/>
    </w:rPr>
  </w:style>
  <w:style w:type="paragraph" w:styleId="Caption">
    <w:name w:val="caption"/>
    <w:basedOn w:val="Normal"/>
    <w:next w:val="Normal"/>
    <w:uiPriority w:val="6"/>
    <w:qFormat/>
    <w:rsid w:val="00E62DF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62DFC"/>
    <w:rPr>
      <w:vertAlign w:val="superscript"/>
    </w:rPr>
  </w:style>
  <w:style w:type="paragraph" w:styleId="FootnoteText">
    <w:name w:val="footnote text"/>
    <w:basedOn w:val="Normal"/>
    <w:link w:val="FootnoteTextChar"/>
    <w:uiPriority w:val="5"/>
    <w:rsid w:val="00E62DF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62DFC"/>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62DFC"/>
    <w:rPr>
      <w:szCs w:val="20"/>
    </w:rPr>
  </w:style>
  <w:style w:type="character" w:customStyle="1" w:styleId="EndnoteTextChar">
    <w:name w:val="Endnote Text Char"/>
    <w:link w:val="EndnoteText"/>
    <w:uiPriority w:val="49"/>
    <w:rsid w:val="00E62DFC"/>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62DFC"/>
    <w:pPr>
      <w:spacing w:after="240"/>
      <w:ind w:left="720"/>
    </w:pPr>
    <w:rPr>
      <w:rFonts w:eastAsia="Calibri" w:cs="Times New Roman"/>
      <w:i/>
    </w:rPr>
  </w:style>
  <w:style w:type="character" w:customStyle="1" w:styleId="FollowUpChar">
    <w:name w:val="FollowUp Char"/>
    <w:link w:val="FollowUp"/>
    <w:uiPriority w:val="6"/>
    <w:rsid w:val="00E62DFC"/>
    <w:rPr>
      <w:rFonts w:ascii="Verdana" w:eastAsia="Calibri" w:hAnsi="Verdana" w:cs="Times New Roman"/>
      <w:i/>
      <w:sz w:val="18"/>
    </w:rPr>
  </w:style>
  <w:style w:type="paragraph" w:styleId="Footer">
    <w:name w:val="footer"/>
    <w:basedOn w:val="Normal"/>
    <w:link w:val="FooterChar"/>
    <w:uiPriority w:val="3"/>
    <w:rsid w:val="00E62DF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62DFC"/>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62DFC"/>
    <w:pPr>
      <w:ind w:left="567" w:right="567" w:firstLine="0"/>
    </w:pPr>
  </w:style>
  <w:style w:type="character" w:styleId="FootnoteReference">
    <w:name w:val="footnote reference"/>
    <w:uiPriority w:val="5"/>
    <w:rsid w:val="00E62DFC"/>
    <w:rPr>
      <w:vertAlign w:val="superscript"/>
    </w:rPr>
  </w:style>
  <w:style w:type="paragraph" w:styleId="Header">
    <w:name w:val="header"/>
    <w:basedOn w:val="Normal"/>
    <w:link w:val="HeaderChar"/>
    <w:uiPriority w:val="3"/>
    <w:rsid w:val="00E62DF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62DFC"/>
    <w:rPr>
      <w:rFonts w:ascii="Verdana" w:eastAsia="Calibri" w:hAnsi="Verdana" w:cs="Times New Roman"/>
      <w:sz w:val="18"/>
      <w:szCs w:val="18"/>
      <w:lang w:eastAsia="en-GB"/>
    </w:rPr>
  </w:style>
  <w:style w:type="paragraph" w:customStyle="1" w:styleId="Quotation">
    <w:name w:val="Quotation"/>
    <w:basedOn w:val="Normal"/>
    <w:uiPriority w:val="5"/>
    <w:qFormat/>
    <w:rsid w:val="00E62DF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62DF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62DFC"/>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E62DFC"/>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E62DF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62DF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62DF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E62DFC"/>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E62DFC"/>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E62DFC"/>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E62DFC"/>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E62DFC"/>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E62DFC"/>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E62DFC"/>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E62DFC"/>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E62DFC"/>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E62DF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62DFC"/>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62DFC"/>
    <w:rPr>
      <w:rFonts w:ascii="Tahoma" w:hAnsi="Tahoma" w:cs="Tahoma"/>
      <w:sz w:val="16"/>
      <w:szCs w:val="16"/>
    </w:rPr>
  </w:style>
  <w:style w:type="character" w:customStyle="1" w:styleId="BalloonTextChar">
    <w:name w:val="Balloon Text Char"/>
    <w:basedOn w:val="DefaultParagraphFont"/>
    <w:link w:val="BalloonText"/>
    <w:uiPriority w:val="99"/>
    <w:semiHidden/>
    <w:rsid w:val="00E62DFC"/>
    <w:rPr>
      <w:rFonts w:ascii="Tahoma" w:hAnsi="Tahoma" w:cs="Tahoma"/>
      <w:sz w:val="16"/>
      <w:szCs w:val="16"/>
    </w:rPr>
  </w:style>
  <w:style w:type="paragraph" w:styleId="Subtitle">
    <w:name w:val="Subtitle"/>
    <w:basedOn w:val="Normal"/>
    <w:next w:val="Normal"/>
    <w:link w:val="SubtitleChar"/>
    <w:uiPriority w:val="6"/>
    <w:qFormat/>
    <w:rsid w:val="00E62DF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62DFC"/>
    <w:rPr>
      <w:rFonts w:ascii="Verdana" w:eastAsiaTheme="majorEastAsia" w:hAnsi="Verdana" w:cstheme="majorBidi"/>
      <w:b/>
      <w:iCs/>
      <w:sz w:val="18"/>
      <w:szCs w:val="24"/>
    </w:rPr>
  </w:style>
  <w:style w:type="paragraph" w:customStyle="1" w:styleId="SummaryHeader">
    <w:name w:val="SummaryHeader"/>
    <w:basedOn w:val="Normal"/>
    <w:uiPriority w:val="4"/>
    <w:qFormat/>
    <w:rsid w:val="00E62DF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62DFC"/>
    <w:pPr>
      <w:spacing w:after="240"/>
      <w:outlineLvl w:val="1"/>
    </w:pPr>
    <w:rPr>
      <w:b/>
      <w:color w:val="006283"/>
    </w:rPr>
  </w:style>
  <w:style w:type="paragraph" w:customStyle="1" w:styleId="SummaryText">
    <w:name w:val="SummaryText"/>
    <w:basedOn w:val="Normal"/>
    <w:uiPriority w:val="4"/>
    <w:qFormat/>
    <w:rsid w:val="00E62DFC"/>
    <w:pPr>
      <w:numPr>
        <w:numId w:val="10"/>
      </w:numPr>
      <w:spacing w:after="240"/>
      <w:ind w:left="0" w:firstLine="0"/>
    </w:pPr>
    <w:rPr>
      <w:rFonts w:eastAsia="Calibri" w:cs="Times New Roman"/>
    </w:rPr>
  </w:style>
  <w:style w:type="paragraph" w:styleId="ListParagraph">
    <w:name w:val="List Paragraph"/>
    <w:basedOn w:val="Normal"/>
    <w:uiPriority w:val="59"/>
    <w:qFormat/>
    <w:rsid w:val="00E62DFC"/>
    <w:pPr>
      <w:ind w:left="720"/>
      <w:contextualSpacing/>
    </w:pPr>
  </w:style>
  <w:style w:type="table" w:customStyle="1" w:styleId="WTOBox1">
    <w:name w:val="WTOBox1"/>
    <w:basedOn w:val="TableNormal"/>
    <w:uiPriority w:val="99"/>
    <w:rsid w:val="00E62DF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62DF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62DFC"/>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6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62DFC"/>
    <w:pPr>
      <w:tabs>
        <w:tab w:val="left" w:pos="851"/>
      </w:tabs>
      <w:ind w:left="851" w:hanging="851"/>
      <w:jc w:val="left"/>
    </w:pPr>
    <w:rPr>
      <w:sz w:val="16"/>
    </w:rPr>
  </w:style>
  <w:style w:type="character" w:styleId="Hyperlink">
    <w:name w:val="Hyperlink"/>
    <w:basedOn w:val="DefaultParagraphFont"/>
    <w:uiPriority w:val="9"/>
    <w:unhideWhenUsed/>
    <w:rsid w:val="00E62DFC"/>
    <w:rPr>
      <w:color w:val="0000FF" w:themeColor="hyperlink"/>
      <w:u w:val="single"/>
    </w:rPr>
  </w:style>
  <w:style w:type="paragraph" w:styleId="Bibliography">
    <w:name w:val="Bibliography"/>
    <w:basedOn w:val="Normal"/>
    <w:next w:val="Normal"/>
    <w:uiPriority w:val="49"/>
    <w:semiHidden/>
    <w:unhideWhenUsed/>
    <w:rsid w:val="00E62DFC"/>
  </w:style>
  <w:style w:type="paragraph" w:styleId="BlockText">
    <w:name w:val="Block Text"/>
    <w:basedOn w:val="Normal"/>
    <w:uiPriority w:val="99"/>
    <w:semiHidden/>
    <w:unhideWhenUsed/>
    <w:rsid w:val="00E62D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62DF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62DFC"/>
    <w:rPr>
      <w:rFonts w:ascii="Verdana" w:hAnsi="Verdana"/>
      <w:sz w:val="18"/>
    </w:rPr>
  </w:style>
  <w:style w:type="paragraph" w:styleId="BodyTextIndent">
    <w:name w:val="Body Text Indent"/>
    <w:basedOn w:val="Normal"/>
    <w:link w:val="BodyTextIndentChar"/>
    <w:uiPriority w:val="99"/>
    <w:semiHidden/>
    <w:unhideWhenUsed/>
    <w:rsid w:val="00E62DFC"/>
    <w:pPr>
      <w:spacing w:after="120"/>
      <w:ind w:left="283"/>
    </w:pPr>
  </w:style>
  <w:style w:type="character" w:customStyle="1" w:styleId="BodyTextIndentChar">
    <w:name w:val="Body Text Indent Char"/>
    <w:basedOn w:val="DefaultParagraphFont"/>
    <w:link w:val="BodyTextIndent"/>
    <w:uiPriority w:val="99"/>
    <w:semiHidden/>
    <w:rsid w:val="00E62DFC"/>
    <w:rPr>
      <w:rFonts w:ascii="Verdana" w:hAnsi="Verdana"/>
      <w:sz w:val="18"/>
    </w:rPr>
  </w:style>
  <w:style w:type="paragraph" w:styleId="BodyTextFirstIndent2">
    <w:name w:val="Body Text First Indent 2"/>
    <w:basedOn w:val="BodyTextIndent"/>
    <w:link w:val="BodyTextFirstIndent2Char"/>
    <w:uiPriority w:val="99"/>
    <w:semiHidden/>
    <w:unhideWhenUsed/>
    <w:rsid w:val="00E62D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2DFC"/>
    <w:rPr>
      <w:rFonts w:ascii="Verdana" w:hAnsi="Verdana"/>
      <w:sz w:val="18"/>
    </w:rPr>
  </w:style>
  <w:style w:type="paragraph" w:styleId="BodyTextIndent2">
    <w:name w:val="Body Text Indent 2"/>
    <w:basedOn w:val="Normal"/>
    <w:link w:val="BodyTextIndent2Char"/>
    <w:uiPriority w:val="99"/>
    <w:semiHidden/>
    <w:unhideWhenUsed/>
    <w:rsid w:val="00E62DFC"/>
    <w:pPr>
      <w:spacing w:after="120" w:line="480" w:lineRule="auto"/>
      <w:ind w:left="283"/>
    </w:pPr>
  </w:style>
  <w:style w:type="character" w:customStyle="1" w:styleId="BodyTextIndent2Char">
    <w:name w:val="Body Text Indent 2 Char"/>
    <w:basedOn w:val="DefaultParagraphFont"/>
    <w:link w:val="BodyTextIndent2"/>
    <w:uiPriority w:val="99"/>
    <w:semiHidden/>
    <w:rsid w:val="00E62DFC"/>
    <w:rPr>
      <w:rFonts w:ascii="Verdana" w:hAnsi="Verdana"/>
      <w:sz w:val="18"/>
    </w:rPr>
  </w:style>
  <w:style w:type="paragraph" w:styleId="BodyTextIndent3">
    <w:name w:val="Body Text Indent 3"/>
    <w:basedOn w:val="Normal"/>
    <w:link w:val="BodyTextIndent3Char"/>
    <w:uiPriority w:val="99"/>
    <w:semiHidden/>
    <w:unhideWhenUsed/>
    <w:rsid w:val="00E62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2DFC"/>
    <w:rPr>
      <w:rFonts w:ascii="Verdana" w:hAnsi="Verdana"/>
      <w:sz w:val="16"/>
      <w:szCs w:val="16"/>
    </w:rPr>
  </w:style>
  <w:style w:type="character" w:styleId="BookTitle">
    <w:name w:val="Book Title"/>
    <w:basedOn w:val="DefaultParagraphFont"/>
    <w:uiPriority w:val="99"/>
    <w:semiHidden/>
    <w:qFormat/>
    <w:rsid w:val="00E62DFC"/>
    <w:rPr>
      <w:b/>
      <w:bCs/>
      <w:smallCaps/>
      <w:spacing w:val="5"/>
    </w:rPr>
  </w:style>
  <w:style w:type="paragraph" w:styleId="Closing">
    <w:name w:val="Closing"/>
    <w:basedOn w:val="Normal"/>
    <w:link w:val="ClosingChar"/>
    <w:uiPriority w:val="99"/>
    <w:semiHidden/>
    <w:unhideWhenUsed/>
    <w:rsid w:val="00E62DFC"/>
    <w:pPr>
      <w:ind w:left="4252"/>
    </w:pPr>
  </w:style>
  <w:style w:type="character" w:customStyle="1" w:styleId="ClosingChar">
    <w:name w:val="Closing Char"/>
    <w:basedOn w:val="DefaultParagraphFont"/>
    <w:link w:val="Closing"/>
    <w:uiPriority w:val="99"/>
    <w:semiHidden/>
    <w:rsid w:val="00E62DFC"/>
    <w:rPr>
      <w:rFonts w:ascii="Verdana" w:hAnsi="Verdana"/>
      <w:sz w:val="18"/>
    </w:rPr>
  </w:style>
  <w:style w:type="character" w:styleId="CommentReference">
    <w:name w:val="annotation reference"/>
    <w:basedOn w:val="DefaultParagraphFont"/>
    <w:uiPriority w:val="99"/>
    <w:semiHidden/>
    <w:unhideWhenUsed/>
    <w:rsid w:val="00E62DFC"/>
    <w:rPr>
      <w:sz w:val="16"/>
      <w:szCs w:val="16"/>
    </w:rPr>
  </w:style>
  <w:style w:type="paragraph" w:styleId="CommentText">
    <w:name w:val="annotation text"/>
    <w:basedOn w:val="Normal"/>
    <w:link w:val="CommentTextChar"/>
    <w:uiPriority w:val="99"/>
    <w:unhideWhenUsed/>
    <w:rsid w:val="00E62DFC"/>
    <w:rPr>
      <w:sz w:val="20"/>
      <w:szCs w:val="20"/>
    </w:rPr>
  </w:style>
  <w:style w:type="character" w:customStyle="1" w:styleId="CommentTextChar">
    <w:name w:val="Comment Text Char"/>
    <w:basedOn w:val="DefaultParagraphFont"/>
    <w:link w:val="CommentText"/>
    <w:uiPriority w:val="99"/>
    <w:rsid w:val="00E62DFC"/>
    <w:rPr>
      <w:rFonts w:ascii="Verdana" w:hAnsi="Verdana"/>
      <w:sz w:val="20"/>
      <w:szCs w:val="20"/>
    </w:rPr>
  </w:style>
  <w:style w:type="paragraph" w:styleId="CommentSubject">
    <w:name w:val="annotation subject"/>
    <w:basedOn w:val="CommentText"/>
    <w:next w:val="CommentText"/>
    <w:link w:val="CommentSubjectChar"/>
    <w:uiPriority w:val="99"/>
    <w:unhideWhenUsed/>
    <w:rsid w:val="00E62DFC"/>
    <w:rPr>
      <w:b/>
      <w:bCs/>
    </w:rPr>
  </w:style>
  <w:style w:type="character" w:customStyle="1" w:styleId="CommentSubjectChar">
    <w:name w:val="Comment Subject Char"/>
    <w:basedOn w:val="CommentTextChar"/>
    <w:link w:val="CommentSubject"/>
    <w:uiPriority w:val="99"/>
    <w:rsid w:val="00E62DFC"/>
    <w:rPr>
      <w:rFonts w:ascii="Verdana" w:hAnsi="Verdana"/>
      <w:b/>
      <w:bCs/>
      <w:sz w:val="20"/>
      <w:szCs w:val="20"/>
    </w:rPr>
  </w:style>
  <w:style w:type="paragraph" w:styleId="Date">
    <w:name w:val="Date"/>
    <w:basedOn w:val="Normal"/>
    <w:next w:val="Normal"/>
    <w:link w:val="DateChar"/>
    <w:uiPriority w:val="99"/>
    <w:semiHidden/>
    <w:unhideWhenUsed/>
    <w:rsid w:val="00E62DFC"/>
  </w:style>
  <w:style w:type="character" w:customStyle="1" w:styleId="DateChar">
    <w:name w:val="Date Char"/>
    <w:basedOn w:val="DefaultParagraphFont"/>
    <w:link w:val="Date"/>
    <w:uiPriority w:val="99"/>
    <w:semiHidden/>
    <w:rsid w:val="00E62DFC"/>
    <w:rPr>
      <w:rFonts w:ascii="Verdana" w:hAnsi="Verdana"/>
      <w:sz w:val="18"/>
    </w:rPr>
  </w:style>
  <w:style w:type="paragraph" w:styleId="DocumentMap">
    <w:name w:val="Document Map"/>
    <w:basedOn w:val="Normal"/>
    <w:link w:val="DocumentMapChar"/>
    <w:uiPriority w:val="99"/>
    <w:semiHidden/>
    <w:unhideWhenUsed/>
    <w:rsid w:val="00E62DFC"/>
    <w:rPr>
      <w:rFonts w:ascii="Tahoma" w:hAnsi="Tahoma" w:cs="Tahoma"/>
      <w:sz w:val="16"/>
      <w:szCs w:val="16"/>
    </w:rPr>
  </w:style>
  <w:style w:type="character" w:customStyle="1" w:styleId="DocumentMapChar">
    <w:name w:val="Document Map Char"/>
    <w:basedOn w:val="DefaultParagraphFont"/>
    <w:link w:val="DocumentMap"/>
    <w:uiPriority w:val="99"/>
    <w:semiHidden/>
    <w:rsid w:val="00E62DFC"/>
    <w:rPr>
      <w:rFonts w:ascii="Tahoma" w:hAnsi="Tahoma" w:cs="Tahoma"/>
      <w:sz w:val="16"/>
      <w:szCs w:val="16"/>
    </w:rPr>
  </w:style>
  <w:style w:type="paragraph" w:styleId="E-mailSignature">
    <w:name w:val="E-mail Signature"/>
    <w:basedOn w:val="Normal"/>
    <w:link w:val="E-mailSignatureChar"/>
    <w:uiPriority w:val="99"/>
    <w:semiHidden/>
    <w:unhideWhenUsed/>
    <w:rsid w:val="00E62DFC"/>
  </w:style>
  <w:style w:type="character" w:customStyle="1" w:styleId="E-mailSignatureChar">
    <w:name w:val="E-mail Signature Char"/>
    <w:basedOn w:val="DefaultParagraphFont"/>
    <w:link w:val="E-mailSignature"/>
    <w:uiPriority w:val="99"/>
    <w:semiHidden/>
    <w:rsid w:val="00E62DFC"/>
    <w:rPr>
      <w:rFonts w:ascii="Verdana" w:hAnsi="Verdana"/>
      <w:sz w:val="18"/>
    </w:rPr>
  </w:style>
  <w:style w:type="character" w:styleId="Emphasis">
    <w:name w:val="Emphasis"/>
    <w:basedOn w:val="DefaultParagraphFont"/>
    <w:uiPriority w:val="99"/>
    <w:semiHidden/>
    <w:qFormat/>
    <w:rsid w:val="00E62DFC"/>
    <w:rPr>
      <w:i/>
      <w:iCs/>
    </w:rPr>
  </w:style>
  <w:style w:type="paragraph" w:styleId="EnvelopeAddress">
    <w:name w:val="envelope address"/>
    <w:basedOn w:val="Normal"/>
    <w:uiPriority w:val="99"/>
    <w:semiHidden/>
    <w:unhideWhenUsed/>
    <w:rsid w:val="00E62D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2DF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62DFC"/>
    <w:rPr>
      <w:color w:val="800080" w:themeColor="followedHyperlink"/>
      <w:u w:val="single"/>
    </w:rPr>
  </w:style>
  <w:style w:type="character" w:styleId="HTMLAcronym">
    <w:name w:val="HTML Acronym"/>
    <w:basedOn w:val="DefaultParagraphFont"/>
    <w:uiPriority w:val="99"/>
    <w:semiHidden/>
    <w:unhideWhenUsed/>
    <w:rsid w:val="00E62DFC"/>
  </w:style>
  <w:style w:type="paragraph" w:styleId="HTMLAddress">
    <w:name w:val="HTML Address"/>
    <w:basedOn w:val="Normal"/>
    <w:link w:val="HTMLAddressChar"/>
    <w:uiPriority w:val="99"/>
    <w:semiHidden/>
    <w:unhideWhenUsed/>
    <w:rsid w:val="00E62DFC"/>
    <w:rPr>
      <w:i/>
      <w:iCs/>
    </w:rPr>
  </w:style>
  <w:style w:type="character" w:customStyle="1" w:styleId="HTMLAddressChar">
    <w:name w:val="HTML Address Char"/>
    <w:basedOn w:val="DefaultParagraphFont"/>
    <w:link w:val="HTMLAddress"/>
    <w:uiPriority w:val="99"/>
    <w:semiHidden/>
    <w:rsid w:val="00E62DFC"/>
    <w:rPr>
      <w:rFonts w:ascii="Verdana" w:hAnsi="Verdana"/>
      <w:i/>
      <w:iCs/>
      <w:sz w:val="18"/>
    </w:rPr>
  </w:style>
  <w:style w:type="character" w:styleId="HTMLCite">
    <w:name w:val="HTML Cite"/>
    <w:basedOn w:val="DefaultParagraphFont"/>
    <w:uiPriority w:val="99"/>
    <w:semiHidden/>
    <w:unhideWhenUsed/>
    <w:rsid w:val="00E62DFC"/>
    <w:rPr>
      <w:i/>
      <w:iCs/>
    </w:rPr>
  </w:style>
  <w:style w:type="character" w:styleId="HTMLCode">
    <w:name w:val="HTML Code"/>
    <w:basedOn w:val="DefaultParagraphFont"/>
    <w:uiPriority w:val="99"/>
    <w:semiHidden/>
    <w:unhideWhenUsed/>
    <w:rsid w:val="00E62DFC"/>
    <w:rPr>
      <w:rFonts w:ascii="Consolas" w:hAnsi="Consolas" w:cs="Consolas"/>
      <w:sz w:val="20"/>
      <w:szCs w:val="20"/>
    </w:rPr>
  </w:style>
  <w:style w:type="character" w:styleId="HTMLDefinition">
    <w:name w:val="HTML Definition"/>
    <w:basedOn w:val="DefaultParagraphFont"/>
    <w:uiPriority w:val="99"/>
    <w:semiHidden/>
    <w:unhideWhenUsed/>
    <w:rsid w:val="00E62DFC"/>
    <w:rPr>
      <w:i/>
      <w:iCs/>
    </w:rPr>
  </w:style>
  <w:style w:type="character" w:styleId="HTMLKeyboard">
    <w:name w:val="HTML Keyboard"/>
    <w:basedOn w:val="DefaultParagraphFont"/>
    <w:uiPriority w:val="99"/>
    <w:semiHidden/>
    <w:unhideWhenUsed/>
    <w:rsid w:val="00E62DFC"/>
    <w:rPr>
      <w:rFonts w:ascii="Consolas" w:hAnsi="Consolas" w:cs="Consolas"/>
      <w:sz w:val="20"/>
      <w:szCs w:val="20"/>
    </w:rPr>
  </w:style>
  <w:style w:type="paragraph" w:styleId="HTMLPreformatted">
    <w:name w:val="HTML Preformatted"/>
    <w:basedOn w:val="Normal"/>
    <w:link w:val="HTMLPreformattedChar"/>
    <w:uiPriority w:val="99"/>
    <w:semiHidden/>
    <w:unhideWhenUsed/>
    <w:rsid w:val="00E62D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2DFC"/>
    <w:rPr>
      <w:rFonts w:ascii="Consolas" w:hAnsi="Consolas" w:cs="Consolas"/>
      <w:sz w:val="20"/>
      <w:szCs w:val="20"/>
    </w:rPr>
  </w:style>
  <w:style w:type="character" w:styleId="HTMLSample">
    <w:name w:val="HTML Sample"/>
    <w:basedOn w:val="DefaultParagraphFont"/>
    <w:uiPriority w:val="99"/>
    <w:semiHidden/>
    <w:unhideWhenUsed/>
    <w:rsid w:val="00E62DFC"/>
    <w:rPr>
      <w:rFonts w:ascii="Consolas" w:hAnsi="Consolas" w:cs="Consolas"/>
      <w:sz w:val="24"/>
      <w:szCs w:val="24"/>
    </w:rPr>
  </w:style>
  <w:style w:type="character" w:styleId="HTMLTypewriter">
    <w:name w:val="HTML Typewriter"/>
    <w:basedOn w:val="DefaultParagraphFont"/>
    <w:uiPriority w:val="99"/>
    <w:semiHidden/>
    <w:unhideWhenUsed/>
    <w:rsid w:val="00E62DFC"/>
    <w:rPr>
      <w:rFonts w:ascii="Consolas" w:hAnsi="Consolas" w:cs="Consolas"/>
      <w:sz w:val="20"/>
      <w:szCs w:val="20"/>
    </w:rPr>
  </w:style>
  <w:style w:type="character" w:styleId="HTMLVariable">
    <w:name w:val="HTML Variable"/>
    <w:basedOn w:val="DefaultParagraphFont"/>
    <w:uiPriority w:val="99"/>
    <w:semiHidden/>
    <w:unhideWhenUsed/>
    <w:rsid w:val="00E62DFC"/>
    <w:rPr>
      <w:i/>
      <w:iCs/>
    </w:rPr>
  </w:style>
  <w:style w:type="paragraph" w:styleId="Index1">
    <w:name w:val="index 1"/>
    <w:basedOn w:val="Normal"/>
    <w:next w:val="Normal"/>
    <w:autoRedefine/>
    <w:uiPriority w:val="99"/>
    <w:semiHidden/>
    <w:unhideWhenUsed/>
    <w:rsid w:val="00E62DFC"/>
    <w:pPr>
      <w:ind w:left="180" w:hanging="180"/>
    </w:pPr>
  </w:style>
  <w:style w:type="paragraph" w:styleId="Index2">
    <w:name w:val="index 2"/>
    <w:basedOn w:val="Normal"/>
    <w:next w:val="Normal"/>
    <w:autoRedefine/>
    <w:uiPriority w:val="99"/>
    <w:semiHidden/>
    <w:unhideWhenUsed/>
    <w:rsid w:val="00E62DFC"/>
    <w:pPr>
      <w:ind w:left="360" w:hanging="180"/>
    </w:pPr>
  </w:style>
  <w:style w:type="paragraph" w:styleId="Index3">
    <w:name w:val="index 3"/>
    <w:basedOn w:val="Normal"/>
    <w:next w:val="Normal"/>
    <w:autoRedefine/>
    <w:uiPriority w:val="99"/>
    <w:semiHidden/>
    <w:unhideWhenUsed/>
    <w:rsid w:val="00E62DFC"/>
    <w:pPr>
      <w:ind w:left="540" w:hanging="180"/>
    </w:pPr>
  </w:style>
  <w:style w:type="paragraph" w:styleId="Index4">
    <w:name w:val="index 4"/>
    <w:basedOn w:val="Normal"/>
    <w:next w:val="Normal"/>
    <w:autoRedefine/>
    <w:uiPriority w:val="99"/>
    <w:semiHidden/>
    <w:unhideWhenUsed/>
    <w:rsid w:val="00E62DFC"/>
    <w:pPr>
      <w:ind w:left="720" w:hanging="180"/>
    </w:pPr>
  </w:style>
  <w:style w:type="paragraph" w:styleId="Index5">
    <w:name w:val="index 5"/>
    <w:basedOn w:val="Normal"/>
    <w:next w:val="Normal"/>
    <w:autoRedefine/>
    <w:uiPriority w:val="99"/>
    <w:semiHidden/>
    <w:unhideWhenUsed/>
    <w:rsid w:val="00E62DFC"/>
    <w:pPr>
      <w:ind w:left="900" w:hanging="180"/>
    </w:pPr>
  </w:style>
  <w:style w:type="paragraph" w:styleId="Index6">
    <w:name w:val="index 6"/>
    <w:basedOn w:val="Normal"/>
    <w:next w:val="Normal"/>
    <w:autoRedefine/>
    <w:uiPriority w:val="99"/>
    <w:semiHidden/>
    <w:unhideWhenUsed/>
    <w:rsid w:val="00E62DFC"/>
    <w:pPr>
      <w:ind w:left="1080" w:hanging="180"/>
    </w:pPr>
  </w:style>
  <w:style w:type="paragraph" w:styleId="Index7">
    <w:name w:val="index 7"/>
    <w:basedOn w:val="Normal"/>
    <w:next w:val="Normal"/>
    <w:autoRedefine/>
    <w:uiPriority w:val="99"/>
    <w:semiHidden/>
    <w:unhideWhenUsed/>
    <w:rsid w:val="00E62DFC"/>
    <w:pPr>
      <w:ind w:left="1260" w:hanging="180"/>
    </w:pPr>
  </w:style>
  <w:style w:type="paragraph" w:styleId="Index8">
    <w:name w:val="index 8"/>
    <w:basedOn w:val="Normal"/>
    <w:next w:val="Normal"/>
    <w:autoRedefine/>
    <w:uiPriority w:val="99"/>
    <w:semiHidden/>
    <w:unhideWhenUsed/>
    <w:rsid w:val="00E62DFC"/>
    <w:pPr>
      <w:ind w:left="1440" w:hanging="180"/>
    </w:pPr>
  </w:style>
  <w:style w:type="paragraph" w:styleId="Index9">
    <w:name w:val="index 9"/>
    <w:basedOn w:val="Normal"/>
    <w:next w:val="Normal"/>
    <w:autoRedefine/>
    <w:uiPriority w:val="99"/>
    <w:semiHidden/>
    <w:unhideWhenUsed/>
    <w:rsid w:val="00E62DFC"/>
    <w:pPr>
      <w:ind w:left="1620" w:hanging="180"/>
    </w:pPr>
  </w:style>
  <w:style w:type="paragraph" w:styleId="IndexHeading">
    <w:name w:val="index heading"/>
    <w:basedOn w:val="Normal"/>
    <w:next w:val="Index1"/>
    <w:uiPriority w:val="99"/>
    <w:semiHidden/>
    <w:unhideWhenUsed/>
    <w:rsid w:val="00E62DF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62DFC"/>
    <w:rPr>
      <w:b/>
      <w:bCs/>
      <w:i/>
      <w:iCs/>
      <w:color w:val="4F81BD" w:themeColor="accent1"/>
    </w:rPr>
  </w:style>
  <w:style w:type="paragraph" w:styleId="IntenseQuote">
    <w:name w:val="Intense Quote"/>
    <w:basedOn w:val="Normal"/>
    <w:next w:val="Normal"/>
    <w:link w:val="IntenseQuoteChar"/>
    <w:uiPriority w:val="59"/>
    <w:semiHidden/>
    <w:qFormat/>
    <w:rsid w:val="00E62D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62DF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E62DFC"/>
    <w:rPr>
      <w:b/>
      <w:bCs/>
      <w:smallCaps/>
      <w:color w:val="C0504D" w:themeColor="accent2"/>
      <w:spacing w:val="5"/>
      <w:u w:val="single"/>
    </w:rPr>
  </w:style>
  <w:style w:type="character" w:styleId="LineNumber">
    <w:name w:val="line number"/>
    <w:basedOn w:val="DefaultParagraphFont"/>
    <w:uiPriority w:val="99"/>
    <w:semiHidden/>
    <w:unhideWhenUsed/>
    <w:rsid w:val="00E62DFC"/>
  </w:style>
  <w:style w:type="paragraph" w:styleId="List">
    <w:name w:val="List"/>
    <w:basedOn w:val="Normal"/>
    <w:uiPriority w:val="99"/>
    <w:semiHidden/>
    <w:unhideWhenUsed/>
    <w:rsid w:val="00E62DFC"/>
    <w:pPr>
      <w:ind w:left="283" w:hanging="283"/>
      <w:contextualSpacing/>
    </w:pPr>
  </w:style>
  <w:style w:type="paragraph" w:styleId="List2">
    <w:name w:val="List 2"/>
    <w:basedOn w:val="Normal"/>
    <w:uiPriority w:val="99"/>
    <w:semiHidden/>
    <w:unhideWhenUsed/>
    <w:rsid w:val="00E62DFC"/>
    <w:pPr>
      <w:ind w:left="566" w:hanging="283"/>
      <w:contextualSpacing/>
    </w:pPr>
  </w:style>
  <w:style w:type="paragraph" w:styleId="List3">
    <w:name w:val="List 3"/>
    <w:basedOn w:val="Normal"/>
    <w:uiPriority w:val="99"/>
    <w:semiHidden/>
    <w:unhideWhenUsed/>
    <w:rsid w:val="00E62DFC"/>
    <w:pPr>
      <w:ind w:left="849" w:hanging="283"/>
      <w:contextualSpacing/>
    </w:pPr>
  </w:style>
  <w:style w:type="paragraph" w:styleId="List4">
    <w:name w:val="List 4"/>
    <w:basedOn w:val="Normal"/>
    <w:uiPriority w:val="99"/>
    <w:semiHidden/>
    <w:unhideWhenUsed/>
    <w:rsid w:val="00E62DFC"/>
    <w:pPr>
      <w:ind w:left="1132" w:hanging="283"/>
      <w:contextualSpacing/>
    </w:pPr>
  </w:style>
  <w:style w:type="paragraph" w:styleId="List5">
    <w:name w:val="List 5"/>
    <w:basedOn w:val="Normal"/>
    <w:uiPriority w:val="99"/>
    <w:semiHidden/>
    <w:unhideWhenUsed/>
    <w:rsid w:val="00E62DFC"/>
    <w:pPr>
      <w:ind w:left="1415" w:hanging="283"/>
      <w:contextualSpacing/>
    </w:pPr>
  </w:style>
  <w:style w:type="paragraph" w:styleId="ListContinue">
    <w:name w:val="List Continue"/>
    <w:basedOn w:val="Normal"/>
    <w:uiPriority w:val="99"/>
    <w:semiHidden/>
    <w:unhideWhenUsed/>
    <w:rsid w:val="00E62DFC"/>
    <w:pPr>
      <w:spacing w:after="120"/>
      <w:ind w:left="283"/>
      <w:contextualSpacing/>
    </w:pPr>
  </w:style>
  <w:style w:type="paragraph" w:styleId="ListContinue2">
    <w:name w:val="List Continue 2"/>
    <w:basedOn w:val="Normal"/>
    <w:uiPriority w:val="99"/>
    <w:semiHidden/>
    <w:unhideWhenUsed/>
    <w:rsid w:val="00E62DFC"/>
    <w:pPr>
      <w:spacing w:after="120"/>
      <w:ind w:left="566"/>
      <w:contextualSpacing/>
    </w:pPr>
  </w:style>
  <w:style w:type="paragraph" w:styleId="ListContinue3">
    <w:name w:val="List Continue 3"/>
    <w:basedOn w:val="Normal"/>
    <w:uiPriority w:val="99"/>
    <w:semiHidden/>
    <w:unhideWhenUsed/>
    <w:rsid w:val="00E62DFC"/>
    <w:pPr>
      <w:spacing w:after="120"/>
      <w:ind w:left="849"/>
      <w:contextualSpacing/>
    </w:pPr>
  </w:style>
  <w:style w:type="paragraph" w:styleId="ListContinue4">
    <w:name w:val="List Continue 4"/>
    <w:basedOn w:val="Normal"/>
    <w:uiPriority w:val="99"/>
    <w:semiHidden/>
    <w:unhideWhenUsed/>
    <w:rsid w:val="00E62DFC"/>
    <w:pPr>
      <w:spacing w:after="120"/>
      <w:ind w:left="1132"/>
      <w:contextualSpacing/>
    </w:pPr>
  </w:style>
  <w:style w:type="paragraph" w:styleId="ListContinue5">
    <w:name w:val="List Continue 5"/>
    <w:basedOn w:val="Normal"/>
    <w:uiPriority w:val="99"/>
    <w:semiHidden/>
    <w:unhideWhenUsed/>
    <w:rsid w:val="00E62DFC"/>
    <w:pPr>
      <w:spacing w:after="120"/>
      <w:ind w:left="1415"/>
      <w:contextualSpacing/>
    </w:pPr>
  </w:style>
  <w:style w:type="paragraph" w:styleId="ListNumber">
    <w:name w:val="List Number"/>
    <w:basedOn w:val="Normal"/>
    <w:uiPriority w:val="49"/>
    <w:semiHidden/>
    <w:unhideWhenUsed/>
    <w:rsid w:val="00E62DFC"/>
    <w:pPr>
      <w:numPr>
        <w:numId w:val="11"/>
      </w:numPr>
      <w:contextualSpacing/>
    </w:pPr>
  </w:style>
  <w:style w:type="paragraph" w:styleId="ListNumber2">
    <w:name w:val="List Number 2"/>
    <w:basedOn w:val="Normal"/>
    <w:uiPriority w:val="49"/>
    <w:semiHidden/>
    <w:unhideWhenUsed/>
    <w:rsid w:val="00E62DFC"/>
    <w:pPr>
      <w:numPr>
        <w:numId w:val="12"/>
      </w:numPr>
      <w:contextualSpacing/>
    </w:pPr>
  </w:style>
  <w:style w:type="paragraph" w:styleId="ListNumber3">
    <w:name w:val="List Number 3"/>
    <w:basedOn w:val="Normal"/>
    <w:uiPriority w:val="49"/>
    <w:semiHidden/>
    <w:unhideWhenUsed/>
    <w:rsid w:val="00E62DFC"/>
    <w:pPr>
      <w:numPr>
        <w:numId w:val="13"/>
      </w:numPr>
      <w:contextualSpacing/>
    </w:pPr>
  </w:style>
  <w:style w:type="paragraph" w:styleId="ListNumber4">
    <w:name w:val="List Number 4"/>
    <w:basedOn w:val="Normal"/>
    <w:uiPriority w:val="49"/>
    <w:semiHidden/>
    <w:unhideWhenUsed/>
    <w:rsid w:val="00E62DFC"/>
    <w:pPr>
      <w:numPr>
        <w:numId w:val="14"/>
      </w:numPr>
      <w:contextualSpacing/>
    </w:pPr>
  </w:style>
  <w:style w:type="paragraph" w:styleId="ListNumber5">
    <w:name w:val="List Number 5"/>
    <w:basedOn w:val="Normal"/>
    <w:uiPriority w:val="49"/>
    <w:semiHidden/>
    <w:unhideWhenUsed/>
    <w:rsid w:val="00E62DFC"/>
    <w:pPr>
      <w:numPr>
        <w:numId w:val="15"/>
      </w:numPr>
      <w:contextualSpacing/>
    </w:pPr>
  </w:style>
  <w:style w:type="paragraph" w:styleId="MacroText">
    <w:name w:val="macro"/>
    <w:link w:val="MacroTextChar"/>
    <w:uiPriority w:val="99"/>
    <w:semiHidden/>
    <w:unhideWhenUsed/>
    <w:rsid w:val="00E62DF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62DFC"/>
    <w:rPr>
      <w:rFonts w:ascii="Consolas" w:hAnsi="Consolas" w:cs="Consolas"/>
      <w:sz w:val="20"/>
      <w:szCs w:val="20"/>
    </w:rPr>
  </w:style>
  <w:style w:type="paragraph" w:styleId="MessageHeader">
    <w:name w:val="Message Header"/>
    <w:basedOn w:val="Normal"/>
    <w:link w:val="MessageHeaderChar"/>
    <w:uiPriority w:val="99"/>
    <w:semiHidden/>
    <w:unhideWhenUsed/>
    <w:rsid w:val="00E62D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2DF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62DFC"/>
    <w:pPr>
      <w:spacing w:after="0" w:line="240" w:lineRule="auto"/>
      <w:jc w:val="both"/>
    </w:pPr>
    <w:rPr>
      <w:rFonts w:ascii="Verdana" w:hAnsi="Verdana"/>
      <w:sz w:val="18"/>
    </w:rPr>
  </w:style>
  <w:style w:type="paragraph" w:styleId="NormalWeb">
    <w:name w:val="Normal (Web)"/>
    <w:basedOn w:val="Normal"/>
    <w:uiPriority w:val="99"/>
    <w:semiHidden/>
    <w:unhideWhenUsed/>
    <w:rsid w:val="00E62DFC"/>
    <w:rPr>
      <w:rFonts w:ascii="Times New Roman" w:hAnsi="Times New Roman" w:cs="Times New Roman"/>
      <w:sz w:val="24"/>
      <w:szCs w:val="24"/>
    </w:rPr>
  </w:style>
  <w:style w:type="paragraph" w:styleId="NormalIndent">
    <w:name w:val="Normal Indent"/>
    <w:basedOn w:val="Normal"/>
    <w:uiPriority w:val="99"/>
    <w:semiHidden/>
    <w:unhideWhenUsed/>
    <w:rsid w:val="00E62DFC"/>
    <w:pPr>
      <w:ind w:left="567"/>
    </w:pPr>
  </w:style>
  <w:style w:type="paragraph" w:styleId="NoteHeading">
    <w:name w:val="Note Heading"/>
    <w:basedOn w:val="Normal"/>
    <w:next w:val="Normal"/>
    <w:link w:val="NoteHeadingChar"/>
    <w:uiPriority w:val="99"/>
    <w:semiHidden/>
    <w:unhideWhenUsed/>
    <w:rsid w:val="00E62DFC"/>
  </w:style>
  <w:style w:type="character" w:customStyle="1" w:styleId="NoteHeadingChar">
    <w:name w:val="Note Heading Char"/>
    <w:basedOn w:val="DefaultParagraphFont"/>
    <w:link w:val="NoteHeading"/>
    <w:uiPriority w:val="99"/>
    <w:semiHidden/>
    <w:rsid w:val="00E62DFC"/>
    <w:rPr>
      <w:rFonts w:ascii="Verdana" w:hAnsi="Verdana"/>
      <w:sz w:val="18"/>
    </w:rPr>
  </w:style>
  <w:style w:type="character" w:styleId="PageNumber">
    <w:name w:val="page number"/>
    <w:basedOn w:val="DefaultParagraphFont"/>
    <w:uiPriority w:val="99"/>
    <w:semiHidden/>
    <w:unhideWhenUsed/>
    <w:rsid w:val="00E62DFC"/>
  </w:style>
  <w:style w:type="character" w:styleId="PlaceholderText">
    <w:name w:val="Placeholder Text"/>
    <w:basedOn w:val="DefaultParagraphFont"/>
    <w:uiPriority w:val="99"/>
    <w:semiHidden/>
    <w:rsid w:val="00E62DFC"/>
    <w:rPr>
      <w:color w:val="808080"/>
    </w:rPr>
  </w:style>
  <w:style w:type="paragraph" w:styleId="PlainText">
    <w:name w:val="Plain Text"/>
    <w:basedOn w:val="Normal"/>
    <w:link w:val="PlainTextChar"/>
    <w:uiPriority w:val="99"/>
    <w:unhideWhenUsed/>
    <w:rsid w:val="00E62DFC"/>
    <w:rPr>
      <w:rFonts w:ascii="Consolas" w:hAnsi="Consolas" w:cs="Consolas"/>
      <w:sz w:val="21"/>
      <w:szCs w:val="21"/>
    </w:rPr>
  </w:style>
  <w:style w:type="character" w:customStyle="1" w:styleId="PlainTextChar">
    <w:name w:val="Plain Text Char"/>
    <w:basedOn w:val="DefaultParagraphFont"/>
    <w:link w:val="PlainText"/>
    <w:uiPriority w:val="99"/>
    <w:rsid w:val="00E62DFC"/>
    <w:rPr>
      <w:rFonts w:ascii="Consolas" w:hAnsi="Consolas" w:cs="Consolas"/>
      <w:sz w:val="21"/>
      <w:szCs w:val="21"/>
    </w:rPr>
  </w:style>
  <w:style w:type="paragraph" w:styleId="Quote">
    <w:name w:val="Quote"/>
    <w:basedOn w:val="Normal"/>
    <w:next w:val="Normal"/>
    <w:link w:val="QuoteChar"/>
    <w:uiPriority w:val="59"/>
    <w:semiHidden/>
    <w:qFormat/>
    <w:rsid w:val="00E62DFC"/>
    <w:rPr>
      <w:i/>
      <w:iCs/>
      <w:color w:val="000000" w:themeColor="text1"/>
    </w:rPr>
  </w:style>
  <w:style w:type="character" w:customStyle="1" w:styleId="QuoteChar">
    <w:name w:val="Quote Char"/>
    <w:basedOn w:val="DefaultParagraphFont"/>
    <w:link w:val="Quote"/>
    <w:uiPriority w:val="59"/>
    <w:semiHidden/>
    <w:rsid w:val="00E62DF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E62DFC"/>
  </w:style>
  <w:style w:type="character" w:customStyle="1" w:styleId="SalutationChar">
    <w:name w:val="Salutation Char"/>
    <w:basedOn w:val="DefaultParagraphFont"/>
    <w:link w:val="Salutation"/>
    <w:uiPriority w:val="99"/>
    <w:semiHidden/>
    <w:rsid w:val="00E62DFC"/>
    <w:rPr>
      <w:rFonts w:ascii="Verdana" w:hAnsi="Verdana"/>
      <w:sz w:val="18"/>
    </w:rPr>
  </w:style>
  <w:style w:type="paragraph" w:styleId="Signature">
    <w:name w:val="Signature"/>
    <w:basedOn w:val="Normal"/>
    <w:link w:val="SignatureChar"/>
    <w:uiPriority w:val="99"/>
    <w:semiHidden/>
    <w:unhideWhenUsed/>
    <w:rsid w:val="00E62DFC"/>
    <w:pPr>
      <w:ind w:left="4252"/>
    </w:pPr>
  </w:style>
  <w:style w:type="character" w:customStyle="1" w:styleId="SignatureChar">
    <w:name w:val="Signature Char"/>
    <w:basedOn w:val="DefaultParagraphFont"/>
    <w:link w:val="Signature"/>
    <w:uiPriority w:val="99"/>
    <w:semiHidden/>
    <w:rsid w:val="00E62DFC"/>
    <w:rPr>
      <w:rFonts w:ascii="Verdana" w:hAnsi="Verdana"/>
      <w:sz w:val="18"/>
    </w:rPr>
  </w:style>
  <w:style w:type="character" w:styleId="Strong">
    <w:name w:val="Strong"/>
    <w:basedOn w:val="DefaultParagraphFont"/>
    <w:uiPriority w:val="99"/>
    <w:semiHidden/>
    <w:qFormat/>
    <w:rsid w:val="00E62DFC"/>
    <w:rPr>
      <w:b/>
      <w:bCs/>
    </w:rPr>
  </w:style>
  <w:style w:type="character" w:styleId="SubtleEmphasis">
    <w:name w:val="Subtle Emphasis"/>
    <w:basedOn w:val="DefaultParagraphFont"/>
    <w:uiPriority w:val="99"/>
    <w:semiHidden/>
    <w:qFormat/>
    <w:rsid w:val="00E62DFC"/>
    <w:rPr>
      <w:i/>
      <w:iCs/>
      <w:color w:val="808080" w:themeColor="text1" w:themeTint="7F"/>
    </w:rPr>
  </w:style>
  <w:style w:type="character" w:styleId="SubtleReference">
    <w:name w:val="Subtle Reference"/>
    <w:basedOn w:val="DefaultParagraphFont"/>
    <w:uiPriority w:val="99"/>
    <w:semiHidden/>
    <w:qFormat/>
    <w:rsid w:val="00E62DFC"/>
    <w:rPr>
      <w:smallCaps/>
      <w:color w:val="C0504D" w:themeColor="accent2"/>
      <w:u w:val="single"/>
    </w:rPr>
  </w:style>
  <w:style w:type="paragraph" w:styleId="TOAHeading">
    <w:name w:val="toa heading"/>
    <w:basedOn w:val="Normal"/>
    <w:next w:val="Normal"/>
    <w:uiPriority w:val="39"/>
    <w:unhideWhenUsed/>
    <w:rsid w:val="00E62DF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62DFC"/>
    <w:pPr>
      <w:spacing w:after="240"/>
      <w:jc w:val="center"/>
    </w:pPr>
    <w:rPr>
      <w:rFonts w:eastAsia="Calibri" w:cs="Times New Roman"/>
      <w:color w:val="006283"/>
    </w:rPr>
  </w:style>
  <w:style w:type="paragraph" w:customStyle="1" w:styleId="Query">
    <w:name w:val="Query"/>
    <w:qFormat/>
    <w:rsid w:val="00E62DFC"/>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522A08"/>
    <w:rPr>
      <w:color w:val="2B579A"/>
      <w:shd w:val="clear" w:color="auto" w:fill="E1DFDD"/>
    </w:rPr>
  </w:style>
  <w:style w:type="character" w:styleId="Mention">
    <w:name w:val="Mention"/>
    <w:basedOn w:val="DefaultParagraphFont"/>
    <w:uiPriority w:val="99"/>
    <w:semiHidden/>
    <w:unhideWhenUsed/>
    <w:rsid w:val="00522A08"/>
    <w:rPr>
      <w:color w:val="2B579A"/>
      <w:shd w:val="clear" w:color="auto" w:fill="E1DFDD"/>
    </w:rPr>
  </w:style>
  <w:style w:type="character" w:styleId="SmartHyperlink">
    <w:name w:val="Smart Hyperlink"/>
    <w:basedOn w:val="DefaultParagraphFont"/>
    <w:uiPriority w:val="99"/>
    <w:semiHidden/>
    <w:unhideWhenUsed/>
    <w:rsid w:val="00522A08"/>
    <w:rPr>
      <w:u w:val="dotted"/>
    </w:rPr>
  </w:style>
  <w:style w:type="character" w:styleId="SmartLink">
    <w:name w:val="Smart Link"/>
    <w:basedOn w:val="DefaultParagraphFont"/>
    <w:uiPriority w:val="99"/>
    <w:semiHidden/>
    <w:unhideWhenUsed/>
    <w:rsid w:val="00522A08"/>
    <w:rPr>
      <w:color w:val="0000FF"/>
      <w:u w:val="single"/>
      <w:shd w:val="clear" w:color="auto" w:fill="F3F2F1"/>
    </w:rPr>
  </w:style>
  <w:style w:type="character" w:styleId="UnresolvedMention">
    <w:name w:val="Unresolved Mention"/>
    <w:basedOn w:val="DefaultParagraphFont"/>
    <w:uiPriority w:val="99"/>
    <w:semiHidden/>
    <w:unhideWhenUsed/>
    <w:rsid w:val="00522A08"/>
    <w:rPr>
      <w:color w:val="605E5C"/>
      <w:shd w:val="clear" w:color="auto" w:fill="E1DFDD"/>
    </w:rPr>
  </w:style>
  <w:style w:type="paragraph" w:customStyle="1" w:styleId="introductoryparagraph">
    <w:name w:val="introductory paragraph"/>
    <w:basedOn w:val="BodyText"/>
    <w:rsid w:val="00A90193"/>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Jobs/AG/190-01.pdf&amp;Open=True" TargetMode="External"/><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s://docs.wto.org/dol2fe/Pages/SS/directdoc.aspx?filename=q:/Jobs/AG/190-01.pdf&amp;Open=True" TargetMode="Externa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wto.org/dol2fe/Pages/SS/directdoc.aspx?filename=q:/Jobs/AG/181.pdf&amp;Open=True"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docs.wto.org/dol2fe/Pages/SS/directdoc.aspx?filename=q:/Jobs/AG/190-01.pdf&amp;Open=True" TargetMode="External"/><Relationship Id="rId14" Type="http://schemas.openxmlformats.org/officeDocument/2006/relationships/hyperlink" Target="https://docs.wto.org/dol2fe/Pages/SS/directdoc.aspx?filename=q:/Jobs/AG/181.pdf&amp;Open=Tru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dol2fe/Pages/SS/directdoc.aspx?filename=Q:/G/AG/2.pdf&amp;Open=True" TargetMode="External"/><Relationship Id="rId1" Type="http://schemas.openxmlformats.org/officeDocument/2006/relationships/hyperlink" Target="https://docs.wto.org/dol2fe/Pages/SS/directdoc.aspx?filename=q:/Jobs/AG/181.pdf&amp;Open=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10</Pages>
  <Words>3003</Words>
  <Characters>15652</Characters>
  <Application>Microsoft Office Word</Application>
  <DocSecurity>0</DocSecurity>
  <Lines>524</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2021-05-19T08:09:00Z</dcterms:created>
  <dcterms:modified xsi:type="dcterms:W3CDTF">2021-05-19T08:54:00Z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JOB/AG/197</vt:lpwstr>
  </property>
  <property fmtid="{D5CDD505-2E9C-101B-9397-08002B2CF9AE}" pid="3" name="TitusGUID">
    <vt:lpwstr>3d911d60-f416-4de6-b141-77a8b776d720</vt:lpwstr>
  </property>
  <property fmtid="{D5CDD505-2E9C-101B-9397-08002B2CF9AE}" pid="4" name="WTOCLASSIFICATION">
    <vt:lpwstr>WTO OFFICIAL</vt:lpwstr>
  </property>
</Properties>
</file>