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5A0E" w14:textId="77777777" w:rsidR="0084439F" w:rsidRPr="00B231FF" w:rsidRDefault="0084439F" w:rsidP="0084439F">
      <w:pPr>
        <w:pStyle w:val="Title"/>
        <w:rPr>
          <w:lang w:val="en-US"/>
        </w:rPr>
      </w:pPr>
      <w:bookmarkStart w:id="8" w:name="_Hlk108710901"/>
      <w:r w:rsidRPr="00B231FF">
        <w:rPr>
          <w:lang w:val="en-US"/>
        </w:rPr>
        <w:t>PROCEDURES TO ENHANCE TRANSPARENCY AND IMPROVE COMPLIANCE WITH NOTIFICATION REQUIREMENTS UNDER WTO AGREEMENTS</w:t>
      </w:r>
    </w:p>
    <w:p w14:paraId="7883CE55" w14:textId="65582664" w:rsidR="004617ED" w:rsidRDefault="0084439F" w:rsidP="004617ED">
      <w:pPr>
        <w:pStyle w:val="Title2"/>
        <w:rPr>
          <w:lang w:val="en-US"/>
        </w:rPr>
      </w:pPr>
      <w:r w:rsidRPr="00B231FF">
        <w:rPr>
          <w:lang w:val="en-US"/>
        </w:rPr>
        <w:t xml:space="preserve">COMMUNICATION FROM </w:t>
      </w:r>
      <w:r>
        <w:rPr>
          <w:lang w:val="en-US"/>
        </w:rPr>
        <w:t xml:space="preserve">ALBANIA; </w:t>
      </w:r>
      <w:r w:rsidRPr="00B231FF">
        <w:rPr>
          <w:lang w:val="en-US"/>
        </w:rPr>
        <w:t xml:space="preserve">ARGENTINA; AUSTRALIA; </w:t>
      </w:r>
      <w:r>
        <w:rPr>
          <w:lang w:val="en-US"/>
        </w:rPr>
        <w:t xml:space="preserve">BRAZIL; </w:t>
      </w:r>
      <w:r w:rsidRPr="00B231FF">
        <w:rPr>
          <w:lang w:val="en-US"/>
        </w:rPr>
        <w:t xml:space="preserve">CANADA; CHILE; COLOMBIA; COSTA RICA; THE EUROPEAN UNION; ICELAND; ISRAEL; JAPAN; REPUBLIC OF KOREA; LIECHTENSTEIN; MEXICO; </w:t>
      </w:r>
      <w:r>
        <w:rPr>
          <w:lang w:val="en-US"/>
        </w:rPr>
        <w:t xml:space="preserve">REPUBLIC OF MOLDOVA; MONTENEGRO; </w:t>
      </w:r>
      <w:r w:rsidRPr="00B231FF">
        <w:rPr>
          <w:lang w:val="en-US"/>
        </w:rPr>
        <w:t xml:space="preserve">NEW ZEALAND; NORTH MACEDONIA; NORWAY; PARAGUAY, </w:t>
      </w:r>
      <w:r>
        <w:rPr>
          <w:lang w:val="en-US"/>
        </w:rPr>
        <w:t xml:space="preserve">PERU; </w:t>
      </w:r>
      <w:r w:rsidRPr="00B231FF">
        <w:rPr>
          <w:lang w:val="en-US"/>
        </w:rPr>
        <w:t xml:space="preserve">THE PHILIPPINES; SINGAPORE; SWITZERLAND; THE SEPARATE CUSTOMS TERRITORY OF TAIWAN, PENGHU, </w:t>
      </w:r>
      <w:proofErr w:type="gramStart"/>
      <w:r w:rsidRPr="00B231FF">
        <w:rPr>
          <w:lang w:val="en-US"/>
        </w:rPr>
        <w:t>KINMEN</w:t>
      </w:r>
      <w:proofErr w:type="gramEnd"/>
      <w:r w:rsidRPr="00B231FF">
        <w:rPr>
          <w:lang w:val="en-US"/>
        </w:rPr>
        <w:t xml:space="preserve"> AND MATSU;</w:t>
      </w:r>
      <w:r>
        <w:rPr>
          <w:lang w:val="en-US"/>
        </w:rPr>
        <w:t xml:space="preserve"> THAILAND; </w:t>
      </w:r>
      <w:r w:rsidRPr="00B231FF">
        <w:rPr>
          <w:lang w:val="en-US"/>
        </w:rPr>
        <w:t>UNITED KINGDOM; THE UNITED STATES; AND URUGUAY</w:t>
      </w:r>
    </w:p>
    <w:p w14:paraId="04F241F3" w14:textId="5CD8AE17" w:rsidR="004617ED" w:rsidRPr="004617ED" w:rsidRDefault="004617ED" w:rsidP="004617ED">
      <w:pPr>
        <w:pStyle w:val="Title3"/>
        <w:rPr>
          <w:lang w:val="en-US"/>
        </w:rPr>
      </w:pPr>
      <w:r>
        <w:rPr>
          <w:lang w:val="en-US"/>
        </w:rPr>
        <w:t>Revision</w:t>
      </w:r>
    </w:p>
    <w:p w14:paraId="5B4CB0B2" w14:textId="1F333210" w:rsidR="0084439F" w:rsidRDefault="0084439F" w:rsidP="0084439F">
      <w:pPr>
        <w:rPr>
          <w:lang w:val="en-US"/>
        </w:rPr>
      </w:pPr>
      <w:r w:rsidRPr="00B231FF">
        <w:rPr>
          <w:lang w:val="en-US"/>
        </w:rPr>
        <w:t xml:space="preserve">The following communication, dated </w:t>
      </w:r>
      <w:r w:rsidR="002967CA">
        <w:rPr>
          <w:lang w:val="en-US"/>
        </w:rPr>
        <w:t>14</w:t>
      </w:r>
      <w:r>
        <w:rPr>
          <w:lang w:val="en-US"/>
        </w:rPr>
        <w:t xml:space="preserve"> July </w:t>
      </w:r>
      <w:r w:rsidRPr="00B231FF">
        <w:rPr>
          <w:lang w:val="en-US"/>
        </w:rPr>
        <w:t>2022, is being circulated at the request of the Delegations of</w:t>
      </w:r>
      <w:r>
        <w:rPr>
          <w:lang w:val="en-US"/>
        </w:rPr>
        <w:t xml:space="preserve"> Albania;</w:t>
      </w:r>
      <w:r w:rsidRPr="00B231FF">
        <w:rPr>
          <w:lang w:val="en-US"/>
        </w:rPr>
        <w:t xml:space="preserve"> Argentina; Australia; </w:t>
      </w:r>
      <w:r>
        <w:rPr>
          <w:lang w:val="en-US"/>
        </w:rPr>
        <w:t xml:space="preserve">Brazil; </w:t>
      </w:r>
      <w:r w:rsidRPr="00B231FF">
        <w:rPr>
          <w:lang w:val="en-US"/>
        </w:rPr>
        <w:t>Canada; Chile; Colombia; Costa Rica; the European Union; Iceland; Israel; Japan; Republic of Korea; Liechtenstein; Mexico;</w:t>
      </w:r>
      <w:r>
        <w:rPr>
          <w:lang w:val="en-US"/>
        </w:rPr>
        <w:t xml:space="preserve"> Republic of</w:t>
      </w:r>
      <w:r w:rsidRPr="00B231FF">
        <w:rPr>
          <w:lang w:val="en-US"/>
        </w:rPr>
        <w:t xml:space="preserve"> </w:t>
      </w:r>
      <w:r>
        <w:rPr>
          <w:lang w:val="en-US"/>
        </w:rPr>
        <w:t xml:space="preserve">Moldova; Montenegro; </w:t>
      </w:r>
      <w:r w:rsidRPr="00B231FF">
        <w:rPr>
          <w:lang w:val="en-US"/>
        </w:rPr>
        <w:t xml:space="preserve">New Zealand; North Macedonia; Norway; Paraguay; </w:t>
      </w:r>
      <w:r>
        <w:rPr>
          <w:lang w:val="en-US"/>
        </w:rPr>
        <w:t xml:space="preserve">Peru; </w:t>
      </w:r>
      <w:r w:rsidRPr="00B231FF">
        <w:rPr>
          <w:lang w:val="en-US"/>
        </w:rPr>
        <w:t xml:space="preserve">the Philippines; Singapore; Switzerland; the Separate Customs Territory of Taiwan, Penghu, </w:t>
      </w:r>
      <w:proofErr w:type="gramStart"/>
      <w:r w:rsidRPr="00B231FF">
        <w:rPr>
          <w:lang w:val="en-US"/>
        </w:rPr>
        <w:t>Kinmen</w:t>
      </w:r>
      <w:proofErr w:type="gramEnd"/>
      <w:r w:rsidRPr="00B231FF">
        <w:rPr>
          <w:lang w:val="en-US"/>
        </w:rPr>
        <w:t xml:space="preserve"> and Matsu; </w:t>
      </w:r>
      <w:r>
        <w:rPr>
          <w:lang w:val="en-US"/>
        </w:rPr>
        <w:t xml:space="preserve">Thailand; </w:t>
      </w:r>
      <w:r w:rsidRPr="00B231FF">
        <w:rPr>
          <w:lang w:val="en-US"/>
        </w:rPr>
        <w:t>United Kingdom; the United States; and Uruguay.</w:t>
      </w:r>
    </w:p>
    <w:p w14:paraId="282382DE" w14:textId="77777777" w:rsidR="0084439F" w:rsidRDefault="0084439F" w:rsidP="0084439F">
      <w:pPr>
        <w:rPr>
          <w:lang w:val="en-US"/>
        </w:rPr>
      </w:pPr>
    </w:p>
    <w:p w14:paraId="75604F32" w14:textId="77777777" w:rsidR="0084439F" w:rsidRDefault="0084439F" w:rsidP="0084439F">
      <w:pPr>
        <w:jc w:val="center"/>
        <w:rPr>
          <w:b/>
          <w:lang w:val="en-US"/>
        </w:rPr>
      </w:pPr>
      <w:r>
        <w:rPr>
          <w:b/>
          <w:lang w:val="en-US"/>
        </w:rPr>
        <w:t>_______________</w:t>
      </w:r>
    </w:p>
    <w:p w14:paraId="0ACB151F" w14:textId="77777777" w:rsidR="0084439F" w:rsidRDefault="0084439F" w:rsidP="0084439F">
      <w:pPr>
        <w:rPr>
          <w:lang w:val="en-US"/>
        </w:rPr>
      </w:pPr>
    </w:p>
    <w:p w14:paraId="2BF605BA" w14:textId="77777777" w:rsidR="0084439F" w:rsidRDefault="0084439F" w:rsidP="0084439F">
      <w:pPr>
        <w:rPr>
          <w:lang w:val="en-US"/>
        </w:rPr>
      </w:pPr>
    </w:p>
    <w:p w14:paraId="184684A5" w14:textId="77777777" w:rsidR="0084439F" w:rsidRPr="00AB693D" w:rsidRDefault="0084439F" w:rsidP="0084439F">
      <w:pPr>
        <w:jc w:val="center"/>
        <w:rPr>
          <w:b/>
          <w:bCs/>
          <w:lang w:val="en-US"/>
        </w:rPr>
      </w:pPr>
      <w:r w:rsidRPr="00AB693D">
        <w:rPr>
          <w:b/>
          <w:bCs/>
          <w:lang w:val="en-US"/>
        </w:rPr>
        <w:t>Draft General Council Decision</w:t>
      </w:r>
    </w:p>
    <w:p w14:paraId="645B59C6" w14:textId="77777777" w:rsidR="0084439F" w:rsidRPr="00AB693D" w:rsidRDefault="0084439F" w:rsidP="0084439F">
      <w:pPr>
        <w:jc w:val="center"/>
        <w:rPr>
          <w:b/>
          <w:lang w:val="en-US"/>
        </w:rPr>
      </w:pPr>
    </w:p>
    <w:p w14:paraId="1F8FE4BD" w14:textId="77777777" w:rsidR="0084439F" w:rsidRPr="00AB693D" w:rsidRDefault="0084439F" w:rsidP="0084439F">
      <w:pPr>
        <w:jc w:val="center"/>
        <w:rPr>
          <w:b/>
          <w:lang w:val="en-US"/>
        </w:rPr>
      </w:pPr>
      <w:r w:rsidRPr="00AB693D">
        <w:rPr>
          <w:b/>
          <w:lang w:val="en-US"/>
        </w:rPr>
        <w:t>Procedures to Enhance Transparency and Improve Compliance with Notification Requirements under WTO Agreements</w:t>
      </w:r>
    </w:p>
    <w:p w14:paraId="6E46D809" w14:textId="77777777" w:rsidR="0084439F" w:rsidRPr="00AB693D" w:rsidRDefault="0084439F" w:rsidP="0084439F">
      <w:pPr>
        <w:jc w:val="center"/>
        <w:rPr>
          <w:b/>
          <w:lang w:val="en-US"/>
        </w:rPr>
      </w:pPr>
    </w:p>
    <w:p w14:paraId="2EDAC602" w14:textId="77777777" w:rsidR="0084439F" w:rsidRPr="00AB693D" w:rsidRDefault="0084439F" w:rsidP="0084439F">
      <w:pPr>
        <w:jc w:val="center"/>
        <w:rPr>
          <w:b/>
          <w:lang w:val="en-US"/>
        </w:rPr>
      </w:pPr>
      <w:r w:rsidRPr="00AB693D">
        <w:rPr>
          <w:b/>
          <w:lang w:val="en-US"/>
        </w:rPr>
        <w:t>Decision of X Date</w:t>
      </w:r>
    </w:p>
    <w:p w14:paraId="19EB1491" w14:textId="77777777" w:rsidR="0084439F" w:rsidRPr="00AB693D" w:rsidRDefault="0084439F" w:rsidP="0084439F">
      <w:pPr>
        <w:rPr>
          <w:bCs/>
          <w:lang w:val="en-US"/>
        </w:rPr>
      </w:pPr>
    </w:p>
    <w:p w14:paraId="6A80D058" w14:textId="77777777" w:rsidR="0084439F" w:rsidRPr="00AB693D" w:rsidRDefault="0084439F" w:rsidP="0084439F">
      <w:pPr>
        <w:rPr>
          <w:bCs/>
          <w:lang w:val="en-US"/>
        </w:rPr>
      </w:pPr>
    </w:p>
    <w:p w14:paraId="6AC5BFB8" w14:textId="77777777" w:rsidR="0084439F" w:rsidRPr="00AB693D" w:rsidRDefault="0084439F" w:rsidP="0084439F">
      <w:pPr>
        <w:rPr>
          <w:i/>
          <w:lang w:val="en-US"/>
        </w:rPr>
      </w:pPr>
      <w:r w:rsidRPr="00AB693D">
        <w:rPr>
          <w:i/>
          <w:lang w:val="en-US"/>
        </w:rPr>
        <w:t>The General Council,</w:t>
      </w:r>
    </w:p>
    <w:p w14:paraId="3F58EA6F" w14:textId="77777777" w:rsidR="0084439F" w:rsidRPr="00AB693D" w:rsidRDefault="0084439F" w:rsidP="0084439F">
      <w:pPr>
        <w:rPr>
          <w:i/>
          <w:lang w:val="en-US"/>
        </w:rPr>
      </w:pPr>
    </w:p>
    <w:p w14:paraId="51267013" w14:textId="77777777" w:rsidR="0084439F" w:rsidRPr="00AB693D" w:rsidRDefault="0084439F" w:rsidP="0084439F">
      <w:pPr>
        <w:rPr>
          <w:lang w:val="en-US"/>
        </w:rPr>
      </w:pPr>
      <w:r w:rsidRPr="00AB693D">
        <w:rPr>
          <w:i/>
          <w:lang w:val="en-US"/>
        </w:rPr>
        <w:t xml:space="preserve">Recognizing </w:t>
      </w:r>
      <w:r w:rsidRPr="00AB693D">
        <w:rPr>
          <w:lang w:val="en-US"/>
        </w:rPr>
        <w:t xml:space="preserve">that transparency and notification requirements constitute fundamental elements of many WTO agreements and a properly functioning WTO system, and thus of Members' </w:t>
      </w:r>
      <w:proofErr w:type="gramStart"/>
      <w:r w:rsidRPr="00AB693D">
        <w:rPr>
          <w:lang w:val="en-US"/>
        </w:rPr>
        <w:t>obligations;</w:t>
      </w:r>
      <w:proofErr w:type="gramEnd"/>
    </w:p>
    <w:p w14:paraId="4AA67B3E" w14:textId="77777777" w:rsidR="0084439F" w:rsidRPr="00AB693D" w:rsidRDefault="0084439F" w:rsidP="0084439F">
      <w:pPr>
        <w:rPr>
          <w:lang w:val="en-US"/>
        </w:rPr>
      </w:pPr>
    </w:p>
    <w:p w14:paraId="6FD2DA67" w14:textId="77777777" w:rsidR="0084439F" w:rsidRPr="00AB693D" w:rsidRDefault="0084439F" w:rsidP="0084439F">
      <w:pPr>
        <w:rPr>
          <w:lang w:val="en-US"/>
        </w:rPr>
      </w:pPr>
      <w:r w:rsidRPr="00AB693D">
        <w:rPr>
          <w:i/>
          <w:lang w:val="en-US"/>
        </w:rPr>
        <w:t xml:space="preserve">Acknowledging </w:t>
      </w:r>
      <w:r w:rsidRPr="00AB693D">
        <w:rPr>
          <w:lang w:val="en-US"/>
        </w:rPr>
        <w:t xml:space="preserve">the chronic low level of compliance with existing notification requirements under many WTO </w:t>
      </w:r>
      <w:proofErr w:type="gramStart"/>
      <w:r w:rsidRPr="00AB693D">
        <w:rPr>
          <w:lang w:val="en-US"/>
        </w:rPr>
        <w:t>agreements;</w:t>
      </w:r>
      <w:proofErr w:type="gramEnd"/>
    </w:p>
    <w:p w14:paraId="07119C4E" w14:textId="77777777" w:rsidR="0084439F" w:rsidRPr="00AB693D" w:rsidRDefault="0084439F" w:rsidP="0084439F">
      <w:pPr>
        <w:rPr>
          <w:lang w:val="en-US"/>
        </w:rPr>
      </w:pPr>
    </w:p>
    <w:p w14:paraId="49A60B9E" w14:textId="77777777" w:rsidR="0084439F" w:rsidRPr="007D55F7" w:rsidRDefault="0084439F" w:rsidP="0084439F">
      <w:pPr>
        <w:rPr>
          <w:szCs w:val="18"/>
          <w:lang w:val="en-US"/>
        </w:rPr>
      </w:pPr>
      <w:r w:rsidRPr="00AB693D">
        <w:rPr>
          <w:i/>
          <w:lang w:val="en-US"/>
        </w:rPr>
        <w:t xml:space="preserve">Recalling </w:t>
      </w:r>
      <w:r w:rsidRPr="00AB693D">
        <w:rPr>
          <w:lang w:val="en-US"/>
        </w:rPr>
        <w:t xml:space="preserve">the difficulties that some Members are facing to comply fully with the notification </w:t>
      </w:r>
      <w:r w:rsidRPr="00656357">
        <w:rPr>
          <w:szCs w:val="18"/>
          <w:lang w:val="en-US"/>
        </w:rPr>
        <w:t xml:space="preserve">requirements due to capacity limitations, and the necessity to give appropriate consideration to such difficulties and provide appropriate technical assistance and capacity building to those Members to address </w:t>
      </w:r>
      <w:proofErr w:type="gramStart"/>
      <w:r w:rsidRPr="00656357">
        <w:rPr>
          <w:szCs w:val="18"/>
          <w:lang w:val="en-US"/>
        </w:rPr>
        <w:t>them;</w:t>
      </w:r>
      <w:proofErr w:type="gramEnd"/>
      <w:r w:rsidRPr="00656357">
        <w:rPr>
          <w:szCs w:val="18"/>
          <w:lang w:val="en-US"/>
        </w:rPr>
        <w:t xml:space="preserve"> </w:t>
      </w:r>
    </w:p>
    <w:p w14:paraId="0218777B" w14:textId="77777777" w:rsidR="0084439F" w:rsidRPr="007D55F7" w:rsidRDefault="0084439F" w:rsidP="0084439F">
      <w:pPr>
        <w:rPr>
          <w:szCs w:val="18"/>
          <w:lang w:val="en-US"/>
        </w:rPr>
      </w:pPr>
    </w:p>
    <w:p w14:paraId="7FAC5D4E" w14:textId="0CA2FA72" w:rsidR="0084439F" w:rsidRDefault="0084439F" w:rsidP="0084439F">
      <w:pPr>
        <w:pStyle w:val="Default"/>
        <w:numPr>
          <w:ilvl w:val="0"/>
          <w:numId w:val="29"/>
        </w:numPr>
        <w:rPr>
          <w:sz w:val="18"/>
          <w:szCs w:val="18"/>
        </w:rPr>
      </w:pPr>
      <w:r w:rsidRPr="002E5202">
        <w:rPr>
          <w:i/>
          <w:iCs/>
          <w:sz w:val="18"/>
          <w:szCs w:val="18"/>
        </w:rPr>
        <w:t>Recognizing</w:t>
      </w:r>
      <w:r w:rsidRPr="002E5202">
        <w:rPr>
          <w:sz w:val="18"/>
          <w:szCs w:val="18"/>
        </w:rPr>
        <w:t xml:space="preserve"> the widespread capacity constraints of </w:t>
      </w:r>
      <w:r>
        <w:rPr>
          <w:sz w:val="18"/>
          <w:szCs w:val="18"/>
        </w:rPr>
        <w:t xml:space="preserve">developing and Least </w:t>
      </w:r>
      <w:r w:rsidRPr="002E5202">
        <w:rPr>
          <w:sz w:val="18"/>
          <w:szCs w:val="18"/>
        </w:rPr>
        <w:t>D</w:t>
      </w:r>
      <w:r>
        <w:rPr>
          <w:sz w:val="18"/>
          <w:szCs w:val="18"/>
        </w:rPr>
        <w:t xml:space="preserve">eveloped </w:t>
      </w:r>
      <w:r w:rsidRPr="002E5202">
        <w:rPr>
          <w:sz w:val="18"/>
          <w:szCs w:val="18"/>
        </w:rPr>
        <w:t>C</w:t>
      </w:r>
      <w:r>
        <w:rPr>
          <w:sz w:val="18"/>
          <w:szCs w:val="18"/>
        </w:rPr>
        <w:t>ountry (LDC)</w:t>
      </w:r>
      <w:r w:rsidRPr="002E5202">
        <w:rPr>
          <w:sz w:val="18"/>
          <w:szCs w:val="18"/>
        </w:rPr>
        <w:t xml:space="preserve"> Members and </w:t>
      </w:r>
      <w:r>
        <w:rPr>
          <w:sz w:val="18"/>
          <w:szCs w:val="18"/>
        </w:rPr>
        <w:t xml:space="preserve">the benefits </w:t>
      </w:r>
      <w:r w:rsidRPr="002E5202">
        <w:rPr>
          <w:sz w:val="18"/>
          <w:szCs w:val="18"/>
        </w:rPr>
        <w:t xml:space="preserve">of technical assistance and capacity </w:t>
      </w:r>
      <w:proofErr w:type="gramStart"/>
      <w:r w:rsidRPr="002E5202">
        <w:rPr>
          <w:sz w:val="18"/>
          <w:szCs w:val="18"/>
        </w:rPr>
        <w:t>building;</w:t>
      </w:r>
      <w:proofErr w:type="gramEnd"/>
    </w:p>
    <w:p w14:paraId="636EA048" w14:textId="77777777" w:rsidR="00492ABE" w:rsidRPr="002E5202" w:rsidRDefault="00492ABE" w:rsidP="0084439F">
      <w:pPr>
        <w:pStyle w:val="Default"/>
        <w:numPr>
          <w:ilvl w:val="0"/>
          <w:numId w:val="29"/>
        </w:numPr>
        <w:rPr>
          <w:sz w:val="18"/>
          <w:szCs w:val="18"/>
        </w:rPr>
      </w:pPr>
    </w:p>
    <w:p w14:paraId="12847F50" w14:textId="77777777" w:rsidR="0084439F" w:rsidRPr="00AB693D" w:rsidRDefault="0084439F" w:rsidP="0084439F">
      <w:pPr>
        <w:rPr>
          <w:lang w:val="en-US"/>
        </w:rPr>
      </w:pPr>
      <w:r w:rsidRPr="00AB693D">
        <w:rPr>
          <w:i/>
          <w:lang w:val="en-US"/>
        </w:rPr>
        <w:t xml:space="preserve">Desiring </w:t>
      </w:r>
      <w:r w:rsidRPr="00AB693D">
        <w:rPr>
          <w:lang w:val="en-US"/>
        </w:rPr>
        <w:t>to strengthen and enhance transparency and improve the operation and effectiveness of notification requirements; and</w:t>
      </w:r>
    </w:p>
    <w:p w14:paraId="0014E1EE" w14:textId="77777777" w:rsidR="0084439F" w:rsidRPr="00AB693D" w:rsidRDefault="0084439F" w:rsidP="0084439F">
      <w:pPr>
        <w:rPr>
          <w:lang w:val="en-US"/>
        </w:rPr>
      </w:pPr>
    </w:p>
    <w:p w14:paraId="3C2C0DFA" w14:textId="77777777" w:rsidR="0084439F" w:rsidRPr="00AB693D" w:rsidRDefault="0084439F" w:rsidP="0084439F">
      <w:pPr>
        <w:rPr>
          <w:lang w:val="en-US"/>
        </w:rPr>
      </w:pPr>
      <w:r w:rsidRPr="00AB693D">
        <w:rPr>
          <w:i/>
          <w:lang w:val="en-US"/>
        </w:rPr>
        <w:t>Recalling</w:t>
      </w:r>
      <w:r w:rsidRPr="00AB693D">
        <w:rPr>
          <w:lang w:val="en-US"/>
        </w:rPr>
        <w:t xml:space="preserve"> the previous efforts of the Working Group on Notification Obligations and </w:t>
      </w:r>
      <w:proofErr w:type="gramStart"/>
      <w:r w:rsidRPr="00AB693D">
        <w:rPr>
          <w:lang w:val="en-US"/>
        </w:rPr>
        <w:t>Procedures;</w:t>
      </w:r>
      <w:proofErr w:type="gramEnd"/>
      <w:r w:rsidRPr="00AB693D">
        <w:rPr>
          <w:lang w:val="en-US"/>
        </w:rPr>
        <w:t xml:space="preserve"> </w:t>
      </w:r>
    </w:p>
    <w:p w14:paraId="0120F13D" w14:textId="77777777" w:rsidR="0084439F" w:rsidRPr="00AB693D" w:rsidRDefault="0084439F" w:rsidP="0084439F">
      <w:pPr>
        <w:rPr>
          <w:lang w:val="en-US"/>
        </w:rPr>
      </w:pPr>
    </w:p>
    <w:p w14:paraId="67D361DD" w14:textId="77777777" w:rsidR="0084439F" w:rsidRDefault="0084439F" w:rsidP="0084439F">
      <w:pPr>
        <w:rPr>
          <w:i/>
          <w:lang w:val="en-US"/>
        </w:rPr>
      </w:pPr>
      <w:r w:rsidRPr="00AB693D">
        <w:rPr>
          <w:i/>
          <w:lang w:val="en-US"/>
        </w:rPr>
        <w:t>Decides as follows:</w:t>
      </w:r>
    </w:p>
    <w:p w14:paraId="335E37AD" w14:textId="77777777" w:rsidR="0084439F" w:rsidRDefault="0084439F" w:rsidP="0084439F">
      <w:pPr>
        <w:rPr>
          <w:u w:val="single"/>
          <w:lang w:val="en-US"/>
        </w:rPr>
      </w:pPr>
    </w:p>
    <w:p w14:paraId="408AA55D" w14:textId="77777777" w:rsidR="0084439F" w:rsidRDefault="0084439F" w:rsidP="007934D3">
      <w:pPr>
        <w:keepNext/>
        <w:spacing w:line="276" w:lineRule="auto"/>
        <w:jc w:val="left"/>
        <w:rPr>
          <w:u w:val="single"/>
          <w:lang w:val="en-US"/>
        </w:rPr>
      </w:pPr>
      <w:r w:rsidRPr="003265E1">
        <w:rPr>
          <w:u w:val="single"/>
          <w:lang w:val="en-US"/>
        </w:rPr>
        <w:t>Scope of Decision</w:t>
      </w:r>
    </w:p>
    <w:p w14:paraId="21F6BF7F" w14:textId="77777777" w:rsidR="0084439F" w:rsidRPr="003265E1" w:rsidRDefault="0084439F" w:rsidP="007934D3">
      <w:pPr>
        <w:keepNext/>
        <w:spacing w:line="276" w:lineRule="auto"/>
        <w:jc w:val="left"/>
        <w:rPr>
          <w:lang w:val="en-US"/>
        </w:rPr>
      </w:pPr>
    </w:p>
    <w:p w14:paraId="121D3565" w14:textId="77777777" w:rsidR="0084439F" w:rsidRPr="003265E1" w:rsidRDefault="0084439F" w:rsidP="007934D3">
      <w:pPr>
        <w:pStyle w:val="ListParagraph"/>
        <w:keepNext/>
      </w:pPr>
      <w:proofErr w:type="gramStart"/>
      <w:r w:rsidRPr="003265E1">
        <w:t>For the purpose of</w:t>
      </w:r>
      <w:proofErr w:type="gramEnd"/>
      <w:r w:rsidRPr="003265E1">
        <w:t xml:space="preserve"> this decision "notification" shall mean the notification obligations in relation to each of the following WTO Agreements, Understandings, and Decisions:</w:t>
      </w:r>
    </w:p>
    <w:p w14:paraId="05961765" w14:textId="77777777" w:rsidR="0084439F" w:rsidRPr="003265E1" w:rsidRDefault="0084439F" w:rsidP="0084439F">
      <w:pPr>
        <w:rPr>
          <w:lang w:val="en-US"/>
        </w:rPr>
      </w:pPr>
    </w:p>
    <w:p w14:paraId="6A0C3DE7" w14:textId="77777777" w:rsidR="0084439F" w:rsidRPr="003265E1" w:rsidRDefault="0084439F" w:rsidP="0084439F">
      <w:pPr>
        <w:ind w:left="567"/>
        <w:rPr>
          <w:lang w:val="en-US"/>
        </w:rPr>
      </w:pPr>
      <w:r w:rsidRPr="003265E1">
        <w:rPr>
          <w:lang w:val="en-US"/>
        </w:rPr>
        <w:t xml:space="preserve">Agreement on </w:t>
      </w:r>
      <w:proofErr w:type="gramStart"/>
      <w:r w:rsidRPr="003265E1">
        <w:rPr>
          <w:lang w:val="en-US"/>
        </w:rPr>
        <w:t>Agriculture;</w:t>
      </w:r>
      <w:proofErr w:type="gramEnd"/>
    </w:p>
    <w:p w14:paraId="72AFBA4E" w14:textId="77777777" w:rsidR="0084439F" w:rsidRDefault="0084439F" w:rsidP="0084439F">
      <w:pPr>
        <w:ind w:left="567"/>
        <w:rPr>
          <w:lang w:val="en-US"/>
        </w:rPr>
      </w:pPr>
      <w:r w:rsidRPr="003265E1">
        <w:rPr>
          <w:lang w:val="en-US"/>
        </w:rPr>
        <w:t>Agreement on Implementation of Article VI of the GATT 1994 (Anti-Dumping</w:t>
      </w:r>
      <w:proofErr w:type="gramStart"/>
      <w:r w:rsidRPr="003265E1">
        <w:rPr>
          <w:lang w:val="en-US"/>
        </w:rPr>
        <w:t>);</w:t>
      </w:r>
      <w:proofErr w:type="gramEnd"/>
      <w:r w:rsidRPr="003265E1">
        <w:rPr>
          <w:lang w:val="en-US"/>
        </w:rPr>
        <w:t xml:space="preserve"> </w:t>
      </w:r>
    </w:p>
    <w:p w14:paraId="5A8B380C" w14:textId="77777777" w:rsidR="0084439F" w:rsidRPr="003265E1" w:rsidRDefault="0084439F" w:rsidP="0084439F">
      <w:pPr>
        <w:ind w:left="567"/>
        <w:rPr>
          <w:lang w:val="en-US"/>
        </w:rPr>
      </w:pPr>
      <w:r w:rsidRPr="003265E1">
        <w:rPr>
          <w:lang w:val="en-US"/>
        </w:rPr>
        <w:t xml:space="preserve">Agreement on Subsidies and Countervailing </w:t>
      </w:r>
      <w:proofErr w:type="gramStart"/>
      <w:r w:rsidRPr="003265E1">
        <w:rPr>
          <w:lang w:val="en-US"/>
        </w:rPr>
        <w:t>Measures;</w:t>
      </w:r>
      <w:proofErr w:type="gramEnd"/>
    </w:p>
    <w:p w14:paraId="29F20BFD" w14:textId="77777777" w:rsidR="0084439F" w:rsidRPr="003265E1" w:rsidRDefault="0084439F" w:rsidP="0084439F">
      <w:pPr>
        <w:ind w:left="567"/>
        <w:rPr>
          <w:lang w:val="en-US"/>
        </w:rPr>
      </w:pPr>
      <w:r w:rsidRPr="003265E1">
        <w:rPr>
          <w:lang w:val="en-US"/>
        </w:rPr>
        <w:t xml:space="preserve">Agreement on </w:t>
      </w:r>
      <w:proofErr w:type="gramStart"/>
      <w:r w:rsidRPr="003265E1">
        <w:rPr>
          <w:lang w:val="en-US"/>
        </w:rPr>
        <w:t>Safeguards;</w:t>
      </w:r>
      <w:proofErr w:type="gramEnd"/>
    </w:p>
    <w:p w14:paraId="45C2A467" w14:textId="77777777" w:rsidR="0084439F" w:rsidRPr="003265E1" w:rsidRDefault="0084439F" w:rsidP="0084439F">
      <w:pPr>
        <w:ind w:left="567"/>
        <w:rPr>
          <w:lang w:val="en-US"/>
        </w:rPr>
      </w:pPr>
      <w:r w:rsidRPr="003265E1">
        <w:rPr>
          <w:lang w:val="en-US"/>
        </w:rPr>
        <w:t xml:space="preserve">Understanding on the Interpretation of Article XVII of the GATT 1994 (State Trading); Agreement on Implementation of Article VII of the GATT 1994 (Customs Valuation); Agreement on Import Licensing </w:t>
      </w:r>
      <w:proofErr w:type="gramStart"/>
      <w:r w:rsidRPr="003265E1">
        <w:rPr>
          <w:lang w:val="en-US"/>
        </w:rPr>
        <w:t>Procedures;</w:t>
      </w:r>
      <w:proofErr w:type="gramEnd"/>
    </w:p>
    <w:p w14:paraId="5729E5CC" w14:textId="77777777" w:rsidR="0084439F" w:rsidRDefault="0084439F" w:rsidP="0084439F">
      <w:pPr>
        <w:ind w:left="567"/>
        <w:rPr>
          <w:lang w:val="en-US"/>
        </w:rPr>
      </w:pPr>
      <w:r w:rsidRPr="003265E1">
        <w:rPr>
          <w:lang w:val="en-US"/>
        </w:rPr>
        <w:t xml:space="preserve">Agreement on Rules of </w:t>
      </w:r>
      <w:proofErr w:type="gramStart"/>
      <w:r w:rsidRPr="003265E1">
        <w:rPr>
          <w:lang w:val="en-US"/>
        </w:rPr>
        <w:t>Origin;</w:t>
      </w:r>
      <w:proofErr w:type="gramEnd"/>
      <w:r w:rsidRPr="003265E1">
        <w:rPr>
          <w:lang w:val="en-US"/>
        </w:rPr>
        <w:t xml:space="preserve"> </w:t>
      </w:r>
    </w:p>
    <w:p w14:paraId="7D61AFE7" w14:textId="77777777" w:rsidR="0084439F" w:rsidRPr="003265E1" w:rsidRDefault="0084439F" w:rsidP="0084439F">
      <w:pPr>
        <w:ind w:left="567"/>
        <w:rPr>
          <w:lang w:val="en-US"/>
        </w:rPr>
      </w:pPr>
      <w:r w:rsidRPr="003265E1">
        <w:rPr>
          <w:lang w:val="en-US"/>
        </w:rPr>
        <w:t xml:space="preserve">Agreement on </w:t>
      </w:r>
      <w:proofErr w:type="spellStart"/>
      <w:r w:rsidRPr="003265E1">
        <w:rPr>
          <w:lang w:val="en-US"/>
        </w:rPr>
        <w:t>Preshipment</w:t>
      </w:r>
      <w:proofErr w:type="spellEnd"/>
      <w:r w:rsidRPr="003265E1">
        <w:rPr>
          <w:lang w:val="en-US"/>
        </w:rPr>
        <w:t xml:space="preserve"> </w:t>
      </w:r>
      <w:proofErr w:type="gramStart"/>
      <w:r w:rsidRPr="003265E1">
        <w:rPr>
          <w:lang w:val="en-US"/>
        </w:rPr>
        <w:t>Inspection;</w:t>
      </w:r>
      <w:proofErr w:type="gramEnd"/>
    </w:p>
    <w:p w14:paraId="27A6273B" w14:textId="77777777" w:rsidR="0084439F" w:rsidRDefault="0084439F" w:rsidP="0084439F">
      <w:pPr>
        <w:ind w:left="567"/>
        <w:rPr>
          <w:lang w:val="en-US"/>
        </w:rPr>
      </w:pPr>
      <w:r w:rsidRPr="003265E1">
        <w:rPr>
          <w:lang w:val="en-US"/>
        </w:rPr>
        <w:t>Decision on Notification Procedures for Quantitative Restrictions (G/L/59/Rev.1</w:t>
      </w:r>
      <w:proofErr w:type="gramStart"/>
      <w:r w:rsidRPr="003265E1">
        <w:rPr>
          <w:lang w:val="en-US"/>
        </w:rPr>
        <w:t>);</w:t>
      </w:r>
      <w:proofErr w:type="gramEnd"/>
      <w:r w:rsidRPr="003265E1">
        <w:rPr>
          <w:lang w:val="en-US"/>
        </w:rPr>
        <w:t xml:space="preserve"> </w:t>
      </w:r>
    </w:p>
    <w:p w14:paraId="2C3BD515" w14:textId="77777777" w:rsidR="0084439F" w:rsidRPr="003265E1" w:rsidRDefault="0084439F" w:rsidP="0084439F">
      <w:pPr>
        <w:ind w:left="567"/>
        <w:rPr>
          <w:lang w:val="en-US"/>
        </w:rPr>
      </w:pPr>
      <w:r w:rsidRPr="003265E1">
        <w:rPr>
          <w:lang w:val="en-US"/>
        </w:rPr>
        <w:t xml:space="preserve">Agreement on Trade Related Investment </w:t>
      </w:r>
      <w:proofErr w:type="gramStart"/>
      <w:r w:rsidRPr="003265E1">
        <w:rPr>
          <w:lang w:val="en-US"/>
        </w:rPr>
        <w:t>Measures;</w:t>
      </w:r>
      <w:proofErr w:type="gramEnd"/>
    </w:p>
    <w:p w14:paraId="0E6A4785" w14:textId="77777777" w:rsidR="0084439F" w:rsidRDefault="0084439F" w:rsidP="0084439F">
      <w:pPr>
        <w:ind w:left="567"/>
        <w:rPr>
          <w:lang w:val="en-US"/>
        </w:rPr>
      </w:pPr>
      <w:r w:rsidRPr="003265E1">
        <w:rPr>
          <w:lang w:val="en-US"/>
        </w:rPr>
        <w:t xml:space="preserve">Agreement on the Application of Sanitary and Phytosanitary </w:t>
      </w:r>
      <w:proofErr w:type="gramStart"/>
      <w:r w:rsidRPr="003265E1">
        <w:rPr>
          <w:lang w:val="en-US"/>
        </w:rPr>
        <w:t>Measures;</w:t>
      </w:r>
      <w:proofErr w:type="gramEnd"/>
      <w:r w:rsidRPr="003265E1">
        <w:rPr>
          <w:lang w:val="en-US"/>
        </w:rPr>
        <w:t xml:space="preserve"> </w:t>
      </w:r>
    </w:p>
    <w:p w14:paraId="1E467855" w14:textId="77777777" w:rsidR="0084439F" w:rsidRPr="003265E1" w:rsidRDefault="0084439F" w:rsidP="0084439F">
      <w:pPr>
        <w:ind w:left="567"/>
        <w:rPr>
          <w:lang w:val="en-US"/>
        </w:rPr>
      </w:pPr>
      <w:r w:rsidRPr="003265E1">
        <w:rPr>
          <w:lang w:val="en-US"/>
        </w:rPr>
        <w:t>Agreement on Technical Barriers to Trade; and</w:t>
      </w:r>
    </w:p>
    <w:p w14:paraId="10832581" w14:textId="77777777" w:rsidR="0084439F" w:rsidRDefault="0084439F" w:rsidP="0084439F">
      <w:pPr>
        <w:ind w:left="567"/>
        <w:rPr>
          <w:lang w:val="en-US"/>
        </w:rPr>
      </w:pPr>
      <w:r w:rsidRPr="003265E1">
        <w:rPr>
          <w:lang w:val="en-US"/>
        </w:rPr>
        <w:t>Agreement on Trade Facilitation, Section I.</w:t>
      </w:r>
    </w:p>
    <w:p w14:paraId="12428A6D" w14:textId="77777777" w:rsidR="0084439F" w:rsidRDefault="0084439F" w:rsidP="0084439F">
      <w:pPr>
        <w:rPr>
          <w:lang w:val="en-US"/>
        </w:rPr>
      </w:pPr>
    </w:p>
    <w:p w14:paraId="1DC532CB" w14:textId="77777777" w:rsidR="0084439F" w:rsidRDefault="0084439F" w:rsidP="0084439F">
      <w:pPr>
        <w:rPr>
          <w:u w:val="single"/>
          <w:lang w:val="en-US"/>
        </w:rPr>
      </w:pPr>
      <w:r w:rsidRPr="003A15AB">
        <w:rPr>
          <w:u w:val="single"/>
          <w:lang w:val="en-US"/>
        </w:rPr>
        <w:t>Reaffirming existing commitments</w:t>
      </w:r>
    </w:p>
    <w:p w14:paraId="313A5C41" w14:textId="77777777" w:rsidR="0084439F" w:rsidRPr="003A15AB" w:rsidRDefault="0084439F" w:rsidP="0084439F">
      <w:pPr>
        <w:rPr>
          <w:lang w:val="en-US"/>
        </w:rPr>
      </w:pPr>
    </w:p>
    <w:p w14:paraId="26F20088" w14:textId="77777777" w:rsidR="0084439F" w:rsidRPr="003A15AB" w:rsidRDefault="0084439F" w:rsidP="0084439F">
      <w:pPr>
        <w:pStyle w:val="ListParagraph"/>
      </w:pPr>
      <w:r w:rsidRPr="003A15AB">
        <w:t>The Members reaffirm existing notification obligations and recommit to submitting timely and complete notifications.</w:t>
      </w:r>
    </w:p>
    <w:p w14:paraId="2D0B2FDC" w14:textId="77777777" w:rsidR="0084439F" w:rsidRPr="003A15AB" w:rsidRDefault="0084439F" w:rsidP="0084439F">
      <w:pPr>
        <w:rPr>
          <w:lang w:val="en-US"/>
        </w:rPr>
      </w:pPr>
    </w:p>
    <w:p w14:paraId="2137C538" w14:textId="77777777" w:rsidR="0084439F" w:rsidRPr="003A15AB" w:rsidRDefault="0084439F" w:rsidP="0084439F">
      <w:pPr>
        <w:rPr>
          <w:lang w:val="en-US"/>
        </w:rPr>
      </w:pPr>
      <w:r w:rsidRPr="003A15AB">
        <w:rPr>
          <w:u w:val="single"/>
          <w:lang w:val="en-US"/>
        </w:rPr>
        <w:t>Engagement in WTO bodies to facilitate compliance</w:t>
      </w:r>
    </w:p>
    <w:p w14:paraId="7395B4F4" w14:textId="77777777" w:rsidR="0084439F" w:rsidRDefault="0084439F" w:rsidP="0084439F">
      <w:pPr>
        <w:rPr>
          <w:lang w:val="en-US"/>
        </w:rPr>
      </w:pPr>
    </w:p>
    <w:p w14:paraId="514BFD02" w14:textId="77777777" w:rsidR="0084439F" w:rsidRPr="00784CAF" w:rsidRDefault="0084439F" w:rsidP="0084439F">
      <w:pPr>
        <w:pStyle w:val="ListParagraph"/>
      </w:pPr>
      <w:r w:rsidRPr="00784CAF">
        <w:t>The General Council instructs the Working Group on Notification Obligations and Procedures (Working Group), which is open to participation by all Members, to:</w:t>
      </w:r>
    </w:p>
    <w:p w14:paraId="6B36260B" w14:textId="77777777" w:rsidR="0084439F" w:rsidRPr="00784CAF" w:rsidRDefault="0084439F" w:rsidP="0084439F">
      <w:pPr>
        <w:rPr>
          <w:lang w:val="en-US"/>
        </w:rPr>
      </w:pPr>
    </w:p>
    <w:p w14:paraId="175E588D" w14:textId="77777777" w:rsidR="0084439F" w:rsidRPr="00784CAF" w:rsidRDefault="0084439F" w:rsidP="0084439F">
      <w:pPr>
        <w:pStyle w:val="BodyText2"/>
        <w:numPr>
          <w:ilvl w:val="7"/>
          <w:numId w:val="27"/>
        </w:numPr>
        <w:tabs>
          <w:tab w:val="clear" w:pos="907"/>
          <w:tab w:val="num" w:pos="993"/>
        </w:tabs>
        <w:ind w:left="993" w:hanging="426"/>
        <w:rPr>
          <w:lang w:val="en-US"/>
        </w:rPr>
      </w:pPr>
      <w:r w:rsidRPr="00784CAF">
        <w:rPr>
          <w:lang w:val="en-US"/>
        </w:rPr>
        <w:t xml:space="preserve">meet initially within six months of this decision to develop recommendations on improving Member compliance with notification </w:t>
      </w:r>
      <w:proofErr w:type="gramStart"/>
      <w:r w:rsidRPr="00784CAF">
        <w:rPr>
          <w:lang w:val="en-US"/>
        </w:rPr>
        <w:t>obligations;</w:t>
      </w:r>
      <w:proofErr w:type="gramEnd"/>
    </w:p>
    <w:p w14:paraId="1977EA13" w14:textId="77777777" w:rsidR="0084439F" w:rsidRPr="00784CAF" w:rsidRDefault="0084439F" w:rsidP="0084439F">
      <w:pPr>
        <w:pStyle w:val="BodyText2"/>
        <w:numPr>
          <w:ilvl w:val="7"/>
          <w:numId w:val="27"/>
        </w:numPr>
        <w:tabs>
          <w:tab w:val="clear" w:pos="907"/>
          <w:tab w:val="num" w:pos="993"/>
        </w:tabs>
        <w:ind w:left="993" w:hanging="426"/>
        <w:rPr>
          <w:lang w:val="en-US"/>
        </w:rPr>
      </w:pPr>
      <w:r w:rsidRPr="00784CAF">
        <w:rPr>
          <w:lang w:val="en-US"/>
        </w:rPr>
        <w:t xml:space="preserve">consult with relevant committees and other working groups and bodies to identify both systemic and specific improvements, as appropriate, such as introducing simplified notification formats, </w:t>
      </w:r>
      <w:r>
        <w:rPr>
          <w:lang w:val="en-US"/>
        </w:rPr>
        <w:t xml:space="preserve">greater use of electronic notification systems, </w:t>
      </w:r>
      <w:r w:rsidRPr="00784CAF">
        <w:rPr>
          <w:lang w:val="en-US"/>
        </w:rPr>
        <w:t xml:space="preserve">updating reporting requirements, holding additional trainings and workshops at the committee level, and using new digital tools that can help Members improve compliance with notification </w:t>
      </w:r>
      <w:proofErr w:type="gramStart"/>
      <w:r w:rsidRPr="00784CAF">
        <w:rPr>
          <w:lang w:val="en-US"/>
        </w:rPr>
        <w:t>obligations;</w:t>
      </w:r>
      <w:proofErr w:type="gramEnd"/>
    </w:p>
    <w:p w14:paraId="285B8E01" w14:textId="77777777" w:rsidR="0084439F" w:rsidRPr="00784CAF" w:rsidRDefault="0084439F" w:rsidP="0084439F">
      <w:pPr>
        <w:pStyle w:val="BodyText2"/>
        <w:numPr>
          <w:ilvl w:val="7"/>
          <w:numId w:val="27"/>
        </w:numPr>
        <w:tabs>
          <w:tab w:val="clear" w:pos="907"/>
          <w:tab w:val="num" w:pos="993"/>
        </w:tabs>
        <w:ind w:left="993" w:hanging="426"/>
        <w:rPr>
          <w:lang w:val="en-US"/>
        </w:rPr>
      </w:pPr>
      <w:r w:rsidRPr="00784CAF">
        <w:rPr>
          <w:lang w:val="en-US"/>
        </w:rPr>
        <w:t>consult with the WTO Secretariat as appropriate, including the WTO Institute for Training and Technical Cooperation (ITTC), to assess the contribution of WTO trade-related technical assistance</w:t>
      </w:r>
      <w:r>
        <w:rPr>
          <w:lang w:val="en-US"/>
        </w:rPr>
        <w:t>, particularly for developing and LDC Members,</w:t>
      </w:r>
      <w:r w:rsidRPr="00784CAF">
        <w:rPr>
          <w:lang w:val="en-US"/>
        </w:rPr>
        <w:t xml:space="preserve"> to improving notification compliance and submission of notifications to the Central Registry of </w:t>
      </w:r>
      <w:proofErr w:type="gramStart"/>
      <w:r w:rsidRPr="00784CAF">
        <w:rPr>
          <w:lang w:val="en-US"/>
        </w:rPr>
        <w:t>Notifications;</w:t>
      </w:r>
      <w:proofErr w:type="gramEnd"/>
    </w:p>
    <w:p w14:paraId="5B63918E" w14:textId="77777777" w:rsidR="0084439F" w:rsidRPr="00784CAF" w:rsidRDefault="0084439F" w:rsidP="0084439F">
      <w:pPr>
        <w:pStyle w:val="BodyText2"/>
        <w:numPr>
          <w:ilvl w:val="7"/>
          <w:numId w:val="27"/>
        </w:numPr>
        <w:tabs>
          <w:tab w:val="clear" w:pos="907"/>
          <w:tab w:val="num" w:pos="993"/>
        </w:tabs>
        <w:ind w:left="993" w:hanging="426"/>
        <w:rPr>
          <w:lang w:val="en-US"/>
        </w:rPr>
      </w:pPr>
      <w:r w:rsidRPr="00784CAF">
        <w:rPr>
          <w:lang w:val="en-US"/>
        </w:rPr>
        <w:t xml:space="preserve">work with the Secretariat to update the Technical Cooperation Handbook on Notification Requirements for each of the agreements and understandings listed in paragraph 1 and present it to the Council for Trade in </w:t>
      </w:r>
      <w:proofErr w:type="gramStart"/>
      <w:r w:rsidRPr="00784CAF">
        <w:rPr>
          <w:lang w:val="en-US"/>
        </w:rPr>
        <w:t>Goods;</w:t>
      </w:r>
      <w:proofErr w:type="gramEnd"/>
    </w:p>
    <w:p w14:paraId="15D3E295" w14:textId="77777777" w:rsidR="0084439F" w:rsidRPr="00784CAF" w:rsidRDefault="0084439F" w:rsidP="0084439F">
      <w:pPr>
        <w:pStyle w:val="BodyText2"/>
        <w:numPr>
          <w:ilvl w:val="7"/>
          <w:numId w:val="27"/>
        </w:numPr>
        <w:tabs>
          <w:tab w:val="clear" w:pos="907"/>
          <w:tab w:val="num" w:pos="993"/>
        </w:tabs>
        <w:ind w:left="993" w:hanging="426"/>
        <w:rPr>
          <w:lang w:val="en-US"/>
        </w:rPr>
      </w:pPr>
      <w:r w:rsidRPr="00784CAF">
        <w:rPr>
          <w:lang w:val="en-US"/>
        </w:rPr>
        <w:t xml:space="preserve">review G/L/223 and recommend enhancements to the report relating to the factual </w:t>
      </w:r>
      <w:r w:rsidRPr="0084439F">
        <w:t xml:space="preserve">presentation of information on </w:t>
      </w:r>
      <w:r w:rsidRPr="00784CAF">
        <w:rPr>
          <w:lang w:val="en-US"/>
        </w:rPr>
        <w:t xml:space="preserve">Members' notification </w:t>
      </w:r>
      <w:proofErr w:type="gramStart"/>
      <w:r w:rsidRPr="00784CAF">
        <w:rPr>
          <w:lang w:val="en-US"/>
        </w:rPr>
        <w:t>compliance;</w:t>
      </w:r>
      <w:proofErr w:type="gramEnd"/>
    </w:p>
    <w:p w14:paraId="7CA83A7A" w14:textId="77777777" w:rsidR="0084439F" w:rsidRPr="00784CAF" w:rsidRDefault="0084439F" w:rsidP="0084439F">
      <w:pPr>
        <w:pStyle w:val="BodyText2"/>
        <w:numPr>
          <w:ilvl w:val="7"/>
          <w:numId w:val="27"/>
        </w:numPr>
        <w:tabs>
          <w:tab w:val="clear" w:pos="907"/>
          <w:tab w:val="num" w:pos="993"/>
        </w:tabs>
        <w:ind w:left="993" w:hanging="426"/>
        <w:rPr>
          <w:lang w:val="en-US"/>
        </w:rPr>
      </w:pPr>
      <w:r w:rsidRPr="00784CAF">
        <w:rPr>
          <w:lang w:val="en-US"/>
        </w:rPr>
        <w:t>consult with the Secretariat on ways to enhance</w:t>
      </w:r>
      <w:r>
        <w:rPr>
          <w:lang w:val="en-US"/>
        </w:rPr>
        <w:t xml:space="preserve"> access to notification-related information and</w:t>
      </w:r>
      <w:r w:rsidRPr="00784CAF">
        <w:rPr>
          <w:lang w:val="en-US"/>
        </w:rPr>
        <w:t xml:space="preserve"> the WTO Notification Portal, including with regard to how it may be used to improve notification </w:t>
      </w:r>
      <w:proofErr w:type="gramStart"/>
      <w:r w:rsidRPr="00784CAF">
        <w:rPr>
          <w:lang w:val="en-US"/>
        </w:rPr>
        <w:t>compliance;</w:t>
      </w:r>
      <w:proofErr w:type="gramEnd"/>
    </w:p>
    <w:p w14:paraId="5CD85E0B" w14:textId="77777777" w:rsidR="0084439F" w:rsidRPr="0022788F" w:rsidRDefault="0084439F" w:rsidP="0084439F">
      <w:pPr>
        <w:pStyle w:val="BodyText2"/>
        <w:numPr>
          <w:ilvl w:val="7"/>
          <w:numId w:val="27"/>
        </w:numPr>
        <w:tabs>
          <w:tab w:val="clear" w:pos="907"/>
          <w:tab w:val="num" w:pos="993"/>
        </w:tabs>
        <w:ind w:left="993" w:hanging="426"/>
        <w:rPr>
          <w:lang w:val="en-US"/>
        </w:rPr>
      </w:pPr>
      <w:r w:rsidRPr="0022788F">
        <w:rPr>
          <w:lang w:val="en-US"/>
        </w:rPr>
        <w:lastRenderedPageBreak/>
        <w:t xml:space="preserve">work with the relevant committees and the Secretariat to create a dedicated page on the WTO website with resources, guidance, training videos, and other materials as relevant to aid Members in completing </w:t>
      </w:r>
      <w:proofErr w:type="gramStart"/>
      <w:r w:rsidRPr="0022788F">
        <w:rPr>
          <w:lang w:val="en-US"/>
        </w:rPr>
        <w:t>notifications;</w:t>
      </w:r>
      <w:proofErr w:type="gramEnd"/>
    </w:p>
    <w:p w14:paraId="739CB26C" w14:textId="77777777" w:rsidR="0084439F" w:rsidRDefault="0084439F" w:rsidP="0084439F">
      <w:pPr>
        <w:pStyle w:val="BodyText2"/>
        <w:numPr>
          <w:ilvl w:val="7"/>
          <w:numId w:val="27"/>
        </w:numPr>
        <w:tabs>
          <w:tab w:val="clear" w:pos="907"/>
          <w:tab w:val="num" w:pos="993"/>
        </w:tabs>
        <w:ind w:left="993" w:hanging="426"/>
      </w:pPr>
      <w:r w:rsidRPr="00784CAF">
        <w:t xml:space="preserve">work with the Secretariat to establish automatic reminder emails to Members before a notification is </w:t>
      </w:r>
      <w:proofErr w:type="gramStart"/>
      <w:r w:rsidRPr="00784CAF">
        <w:t>due;</w:t>
      </w:r>
      <w:proofErr w:type="gramEnd"/>
    </w:p>
    <w:p w14:paraId="5D75BEB0" w14:textId="77777777" w:rsidR="0084439F" w:rsidRDefault="0084439F" w:rsidP="0084439F">
      <w:pPr>
        <w:pStyle w:val="BodyText2"/>
        <w:numPr>
          <w:ilvl w:val="7"/>
          <w:numId w:val="27"/>
        </w:numPr>
        <w:tabs>
          <w:tab w:val="clear" w:pos="907"/>
          <w:tab w:val="num" w:pos="993"/>
        </w:tabs>
        <w:ind w:left="993" w:hanging="426"/>
      </w:pPr>
      <w:r>
        <w:t>report to the Council for Trade in Goods (CTG) on its findings and recommendations within two years of the adoption of this decision; and</w:t>
      </w:r>
    </w:p>
    <w:p w14:paraId="09213DAF" w14:textId="77777777" w:rsidR="0084439F" w:rsidRPr="0022788F" w:rsidRDefault="0084439F" w:rsidP="0084439F">
      <w:pPr>
        <w:pStyle w:val="BodyText2"/>
        <w:numPr>
          <w:ilvl w:val="7"/>
          <w:numId w:val="27"/>
        </w:numPr>
        <w:tabs>
          <w:tab w:val="clear" w:pos="907"/>
          <w:tab w:val="num" w:pos="993"/>
        </w:tabs>
        <w:ind w:left="993" w:hanging="426"/>
        <w:rPr>
          <w:lang w:val="en-US"/>
        </w:rPr>
      </w:pPr>
      <w:r>
        <w:t>report to the CTG on its continuing work annually or as appropriate thereafter</w:t>
      </w:r>
      <w:r w:rsidRPr="00895C15">
        <w:t>.</w:t>
      </w:r>
    </w:p>
    <w:p w14:paraId="5B480A96" w14:textId="77777777" w:rsidR="0084439F" w:rsidRPr="0071264E" w:rsidRDefault="0084439F" w:rsidP="0084439F">
      <w:pPr>
        <w:rPr>
          <w:u w:val="single"/>
        </w:rPr>
      </w:pPr>
      <w:r w:rsidRPr="0071264E">
        <w:rPr>
          <w:u w:val="single"/>
        </w:rPr>
        <w:t>Trade policy reviews</w:t>
      </w:r>
    </w:p>
    <w:p w14:paraId="75CAF62E" w14:textId="77777777" w:rsidR="0084439F" w:rsidRPr="0071264E" w:rsidRDefault="0084439F" w:rsidP="0084439F"/>
    <w:p w14:paraId="06532CD0" w14:textId="77777777" w:rsidR="0084439F" w:rsidRDefault="0084439F" w:rsidP="0084439F">
      <w:pPr>
        <w:pStyle w:val="ListParagraph"/>
      </w:pPr>
      <w:r w:rsidRPr="0071264E">
        <w:t>The General Council instructs the Trade Policy Review Body to ensure that within one year of this decision all trade policy reviews include a specific, standardized focus on the Member's compliance with its notification obligations. The Secretariat shall include within country reports specific information on notification compliance by the Member. For preparing notifications, Members are encouraged to make use, as appropriate, of the information on Members' trade policies and practices available under the Trade Policy Review</w:t>
      </w:r>
      <w:r w:rsidRPr="0071264E">
        <w:rPr>
          <w:spacing w:val="-6"/>
        </w:rPr>
        <w:t xml:space="preserve"> </w:t>
      </w:r>
      <w:r w:rsidRPr="0071264E">
        <w:t>Mechanism.</w:t>
      </w:r>
    </w:p>
    <w:p w14:paraId="3FEAE2D5" w14:textId="77777777" w:rsidR="0084439F" w:rsidRPr="0071264E" w:rsidRDefault="0084439F" w:rsidP="0084439F"/>
    <w:p w14:paraId="310CD2DB" w14:textId="77777777" w:rsidR="0084439F" w:rsidRPr="001C72D0" w:rsidRDefault="0084439F" w:rsidP="0084439F">
      <w:pPr>
        <w:rPr>
          <w:u w:val="single"/>
        </w:rPr>
      </w:pPr>
      <w:r w:rsidRPr="001C72D0">
        <w:rPr>
          <w:u w:val="single"/>
        </w:rPr>
        <w:t>Technical assistance and capacity building</w:t>
      </w:r>
    </w:p>
    <w:p w14:paraId="5401EE5A" w14:textId="77777777" w:rsidR="0084439F" w:rsidRDefault="0084439F" w:rsidP="0084439F"/>
    <w:p w14:paraId="6921E7E2" w14:textId="77777777" w:rsidR="0084439F" w:rsidRDefault="0084439F" w:rsidP="0084439F">
      <w:pPr>
        <w:pStyle w:val="ListParagraph"/>
      </w:pPr>
      <w:r>
        <w:t>Any Member may request that the Secretariat assist it in identifying and completing a notification. The Secretariat is instructed to provide such assistance in full consultation with that Member.</w:t>
      </w:r>
    </w:p>
    <w:p w14:paraId="54C9A63D" w14:textId="77777777" w:rsidR="0084439F" w:rsidRDefault="0084439F" w:rsidP="0084439F"/>
    <w:p w14:paraId="56FB4388" w14:textId="77777777" w:rsidR="0084439F" w:rsidRDefault="0084439F" w:rsidP="0084439F">
      <w:pPr>
        <w:pStyle w:val="ListParagraph"/>
      </w:pPr>
      <w:r>
        <w:t xml:space="preserve">Any Member encountering difficulty in fulfilling its notification obligations is encouraged to make a written request to the Secretariat for the notification-related technical assistance or capacity building needed </w:t>
      </w:r>
      <w:proofErr w:type="gramStart"/>
      <w:r>
        <w:t>in order to</w:t>
      </w:r>
      <w:proofErr w:type="gramEnd"/>
      <w:r>
        <w:t xml:space="preserve"> submit the relevant notification, and to share this request with the Working Group and the relevant Committee in the interest of transparency.</w:t>
      </w:r>
    </w:p>
    <w:p w14:paraId="005A9C4A" w14:textId="77777777" w:rsidR="0084439F" w:rsidRPr="002226DC" w:rsidRDefault="0084439F" w:rsidP="0084439F"/>
    <w:p w14:paraId="2F2A7B3B" w14:textId="77777777" w:rsidR="0084439F" w:rsidRPr="00DC419E" w:rsidRDefault="0084439F" w:rsidP="0084439F">
      <w:pPr>
        <w:pStyle w:val="ListParagraph"/>
      </w:pPr>
      <w:r w:rsidRPr="00DC419E">
        <w:t xml:space="preserve">The Secretariat should </w:t>
      </w:r>
      <w:proofErr w:type="gramStart"/>
      <w:r w:rsidRPr="00DC419E">
        <w:t>take into account</w:t>
      </w:r>
      <w:proofErr w:type="gramEnd"/>
      <w:r w:rsidRPr="00DC419E">
        <w:t xml:space="preserve"> the specific needs identified in requests for assistance and support to provide more targeted training related to</w:t>
      </w:r>
      <w:r w:rsidRPr="00DC419E">
        <w:rPr>
          <w:spacing w:val="-4"/>
        </w:rPr>
        <w:t xml:space="preserve"> </w:t>
      </w:r>
      <w:r w:rsidRPr="00DC419E">
        <w:t>notifications</w:t>
      </w:r>
      <w:r>
        <w:t>, especially as regards the needs of developing and LDC Members</w:t>
      </w:r>
      <w:r w:rsidRPr="00DC419E">
        <w:t>.</w:t>
      </w:r>
    </w:p>
    <w:p w14:paraId="0BC650B1" w14:textId="77777777" w:rsidR="0084439F" w:rsidRDefault="0084439F" w:rsidP="0084439F"/>
    <w:p w14:paraId="52125863" w14:textId="77777777" w:rsidR="0084439F" w:rsidRPr="00617700" w:rsidRDefault="0084439F" w:rsidP="0084439F">
      <w:pPr>
        <w:pStyle w:val="ListParagraph"/>
      </w:pPr>
      <w:r w:rsidRPr="00617700">
        <w:t xml:space="preserve">A Member that </w:t>
      </w:r>
      <w:r>
        <w:t>does not</w:t>
      </w:r>
      <w:r w:rsidRPr="00617700">
        <w:t xml:space="preserve"> submit a notification within the applicable notification deadline is encouraged to submit </w:t>
      </w:r>
      <w:r>
        <w:t xml:space="preserve">an explanation for the delay </w:t>
      </w:r>
      <w:r w:rsidRPr="00617700">
        <w:t>to the relevant Committee within six months after the relevant notification deadline,</w:t>
      </w:r>
      <w:r>
        <w:t xml:space="preserve"> </w:t>
      </w:r>
      <w:r w:rsidRPr="00617700">
        <w:t xml:space="preserve">and any elements of a partial notification that a </w:t>
      </w:r>
      <w:proofErr w:type="gramStart"/>
      <w:r w:rsidRPr="00617700">
        <w:t>Member</w:t>
      </w:r>
      <w:proofErr w:type="gramEnd"/>
      <w:r w:rsidRPr="00617700">
        <w:t xml:space="preserve"> can produce </w:t>
      </w:r>
      <w:r>
        <w:t>in order to increase transparency. The information provided will also facilitate more-targeted delivery of notification-related technical assistance or capacity building</w:t>
      </w:r>
      <w:r w:rsidRPr="00617700">
        <w:t>.</w:t>
      </w:r>
    </w:p>
    <w:p w14:paraId="24D5AFC0" w14:textId="77777777" w:rsidR="0084439F" w:rsidRPr="00617700" w:rsidRDefault="0084439F" w:rsidP="0084439F">
      <w:pPr>
        <w:rPr>
          <w:lang w:val="en-US"/>
        </w:rPr>
      </w:pPr>
    </w:p>
    <w:p w14:paraId="34C40DCD" w14:textId="77777777" w:rsidR="0084439F" w:rsidRPr="00617700" w:rsidRDefault="0084439F" w:rsidP="0084439F">
      <w:pPr>
        <w:rPr>
          <w:u w:val="single"/>
          <w:lang w:val="en-US"/>
        </w:rPr>
      </w:pPr>
      <w:r w:rsidRPr="00617700">
        <w:rPr>
          <w:u w:val="single"/>
          <w:lang w:val="en-US"/>
        </w:rPr>
        <w:t>Review of progress and future work</w:t>
      </w:r>
    </w:p>
    <w:p w14:paraId="60523C06" w14:textId="77777777" w:rsidR="0084439F" w:rsidRPr="00617700" w:rsidRDefault="0084439F" w:rsidP="0084439F">
      <w:pPr>
        <w:rPr>
          <w:u w:val="single"/>
          <w:lang w:val="en-US"/>
        </w:rPr>
      </w:pPr>
    </w:p>
    <w:p w14:paraId="4DD5A81E" w14:textId="77777777" w:rsidR="0084439F" w:rsidRDefault="0084439F" w:rsidP="0084439F">
      <w:pPr>
        <w:pStyle w:val="ListParagraph"/>
      </w:pPr>
      <w:r w:rsidRPr="00617700">
        <w:t>Three years after adoption of this decision and as appropriate thereafter, the General Council shall review the progress made by Members in improving compliance with notification obligations.</w:t>
      </w:r>
    </w:p>
    <w:p w14:paraId="189F5CFE" w14:textId="77777777" w:rsidR="0084439F" w:rsidRPr="00617700" w:rsidRDefault="0084439F" w:rsidP="0084439F"/>
    <w:p w14:paraId="34BF4ACD" w14:textId="77777777" w:rsidR="0084439F" w:rsidRDefault="0084439F" w:rsidP="0084439F">
      <w:pPr>
        <w:pStyle w:val="ListParagraph"/>
      </w:pPr>
      <w:r w:rsidRPr="00617700">
        <w:t>The General Council may direct the Working Group to develop further recommendations.</w:t>
      </w:r>
    </w:p>
    <w:p w14:paraId="29A55BBD" w14:textId="77777777" w:rsidR="0084439F" w:rsidRPr="00617700" w:rsidRDefault="0084439F" w:rsidP="0084439F"/>
    <w:p w14:paraId="47BD1D27" w14:textId="77777777" w:rsidR="0084439F" w:rsidRPr="00617700" w:rsidRDefault="0084439F" w:rsidP="0084439F">
      <w:pPr>
        <w:pStyle w:val="ListParagraph"/>
      </w:pPr>
      <w:r w:rsidRPr="00617700">
        <w:t>The General Council may consider expanding the efforts of the Working Group to other WTO Agreements, Understandings, and Decisions.</w:t>
      </w:r>
    </w:p>
    <w:p w14:paraId="3D14438D" w14:textId="77777777" w:rsidR="0084439F" w:rsidRDefault="0084439F" w:rsidP="0084439F"/>
    <w:p w14:paraId="296566A4" w14:textId="42A6D788" w:rsidR="00617700" w:rsidRPr="00C47866" w:rsidRDefault="0084439F" w:rsidP="00392C28">
      <w:pPr>
        <w:jc w:val="center"/>
      </w:pPr>
      <w:r>
        <w:rPr>
          <w:b/>
        </w:rPr>
        <w:t>__________</w:t>
      </w:r>
      <w:bookmarkEnd w:id="8"/>
    </w:p>
    <w:sectPr w:rsidR="00617700" w:rsidRPr="00C47866" w:rsidSect="006C1707">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1139" w14:textId="77777777" w:rsidR="00705FBF" w:rsidRDefault="00705FBF" w:rsidP="00ED54E0">
      <w:bookmarkStart w:id="4" w:name="_Hlk108710916"/>
      <w:bookmarkStart w:id="5" w:name="_Hlk108710917"/>
      <w:r>
        <w:separator/>
      </w:r>
      <w:bookmarkEnd w:id="4"/>
      <w:bookmarkEnd w:id="5"/>
    </w:p>
  </w:endnote>
  <w:endnote w:type="continuationSeparator" w:id="0">
    <w:p w14:paraId="24480FE4" w14:textId="77777777" w:rsidR="00705FBF" w:rsidRDefault="00705FBF" w:rsidP="00ED54E0">
      <w:bookmarkStart w:id="6" w:name="_Hlk108710918"/>
      <w:bookmarkStart w:id="7" w:name="_Hlk108710919"/>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E1B4" w14:textId="22C05B17" w:rsidR="00BA255C" w:rsidRPr="00FF72B8" w:rsidRDefault="00FF72B8" w:rsidP="00FF72B8">
    <w:pPr>
      <w:pStyle w:val="Footer"/>
    </w:pPr>
    <w:bookmarkStart w:id="13" w:name="_Hlk108710906"/>
    <w:bookmarkStart w:id="14" w:name="_Hlk108710907"/>
    <w:r>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7945" w14:textId="4AFABA5B" w:rsidR="008F3828" w:rsidRPr="00FF72B8" w:rsidRDefault="00FF72B8" w:rsidP="00FF72B8">
    <w:pPr>
      <w:pStyle w:val="Footer"/>
    </w:pPr>
    <w:bookmarkStart w:id="15" w:name="_Hlk108710908"/>
    <w:bookmarkStart w:id="16" w:name="_Hlk108710909"/>
    <w:r>
      <w:t xml:space="preserve"> </w:t>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6A8B" w14:textId="77777777" w:rsidR="00705FBF" w:rsidRDefault="00705FBF" w:rsidP="00ED54E0">
      <w:bookmarkStart w:id="0" w:name="_Hlk108710912"/>
      <w:bookmarkStart w:id="1" w:name="_Hlk108710913"/>
      <w:r>
        <w:separator/>
      </w:r>
      <w:bookmarkEnd w:id="0"/>
      <w:bookmarkEnd w:id="1"/>
    </w:p>
  </w:footnote>
  <w:footnote w:type="continuationSeparator" w:id="0">
    <w:p w14:paraId="349D2F60" w14:textId="77777777" w:rsidR="00705FBF" w:rsidRDefault="00705FBF" w:rsidP="00ED54E0">
      <w:bookmarkStart w:id="2" w:name="_Hlk108710914"/>
      <w:bookmarkStart w:id="3" w:name="_Hlk108710915"/>
      <w:r>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4C6E" w14:textId="77777777" w:rsidR="00FF72B8" w:rsidRPr="00FF72B8" w:rsidRDefault="00FF72B8" w:rsidP="00FF72B8">
    <w:pPr>
      <w:pStyle w:val="Header"/>
      <w:pBdr>
        <w:bottom w:val="single" w:sz="4" w:space="1" w:color="auto"/>
      </w:pBdr>
      <w:tabs>
        <w:tab w:val="clear" w:pos="4513"/>
        <w:tab w:val="clear" w:pos="9027"/>
      </w:tabs>
      <w:jc w:val="center"/>
    </w:pPr>
    <w:bookmarkStart w:id="9" w:name="_Hlk108710902"/>
    <w:bookmarkStart w:id="10" w:name="_Hlk108710903"/>
    <w:r w:rsidRPr="00FF72B8">
      <w:t>JOB/GC/204/Rev.11 • JOB/CTG/14/Rev.11</w:t>
    </w:r>
  </w:p>
  <w:p w14:paraId="6EE89CF2" w14:textId="77777777" w:rsidR="00FF72B8" w:rsidRPr="00FF72B8" w:rsidRDefault="00FF72B8" w:rsidP="00FF72B8">
    <w:pPr>
      <w:pStyle w:val="Header"/>
      <w:pBdr>
        <w:bottom w:val="single" w:sz="4" w:space="1" w:color="auto"/>
      </w:pBdr>
      <w:tabs>
        <w:tab w:val="clear" w:pos="4513"/>
        <w:tab w:val="clear" w:pos="9027"/>
      </w:tabs>
      <w:jc w:val="center"/>
    </w:pPr>
  </w:p>
  <w:p w14:paraId="69C99F31" w14:textId="47BB1384" w:rsidR="00FF72B8" w:rsidRPr="00FF72B8" w:rsidRDefault="00FF72B8" w:rsidP="00FF72B8">
    <w:pPr>
      <w:pStyle w:val="Header"/>
      <w:pBdr>
        <w:bottom w:val="single" w:sz="4" w:space="1" w:color="auto"/>
      </w:pBdr>
      <w:tabs>
        <w:tab w:val="clear" w:pos="4513"/>
        <w:tab w:val="clear" w:pos="9027"/>
      </w:tabs>
      <w:jc w:val="center"/>
    </w:pPr>
    <w:r w:rsidRPr="00FF72B8">
      <w:t xml:space="preserve">- </w:t>
    </w:r>
    <w:r w:rsidRPr="00FF72B8">
      <w:fldChar w:fldCharType="begin"/>
    </w:r>
    <w:r w:rsidRPr="00FF72B8">
      <w:instrText xml:space="preserve"> PAGE </w:instrText>
    </w:r>
    <w:r w:rsidRPr="00FF72B8">
      <w:fldChar w:fldCharType="separate"/>
    </w:r>
    <w:r w:rsidRPr="00FF72B8">
      <w:rPr>
        <w:noProof/>
      </w:rPr>
      <w:t>2</w:t>
    </w:r>
    <w:r w:rsidRPr="00FF72B8">
      <w:fldChar w:fldCharType="end"/>
    </w:r>
    <w:r w:rsidRPr="00FF72B8">
      <w:t xml:space="preserve"> -</w:t>
    </w:r>
  </w:p>
  <w:bookmarkEnd w:id="9"/>
  <w:bookmarkEnd w:id="10"/>
  <w:p w14:paraId="5F0186ED" w14:textId="3E84053C" w:rsidR="00BA255C" w:rsidRPr="00FF72B8" w:rsidRDefault="00BA255C" w:rsidP="00FF72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758E" w14:textId="77777777" w:rsidR="00FF72B8" w:rsidRPr="00FF72B8" w:rsidRDefault="00FF72B8" w:rsidP="00FF72B8">
    <w:pPr>
      <w:pStyle w:val="Header"/>
      <w:pBdr>
        <w:bottom w:val="single" w:sz="4" w:space="1" w:color="auto"/>
      </w:pBdr>
      <w:tabs>
        <w:tab w:val="clear" w:pos="4513"/>
        <w:tab w:val="clear" w:pos="9027"/>
      </w:tabs>
      <w:jc w:val="center"/>
    </w:pPr>
    <w:bookmarkStart w:id="11" w:name="_Hlk108710904"/>
    <w:bookmarkStart w:id="12" w:name="_Hlk108710905"/>
    <w:r w:rsidRPr="00FF72B8">
      <w:t>JOB/GC/204/Rev.11 • JOB/CTG/14/Rev.11</w:t>
    </w:r>
  </w:p>
  <w:p w14:paraId="5E7EB8CA" w14:textId="77777777" w:rsidR="00FF72B8" w:rsidRPr="00FF72B8" w:rsidRDefault="00FF72B8" w:rsidP="00FF72B8">
    <w:pPr>
      <w:pStyle w:val="Header"/>
      <w:pBdr>
        <w:bottom w:val="single" w:sz="4" w:space="1" w:color="auto"/>
      </w:pBdr>
      <w:tabs>
        <w:tab w:val="clear" w:pos="4513"/>
        <w:tab w:val="clear" w:pos="9027"/>
      </w:tabs>
      <w:jc w:val="center"/>
    </w:pPr>
  </w:p>
  <w:p w14:paraId="09E93C96" w14:textId="3E83B9E1" w:rsidR="00FF72B8" w:rsidRPr="00FF72B8" w:rsidRDefault="00FF72B8" w:rsidP="00FF72B8">
    <w:pPr>
      <w:pStyle w:val="Header"/>
      <w:pBdr>
        <w:bottom w:val="single" w:sz="4" w:space="1" w:color="auto"/>
      </w:pBdr>
      <w:tabs>
        <w:tab w:val="clear" w:pos="4513"/>
        <w:tab w:val="clear" w:pos="9027"/>
      </w:tabs>
      <w:jc w:val="center"/>
    </w:pPr>
    <w:r w:rsidRPr="00FF72B8">
      <w:t xml:space="preserve">- </w:t>
    </w:r>
    <w:r w:rsidRPr="00FF72B8">
      <w:fldChar w:fldCharType="begin"/>
    </w:r>
    <w:r w:rsidRPr="00FF72B8">
      <w:instrText xml:space="preserve"> PAGE </w:instrText>
    </w:r>
    <w:r w:rsidRPr="00FF72B8">
      <w:fldChar w:fldCharType="separate"/>
    </w:r>
    <w:r w:rsidRPr="00FF72B8">
      <w:rPr>
        <w:noProof/>
      </w:rPr>
      <w:t>3</w:t>
    </w:r>
    <w:r w:rsidRPr="00FF72B8">
      <w:fldChar w:fldCharType="end"/>
    </w:r>
    <w:r w:rsidRPr="00FF72B8">
      <w:t xml:space="preserve"> -</w:t>
    </w:r>
  </w:p>
  <w:bookmarkEnd w:id="11"/>
  <w:bookmarkEnd w:id="12"/>
  <w:p w14:paraId="0371D157" w14:textId="487349F6" w:rsidR="00BA255C" w:rsidRPr="00FF72B8" w:rsidRDefault="00BA255C" w:rsidP="00FF72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0B34017" w14:textId="77777777" w:rsidTr="00544326">
      <w:trPr>
        <w:trHeight w:val="240"/>
        <w:jc w:val="center"/>
      </w:trPr>
      <w:tc>
        <w:tcPr>
          <w:tcW w:w="3794" w:type="dxa"/>
          <w:shd w:val="clear" w:color="auto" w:fill="FFFFFF"/>
          <w:tcMar>
            <w:left w:w="108" w:type="dxa"/>
            <w:right w:w="108" w:type="dxa"/>
          </w:tcMar>
          <w:vAlign w:val="center"/>
        </w:tcPr>
        <w:p w14:paraId="6301630C" w14:textId="77777777" w:rsidR="00ED54E0" w:rsidRPr="00182B84" w:rsidRDefault="00ED54E0" w:rsidP="00425DC5">
          <w:pPr>
            <w:rPr>
              <w:noProof/>
              <w:lang w:eastAsia="en-GB"/>
            </w:rPr>
          </w:pPr>
          <w:bookmarkStart w:id="17" w:name="bmkRestricted" w:colFirst="1" w:colLast="1"/>
          <w:bookmarkStart w:id="18" w:name="_Hlk108710910"/>
          <w:bookmarkStart w:id="19" w:name="_Hlk108710911"/>
        </w:p>
      </w:tc>
      <w:tc>
        <w:tcPr>
          <w:tcW w:w="5448" w:type="dxa"/>
          <w:gridSpan w:val="2"/>
          <w:shd w:val="clear" w:color="auto" w:fill="FFFFFF"/>
          <w:tcMar>
            <w:left w:w="108" w:type="dxa"/>
            <w:right w:w="108" w:type="dxa"/>
          </w:tcMar>
          <w:vAlign w:val="center"/>
        </w:tcPr>
        <w:p w14:paraId="4741C1C3" w14:textId="1912EED6" w:rsidR="00ED54E0" w:rsidRPr="00182B84" w:rsidRDefault="00FF72B8" w:rsidP="00425DC5">
          <w:pPr>
            <w:jc w:val="right"/>
            <w:rPr>
              <w:b/>
              <w:color w:val="FF0000"/>
              <w:szCs w:val="16"/>
            </w:rPr>
          </w:pPr>
          <w:r>
            <w:rPr>
              <w:b/>
              <w:color w:val="FF0000"/>
              <w:szCs w:val="16"/>
            </w:rPr>
            <w:t xml:space="preserve"> </w:t>
          </w:r>
        </w:p>
      </w:tc>
    </w:tr>
    <w:bookmarkEnd w:id="17"/>
    <w:tr w:rsidR="00ED54E0" w:rsidRPr="00182B84" w14:paraId="5D9FB667" w14:textId="77777777" w:rsidTr="00544326">
      <w:trPr>
        <w:trHeight w:val="213"/>
        <w:jc w:val="center"/>
      </w:trPr>
      <w:tc>
        <w:tcPr>
          <w:tcW w:w="3794" w:type="dxa"/>
          <w:vMerge w:val="restart"/>
          <w:shd w:val="clear" w:color="auto" w:fill="FFFFFF"/>
          <w:tcMar>
            <w:left w:w="0" w:type="dxa"/>
            <w:right w:w="0" w:type="dxa"/>
          </w:tcMar>
        </w:tcPr>
        <w:p w14:paraId="37AE7B90" w14:textId="77777777" w:rsidR="00ED54E0" w:rsidRPr="00182B84" w:rsidRDefault="00ED54E0" w:rsidP="00425DC5">
          <w:pPr>
            <w:jc w:val="left"/>
          </w:pPr>
          <w:r w:rsidRPr="00182B84">
            <w:rPr>
              <w:noProof/>
              <w:lang w:val="en-US"/>
            </w:rPr>
            <w:drawing>
              <wp:inline distT="0" distB="0" distL="0" distR="0" wp14:anchorId="7951309A" wp14:editId="3AC28413">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C7088C" w14:textId="77777777" w:rsidR="00ED54E0" w:rsidRPr="00182B84" w:rsidRDefault="00ED54E0" w:rsidP="00425DC5">
          <w:pPr>
            <w:jc w:val="right"/>
            <w:rPr>
              <w:b/>
              <w:szCs w:val="16"/>
            </w:rPr>
          </w:pPr>
        </w:p>
      </w:tc>
    </w:tr>
    <w:tr w:rsidR="00ED54E0" w:rsidRPr="00182B84" w14:paraId="4BED2694" w14:textId="77777777" w:rsidTr="00544326">
      <w:trPr>
        <w:trHeight w:val="868"/>
        <w:jc w:val="center"/>
      </w:trPr>
      <w:tc>
        <w:tcPr>
          <w:tcW w:w="3794" w:type="dxa"/>
          <w:vMerge/>
          <w:shd w:val="clear" w:color="auto" w:fill="FFFFFF"/>
          <w:tcMar>
            <w:left w:w="108" w:type="dxa"/>
            <w:right w:w="108" w:type="dxa"/>
          </w:tcMar>
        </w:tcPr>
        <w:p w14:paraId="53257B90"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74EEB3C" w14:textId="77777777" w:rsidR="00FF72B8" w:rsidRDefault="00FF72B8" w:rsidP="00425DC5">
          <w:pPr>
            <w:jc w:val="right"/>
            <w:rPr>
              <w:b/>
              <w:szCs w:val="16"/>
            </w:rPr>
          </w:pPr>
          <w:bookmarkStart w:id="20" w:name="bmkSymbols"/>
          <w:r>
            <w:rPr>
              <w:b/>
              <w:szCs w:val="16"/>
            </w:rPr>
            <w:t>JOB/GC/204/Rev.11</w:t>
          </w:r>
        </w:p>
        <w:p w14:paraId="5825BDD9" w14:textId="77777777" w:rsidR="00FF72B8" w:rsidRDefault="00FF72B8" w:rsidP="00425DC5">
          <w:pPr>
            <w:jc w:val="right"/>
            <w:rPr>
              <w:b/>
              <w:szCs w:val="16"/>
            </w:rPr>
          </w:pPr>
          <w:r>
            <w:rPr>
              <w:b/>
              <w:szCs w:val="16"/>
            </w:rPr>
            <w:t>JOB/CTG/14/Rev.11</w:t>
          </w:r>
        </w:p>
        <w:bookmarkEnd w:id="20"/>
        <w:p w14:paraId="5FC2B6D6" w14:textId="09A3489F" w:rsidR="00ED54E0" w:rsidRPr="00182B84" w:rsidRDefault="00ED54E0" w:rsidP="00425DC5">
          <w:pPr>
            <w:jc w:val="right"/>
            <w:rPr>
              <w:b/>
              <w:szCs w:val="16"/>
            </w:rPr>
          </w:pPr>
        </w:p>
      </w:tc>
    </w:tr>
    <w:tr w:rsidR="00ED54E0" w:rsidRPr="00182B84" w14:paraId="5F7711FB" w14:textId="77777777" w:rsidTr="00544326">
      <w:trPr>
        <w:trHeight w:val="240"/>
        <w:jc w:val="center"/>
      </w:trPr>
      <w:tc>
        <w:tcPr>
          <w:tcW w:w="3794" w:type="dxa"/>
          <w:vMerge/>
          <w:shd w:val="clear" w:color="auto" w:fill="FFFFFF"/>
          <w:tcMar>
            <w:left w:w="108" w:type="dxa"/>
            <w:right w:w="108" w:type="dxa"/>
          </w:tcMar>
          <w:vAlign w:val="center"/>
        </w:tcPr>
        <w:p w14:paraId="63EDD8C0" w14:textId="77777777" w:rsidR="00ED54E0" w:rsidRPr="00182B84" w:rsidRDefault="00ED54E0" w:rsidP="00425DC5"/>
      </w:tc>
      <w:tc>
        <w:tcPr>
          <w:tcW w:w="5448" w:type="dxa"/>
          <w:gridSpan w:val="2"/>
          <w:shd w:val="clear" w:color="auto" w:fill="FFFFFF"/>
          <w:tcMar>
            <w:left w:w="108" w:type="dxa"/>
            <w:right w:w="108" w:type="dxa"/>
          </w:tcMar>
          <w:vAlign w:val="center"/>
        </w:tcPr>
        <w:p w14:paraId="36A1278D" w14:textId="1D8753EF" w:rsidR="00ED54E0" w:rsidRPr="00182B84" w:rsidRDefault="002967CA" w:rsidP="008B50DE">
          <w:pPr>
            <w:jc w:val="right"/>
            <w:rPr>
              <w:szCs w:val="16"/>
            </w:rPr>
          </w:pPr>
          <w:r>
            <w:rPr>
              <w:szCs w:val="16"/>
            </w:rPr>
            <w:t>14</w:t>
          </w:r>
          <w:r w:rsidR="00FF72B8">
            <w:rPr>
              <w:szCs w:val="16"/>
            </w:rPr>
            <w:t xml:space="preserve"> July</w:t>
          </w:r>
          <w:r w:rsidR="008F3828">
            <w:rPr>
              <w:szCs w:val="16"/>
            </w:rPr>
            <w:t xml:space="preserve"> </w:t>
          </w:r>
          <w:r w:rsidR="00DC533C">
            <w:rPr>
              <w:szCs w:val="16"/>
            </w:rPr>
            <w:t>2022</w:t>
          </w:r>
        </w:p>
      </w:tc>
    </w:tr>
    <w:tr w:rsidR="00ED54E0" w:rsidRPr="00182B84" w14:paraId="748983A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F9A824" w14:textId="3A981CC2" w:rsidR="00ED54E0" w:rsidRPr="00182B84" w:rsidRDefault="00ED54E0" w:rsidP="00425DC5">
          <w:pPr>
            <w:jc w:val="left"/>
            <w:rPr>
              <w:b/>
            </w:rPr>
          </w:pPr>
          <w:bookmarkStart w:id="21" w:name="bmkSerial" w:colFirst="0" w:colLast="0"/>
          <w:r w:rsidRPr="00182B84">
            <w:rPr>
              <w:color w:val="FF0000"/>
              <w:szCs w:val="16"/>
            </w:rPr>
            <w:t>(</w:t>
          </w:r>
          <w:r w:rsidR="0096478D">
            <w:rPr>
              <w:color w:val="FF0000"/>
              <w:szCs w:val="16"/>
            </w:rPr>
            <w:t>2</w:t>
          </w:r>
          <w:r w:rsidR="00DC533C">
            <w:rPr>
              <w:color w:val="FF0000"/>
              <w:szCs w:val="16"/>
            </w:rPr>
            <w:t>2</w:t>
          </w:r>
          <w:r w:rsidRPr="00182B84">
            <w:rPr>
              <w:color w:val="FF0000"/>
              <w:szCs w:val="16"/>
            </w:rPr>
            <w:t>-</w:t>
          </w:r>
          <w:r w:rsidR="00E167CB">
            <w:rPr>
              <w:color w:val="FF0000"/>
              <w:szCs w:val="16"/>
            </w:rPr>
            <w:t>5386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5B464BE" w14:textId="77777777" w:rsidR="00ED54E0" w:rsidRPr="00182B84" w:rsidRDefault="00ED54E0" w:rsidP="00425DC5">
          <w:pPr>
            <w:jc w:val="right"/>
            <w:rPr>
              <w:szCs w:val="16"/>
            </w:rPr>
          </w:pPr>
          <w:bookmarkStart w:id="22"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523727">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523727">
            <w:rPr>
              <w:bCs/>
              <w:noProof/>
              <w:szCs w:val="16"/>
            </w:rPr>
            <w:t>4</w:t>
          </w:r>
          <w:r w:rsidRPr="00182B84">
            <w:rPr>
              <w:bCs/>
              <w:szCs w:val="16"/>
            </w:rPr>
            <w:fldChar w:fldCharType="end"/>
          </w:r>
          <w:bookmarkEnd w:id="22"/>
        </w:p>
      </w:tc>
    </w:tr>
    <w:tr w:rsidR="00ED54E0" w:rsidRPr="00182B84" w14:paraId="7DAD0CB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917C5E" w14:textId="77777777" w:rsidR="00FF72B8" w:rsidRDefault="00FF72B8" w:rsidP="00425DC5">
          <w:pPr>
            <w:jc w:val="left"/>
            <w:rPr>
              <w:b/>
            </w:rPr>
          </w:pPr>
          <w:bookmarkStart w:id="23" w:name="bmkCommittee"/>
          <w:bookmarkStart w:id="24" w:name="bmkLanguage" w:colFirst="1" w:colLast="1"/>
          <w:bookmarkEnd w:id="21"/>
          <w:r>
            <w:rPr>
              <w:b/>
            </w:rPr>
            <w:t>General Council</w:t>
          </w:r>
        </w:p>
        <w:p w14:paraId="50B650C8" w14:textId="735CDE2A" w:rsidR="00ED54E0" w:rsidRPr="00182B84" w:rsidRDefault="00FF72B8" w:rsidP="00425DC5">
          <w:pPr>
            <w:jc w:val="left"/>
            <w:rPr>
              <w:sz w:val="14"/>
              <w:szCs w:val="16"/>
            </w:rPr>
          </w:pPr>
          <w:r>
            <w:rPr>
              <w:b/>
            </w:rPr>
            <w:t>Council for Trade in Goods</w:t>
          </w:r>
          <w:bookmarkEnd w:id="23"/>
        </w:p>
      </w:tc>
      <w:tc>
        <w:tcPr>
          <w:tcW w:w="3325" w:type="dxa"/>
          <w:tcBorders>
            <w:top w:val="single" w:sz="4" w:space="0" w:color="auto"/>
          </w:tcBorders>
          <w:tcMar>
            <w:top w:w="113" w:type="dxa"/>
            <w:left w:w="108" w:type="dxa"/>
            <w:bottom w:w="57" w:type="dxa"/>
            <w:right w:w="108" w:type="dxa"/>
          </w:tcMar>
          <w:vAlign w:val="center"/>
        </w:tcPr>
        <w:p w14:paraId="7D45E69D" w14:textId="785B6C29" w:rsidR="00ED54E0" w:rsidRPr="00182B84" w:rsidRDefault="00FF72B8" w:rsidP="00425DC5">
          <w:pPr>
            <w:jc w:val="right"/>
            <w:rPr>
              <w:bCs/>
              <w:szCs w:val="18"/>
            </w:rPr>
          </w:pPr>
          <w:r>
            <w:rPr>
              <w:szCs w:val="18"/>
            </w:rPr>
            <w:t>Original: English</w:t>
          </w:r>
        </w:p>
      </w:tc>
    </w:tr>
    <w:bookmarkEnd w:id="18"/>
    <w:bookmarkEnd w:id="19"/>
    <w:bookmarkEnd w:id="24"/>
  </w:tbl>
  <w:p w14:paraId="3992FB2E" w14:textId="77777777" w:rsidR="00BA255C" w:rsidRDefault="00BA2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8006A"/>
    <w:multiLevelType w:val="hybridMultilevel"/>
    <w:tmpl w:val="6F8E5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376DC"/>
    <w:multiLevelType w:val="multilevel"/>
    <w:tmpl w:val="62B2E396"/>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tabs>
          <w:tab w:val="num" w:pos="1247"/>
        </w:tabs>
        <w:ind w:left="1247" w:hanging="340"/>
      </w:pPr>
      <w:rPr>
        <w:rFonts w:hint="default"/>
      </w:rPr>
    </w:lvl>
  </w:abstractNum>
  <w:abstractNum w:abstractNumId="12" w15:restartNumberingAfterBreak="0">
    <w:nsid w:val="23291031"/>
    <w:multiLevelType w:val="hybridMultilevel"/>
    <w:tmpl w:val="17FEEC56"/>
    <w:lvl w:ilvl="0" w:tplc="894A7ABC">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A76C35"/>
    <w:multiLevelType w:val="multilevel"/>
    <w:tmpl w:val="388CBEB2"/>
    <w:lvl w:ilvl="0">
      <w:start w:val="1"/>
      <w:numFmt w:val="decimal"/>
      <w:pStyle w:val="ListParagraph"/>
      <w:lvlText w:val="%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31B402C7"/>
    <w:multiLevelType w:val="hybridMultilevel"/>
    <w:tmpl w:val="59AC75C4"/>
    <w:lvl w:ilvl="0" w:tplc="AFD2B5F4">
      <w:start w:val="1"/>
      <w:numFmt w:val="low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A3AFB"/>
    <w:multiLevelType w:val="hybridMultilevel"/>
    <w:tmpl w:val="B9B60674"/>
    <w:lvl w:ilvl="0" w:tplc="1304DEF8">
      <w:start w:val="7"/>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3FE8B88">
      <w:start w:val="1"/>
      <w:numFmt w:val="lowerLetter"/>
      <w:lvlText w:val="(%2)"/>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56890CA">
      <w:start w:val="1"/>
      <w:numFmt w:val="lowerRoman"/>
      <w:lvlText w:val="%3"/>
      <w:lvlJc w:val="left"/>
      <w:pPr>
        <w:ind w:left="16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51E1264">
      <w:start w:val="1"/>
      <w:numFmt w:val="decimal"/>
      <w:lvlText w:val="%4"/>
      <w:lvlJc w:val="left"/>
      <w:pPr>
        <w:ind w:left="23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60EEA0">
      <w:start w:val="1"/>
      <w:numFmt w:val="lowerLetter"/>
      <w:lvlText w:val="%5"/>
      <w:lvlJc w:val="left"/>
      <w:pPr>
        <w:ind w:left="30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4308FD8">
      <w:start w:val="1"/>
      <w:numFmt w:val="lowerRoman"/>
      <w:lvlText w:val="%6"/>
      <w:lvlJc w:val="left"/>
      <w:pPr>
        <w:ind w:left="38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EE025E8">
      <w:start w:val="1"/>
      <w:numFmt w:val="decimal"/>
      <w:lvlText w:val="%7"/>
      <w:lvlJc w:val="left"/>
      <w:pPr>
        <w:ind w:left="45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E0A3F0">
      <w:start w:val="1"/>
      <w:numFmt w:val="lowerLetter"/>
      <w:lvlText w:val="%8"/>
      <w:lvlJc w:val="left"/>
      <w:pPr>
        <w:ind w:left="52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97C7F6C">
      <w:start w:val="1"/>
      <w:numFmt w:val="lowerRoman"/>
      <w:lvlText w:val="%9"/>
      <w:lvlJc w:val="left"/>
      <w:pPr>
        <w:ind w:left="59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C1A462C"/>
    <w:multiLevelType w:val="hybridMultilevel"/>
    <w:tmpl w:val="8FEA6792"/>
    <w:lvl w:ilvl="0" w:tplc="E3C8F084">
      <w:start w:val="3"/>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FD2B5F4">
      <w:start w:val="1"/>
      <w:numFmt w:val="lowerLetter"/>
      <w:lvlText w:val="(%2)"/>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4785FF8">
      <w:start w:val="1"/>
      <w:numFmt w:val="lowerRoman"/>
      <w:lvlText w:val="%3"/>
      <w:lvlJc w:val="left"/>
      <w:pPr>
        <w:ind w:left="16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D6DE48">
      <w:start w:val="1"/>
      <w:numFmt w:val="decimal"/>
      <w:lvlText w:val="%4"/>
      <w:lvlJc w:val="left"/>
      <w:pPr>
        <w:ind w:left="23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EDADFD4">
      <w:start w:val="1"/>
      <w:numFmt w:val="lowerLetter"/>
      <w:lvlText w:val="%5"/>
      <w:lvlJc w:val="left"/>
      <w:pPr>
        <w:ind w:left="30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89816D8">
      <w:start w:val="1"/>
      <w:numFmt w:val="lowerRoman"/>
      <w:lvlText w:val="%6"/>
      <w:lvlJc w:val="left"/>
      <w:pPr>
        <w:ind w:left="38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AC2258C">
      <w:start w:val="1"/>
      <w:numFmt w:val="decimal"/>
      <w:lvlText w:val="%7"/>
      <w:lvlJc w:val="left"/>
      <w:pPr>
        <w:ind w:left="45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00A0C8">
      <w:start w:val="1"/>
      <w:numFmt w:val="lowerLetter"/>
      <w:lvlText w:val="%8"/>
      <w:lvlJc w:val="left"/>
      <w:pPr>
        <w:ind w:left="52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D70F74A">
      <w:start w:val="1"/>
      <w:numFmt w:val="lowerRoman"/>
      <w:lvlText w:val="%9"/>
      <w:lvlJc w:val="left"/>
      <w:pPr>
        <w:ind w:left="59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23E69E1"/>
    <w:multiLevelType w:val="hybridMultilevel"/>
    <w:tmpl w:val="7CD0B54A"/>
    <w:lvl w:ilvl="0" w:tplc="50006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9" w15:restartNumberingAfterBreak="0">
    <w:nsid w:val="57454AB1"/>
    <w:multiLevelType w:val="multilevel"/>
    <w:tmpl w:val="075A666C"/>
    <w:numStyleLink w:val="LegalHeadings"/>
  </w:abstractNum>
  <w:abstractNum w:abstractNumId="20"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1" w15:restartNumberingAfterBreak="0">
    <w:nsid w:val="61373F43"/>
    <w:multiLevelType w:val="hybridMultilevel"/>
    <w:tmpl w:val="B134B280"/>
    <w:lvl w:ilvl="0" w:tplc="E8220B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E95DAC"/>
    <w:multiLevelType w:val="hybridMultilevel"/>
    <w:tmpl w:val="CC56B89C"/>
    <w:lvl w:ilvl="0" w:tplc="EAB246B8">
      <w:start w:val="10"/>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74A2010">
      <w:start w:val="1"/>
      <w:numFmt w:val="lowerLetter"/>
      <w:lvlText w:val="(%2)"/>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D9CE7A2">
      <w:start w:val="1"/>
      <w:numFmt w:val="lowerRoman"/>
      <w:lvlText w:val="(%3)"/>
      <w:lvlJc w:val="left"/>
      <w:pPr>
        <w:ind w:left="1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B8E73CA">
      <w:start w:val="1"/>
      <w:numFmt w:val="decimal"/>
      <w:lvlText w:val="%4"/>
      <w:lvlJc w:val="left"/>
      <w:pPr>
        <w:ind w:left="22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B560B64">
      <w:start w:val="1"/>
      <w:numFmt w:val="lowerLetter"/>
      <w:lvlText w:val="%5"/>
      <w:lvlJc w:val="left"/>
      <w:pPr>
        <w:ind w:left="29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0F4902A">
      <w:start w:val="1"/>
      <w:numFmt w:val="lowerRoman"/>
      <w:lvlText w:val="%6"/>
      <w:lvlJc w:val="left"/>
      <w:pPr>
        <w:ind w:left="36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F1AC3DA">
      <w:start w:val="1"/>
      <w:numFmt w:val="decimal"/>
      <w:lvlText w:val="%7"/>
      <w:lvlJc w:val="left"/>
      <w:pPr>
        <w:ind w:left="43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9A8C50">
      <w:start w:val="1"/>
      <w:numFmt w:val="lowerLetter"/>
      <w:lvlText w:val="%8"/>
      <w:lvlJc w:val="left"/>
      <w:pPr>
        <w:ind w:left="5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E408D34">
      <w:start w:val="1"/>
      <w:numFmt w:val="lowerRoman"/>
      <w:lvlText w:val="%9"/>
      <w:lvlJc w:val="left"/>
      <w:pPr>
        <w:ind w:left="5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68172DF"/>
    <w:multiLevelType w:val="hybridMultilevel"/>
    <w:tmpl w:val="9B34CB26"/>
    <w:lvl w:ilvl="0" w:tplc="9B1C167E">
      <w:start w:val="1"/>
      <w:numFmt w:val="decimal"/>
      <w:lvlText w:val="%1."/>
      <w:lvlJc w:val="left"/>
      <w:pPr>
        <w:ind w:left="100" w:hanging="568"/>
      </w:pPr>
      <w:rPr>
        <w:rFonts w:ascii="Verdana" w:eastAsia="Verdana" w:hAnsi="Verdana" w:cs="Verdana" w:hint="default"/>
        <w:spacing w:val="-21"/>
        <w:w w:val="100"/>
        <w:sz w:val="18"/>
        <w:szCs w:val="18"/>
      </w:rPr>
    </w:lvl>
    <w:lvl w:ilvl="1" w:tplc="4ED0F080">
      <w:start w:val="1"/>
      <w:numFmt w:val="lowerLetter"/>
      <w:lvlText w:val="(%2)"/>
      <w:lvlJc w:val="left"/>
      <w:pPr>
        <w:ind w:left="1221" w:hanging="568"/>
      </w:pPr>
      <w:rPr>
        <w:rFonts w:ascii="Verdana" w:eastAsia="Verdana" w:hAnsi="Verdana" w:cs="Verdana" w:hint="default"/>
        <w:spacing w:val="-21"/>
        <w:w w:val="100"/>
        <w:sz w:val="18"/>
        <w:szCs w:val="18"/>
      </w:rPr>
    </w:lvl>
    <w:lvl w:ilvl="2" w:tplc="F6D278BE">
      <w:start w:val="1"/>
      <w:numFmt w:val="lowerRoman"/>
      <w:lvlText w:val="(%3)"/>
      <w:lvlJc w:val="left"/>
      <w:pPr>
        <w:ind w:left="1802" w:hanging="568"/>
      </w:pPr>
      <w:rPr>
        <w:rFonts w:ascii="Verdana" w:eastAsia="Verdana" w:hAnsi="Verdana" w:cs="Verdana" w:hint="default"/>
        <w:spacing w:val="-25"/>
        <w:w w:val="100"/>
        <w:sz w:val="18"/>
        <w:szCs w:val="18"/>
      </w:rPr>
    </w:lvl>
    <w:lvl w:ilvl="3" w:tplc="7DCA2232">
      <w:numFmt w:val="bullet"/>
      <w:lvlText w:val="•"/>
      <w:lvlJc w:val="left"/>
      <w:pPr>
        <w:ind w:left="2730" w:hanging="568"/>
      </w:pPr>
    </w:lvl>
    <w:lvl w:ilvl="4" w:tplc="1C7C463C">
      <w:numFmt w:val="bullet"/>
      <w:lvlText w:val="•"/>
      <w:lvlJc w:val="left"/>
      <w:pPr>
        <w:ind w:left="3661" w:hanging="568"/>
      </w:pPr>
    </w:lvl>
    <w:lvl w:ilvl="5" w:tplc="F050E75C">
      <w:numFmt w:val="bullet"/>
      <w:lvlText w:val="•"/>
      <w:lvlJc w:val="left"/>
      <w:pPr>
        <w:ind w:left="4592" w:hanging="568"/>
      </w:pPr>
    </w:lvl>
    <w:lvl w:ilvl="6" w:tplc="3CEA6504">
      <w:numFmt w:val="bullet"/>
      <w:lvlText w:val="•"/>
      <w:lvlJc w:val="left"/>
      <w:pPr>
        <w:ind w:left="5523" w:hanging="568"/>
      </w:pPr>
    </w:lvl>
    <w:lvl w:ilvl="7" w:tplc="A11402A2">
      <w:numFmt w:val="bullet"/>
      <w:lvlText w:val="•"/>
      <w:lvlJc w:val="left"/>
      <w:pPr>
        <w:ind w:left="6454" w:hanging="568"/>
      </w:pPr>
    </w:lvl>
    <w:lvl w:ilvl="8" w:tplc="6608BE30">
      <w:numFmt w:val="bullet"/>
      <w:lvlText w:val="•"/>
      <w:lvlJc w:val="left"/>
      <w:pPr>
        <w:ind w:left="7384" w:hanging="568"/>
      </w:pPr>
    </w:lvl>
  </w:abstractNum>
  <w:abstractNum w:abstractNumId="25" w15:restartNumberingAfterBreak="0">
    <w:nsid w:val="78812CA5"/>
    <w:multiLevelType w:val="hybridMultilevel"/>
    <w:tmpl w:val="FB1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6C51D1"/>
    <w:multiLevelType w:val="hybridMultilevel"/>
    <w:tmpl w:val="06D2FBF8"/>
    <w:lvl w:ilvl="0" w:tplc="BAF603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8"/>
  </w:num>
  <w:num w:numId="3">
    <w:abstractNumId w:val="7"/>
  </w:num>
  <w:num w:numId="4">
    <w:abstractNumId w:val="6"/>
  </w:num>
  <w:num w:numId="5">
    <w:abstractNumId w:val="5"/>
  </w:num>
  <w:num w:numId="6">
    <w:abstractNumId w:val="20"/>
  </w:num>
  <w:num w:numId="7">
    <w:abstractNumId w:val="19"/>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num>
  <w:num w:numId="12">
    <w:abstractNumId w:val="4"/>
  </w:num>
  <w:num w:numId="13">
    <w:abstractNumId w:val="3"/>
  </w:num>
  <w:num w:numId="14">
    <w:abstractNumId w:val="2"/>
  </w:num>
  <w:num w:numId="15">
    <w:abstractNumId w:val="1"/>
  </w:num>
  <w:num w:numId="16">
    <w:abstractNumId w:val="26"/>
  </w:num>
  <w:num w:numId="17">
    <w:abstractNumId w:val="12"/>
  </w:num>
  <w:num w:numId="18">
    <w:abstractNumId w:val="17"/>
  </w:num>
  <w:num w:numId="19">
    <w:abstractNumId w:val="16"/>
  </w:num>
  <w:num w:numId="20">
    <w:abstractNumId w:val="15"/>
  </w:num>
  <w:num w:numId="21">
    <w:abstractNumId w:val="23"/>
  </w:num>
  <w:num w:numId="22">
    <w:abstractNumId w:val="24"/>
  </w:num>
  <w:num w:numId="23">
    <w:abstractNumId w:val="21"/>
  </w:num>
  <w:num w:numId="24">
    <w:abstractNumId w:val="24"/>
  </w:num>
  <w:num w:numId="25">
    <w:abstractNumId w:val="25"/>
  </w:num>
  <w:num w:numId="26">
    <w:abstractNumId w:val="14"/>
  </w:num>
  <w:num w:numId="27">
    <w:abstractNumId w:val="11"/>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12"/>
    <w:rsid w:val="000000B2"/>
    <w:rsid w:val="00005AA7"/>
    <w:rsid w:val="00015499"/>
    <w:rsid w:val="000272F6"/>
    <w:rsid w:val="00037AC4"/>
    <w:rsid w:val="000423BF"/>
    <w:rsid w:val="00055AAD"/>
    <w:rsid w:val="00070ED3"/>
    <w:rsid w:val="000751EE"/>
    <w:rsid w:val="000827A7"/>
    <w:rsid w:val="000973AC"/>
    <w:rsid w:val="000A4945"/>
    <w:rsid w:val="000B31E1"/>
    <w:rsid w:val="000B5391"/>
    <w:rsid w:val="000C1CAE"/>
    <w:rsid w:val="000F24FC"/>
    <w:rsid w:val="0011356B"/>
    <w:rsid w:val="0012594D"/>
    <w:rsid w:val="00131DE7"/>
    <w:rsid w:val="00131F7B"/>
    <w:rsid w:val="0013337F"/>
    <w:rsid w:val="001607B0"/>
    <w:rsid w:val="00182B84"/>
    <w:rsid w:val="001860BA"/>
    <w:rsid w:val="001938C8"/>
    <w:rsid w:val="001B16DE"/>
    <w:rsid w:val="001C01D3"/>
    <w:rsid w:val="001C59C5"/>
    <w:rsid w:val="001C72D0"/>
    <w:rsid w:val="001D6644"/>
    <w:rsid w:val="001E291F"/>
    <w:rsid w:val="001E2AC9"/>
    <w:rsid w:val="001F0A3A"/>
    <w:rsid w:val="002110B2"/>
    <w:rsid w:val="0022197A"/>
    <w:rsid w:val="0022788F"/>
    <w:rsid w:val="0023032C"/>
    <w:rsid w:val="00233408"/>
    <w:rsid w:val="00260D8E"/>
    <w:rsid w:val="00262D74"/>
    <w:rsid w:val="0027067B"/>
    <w:rsid w:val="002771F2"/>
    <w:rsid w:val="00277CB8"/>
    <w:rsid w:val="002967CA"/>
    <w:rsid w:val="002A56E1"/>
    <w:rsid w:val="002B0063"/>
    <w:rsid w:val="002B3388"/>
    <w:rsid w:val="002C147D"/>
    <w:rsid w:val="002C44B8"/>
    <w:rsid w:val="002D0ABD"/>
    <w:rsid w:val="002E58E3"/>
    <w:rsid w:val="00300F41"/>
    <w:rsid w:val="00311A12"/>
    <w:rsid w:val="003156C6"/>
    <w:rsid w:val="003265E1"/>
    <w:rsid w:val="00335C17"/>
    <w:rsid w:val="00337B86"/>
    <w:rsid w:val="003572B4"/>
    <w:rsid w:val="00360357"/>
    <w:rsid w:val="00360BDF"/>
    <w:rsid w:val="00362D6C"/>
    <w:rsid w:val="003653F8"/>
    <w:rsid w:val="003822F0"/>
    <w:rsid w:val="00392C28"/>
    <w:rsid w:val="003975A8"/>
    <w:rsid w:val="003A15AB"/>
    <w:rsid w:val="003C309A"/>
    <w:rsid w:val="00415241"/>
    <w:rsid w:val="00417393"/>
    <w:rsid w:val="00433960"/>
    <w:rsid w:val="00440E34"/>
    <w:rsid w:val="00445BDD"/>
    <w:rsid w:val="00453A40"/>
    <w:rsid w:val="004617ED"/>
    <w:rsid w:val="00467032"/>
    <w:rsid w:val="0046754A"/>
    <w:rsid w:val="004767D0"/>
    <w:rsid w:val="00492ABE"/>
    <w:rsid w:val="004A3FD2"/>
    <w:rsid w:val="004A753A"/>
    <w:rsid w:val="004C373B"/>
    <w:rsid w:val="004D6287"/>
    <w:rsid w:val="004E2989"/>
    <w:rsid w:val="004F203A"/>
    <w:rsid w:val="00503897"/>
    <w:rsid w:val="00523727"/>
    <w:rsid w:val="005336B8"/>
    <w:rsid w:val="0053671F"/>
    <w:rsid w:val="005401D5"/>
    <w:rsid w:val="00544326"/>
    <w:rsid w:val="00547B5F"/>
    <w:rsid w:val="00556730"/>
    <w:rsid w:val="005766F7"/>
    <w:rsid w:val="00581812"/>
    <w:rsid w:val="005A1A22"/>
    <w:rsid w:val="005B04B9"/>
    <w:rsid w:val="005B68C7"/>
    <w:rsid w:val="005B7054"/>
    <w:rsid w:val="005B7BE7"/>
    <w:rsid w:val="005D5981"/>
    <w:rsid w:val="005D6972"/>
    <w:rsid w:val="005E5A54"/>
    <w:rsid w:val="005F30CB"/>
    <w:rsid w:val="00612644"/>
    <w:rsid w:val="00616F0F"/>
    <w:rsid w:val="00617700"/>
    <w:rsid w:val="00625BF0"/>
    <w:rsid w:val="00636ACA"/>
    <w:rsid w:val="006439CF"/>
    <w:rsid w:val="006701C1"/>
    <w:rsid w:val="00674CCD"/>
    <w:rsid w:val="006839D2"/>
    <w:rsid w:val="00690C44"/>
    <w:rsid w:val="00691075"/>
    <w:rsid w:val="006B2F57"/>
    <w:rsid w:val="006C1707"/>
    <w:rsid w:val="006D5B6B"/>
    <w:rsid w:val="006F1CD6"/>
    <w:rsid w:val="006F2842"/>
    <w:rsid w:val="006F5826"/>
    <w:rsid w:val="00700181"/>
    <w:rsid w:val="00705FBF"/>
    <w:rsid w:val="0071264E"/>
    <w:rsid w:val="007141CF"/>
    <w:rsid w:val="007363BF"/>
    <w:rsid w:val="00740654"/>
    <w:rsid w:val="00745146"/>
    <w:rsid w:val="00751FE8"/>
    <w:rsid w:val="007577E3"/>
    <w:rsid w:val="00760DB3"/>
    <w:rsid w:val="00770089"/>
    <w:rsid w:val="00776FE9"/>
    <w:rsid w:val="00784CAF"/>
    <w:rsid w:val="0078759C"/>
    <w:rsid w:val="007934D3"/>
    <w:rsid w:val="007A4269"/>
    <w:rsid w:val="007A7343"/>
    <w:rsid w:val="007D1C70"/>
    <w:rsid w:val="007D697B"/>
    <w:rsid w:val="007E1E5A"/>
    <w:rsid w:val="007E4462"/>
    <w:rsid w:val="007E61F5"/>
    <w:rsid w:val="007E6507"/>
    <w:rsid w:val="007F253A"/>
    <w:rsid w:val="007F2B8E"/>
    <w:rsid w:val="007F32D1"/>
    <w:rsid w:val="007F36FB"/>
    <w:rsid w:val="00800582"/>
    <w:rsid w:val="00807247"/>
    <w:rsid w:val="00835A5B"/>
    <w:rsid w:val="00836847"/>
    <w:rsid w:val="00840C2B"/>
    <w:rsid w:val="00841EE5"/>
    <w:rsid w:val="0084439F"/>
    <w:rsid w:val="00855E7D"/>
    <w:rsid w:val="008739FD"/>
    <w:rsid w:val="00874157"/>
    <w:rsid w:val="00893E85"/>
    <w:rsid w:val="008950E0"/>
    <w:rsid w:val="00897312"/>
    <w:rsid w:val="008A2B1F"/>
    <w:rsid w:val="008A5F42"/>
    <w:rsid w:val="008B3732"/>
    <w:rsid w:val="008B50DE"/>
    <w:rsid w:val="008B7166"/>
    <w:rsid w:val="008C533F"/>
    <w:rsid w:val="008D60D9"/>
    <w:rsid w:val="008D637E"/>
    <w:rsid w:val="008E372C"/>
    <w:rsid w:val="008E546B"/>
    <w:rsid w:val="008F3828"/>
    <w:rsid w:val="00916047"/>
    <w:rsid w:val="009220E9"/>
    <w:rsid w:val="0092783A"/>
    <w:rsid w:val="00932A1B"/>
    <w:rsid w:val="00935D4A"/>
    <w:rsid w:val="00942C42"/>
    <w:rsid w:val="009456DF"/>
    <w:rsid w:val="00950FB0"/>
    <w:rsid w:val="00956E44"/>
    <w:rsid w:val="00964570"/>
    <w:rsid w:val="0096478D"/>
    <w:rsid w:val="009764A3"/>
    <w:rsid w:val="00990000"/>
    <w:rsid w:val="009A1536"/>
    <w:rsid w:val="009A6C4F"/>
    <w:rsid w:val="009A6F54"/>
    <w:rsid w:val="009E101C"/>
    <w:rsid w:val="009E2FEA"/>
    <w:rsid w:val="009E73B2"/>
    <w:rsid w:val="00A005A2"/>
    <w:rsid w:val="00A032EA"/>
    <w:rsid w:val="00A31E02"/>
    <w:rsid w:val="00A52B3A"/>
    <w:rsid w:val="00A6057A"/>
    <w:rsid w:val="00A6196D"/>
    <w:rsid w:val="00A72B61"/>
    <w:rsid w:val="00A73F6D"/>
    <w:rsid w:val="00A74017"/>
    <w:rsid w:val="00A7427E"/>
    <w:rsid w:val="00A74D35"/>
    <w:rsid w:val="00A7510C"/>
    <w:rsid w:val="00AA1F51"/>
    <w:rsid w:val="00AA332C"/>
    <w:rsid w:val="00AA370F"/>
    <w:rsid w:val="00AB693D"/>
    <w:rsid w:val="00AC27F8"/>
    <w:rsid w:val="00AC2B8F"/>
    <w:rsid w:val="00AD3AA8"/>
    <w:rsid w:val="00AD4B0E"/>
    <w:rsid w:val="00AD4C72"/>
    <w:rsid w:val="00AE2AEE"/>
    <w:rsid w:val="00AE318E"/>
    <w:rsid w:val="00B00276"/>
    <w:rsid w:val="00B0438E"/>
    <w:rsid w:val="00B165D4"/>
    <w:rsid w:val="00B17B69"/>
    <w:rsid w:val="00B230EC"/>
    <w:rsid w:val="00B231FF"/>
    <w:rsid w:val="00B234FA"/>
    <w:rsid w:val="00B314D4"/>
    <w:rsid w:val="00B33564"/>
    <w:rsid w:val="00B52738"/>
    <w:rsid w:val="00B56EDC"/>
    <w:rsid w:val="00B73239"/>
    <w:rsid w:val="00B8040B"/>
    <w:rsid w:val="00B8758E"/>
    <w:rsid w:val="00BA255C"/>
    <w:rsid w:val="00BA59E0"/>
    <w:rsid w:val="00BB0647"/>
    <w:rsid w:val="00BB1F84"/>
    <w:rsid w:val="00BB64BC"/>
    <w:rsid w:val="00BC7297"/>
    <w:rsid w:val="00BE5468"/>
    <w:rsid w:val="00BF301F"/>
    <w:rsid w:val="00BF37AE"/>
    <w:rsid w:val="00C0505A"/>
    <w:rsid w:val="00C07C1D"/>
    <w:rsid w:val="00C11EAC"/>
    <w:rsid w:val="00C15E6F"/>
    <w:rsid w:val="00C15F6D"/>
    <w:rsid w:val="00C305D7"/>
    <w:rsid w:val="00C30F2A"/>
    <w:rsid w:val="00C42718"/>
    <w:rsid w:val="00C43456"/>
    <w:rsid w:val="00C45F4B"/>
    <w:rsid w:val="00C47866"/>
    <w:rsid w:val="00C47A16"/>
    <w:rsid w:val="00C61E9F"/>
    <w:rsid w:val="00C65C0C"/>
    <w:rsid w:val="00C808FC"/>
    <w:rsid w:val="00C85F10"/>
    <w:rsid w:val="00C94E42"/>
    <w:rsid w:val="00C96D7C"/>
    <w:rsid w:val="00CA3B6E"/>
    <w:rsid w:val="00CB68A1"/>
    <w:rsid w:val="00CD5A39"/>
    <w:rsid w:val="00CD7D97"/>
    <w:rsid w:val="00CE3EE6"/>
    <w:rsid w:val="00CE4BA1"/>
    <w:rsid w:val="00CF08D0"/>
    <w:rsid w:val="00CF5961"/>
    <w:rsid w:val="00D000C7"/>
    <w:rsid w:val="00D221B8"/>
    <w:rsid w:val="00D2661C"/>
    <w:rsid w:val="00D42232"/>
    <w:rsid w:val="00D52A9D"/>
    <w:rsid w:val="00D55AAD"/>
    <w:rsid w:val="00D571BD"/>
    <w:rsid w:val="00D61557"/>
    <w:rsid w:val="00D61FD0"/>
    <w:rsid w:val="00D747AE"/>
    <w:rsid w:val="00D82830"/>
    <w:rsid w:val="00D85A73"/>
    <w:rsid w:val="00D9226C"/>
    <w:rsid w:val="00D96735"/>
    <w:rsid w:val="00DA0D06"/>
    <w:rsid w:val="00DA20BD"/>
    <w:rsid w:val="00DB2693"/>
    <w:rsid w:val="00DC533C"/>
    <w:rsid w:val="00DD4120"/>
    <w:rsid w:val="00DE50DB"/>
    <w:rsid w:val="00DE6170"/>
    <w:rsid w:val="00DE6D38"/>
    <w:rsid w:val="00DF6AE1"/>
    <w:rsid w:val="00E167CB"/>
    <w:rsid w:val="00E2114F"/>
    <w:rsid w:val="00E21813"/>
    <w:rsid w:val="00E22296"/>
    <w:rsid w:val="00E24D48"/>
    <w:rsid w:val="00E46FD5"/>
    <w:rsid w:val="00E52C0F"/>
    <w:rsid w:val="00E544BB"/>
    <w:rsid w:val="00E54E06"/>
    <w:rsid w:val="00E56545"/>
    <w:rsid w:val="00E6407F"/>
    <w:rsid w:val="00E67090"/>
    <w:rsid w:val="00E9119B"/>
    <w:rsid w:val="00EA5D4F"/>
    <w:rsid w:val="00EB038E"/>
    <w:rsid w:val="00EB6C56"/>
    <w:rsid w:val="00ED1D47"/>
    <w:rsid w:val="00ED54E0"/>
    <w:rsid w:val="00EE7D53"/>
    <w:rsid w:val="00EF5F02"/>
    <w:rsid w:val="00F00D8A"/>
    <w:rsid w:val="00F04A9D"/>
    <w:rsid w:val="00F07B9A"/>
    <w:rsid w:val="00F25CF0"/>
    <w:rsid w:val="00F32397"/>
    <w:rsid w:val="00F40595"/>
    <w:rsid w:val="00F41D8B"/>
    <w:rsid w:val="00F42F1E"/>
    <w:rsid w:val="00F87CBE"/>
    <w:rsid w:val="00F92FE1"/>
    <w:rsid w:val="00F9455D"/>
    <w:rsid w:val="00FA179F"/>
    <w:rsid w:val="00FA5EBC"/>
    <w:rsid w:val="00FB16F1"/>
    <w:rsid w:val="00FC3A79"/>
    <w:rsid w:val="00FC5F4E"/>
    <w:rsid w:val="00FD224A"/>
    <w:rsid w:val="00FF4616"/>
    <w:rsid w:val="00FF72B8"/>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7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9F"/>
    <w:pPr>
      <w:spacing w:after="0" w:line="240" w:lineRule="auto"/>
      <w:jc w:val="both"/>
    </w:pPr>
    <w:rPr>
      <w:rFonts w:ascii="Verdana" w:hAnsi="Verdana"/>
      <w:sz w:val="18"/>
    </w:rPr>
  </w:style>
  <w:style w:type="paragraph" w:styleId="Heading1">
    <w:name w:val="heading 1"/>
    <w:basedOn w:val="Normal"/>
    <w:next w:val="Heading2"/>
    <w:link w:val="Heading1Char"/>
    <w:uiPriority w:val="9"/>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1"/>
    <w:qFormat/>
    <w:rsid w:val="0071264E"/>
    <w:pPr>
      <w:numPr>
        <w:numId w:val="28"/>
      </w:numPr>
      <w:contextualSpacing/>
    </w:pPr>
    <w:rPr>
      <w:lang w:val="en-US"/>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styleId="Revision">
    <w:name w:val="Revision"/>
    <w:hidden/>
    <w:uiPriority w:val="99"/>
    <w:semiHidden/>
    <w:rsid w:val="005401D5"/>
    <w:pPr>
      <w:spacing w:after="0" w:line="240" w:lineRule="auto"/>
    </w:pPr>
    <w:rPr>
      <w:rFonts w:ascii="Verdana" w:hAnsi="Verdana"/>
      <w:sz w:val="18"/>
    </w:rPr>
  </w:style>
  <w:style w:type="paragraph" w:customStyle="1" w:styleId="footnotedescription">
    <w:name w:val="footnote description"/>
    <w:next w:val="Normal"/>
    <w:link w:val="footnotedescriptionChar"/>
    <w:hidden/>
    <w:rsid w:val="00C85F10"/>
    <w:pPr>
      <w:spacing w:after="1" w:line="244" w:lineRule="auto"/>
      <w:ind w:right="125" w:firstLine="568"/>
      <w:jc w:val="both"/>
    </w:pPr>
    <w:rPr>
      <w:rFonts w:ascii="Verdana" w:eastAsia="Verdana" w:hAnsi="Verdana" w:cs="Verdana"/>
      <w:color w:val="000000"/>
      <w:sz w:val="16"/>
      <w:lang w:val="en-US"/>
    </w:rPr>
  </w:style>
  <w:style w:type="character" w:customStyle="1" w:styleId="footnotedescriptionChar">
    <w:name w:val="footnote description Char"/>
    <w:link w:val="footnotedescription"/>
    <w:rsid w:val="00C85F10"/>
    <w:rPr>
      <w:rFonts w:ascii="Verdana" w:eastAsia="Verdana" w:hAnsi="Verdana" w:cs="Verdana"/>
      <w:color w:val="000000"/>
      <w:sz w:val="16"/>
      <w:lang w:val="en-US"/>
    </w:rPr>
  </w:style>
  <w:style w:type="character" w:customStyle="1" w:styleId="footnotemark">
    <w:name w:val="footnote mark"/>
    <w:hidden/>
    <w:rsid w:val="00C85F10"/>
    <w:rPr>
      <w:rFonts w:ascii="Verdana" w:eastAsia="Verdana" w:hAnsi="Verdana" w:cs="Verdana"/>
      <w:color w:val="000000"/>
      <w:sz w:val="16"/>
      <w:vertAlign w:val="superscript"/>
    </w:rPr>
  </w:style>
  <w:style w:type="paragraph" w:customStyle="1" w:styleId="Default">
    <w:name w:val="Default"/>
    <w:rsid w:val="0084439F"/>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697">
      <w:bodyDiv w:val="1"/>
      <w:marLeft w:val="0"/>
      <w:marRight w:val="0"/>
      <w:marTop w:val="0"/>
      <w:marBottom w:val="0"/>
      <w:divBdr>
        <w:top w:val="none" w:sz="0" w:space="0" w:color="auto"/>
        <w:left w:val="none" w:sz="0" w:space="0" w:color="auto"/>
        <w:bottom w:val="none" w:sz="0" w:space="0" w:color="auto"/>
        <w:right w:val="none" w:sz="0" w:space="0" w:color="auto"/>
      </w:divBdr>
    </w:div>
    <w:div w:id="50422939">
      <w:bodyDiv w:val="1"/>
      <w:marLeft w:val="0"/>
      <w:marRight w:val="0"/>
      <w:marTop w:val="0"/>
      <w:marBottom w:val="0"/>
      <w:divBdr>
        <w:top w:val="none" w:sz="0" w:space="0" w:color="auto"/>
        <w:left w:val="none" w:sz="0" w:space="0" w:color="auto"/>
        <w:bottom w:val="none" w:sz="0" w:space="0" w:color="auto"/>
        <w:right w:val="none" w:sz="0" w:space="0" w:color="auto"/>
      </w:divBdr>
    </w:div>
    <w:div w:id="151340751">
      <w:bodyDiv w:val="1"/>
      <w:marLeft w:val="0"/>
      <w:marRight w:val="0"/>
      <w:marTop w:val="0"/>
      <w:marBottom w:val="0"/>
      <w:divBdr>
        <w:top w:val="none" w:sz="0" w:space="0" w:color="auto"/>
        <w:left w:val="none" w:sz="0" w:space="0" w:color="auto"/>
        <w:bottom w:val="none" w:sz="0" w:space="0" w:color="auto"/>
        <w:right w:val="none" w:sz="0" w:space="0" w:color="auto"/>
      </w:divBdr>
    </w:div>
    <w:div w:id="190606373">
      <w:bodyDiv w:val="1"/>
      <w:marLeft w:val="0"/>
      <w:marRight w:val="0"/>
      <w:marTop w:val="0"/>
      <w:marBottom w:val="0"/>
      <w:divBdr>
        <w:top w:val="none" w:sz="0" w:space="0" w:color="auto"/>
        <w:left w:val="none" w:sz="0" w:space="0" w:color="auto"/>
        <w:bottom w:val="none" w:sz="0" w:space="0" w:color="auto"/>
        <w:right w:val="none" w:sz="0" w:space="0" w:color="auto"/>
      </w:divBdr>
    </w:div>
    <w:div w:id="251134793">
      <w:bodyDiv w:val="1"/>
      <w:marLeft w:val="0"/>
      <w:marRight w:val="0"/>
      <w:marTop w:val="0"/>
      <w:marBottom w:val="0"/>
      <w:divBdr>
        <w:top w:val="none" w:sz="0" w:space="0" w:color="auto"/>
        <w:left w:val="none" w:sz="0" w:space="0" w:color="auto"/>
        <w:bottom w:val="none" w:sz="0" w:space="0" w:color="auto"/>
        <w:right w:val="none" w:sz="0" w:space="0" w:color="auto"/>
      </w:divBdr>
    </w:div>
    <w:div w:id="276449270">
      <w:bodyDiv w:val="1"/>
      <w:marLeft w:val="0"/>
      <w:marRight w:val="0"/>
      <w:marTop w:val="0"/>
      <w:marBottom w:val="0"/>
      <w:divBdr>
        <w:top w:val="none" w:sz="0" w:space="0" w:color="auto"/>
        <w:left w:val="none" w:sz="0" w:space="0" w:color="auto"/>
        <w:bottom w:val="none" w:sz="0" w:space="0" w:color="auto"/>
        <w:right w:val="none" w:sz="0" w:space="0" w:color="auto"/>
      </w:divBdr>
    </w:div>
    <w:div w:id="312834763">
      <w:bodyDiv w:val="1"/>
      <w:marLeft w:val="0"/>
      <w:marRight w:val="0"/>
      <w:marTop w:val="0"/>
      <w:marBottom w:val="0"/>
      <w:divBdr>
        <w:top w:val="none" w:sz="0" w:space="0" w:color="auto"/>
        <w:left w:val="none" w:sz="0" w:space="0" w:color="auto"/>
        <w:bottom w:val="none" w:sz="0" w:space="0" w:color="auto"/>
        <w:right w:val="none" w:sz="0" w:space="0" w:color="auto"/>
      </w:divBdr>
    </w:div>
    <w:div w:id="437721539">
      <w:bodyDiv w:val="1"/>
      <w:marLeft w:val="0"/>
      <w:marRight w:val="0"/>
      <w:marTop w:val="0"/>
      <w:marBottom w:val="0"/>
      <w:divBdr>
        <w:top w:val="none" w:sz="0" w:space="0" w:color="auto"/>
        <w:left w:val="none" w:sz="0" w:space="0" w:color="auto"/>
        <w:bottom w:val="none" w:sz="0" w:space="0" w:color="auto"/>
        <w:right w:val="none" w:sz="0" w:space="0" w:color="auto"/>
      </w:divBdr>
    </w:div>
    <w:div w:id="577373276">
      <w:bodyDiv w:val="1"/>
      <w:marLeft w:val="0"/>
      <w:marRight w:val="0"/>
      <w:marTop w:val="0"/>
      <w:marBottom w:val="0"/>
      <w:divBdr>
        <w:top w:val="none" w:sz="0" w:space="0" w:color="auto"/>
        <w:left w:val="none" w:sz="0" w:space="0" w:color="auto"/>
        <w:bottom w:val="none" w:sz="0" w:space="0" w:color="auto"/>
        <w:right w:val="none" w:sz="0" w:space="0" w:color="auto"/>
      </w:divBdr>
    </w:div>
    <w:div w:id="648023477">
      <w:bodyDiv w:val="1"/>
      <w:marLeft w:val="0"/>
      <w:marRight w:val="0"/>
      <w:marTop w:val="0"/>
      <w:marBottom w:val="0"/>
      <w:divBdr>
        <w:top w:val="none" w:sz="0" w:space="0" w:color="auto"/>
        <w:left w:val="none" w:sz="0" w:space="0" w:color="auto"/>
        <w:bottom w:val="none" w:sz="0" w:space="0" w:color="auto"/>
        <w:right w:val="none" w:sz="0" w:space="0" w:color="auto"/>
      </w:divBdr>
    </w:div>
    <w:div w:id="677924629">
      <w:bodyDiv w:val="1"/>
      <w:marLeft w:val="0"/>
      <w:marRight w:val="0"/>
      <w:marTop w:val="0"/>
      <w:marBottom w:val="0"/>
      <w:divBdr>
        <w:top w:val="none" w:sz="0" w:space="0" w:color="auto"/>
        <w:left w:val="none" w:sz="0" w:space="0" w:color="auto"/>
        <w:bottom w:val="none" w:sz="0" w:space="0" w:color="auto"/>
        <w:right w:val="none" w:sz="0" w:space="0" w:color="auto"/>
      </w:divBdr>
    </w:div>
    <w:div w:id="948391838">
      <w:bodyDiv w:val="1"/>
      <w:marLeft w:val="0"/>
      <w:marRight w:val="0"/>
      <w:marTop w:val="0"/>
      <w:marBottom w:val="0"/>
      <w:divBdr>
        <w:top w:val="none" w:sz="0" w:space="0" w:color="auto"/>
        <w:left w:val="none" w:sz="0" w:space="0" w:color="auto"/>
        <w:bottom w:val="none" w:sz="0" w:space="0" w:color="auto"/>
        <w:right w:val="none" w:sz="0" w:space="0" w:color="auto"/>
      </w:divBdr>
    </w:div>
    <w:div w:id="1014109712">
      <w:bodyDiv w:val="1"/>
      <w:marLeft w:val="0"/>
      <w:marRight w:val="0"/>
      <w:marTop w:val="0"/>
      <w:marBottom w:val="0"/>
      <w:divBdr>
        <w:top w:val="none" w:sz="0" w:space="0" w:color="auto"/>
        <w:left w:val="none" w:sz="0" w:space="0" w:color="auto"/>
        <w:bottom w:val="none" w:sz="0" w:space="0" w:color="auto"/>
        <w:right w:val="none" w:sz="0" w:space="0" w:color="auto"/>
      </w:divBdr>
    </w:div>
    <w:div w:id="1447501659">
      <w:bodyDiv w:val="1"/>
      <w:marLeft w:val="0"/>
      <w:marRight w:val="0"/>
      <w:marTop w:val="0"/>
      <w:marBottom w:val="0"/>
      <w:divBdr>
        <w:top w:val="none" w:sz="0" w:space="0" w:color="auto"/>
        <w:left w:val="none" w:sz="0" w:space="0" w:color="auto"/>
        <w:bottom w:val="none" w:sz="0" w:space="0" w:color="auto"/>
        <w:right w:val="none" w:sz="0" w:space="0" w:color="auto"/>
      </w:divBdr>
    </w:div>
    <w:div w:id="1531915678">
      <w:bodyDiv w:val="1"/>
      <w:marLeft w:val="0"/>
      <w:marRight w:val="0"/>
      <w:marTop w:val="0"/>
      <w:marBottom w:val="0"/>
      <w:divBdr>
        <w:top w:val="none" w:sz="0" w:space="0" w:color="auto"/>
        <w:left w:val="none" w:sz="0" w:space="0" w:color="auto"/>
        <w:bottom w:val="none" w:sz="0" w:space="0" w:color="auto"/>
        <w:right w:val="none" w:sz="0" w:space="0" w:color="auto"/>
      </w:divBdr>
    </w:div>
    <w:div w:id="2032608912">
      <w:bodyDiv w:val="1"/>
      <w:marLeft w:val="0"/>
      <w:marRight w:val="0"/>
      <w:marTop w:val="0"/>
      <w:marBottom w:val="0"/>
      <w:divBdr>
        <w:top w:val="none" w:sz="0" w:space="0" w:color="auto"/>
        <w:left w:val="none" w:sz="0" w:space="0" w:color="auto"/>
        <w:bottom w:val="none" w:sz="0" w:space="0" w:color="auto"/>
        <w:right w:val="none" w:sz="0" w:space="0" w:color="auto"/>
      </w:divBdr>
    </w:div>
    <w:div w:id="204020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2B91-3905-4A75-969C-AE43D786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3</Pages>
  <Words>1115</Words>
  <Characters>6914</Characters>
  <Application>Microsoft Office Word</Application>
  <DocSecurity>0</DocSecurity>
  <Lines>150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2019-03-29T09:46:00Z</cp:lastPrinted>
  <dcterms:created xsi:type="dcterms:W3CDTF">2022-07-14T14:59:00Z</dcterms:created>
  <dcterms:modified xsi:type="dcterms:W3CDTF">2022-07-14T15:24:00Z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ef06da2e-bc32-428d-9031-eeba58103feb</vt:lpwstr>
  </property>
  <property fmtid="{D5CDD505-2E9C-101B-9397-08002B2CF9AE}" pid="3" name="WTOCLASSIFICATION">
    <vt:lpwstr>WTO OFFICIAL</vt:lpwstr>
  </property>
  <property fmtid="{D5CDD505-2E9C-101B-9397-08002B2CF9AE}" pid="4" name="Symbol1">
    <vt:lpwstr>JOB/GC/204/Rev.11</vt:lpwstr>
  </property>
  <property fmtid="{D5CDD505-2E9C-101B-9397-08002B2CF9AE}" pid="5" name="Symbol2">
    <vt:lpwstr>JOB/CTG/14/Rev.11</vt:lpwstr>
  </property>
</Properties>
</file>