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FE9DF" w14:textId="77777777" w:rsidR="00926D2A" w:rsidRDefault="00D06B57" w:rsidP="00926D2A">
      <w:pPr>
        <w:pStyle w:val="Title"/>
      </w:pPr>
      <w:r>
        <w:t xml:space="preserve">notification of </w:t>
      </w:r>
      <w:r w:rsidR="00926D2A">
        <w:t xml:space="preserve">statistics UNDER ARTICLE XVI:4 of THE REVISED </w:t>
      </w:r>
      <w:r w:rsidR="00F91C4A">
        <w:t>Agreement on government procurement</w:t>
      </w:r>
    </w:p>
    <w:p w14:paraId="5392E7D1" w14:textId="3312B8AB" w:rsidR="00D06B57" w:rsidRPr="00AC2F56" w:rsidRDefault="004E2435" w:rsidP="00C877F7">
      <w:pPr>
        <w:pStyle w:val="Title2"/>
      </w:pPr>
      <w:r w:rsidRPr="00AC2F56">
        <w:t>Report by</w:t>
      </w:r>
      <w:r w:rsidR="009045FC">
        <w:t xml:space="preserve"> the</w:t>
      </w:r>
      <w:r w:rsidR="00D06B57" w:rsidRPr="00AC2F56">
        <w:t xml:space="preserve"> </w:t>
      </w:r>
      <w:r w:rsidR="00AC2F56" w:rsidRPr="00AC2F56">
        <w:t xml:space="preserve">European Union </w:t>
      </w:r>
      <w:r w:rsidRPr="00AC2F56">
        <w:t>for 201</w:t>
      </w:r>
      <w:r w:rsidR="00AC2F56" w:rsidRPr="00AC2F56">
        <w:t>4</w:t>
      </w:r>
      <w:r w:rsidR="00AC2F56">
        <w:t xml:space="preserve">, 2015 and </w:t>
      </w:r>
      <w:r w:rsidR="00AC2F56" w:rsidRPr="00AC2F56">
        <w:t>2016</w:t>
      </w:r>
      <w:r w:rsidR="00D06B57" w:rsidRPr="00AC2F56">
        <w:rPr>
          <w:rStyle w:val="FootnoteReference"/>
        </w:rPr>
        <w:footnoteReference w:id="1"/>
      </w:r>
      <w:bookmarkStart w:id="0" w:name="_GoBack"/>
      <w:bookmarkEnd w:id="0"/>
    </w:p>
    <w:p w14:paraId="45D41411" w14:textId="027FBB6E" w:rsidR="00D06B57" w:rsidRDefault="00D06B57" w:rsidP="00D06B57">
      <w:r>
        <w:t xml:space="preserve">The following </w:t>
      </w:r>
      <w:r w:rsidR="00D535BA">
        <w:t>notification</w:t>
      </w:r>
      <w:r>
        <w:t xml:space="preserve">, dated </w:t>
      </w:r>
      <w:r w:rsidR="00AC2F56">
        <w:t>20 February 2020</w:t>
      </w:r>
      <w:r>
        <w:t>, is being circulated at the request of the</w:t>
      </w:r>
      <w:r w:rsidR="003D4ECF">
        <w:t> </w:t>
      </w:r>
      <w:r>
        <w:t xml:space="preserve">Delegation of </w:t>
      </w:r>
      <w:r w:rsidR="00AC2F56">
        <w:t>the European Union</w:t>
      </w:r>
      <w:r>
        <w:t>.</w:t>
      </w:r>
    </w:p>
    <w:p w14:paraId="7412B387" w14:textId="77777777" w:rsidR="001925AC" w:rsidRDefault="001925AC" w:rsidP="001925AC"/>
    <w:p w14:paraId="0C7E3CB4" w14:textId="77777777" w:rsidR="001925AC" w:rsidRDefault="001925AC" w:rsidP="001925AC">
      <w:pPr>
        <w:jc w:val="center"/>
        <w:rPr>
          <w:b/>
        </w:rPr>
      </w:pPr>
      <w:r>
        <w:rPr>
          <w:b/>
        </w:rPr>
        <w:t>_______________</w:t>
      </w:r>
    </w:p>
    <w:p w14:paraId="72D29B10" w14:textId="51AB9F85" w:rsidR="009830A8" w:rsidRDefault="009830A8" w:rsidP="009830A8">
      <w:pPr>
        <w:pStyle w:val="Title"/>
      </w:pPr>
      <w:r>
        <w:t xml:space="preserve">STATISTICAL REPORT 2014, 2015 AND 2016 ON PUBLIC PROCUREMENT </w:t>
      </w:r>
    </w:p>
    <w:p w14:paraId="61EB8634" w14:textId="40139559" w:rsidR="00BD115D" w:rsidRDefault="009830A8" w:rsidP="009830A8">
      <w:pPr>
        <w:pStyle w:val="Title"/>
      </w:pPr>
      <w:r>
        <w:t>ACCORDING TO THE AGREEMENT ON GOVERNMENT PROCUREMENT</w:t>
      </w:r>
    </w:p>
    <w:p w14:paraId="2388574D" w14:textId="461DC533" w:rsidR="00BD115D" w:rsidRDefault="009830A8" w:rsidP="009830A8">
      <w:pPr>
        <w:rPr>
          <w:b/>
        </w:rPr>
      </w:pPr>
      <w:r w:rsidRPr="009830A8">
        <w:t>The European Union is pleased to submit to the GPA Committee its statistical report for the years 2014, 2015, and 2016. For the purpose of this report, and with the intention of further increasing transparency by a comprehensive use of electronic means, the EU resorts, for the first time, to the</w:t>
      </w:r>
      <w:r w:rsidR="003A1C34">
        <w:t> </w:t>
      </w:r>
      <w:r w:rsidRPr="009830A8">
        <w:t>opportunity offered by Article XVI, paragraph 5 of the Revised GPA.</w:t>
      </w:r>
    </w:p>
    <w:p w14:paraId="4089F9B8" w14:textId="77777777" w:rsidR="001925AC" w:rsidRDefault="001925AC" w:rsidP="001925AC"/>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03"/>
        <w:gridCol w:w="6993"/>
      </w:tblGrid>
      <w:tr w:rsidR="00B020E2" w:rsidRPr="009E7C2F" w14:paraId="4D1C67E0" w14:textId="77777777" w:rsidTr="00EF7C58">
        <w:trPr>
          <w:trHeight w:val="252"/>
        </w:trPr>
        <w:tc>
          <w:tcPr>
            <w:tcW w:w="1113" w:type="pct"/>
            <w:tcMar>
              <w:top w:w="57" w:type="dxa"/>
              <w:left w:w="108" w:type="dxa"/>
              <w:bottom w:w="57" w:type="dxa"/>
              <w:right w:w="108" w:type="dxa"/>
            </w:tcMar>
            <w:hideMark/>
          </w:tcPr>
          <w:p w14:paraId="083DCC08" w14:textId="77777777" w:rsidR="00B020E2" w:rsidRPr="009E7C2F" w:rsidRDefault="00B020E2" w:rsidP="008F79BF">
            <w:pPr>
              <w:jc w:val="left"/>
              <w:rPr>
                <w:b/>
                <w:szCs w:val="18"/>
              </w:rPr>
            </w:pPr>
            <w:r w:rsidRPr="009E7C2F">
              <w:rPr>
                <w:b/>
                <w:szCs w:val="18"/>
              </w:rPr>
              <w:t>Notifying Party</w:t>
            </w:r>
          </w:p>
        </w:tc>
        <w:tc>
          <w:tcPr>
            <w:tcW w:w="3887" w:type="pct"/>
            <w:tcMar>
              <w:top w:w="57" w:type="dxa"/>
              <w:left w:w="108" w:type="dxa"/>
              <w:bottom w:w="57" w:type="dxa"/>
              <w:right w:w="108" w:type="dxa"/>
            </w:tcMar>
            <w:hideMark/>
          </w:tcPr>
          <w:p w14:paraId="45C90D9F" w14:textId="44B032A3" w:rsidR="00B020E2" w:rsidRPr="009E7C2F" w:rsidRDefault="009830A8" w:rsidP="008F79BF">
            <w:pPr>
              <w:ind w:left="567" w:hanging="567"/>
              <w:rPr>
                <w:szCs w:val="18"/>
              </w:rPr>
            </w:pPr>
            <w:r w:rsidRPr="009E7C2F">
              <w:rPr>
                <w:szCs w:val="18"/>
              </w:rPr>
              <w:t>The European Union</w:t>
            </w:r>
          </w:p>
        </w:tc>
      </w:tr>
      <w:tr w:rsidR="00B020E2" w:rsidRPr="009E7C2F" w14:paraId="08E2E00F" w14:textId="77777777" w:rsidTr="00EF7C58">
        <w:trPr>
          <w:trHeight w:val="172"/>
        </w:trPr>
        <w:tc>
          <w:tcPr>
            <w:tcW w:w="1113" w:type="pct"/>
            <w:tcMar>
              <w:top w:w="57" w:type="dxa"/>
              <w:left w:w="108" w:type="dxa"/>
              <w:bottom w:w="57" w:type="dxa"/>
              <w:right w:w="108" w:type="dxa"/>
            </w:tcMar>
            <w:hideMark/>
          </w:tcPr>
          <w:p w14:paraId="55C9D16B" w14:textId="77777777" w:rsidR="00B020E2" w:rsidRPr="009E7C2F" w:rsidRDefault="00B020E2" w:rsidP="008F79BF">
            <w:pPr>
              <w:jc w:val="left"/>
              <w:rPr>
                <w:b/>
                <w:szCs w:val="18"/>
              </w:rPr>
            </w:pPr>
            <w:r w:rsidRPr="009E7C2F">
              <w:rPr>
                <w:b/>
                <w:szCs w:val="18"/>
              </w:rPr>
              <w:t>Legal Basis</w:t>
            </w:r>
          </w:p>
        </w:tc>
        <w:tc>
          <w:tcPr>
            <w:tcW w:w="3887" w:type="pct"/>
            <w:tcMar>
              <w:top w:w="57" w:type="dxa"/>
              <w:left w:w="108" w:type="dxa"/>
              <w:bottom w:w="57" w:type="dxa"/>
              <w:right w:w="108" w:type="dxa"/>
            </w:tcMar>
            <w:hideMark/>
          </w:tcPr>
          <w:p w14:paraId="3A73D5EE" w14:textId="77777777" w:rsidR="00B020E2" w:rsidRPr="009E7C2F" w:rsidRDefault="00B020E2" w:rsidP="00B020E2">
            <w:pPr>
              <w:ind w:left="567" w:hanging="567"/>
              <w:rPr>
                <w:smallCaps/>
                <w:szCs w:val="18"/>
              </w:rPr>
            </w:pPr>
            <w:r w:rsidRPr="009E7C2F">
              <w:rPr>
                <w:szCs w:val="18"/>
              </w:rPr>
              <w:t>Article XVI:4 of the revised GPA</w:t>
            </w:r>
          </w:p>
        </w:tc>
      </w:tr>
      <w:tr w:rsidR="003756C1" w:rsidRPr="009E7C2F" w14:paraId="7958EFE9" w14:textId="77777777" w:rsidTr="004D75C8">
        <w:trPr>
          <w:trHeight w:val="249"/>
        </w:trPr>
        <w:tc>
          <w:tcPr>
            <w:tcW w:w="1113" w:type="pct"/>
            <w:tcBorders>
              <w:bottom w:val="single" w:sz="4" w:space="0" w:color="auto"/>
            </w:tcBorders>
            <w:tcMar>
              <w:top w:w="57" w:type="dxa"/>
              <w:left w:w="108" w:type="dxa"/>
              <w:bottom w:w="57" w:type="dxa"/>
              <w:right w:w="108" w:type="dxa"/>
            </w:tcMar>
            <w:hideMark/>
          </w:tcPr>
          <w:p w14:paraId="02BA55B4" w14:textId="77777777" w:rsidR="003756C1" w:rsidRPr="009E7C2F" w:rsidRDefault="003756C1" w:rsidP="008F79BF">
            <w:pPr>
              <w:jc w:val="left"/>
              <w:rPr>
                <w:b/>
                <w:szCs w:val="18"/>
              </w:rPr>
            </w:pPr>
            <w:r w:rsidRPr="009E7C2F">
              <w:rPr>
                <w:b/>
                <w:szCs w:val="18"/>
              </w:rPr>
              <w:t>Reporting period</w:t>
            </w:r>
          </w:p>
        </w:tc>
        <w:tc>
          <w:tcPr>
            <w:tcW w:w="3887" w:type="pct"/>
            <w:tcBorders>
              <w:bottom w:val="single" w:sz="4" w:space="0" w:color="auto"/>
            </w:tcBorders>
            <w:tcMar>
              <w:top w:w="57" w:type="dxa"/>
              <w:left w:w="108" w:type="dxa"/>
              <w:bottom w:w="57" w:type="dxa"/>
              <w:right w:w="108" w:type="dxa"/>
            </w:tcMar>
            <w:hideMark/>
          </w:tcPr>
          <w:p w14:paraId="41767AFC" w14:textId="46F41E73" w:rsidR="003756C1" w:rsidRPr="009E7C2F" w:rsidRDefault="003756C1" w:rsidP="008F79BF">
            <w:pPr>
              <w:rPr>
                <w:smallCaps/>
                <w:szCs w:val="18"/>
                <w:lang w:eastAsia="en-GB"/>
              </w:rPr>
            </w:pPr>
            <w:r w:rsidRPr="009E7C2F">
              <w:rPr>
                <w:b/>
                <w:i/>
                <w:szCs w:val="18"/>
              </w:rPr>
              <w:t>201</w:t>
            </w:r>
            <w:r w:rsidR="009830A8" w:rsidRPr="009E7C2F">
              <w:rPr>
                <w:b/>
                <w:i/>
                <w:szCs w:val="18"/>
              </w:rPr>
              <w:t>4, 2015, and 2016</w:t>
            </w:r>
          </w:p>
        </w:tc>
      </w:tr>
      <w:tr w:rsidR="00B020E2" w:rsidRPr="009E7C2F" w14:paraId="4A76625C" w14:textId="77777777" w:rsidTr="004D75C8">
        <w:trPr>
          <w:trHeight w:val="297"/>
        </w:trPr>
        <w:tc>
          <w:tcPr>
            <w:tcW w:w="5000" w:type="pct"/>
            <w:gridSpan w:val="2"/>
            <w:tcBorders>
              <w:top w:val="single" w:sz="4" w:space="0" w:color="auto"/>
              <w:bottom w:val="double" w:sz="4" w:space="0" w:color="auto"/>
            </w:tcBorders>
            <w:tcMar>
              <w:top w:w="57" w:type="dxa"/>
              <w:left w:w="108" w:type="dxa"/>
              <w:bottom w:w="57" w:type="dxa"/>
              <w:right w:w="108" w:type="dxa"/>
            </w:tcMar>
            <w:hideMark/>
          </w:tcPr>
          <w:p w14:paraId="63F8B0BC" w14:textId="77777777" w:rsidR="00081A8B" w:rsidRPr="009E7C2F" w:rsidRDefault="00B020E2" w:rsidP="009E7C2F">
            <w:pPr>
              <w:spacing w:after="80"/>
              <w:rPr>
                <w:b/>
                <w:szCs w:val="18"/>
              </w:rPr>
            </w:pPr>
            <w:r w:rsidRPr="009E7C2F">
              <w:rPr>
                <w:b/>
                <w:szCs w:val="18"/>
              </w:rPr>
              <w:t xml:space="preserve">Details of the communication: </w:t>
            </w:r>
          </w:p>
          <w:p w14:paraId="174071D2" w14:textId="3DC35044" w:rsidR="00BD75EF" w:rsidRPr="009E7C2F" w:rsidRDefault="00BD75EF" w:rsidP="009E7C2F">
            <w:pPr>
              <w:pStyle w:val="Default"/>
              <w:spacing w:after="80"/>
              <w:rPr>
                <w:rFonts w:ascii="Verdana" w:hAnsi="Verdana" w:cs="Calibri"/>
                <w:color w:val="auto"/>
                <w:sz w:val="18"/>
                <w:szCs w:val="18"/>
              </w:rPr>
            </w:pPr>
            <w:r w:rsidRPr="009E7C2F">
              <w:rPr>
                <w:rFonts w:ascii="Verdana" w:hAnsi="Verdana" w:cs="Calibri"/>
                <w:color w:val="auto"/>
                <w:sz w:val="18"/>
                <w:szCs w:val="18"/>
              </w:rPr>
              <w:t xml:space="preserve">The documents for the European Union's GPA statistical reporting for the years 2014, 2015, and 2016 are available at the following links: </w:t>
            </w:r>
          </w:p>
          <w:p w14:paraId="42B0B7C7" w14:textId="13374AE5" w:rsidR="00BD75EF" w:rsidRPr="00572D7A" w:rsidRDefault="00BD75EF" w:rsidP="00BD75EF">
            <w:pPr>
              <w:pStyle w:val="Default"/>
              <w:numPr>
                <w:ilvl w:val="0"/>
                <w:numId w:val="18"/>
              </w:numPr>
              <w:rPr>
                <w:rFonts w:ascii="Verdana" w:hAnsi="Verdana" w:cs="Calibri"/>
                <w:color w:val="auto"/>
                <w:sz w:val="18"/>
                <w:szCs w:val="18"/>
              </w:rPr>
            </w:pPr>
            <w:r w:rsidRPr="009E7C2F">
              <w:rPr>
                <w:rFonts w:ascii="Verdana" w:hAnsi="Verdana" w:cs="Calibri"/>
                <w:color w:val="auto"/>
                <w:sz w:val="18"/>
                <w:szCs w:val="18"/>
              </w:rPr>
              <w:t>A brief statistical report including: (</w:t>
            </w:r>
            <w:proofErr w:type="spellStart"/>
            <w:r w:rsidRPr="009E7C2F">
              <w:rPr>
                <w:rFonts w:ascii="Verdana" w:hAnsi="Verdana" w:cs="Calibri"/>
                <w:color w:val="auto"/>
                <w:sz w:val="18"/>
                <w:szCs w:val="18"/>
              </w:rPr>
              <w:t>i</w:t>
            </w:r>
            <w:proofErr w:type="spellEnd"/>
            <w:r w:rsidRPr="009E7C2F">
              <w:rPr>
                <w:rFonts w:ascii="Verdana" w:hAnsi="Verdana" w:cs="Calibri"/>
                <w:color w:val="auto"/>
                <w:sz w:val="18"/>
                <w:szCs w:val="18"/>
              </w:rPr>
              <w:t>) key figures; (ii) links to the EU Open Data Portal, from where the Tenders Electronic Daily (TED) datasets of contract award notices for the years 2014-2016 as well as the respective codebook and methodological notes can be downloaded; and (iii) methodological explanations</w:t>
            </w:r>
            <w:r w:rsidR="00063208">
              <w:rPr>
                <w:rFonts w:ascii="Verdana" w:hAnsi="Verdana" w:cs="Calibri"/>
                <w:color w:val="auto"/>
                <w:sz w:val="18"/>
                <w:szCs w:val="18"/>
              </w:rPr>
              <w:t xml:space="preserve"> - </w:t>
            </w:r>
            <w:r w:rsidR="009E7C2F" w:rsidRPr="009E7C2F">
              <w:rPr>
                <w:rFonts w:ascii="Verdana" w:hAnsi="Verdana" w:cs="Calibri"/>
                <w:color w:val="auto"/>
                <w:sz w:val="18"/>
                <w:szCs w:val="18"/>
              </w:rPr>
              <w:br/>
            </w:r>
            <w:hyperlink r:id="rId8" w:history="1">
              <w:r w:rsidR="009E7C2F" w:rsidRPr="00884225">
                <w:rPr>
                  <w:rStyle w:val="Hyperlink"/>
                  <w:rFonts w:ascii="Verdana" w:hAnsi="Verdana" w:cs="Arial"/>
                  <w:sz w:val="18"/>
                  <w:szCs w:val="18"/>
                </w:rPr>
                <w:t>http://members.wto.org/crnattachments/2020/GPA/EEC/20_1435_00_e.pdf</w:t>
              </w:r>
            </w:hyperlink>
            <w:r w:rsidR="009E7C2F" w:rsidRPr="009E7C2F">
              <w:rPr>
                <w:rFonts w:ascii="Verdana" w:hAnsi="Verdana" w:cs="Arial"/>
                <w:sz w:val="18"/>
                <w:szCs w:val="18"/>
              </w:rPr>
              <w:br/>
            </w:r>
          </w:p>
          <w:p w14:paraId="77282FC4" w14:textId="38B0A2BC" w:rsidR="00262120" w:rsidRPr="0057266E" w:rsidRDefault="00BD75EF" w:rsidP="00D86E02">
            <w:pPr>
              <w:pStyle w:val="Default"/>
              <w:numPr>
                <w:ilvl w:val="0"/>
                <w:numId w:val="18"/>
              </w:numPr>
              <w:rPr>
                <w:rStyle w:val="Hyperlink"/>
                <w:rFonts w:ascii="Verdana" w:hAnsi="Verdana" w:cs="Calibri"/>
                <w:color w:val="auto"/>
                <w:sz w:val="18"/>
                <w:szCs w:val="18"/>
                <w:u w:val="none"/>
              </w:rPr>
            </w:pPr>
            <w:r w:rsidRPr="00884225">
              <w:rPr>
                <w:rFonts w:ascii="Verdana" w:hAnsi="Verdana" w:cs="Calibri"/>
                <w:color w:val="auto"/>
                <w:sz w:val="18"/>
                <w:szCs w:val="18"/>
              </w:rPr>
              <w:t>Data tables summarising for each EU Member State and the EU institutions the total values of above-thresholds procurement, broken down by types of contract (supplies, works, services), GPA coverage, and GPA annex</w:t>
            </w:r>
            <w:r w:rsidR="00262120" w:rsidRPr="00884225">
              <w:rPr>
                <w:rFonts w:ascii="Verdana" w:hAnsi="Verdana" w:cs="Calibri"/>
                <w:color w:val="auto"/>
                <w:sz w:val="18"/>
                <w:szCs w:val="18"/>
              </w:rPr>
              <w:t xml:space="preserve"> </w:t>
            </w:r>
            <w:r w:rsidR="00063208" w:rsidRPr="00884225">
              <w:rPr>
                <w:rFonts w:ascii="Verdana" w:hAnsi="Verdana" w:cs="Calibri"/>
                <w:color w:val="auto"/>
                <w:sz w:val="18"/>
                <w:szCs w:val="18"/>
              </w:rPr>
              <w:t xml:space="preserve">- </w:t>
            </w:r>
            <w:r w:rsidR="00884225">
              <w:rPr>
                <w:rFonts w:ascii="Verdana" w:hAnsi="Verdana" w:cs="Calibri"/>
                <w:color w:val="auto"/>
                <w:sz w:val="18"/>
                <w:szCs w:val="18"/>
              </w:rPr>
              <w:br/>
            </w:r>
            <w:hyperlink r:id="rId9" w:history="1">
              <w:r w:rsidR="00884225" w:rsidRPr="00884225">
                <w:rPr>
                  <w:rStyle w:val="Hyperlink"/>
                  <w:rFonts w:ascii="Verdana" w:hAnsi="Verdana" w:cs="Arial"/>
                  <w:sz w:val="18"/>
                  <w:szCs w:val="18"/>
                </w:rPr>
                <w:t>http://members.wto.org/crnattachments/2020/GPA/EEC/20_1435_01_e.xlsx</w:t>
              </w:r>
            </w:hyperlink>
          </w:p>
          <w:p w14:paraId="6B5FCED3" w14:textId="77777777" w:rsidR="0057266E" w:rsidRPr="00884225" w:rsidRDefault="0057266E" w:rsidP="0057266E">
            <w:pPr>
              <w:pStyle w:val="Default"/>
              <w:ind w:left="720"/>
              <w:rPr>
                <w:rFonts w:ascii="Verdana" w:hAnsi="Verdana" w:cs="Calibri"/>
                <w:color w:val="auto"/>
                <w:sz w:val="18"/>
                <w:szCs w:val="18"/>
              </w:rPr>
            </w:pPr>
          </w:p>
          <w:p w14:paraId="030AA55C" w14:textId="022020B1" w:rsidR="00BD75EF" w:rsidRPr="009E7C2F" w:rsidRDefault="00BD75EF" w:rsidP="00BD75EF">
            <w:pPr>
              <w:pStyle w:val="Default"/>
              <w:ind w:left="720"/>
              <w:rPr>
                <w:rFonts w:ascii="Verdana" w:hAnsi="Verdana" w:cs="Calibri"/>
                <w:color w:val="auto"/>
                <w:sz w:val="18"/>
                <w:szCs w:val="18"/>
              </w:rPr>
            </w:pPr>
          </w:p>
        </w:tc>
      </w:tr>
    </w:tbl>
    <w:p w14:paraId="0CE502ED" w14:textId="577C0423" w:rsidR="0013775E" w:rsidRDefault="0013775E" w:rsidP="0013775E"/>
    <w:p w14:paraId="4BB79CAA" w14:textId="77777777" w:rsidR="00C877F7" w:rsidRDefault="00C877F7" w:rsidP="0013775E"/>
    <w:p w14:paraId="48ADECC7" w14:textId="6BEBDE84" w:rsidR="0013775E" w:rsidRPr="0013775E" w:rsidRDefault="0013775E" w:rsidP="0013775E">
      <w:pPr>
        <w:jc w:val="center"/>
      </w:pPr>
      <w:r>
        <w:rPr>
          <w:b/>
        </w:rPr>
        <w:t>__________</w:t>
      </w:r>
    </w:p>
    <w:sectPr w:rsidR="0013775E" w:rsidRPr="0013775E" w:rsidSect="00C877F7">
      <w:headerReference w:type="even" r:id="rId10"/>
      <w:headerReference w:type="default" r:id="rId11"/>
      <w:footerReference w:type="even" r:id="rId12"/>
      <w:footerReference w:type="default" r:id="rId13"/>
      <w:head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397C" w14:textId="77777777" w:rsidR="00FC4C4E" w:rsidRDefault="00FC4C4E" w:rsidP="00ED54E0">
      <w:r>
        <w:separator/>
      </w:r>
    </w:p>
  </w:endnote>
  <w:endnote w:type="continuationSeparator" w:id="0">
    <w:p w14:paraId="356AD707" w14:textId="77777777" w:rsidR="00FC4C4E" w:rsidRDefault="00FC4C4E"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E124" w14:textId="3759EC4C" w:rsidR="00544326" w:rsidRPr="00C877F7" w:rsidRDefault="00C877F7" w:rsidP="00C877F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9D9B" w14:textId="08400C35" w:rsidR="00544326" w:rsidRPr="00C877F7" w:rsidRDefault="00C877F7" w:rsidP="00C877F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A0E95" w14:textId="77777777" w:rsidR="00FC4C4E" w:rsidRDefault="00FC4C4E" w:rsidP="00ED54E0">
      <w:r>
        <w:separator/>
      </w:r>
    </w:p>
  </w:footnote>
  <w:footnote w:type="continuationSeparator" w:id="0">
    <w:p w14:paraId="2BA29F62" w14:textId="77777777" w:rsidR="00FC4C4E" w:rsidRDefault="00FC4C4E" w:rsidP="00ED54E0">
      <w:r>
        <w:continuationSeparator/>
      </w:r>
    </w:p>
  </w:footnote>
  <w:footnote w:id="1">
    <w:p w14:paraId="1993BA10" w14:textId="77777777" w:rsidR="00D06B57" w:rsidRDefault="00D06B57" w:rsidP="00D06B57">
      <w:pPr>
        <w:pStyle w:val="FootnoteText"/>
      </w:pPr>
      <w:r>
        <w:rPr>
          <w:rStyle w:val="FootnoteReference"/>
        </w:rPr>
        <w:footnoteRef/>
      </w:r>
      <w:r>
        <w:t xml:space="preserve"> In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1A41" w14:textId="77777777" w:rsidR="00C877F7" w:rsidRPr="00C877F7" w:rsidRDefault="00C877F7" w:rsidP="00C877F7">
    <w:pPr>
      <w:pStyle w:val="Header"/>
      <w:pBdr>
        <w:bottom w:val="single" w:sz="4" w:space="1" w:color="auto"/>
      </w:pBdr>
      <w:tabs>
        <w:tab w:val="clear" w:pos="4513"/>
        <w:tab w:val="clear" w:pos="9027"/>
      </w:tabs>
      <w:jc w:val="center"/>
      <w:rPr>
        <w:lang w:val="es-ES"/>
      </w:rPr>
    </w:pPr>
    <w:proofErr w:type="spellStart"/>
    <w:r w:rsidRPr="00C877F7">
      <w:rPr>
        <w:lang w:val="es-ES"/>
      </w:rPr>
      <w:t>GPA</w:t>
    </w:r>
    <w:proofErr w:type="spellEnd"/>
    <w:r w:rsidRPr="00C877F7">
      <w:rPr>
        <w:lang w:val="es-ES"/>
      </w:rPr>
      <w:t xml:space="preserve">/130/Add.10; • </w:t>
    </w:r>
    <w:proofErr w:type="spellStart"/>
    <w:r w:rsidRPr="00C877F7">
      <w:rPr>
        <w:lang w:val="es-ES"/>
      </w:rPr>
      <w:t>GPA</w:t>
    </w:r>
    <w:proofErr w:type="spellEnd"/>
    <w:r w:rsidRPr="00C877F7">
      <w:rPr>
        <w:lang w:val="es-ES"/>
      </w:rPr>
      <w:t xml:space="preserve">/137/Add.12; • </w:t>
    </w:r>
    <w:proofErr w:type="spellStart"/>
    <w:r w:rsidRPr="00C877F7">
      <w:rPr>
        <w:lang w:val="es-ES"/>
      </w:rPr>
      <w:t>GPA</w:t>
    </w:r>
    <w:proofErr w:type="spellEnd"/>
    <w:r w:rsidRPr="00C877F7">
      <w:rPr>
        <w:lang w:val="es-ES"/>
      </w:rPr>
      <w:t>/142/Add.13</w:t>
    </w:r>
  </w:p>
  <w:p w14:paraId="32056C49" w14:textId="77777777" w:rsidR="00C877F7" w:rsidRPr="00C877F7" w:rsidRDefault="00C877F7" w:rsidP="00C877F7">
    <w:pPr>
      <w:pStyle w:val="Header"/>
      <w:pBdr>
        <w:bottom w:val="single" w:sz="4" w:space="1" w:color="auto"/>
      </w:pBdr>
      <w:tabs>
        <w:tab w:val="clear" w:pos="4513"/>
        <w:tab w:val="clear" w:pos="9027"/>
      </w:tabs>
      <w:jc w:val="center"/>
      <w:rPr>
        <w:lang w:val="es-ES"/>
      </w:rPr>
    </w:pPr>
  </w:p>
  <w:p w14:paraId="35901731" w14:textId="15BDEBA2" w:rsidR="00C877F7" w:rsidRPr="00C877F7" w:rsidRDefault="00C877F7" w:rsidP="00C877F7">
    <w:pPr>
      <w:pStyle w:val="Header"/>
      <w:pBdr>
        <w:bottom w:val="single" w:sz="4" w:space="1" w:color="auto"/>
      </w:pBdr>
      <w:tabs>
        <w:tab w:val="clear" w:pos="4513"/>
        <w:tab w:val="clear" w:pos="9027"/>
      </w:tabs>
      <w:jc w:val="center"/>
    </w:pPr>
    <w:r w:rsidRPr="00C877F7">
      <w:t xml:space="preserve">- </w:t>
    </w:r>
    <w:r w:rsidRPr="00C877F7">
      <w:fldChar w:fldCharType="begin"/>
    </w:r>
    <w:r w:rsidRPr="00C877F7">
      <w:instrText xml:space="preserve"> PAGE </w:instrText>
    </w:r>
    <w:r w:rsidRPr="00C877F7">
      <w:fldChar w:fldCharType="separate"/>
    </w:r>
    <w:r w:rsidRPr="00C877F7">
      <w:rPr>
        <w:noProof/>
      </w:rPr>
      <w:t>2</w:t>
    </w:r>
    <w:r w:rsidRPr="00C877F7">
      <w:fldChar w:fldCharType="end"/>
    </w:r>
    <w:r w:rsidRPr="00C877F7">
      <w:t xml:space="preserve"> -</w:t>
    </w:r>
  </w:p>
  <w:p w14:paraId="5D9B20D4" w14:textId="1704FDFA" w:rsidR="00544326" w:rsidRPr="00C877F7" w:rsidRDefault="00544326" w:rsidP="00C877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3653" w14:textId="77777777" w:rsidR="00C877F7" w:rsidRPr="00C877F7" w:rsidRDefault="00C877F7" w:rsidP="00C877F7">
    <w:pPr>
      <w:pStyle w:val="Header"/>
      <w:pBdr>
        <w:bottom w:val="single" w:sz="4" w:space="1" w:color="auto"/>
      </w:pBdr>
      <w:tabs>
        <w:tab w:val="clear" w:pos="4513"/>
        <w:tab w:val="clear" w:pos="9027"/>
      </w:tabs>
      <w:jc w:val="center"/>
      <w:rPr>
        <w:lang w:val="es-ES"/>
      </w:rPr>
    </w:pPr>
    <w:proofErr w:type="spellStart"/>
    <w:r w:rsidRPr="00C877F7">
      <w:rPr>
        <w:lang w:val="es-ES"/>
      </w:rPr>
      <w:t>GPA</w:t>
    </w:r>
    <w:proofErr w:type="spellEnd"/>
    <w:r w:rsidRPr="00C877F7">
      <w:rPr>
        <w:lang w:val="es-ES"/>
      </w:rPr>
      <w:t xml:space="preserve">/130/Add.10; • </w:t>
    </w:r>
    <w:proofErr w:type="spellStart"/>
    <w:r w:rsidRPr="00C877F7">
      <w:rPr>
        <w:lang w:val="es-ES"/>
      </w:rPr>
      <w:t>GPA</w:t>
    </w:r>
    <w:proofErr w:type="spellEnd"/>
    <w:r w:rsidRPr="00C877F7">
      <w:rPr>
        <w:lang w:val="es-ES"/>
      </w:rPr>
      <w:t xml:space="preserve">/137/Add.12; • </w:t>
    </w:r>
    <w:proofErr w:type="spellStart"/>
    <w:r w:rsidRPr="00C877F7">
      <w:rPr>
        <w:lang w:val="es-ES"/>
      </w:rPr>
      <w:t>GPA</w:t>
    </w:r>
    <w:proofErr w:type="spellEnd"/>
    <w:r w:rsidRPr="00C877F7">
      <w:rPr>
        <w:lang w:val="es-ES"/>
      </w:rPr>
      <w:t>/142/Add.13</w:t>
    </w:r>
  </w:p>
  <w:p w14:paraId="40EE74D6" w14:textId="77777777" w:rsidR="00C877F7" w:rsidRPr="00C877F7" w:rsidRDefault="00C877F7" w:rsidP="00C877F7">
    <w:pPr>
      <w:pStyle w:val="Header"/>
      <w:pBdr>
        <w:bottom w:val="single" w:sz="4" w:space="1" w:color="auto"/>
      </w:pBdr>
      <w:tabs>
        <w:tab w:val="clear" w:pos="4513"/>
        <w:tab w:val="clear" w:pos="9027"/>
      </w:tabs>
      <w:jc w:val="center"/>
      <w:rPr>
        <w:lang w:val="es-ES"/>
      </w:rPr>
    </w:pPr>
  </w:p>
  <w:p w14:paraId="79D336CF" w14:textId="1C31E36C" w:rsidR="00C877F7" w:rsidRPr="00C877F7" w:rsidRDefault="00C877F7" w:rsidP="00C877F7">
    <w:pPr>
      <w:pStyle w:val="Header"/>
      <w:pBdr>
        <w:bottom w:val="single" w:sz="4" w:space="1" w:color="auto"/>
      </w:pBdr>
      <w:tabs>
        <w:tab w:val="clear" w:pos="4513"/>
        <w:tab w:val="clear" w:pos="9027"/>
      </w:tabs>
      <w:jc w:val="center"/>
    </w:pPr>
    <w:r w:rsidRPr="00C877F7">
      <w:t xml:space="preserve">- </w:t>
    </w:r>
    <w:r w:rsidRPr="00C877F7">
      <w:fldChar w:fldCharType="begin"/>
    </w:r>
    <w:r w:rsidRPr="00C877F7">
      <w:instrText xml:space="preserve"> PAGE </w:instrText>
    </w:r>
    <w:r w:rsidRPr="00C877F7">
      <w:fldChar w:fldCharType="separate"/>
    </w:r>
    <w:r w:rsidRPr="00C877F7">
      <w:rPr>
        <w:noProof/>
      </w:rPr>
      <w:t>2</w:t>
    </w:r>
    <w:r w:rsidRPr="00C877F7">
      <w:fldChar w:fldCharType="end"/>
    </w:r>
    <w:r w:rsidRPr="00C877F7">
      <w:t xml:space="preserve"> -</w:t>
    </w:r>
  </w:p>
  <w:p w14:paraId="1B3467DF" w14:textId="0FCB0032" w:rsidR="00544326" w:rsidRPr="00C877F7" w:rsidRDefault="00544326" w:rsidP="00C877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1E838497" w14:textId="77777777" w:rsidTr="00544326">
      <w:trPr>
        <w:trHeight w:val="240"/>
        <w:jc w:val="center"/>
      </w:trPr>
      <w:tc>
        <w:tcPr>
          <w:tcW w:w="3794" w:type="dxa"/>
          <w:shd w:val="clear" w:color="auto" w:fill="FFFFFF"/>
          <w:tcMar>
            <w:left w:w="108" w:type="dxa"/>
            <w:right w:w="108" w:type="dxa"/>
          </w:tcMar>
          <w:vAlign w:val="center"/>
        </w:tcPr>
        <w:p w14:paraId="268A4679"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21BE59B0" w14:textId="5A15CB51" w:rsidR="00ED54E0" w:rsidRPr="00182B84" w:rsidRDefault="00C877F7" w:rsidP="00425DC5">
          <w:pPr>
            <w:jc w:val="right"/>
            <w:rPr>
              <w:b/>
              <w:color w:val="FF0000"/>
              <w:szCs w:val="16"/>
            </w:rPr>
          </w:pPr>
          <w:r>
            <w:rPr>
              <w:b/>
              <w:color w:val="FF0000"/>
              <w:szCs w:val="16"/>
            </w:rPr>
            <w:t xml:space="preserve"> </w:t>
          </w:r>
        </w:p>
      </w:tc>
    </w:tr>
    <w:bookmarkEnd w:id="1"/>
    <w:tr w:rsidR="00D06B57" w:rsidRPr="00182B84" w14:paraId="77C4E1E8" w14:textId="77777777" w:rsidTr="00544326">
      <w:trPr>
        <w:trHeight w:val="213"/>
        <w:jc w:val="center"/>
      </w:trPr>
      <w:tc>
        <w:tcPr>
          <w:tcW w:w="3794" w:type="dxa"/>
          <w:vMerge w:val="restart"/>
          <w:shd w:val="clear" w:color="auto" w:fill="FFFFFF"/>
          <w:tcMar>
            <w:left w:w="0" w:type="dxa"/>
            <w:right w:w="0" w:type="dxa"/>
          </w:tcMar>
        </w:tcPr>
        <w:p w14:paraId="36824B8E" w14:textId="77777777" w:rsidR="00D06B57" w:rsidRPr="00871D2C" w:rsidRDefault="00D06B57" w:rsidP="008F79BF">
          <w:pPr>
            <w:jc w:val="left"/>
          </w:pPr>
          <w:r>
            <w:rPr>
              <w:noProof/>
              <w:lang w:val="en-US"/>
            </w:rPr>
            <w:drawing>
              <wp:inline distT="0" distB="0" distL="0" distR="0" wp14:anchorId="3FF3B35D" wp14:editId="0334BF18">
                <wp:extent cx="24003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9950FD" w14:textId="77777777" w:rsidR="00D06B57" w:rsidRPr="00871D2C" w:rsidRDefault="00D06B57" w:rsidP="008F79BF">
          <w:pPr>
            <w:jc w:val="right"/>
            <w:rPr>
              <w:b/>
              <w:szCs w:val="16"/>
            </w:rPr>
          </w:pPr>
        </w:p>
      </w:tc>
    </w:tr>
    <w:tr w:rsidR="00D06B57" w:rsidRPr="00C666D4" w14:paraId="443CD914" w14:textId="77777777" w:rsidTr="00544326">
      <w:trPr>
        <w:trHeight w:val="868"/>
        <w:jc w:val="center"/>
      </w:trPr>
      <w:tc>
        <w:tcPr>
          <w:tcW w:w="3794" w:type="dxa"/>
          <w:vMerge/>
          <w:shd w:val="clear" w:color="auto" w:fill="FFFFFF"/>
          <w:tcMar>
            <w:left w:w="108" w:type="dxa"/>
            <w:right w:w="108" w:type="dxa"/>
          </w:tcMar>
        </w:tcPr>
        <w:p w14:paraId="571B85FA" w14:textId="77777777" w:rsidR="00D06B57" w:rsidRPr="00182B84" w:rsidRDefault="00D06B57" w:rsidP="00425DC5">
          <w:pPr>
            <w:jc w:val="left"/>
            <w:rPr>
              <w:noProof/>
              <w:lang w:eastAsia="en-GB"/>
            </w:rPr>
          </w:pPr>
        </w:p>
      </w:tc>
      <w:tc>
        <w:tcPr>
          <w:tcW w:w="5448" w:type="dxa"/>
          <w:gridSpan w:val="2"/>
          <w:shd w:val="clear" w:color="auto" w:fill="FFFFFF"/>
          <w:tcMar>
            <w:left w:w="108" w:type="dxa"/>
            <w:right w:w="108" w:type="dxa"/>
          </w:tcMar>
        </w:tcPr>
        <w:p w14:paraId="2241F9F9" w14:textId="77777777" w:rsidR="00C877F7" w:rsidRDefault="00C877F7" w:rsidP="00425DC5">
          <w:pPr>
            <w:jc w:val="right"/>
            <w:rPr>
              <w:b/>
              <w:szCs w:val="16"/>
              <w:lang w:val="es-ES"/>
            </w:rPr>
          </w:pPr>
          <w:bookmarkStart w:id="2" w:name="bmkSymbols"/>
          <w:proofErr w:type="spellStart"/>
          <w:r>
            <w:rPr>
              <w:b/>
              <w:szCs w:val="16"/>
              <w:lang w:val="es-ES"/>
            </w:rPr>
            <w:t>GPA</w:t>
          </w:r>
          <w:proofErr w:type="spellEnd"/>
          <w:r>
            <w:rPr>
              <w:b/>
              <w:szCs w:val="16"/>
              <w:lang w:val="es-ES"/>
            </w:rPr>
            <w:t>/130/Add.10;</w:t>
          </w:r>
        </w:p>
        <w:p w14:paraId="4B2CF1F6" w14:textId="77777777" w:rsidR="00C877F7" w:rsidRDefault="00C877F7" w:rsidP="00425DC5">
          <w:pPr>
            <w:jc w:val="right"/>
            <w:rPr>
              <w:b/>
              <w:szCs w:val="16"/>
              <w:lang w:val="es-ES"/>
            </w:rPr>
          </w:pPr>
          <w:proofErr w:type="spellStart"/>
          <w:r>
            <w:rPr>
              <w:b/>
              <w:szCs w:val="16"/>
              <w:lang w:val="es-ES"/>
            </w:rPr>
            <w:t>GPA</w:t>
          </w:r>
          <w:proofErr w:type="spellEnd"/>
          <w:r>
            <w:rPr>
              <w:b/>
              <w:szCs w:val="16"/>
              <w:lang w:val="es-ES"/>
            </w:rPr>
            <w:t>/137/Add.12;</w:t>
          </w:r>
        </w:p>
        <w:p w14:paraId="5FEEFDA6" w14:textId="77777777" w:rsidR="00C877F7" w:rsidRDefault="00C877F7" w:rsidP="00425DC5">
          <w:pPr>
            <w:jc w:val="right"/>
            <w:rPr>
              <w:b/>
              <w:szCs w:val="16"/>
              <w:lang w:val="es-ES"/>
            </w:rPr>
          </w:pPr>
          <w:proofErr w:type="spellStart"/>
          <w:r>
            <w:rPr>
              <w:b/>
              <w:szCs w:val="16"/>
              <w:lang w:val="es-ES"/>
            </w:rPr>
            <w:t>GPA</w:t>
          </w:r>
          <w:proofErr w:type="spellEnd"/>
          <w:r>
            <w:rPr>
              <w:b/>
              <w:szCs w:val="16"/>
              <w:lang w:val="es-ES"/>
            </w:rPr>
            <w:t>/142/Add.13</w:t>
          </w:r>
        </w:p>
        <w:bookmarkEnd w:id="2"/>
        <w:p w14:paraId="690D748B" w14:textId="164B4050" w:rsidR="00D06B57" w:rsidRPr="00C877F7" w:rsidRDefault="00D06B57" w:rsidP="00425DC5">
          <w:pPr>
            <w:jc w:val="right"/>
            <w:rPr>
              <w:b/>
              <w:szCs w:val="16"/>
              <w:lang w:val="es-ES"/>
            </w:rPr>
          </w:pPr>
        </w:p>
      </w:tc>
    </w:tr>
    <w:tr w:rsidR="00D06B57" w:rsidRPr="00182B84" w14:paraId="3D66B99B" w14:textId="77777777" w:rsidTr="00544326">
      <w:trPr>
        <w:trHeight w:val="240"/>
        <w:jc w:val="center"/>
      </w:trPr>
      <w:tc>
        <w:tcPr>
          <w:tcW w:w="3794" w:type="dxa"/>
          <w:vMerge/>
          <w:shd w:val="clear" w:color="auto" w:fill="FFFFFF"/>
          <w:tcMar>
            <w:left w:w="108" w:type="dxa"/>
            <w:right w:w="108" w:type="dxa"/>
          </w:tcMar>
          <w:vAlign w:val="center"/>
        </w:tcPr>
        <w:p w14:paraId="6D60B346" w14:textId="77777777" w:rsidR="00D06B57" w:rsidRPr="00C877F7" w:rsidRDefault="00D06B57" w:rsidP="00425DC5">
          <w:pPr>
            <w:rPr>
              <w:lang w:val="es-ES"/>
            </w:rPr>
          </w:pPr>
        </w:p>
      </w:tc>
      <w:tc>
        <w:tcPr>
          <w:tcW w:w="5448" w:type="dxa"/>
          <w:gridSpan w:val="2"/>
          <w:shd w:val="clear" w:color="auto" w:fill="FFFFFF"/>
          <w:tcMar>
            <w:left w:w="108" w:type="dxa"/>
            <w:right w:w="108" w:type="dxa"/>
          </w:tcMar>
          <w:vAlign w:val="center"/>
        </w:tcPr>
        <w:p w14:paraId="31CA6A8F" w14:textId="1C77222A" w:rsidR="00D06B57" w:rsidRPr="00182B84" w:rsidRDefault="00C877F7" w:rsidP="00425DC5">
          <w:pPr>
            <w:jc w:val="right"/>
            <w:rPr>
              <w:szCs w:val="16"/>
            </w:rPr>
          </w:pPr>
          <w:r>
            <w:rPr>
              <w:szCs w:val="16"/>
            </w:rPr>
            <w:t>21 February 2020</w:t>
          </w:r>
        </w:p>
      </w:tc>
    </w:tr>
    <w:tr w:rsidR="00D06B57" w:rsidRPr="00182B84" w14:paraId="57EF50B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EB37FE" w14:textId="124AFBE6" w:rsidR="00D06B57" w:rsidRPr="00871D2C" w:rsidRDefault="00D06B57" w:rsidP="008F79BF">
          <w:pPr>
            <w:jc w:val="left"/>
            <w:rPr>
              <w:b/>
            </w:rPr>
          </w:pPr>
          <w:bookmarkStart w:id="3" w:name="bmkSerial" w:colFirst="0" w:colLast="0"/>
          <w:r w:rsidRPr="00871D2C">
            <w:rPr>
              <w:color w:val="FF0000"/>
              <w:szCs w:val="16"/>
            </w:rPr>
            <w:t>(</w:t>
          </w:r>
          <w:r w:rsidR="00C666D4">
            <w:rPr>
              <w:color w:val="FF0000"/>
              <w:szCs w:val="16"/>
            </w:rPr>
            <w:t>20</w:t>
          </w:r>
          <w:r w:rsidRPr="00871D2C">
            <w:rPr>
              <w:color w:val="FF0000"/>
              <w:szCs w:val="16"/>
            </w:rPr>
            <w:t>-</w:t>
          </w:r>
          <w:r w:rsidR="00C666D4">
            <w:rPr>
              <w:color w:val="FF0000"/>
              <w:szCs w:val="16"/>
            </w:rPr>
            <w:t>1389</w:t>
          </w:r>
          <w:r w:rsidRPr="00871D2C">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2CFC617" w14:textId="3211771A" w:rsidR="00D06B57" w:rsidRPr="00871D2C" w:rsidRDefault="00D06B57" w:rsidP="008F79BF">
          <w:pPr>
            <w:jc w:val="right"/>
            <w:rPr>
              <w:szCs w:val="16"/>
            </w:rPr>
          </w:pPr>
          <w:bookmarkStart w:id="4" w:name="bmkTotPages"/>
          <w:r w:rsidRPr="00871D2C">
            <w:rPr>
              <w:bCs/>
              <w:szCs w:val="16"/>
            </w:rPr>
            <w:t xml:space="preserve">Page: </w:t>
          </w:r>
          <w:r w:rsidRPr="00871D2C">
            <w:rPr>
              <w:bCs/>
              <w:szCs w:val="16"/>
            </w:rPr>
            <w:fldChar w:fldCharType="begin"/>
          </w:r>
          <w:r w:rsidRPr="00871D2C">
            <w:rPr>
              <w:bCs/>
              <w:szCs w:val="16"/>
            </w:rPr>
            <w:instrText xml:space="preserve"> PAGE  \* Arabic  \* MERGEFORMAT </w:instrText>
          </w:r>
          <w:r w:rsidRPr="00871D2C">
            <w:rPr>
              <w:bCs/>
              <w:szCs w:val="16"/>
            </w:rPr>
            <w:fldChar w:fldCharType="separate"/>
          </w:r>
          <w:r w:rsidR="00D535BA">
            <w:rPr>
              <w:bCs/>
              <w:noProof/>
              <w:szCs w:val="16"/>
            </w:rPr>
            <w:t>1</w:t>
          </w:r>
          <w:r w:rsidRPr="00871D2C">
            <w:rPr>
              <w:bCs/>
              <w:szCs w:val="16"/>
            </w:rPr>
            <w:fldChar w:fldCharType="end"/>
          </w:r>
          <w:r w:rsidRPr="00871D2C">
            <w:rPr>
              <w:bCs/>
              <w:szCs w:val="16"/>
            </w:rPr>
            <w:t>/</w:t>
          </w:r>
          <w:bookmarkEnd w:id="4"/>
          <w:r w:rsidR="00C877F7">
            <w:rPr>
              <w:bCs/>
              <w:szCs w:val="16"/>
            </w:rPr>
            <w:t>1</w:t>
          </w:r>
        </w:p>
      </w:tc>
    </w:tr>
    <w:tr w:rsidR="00D06B57" w:rsidRPr="00182B84" w14:paraId="2340BB9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F99AE9" w14:textId="237BB445" w:rsidR="00D06B57" w:rsidRPr="00871D2C" w:rsidRDefault="00C877F7" w:rsidP="008F79BF">
          <w:pPr>
            <w:jc w:val="left"/>
            <w:rPr>
              <w:sz w:val="14"/>
              <w:szCs w:val="16"/>
            </w:rPr>
          </w:pPr>
          <w:bookmarkStart w:id="5" w:name="bmkCommittee"/>
          <w:bookmarkStart w:id="6" w:name="bmkLanguage" w:colFirst="1" w:colLast="1"/>
          <w:bookmarkEnd w:id="3"/>
          <w:r>
            <w:rPr>
              <w:b/>
            </w:rPr>
            <w:t>Committee on Government Procurement</w:t>
          </w:r>
          <w:bookmarkEnd w:id="5"/>
        </w:p>
      </w:tc>
      <w:tc>
        <w:tcPr>
          <w:tcW w:w="3325" w:type="dxa"/>
          <w:tcBorders>
            <w:top w:val="single" w:sz="4" w:space="0" w:color="auto"/>
          </w:tcBorders>
          <w:tcMar>
            <w:top w:w="113" w:type="dxa"/>
            <w:left w:w="108" w:type="dxa"/>
            <w:bottom w:w="57" w:type="dxa"/>
            <w:right w:w="108" w:type="dxa"/>
          </w:tcMar>
          <w:vAlign w:val="center"/>
        </w:tcPr>
        <w:p w14:paraId="0CB8A93A" w14:textId="38D80A77" w:rsidR="00D06B57" w:rsidRPr="00871D2C" w:rsidRDefault="00C877F7" w:rsidP="008F79BF">
          <w:pPr>
            <w:jc w:val="right"/>
            <w:rPr>
              <w:bCs/>
              <w:szCs w:val="18"/>
            </w:rPr>
          </w:pPr>
          <w:r>
            <w:rPr>
              <w:szCs w:val="18"/>
            </w:rPr>
            <w:t>Original: English</w:t>
          </w:r>
        </w:p>
      </w:tc>
    </w:tr>
    <w:bookmarkEnd w:id="6"/>
  </w:tbl>
  <w:p w14:paraId="056A2997"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C65BE"/>
    <w:multiLevelType w:val="hybridMultilevel"/>
    <w:tmpl w:val="F288009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263DB0"/>
    <w:multiLevelType w:val="hybridMultilevel"/>
    <w:tmpl w:val="246A5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AC"/>
    <w:rsid w:val="000272F6"/>
    <w:rsid w:val="00037AC4"/>
    <w:rsid w:val="000423BF"/>
    <w:rsid w:val="000545DC"/>
    <w:rsid w:val="00063208"/>
    <w:rsid w:val="0007757F"/>
    <w:rsid w:val="00081A8B"/>
    <w:rsid w:val="000A4945"/>
    <w:rsid w:val="000B225D"/>
    <w:rsid w:val="000B31E1"/>
    <w:rsid w:val="000B7646"/>
    <w:rsid w:val="0011356B"/>
    <w:rsid w:val="0011463A"/>
    <w:rsid w:val="0013337F"/>
    <w:rsid w:val="0013775E"/>
    <w:rsid w:val="00153BBA"/>
    <w:rsid w:val="00182B84"/>
    <w:rsid w:val="001925AC"/>
    <w:rsid w:val="001E291F"/>
    <w:rsid w:val="002076B9"/>
    <w:rsid w:val="00217D8D"/>
    <w:rsid w:val="00233408"/>
    <w:rsid w:val="00262120"/>
    <w:rsid w:val="0027067B"/>
    <w:rsid w:val="00286A25"/>
    <w:rsid w:val="003145A7"/>
    <w:rsid w:val="003156C6"/>
    <w:rsid w:val="003572B4"/>
    <w:rsid w:val="003756C1"/>
    <w:rsid w:val="00376F42"/>
    <w:rsid w:val="003A1C34"/>
    <w:rsid w:val="003D389A"/>
    <w:rsid w:val="003D4ECF"/>
    <w:rsid w:val="00466A72"/>
    <w:rsid w:val="00467032"/>
    <w:rsid w:val="0046754A"/>
    <w:rsid w:val="004B47D8"/>
    <w:rsid w:val="004D7423"/>
    <w:rsid w:val="004D75C8"/>
    <w:rsid w:val="004E2435"/>
    <w:rsid w:val="004F203A"/>
    <w:rsid w:val="005336B8"/>
    <w:rsid w:val="00544326"/>
    <w:rsid w:val="00547B5F"/>
    <w:rsid w:val="0057266E"/>
    <w:rsid w:val="00572D7A"/>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767A3"/>
    <w:rsid w:val="007B1572"/>
    <w:rsid w:val="007D4E0E"/>
    <w:rsid w:val="007E6507"/>
    <w:rsid w:val="007F2B8E"/>
    <w:rsid w:val="007F32D1"/>
    <w:rsid w:val="00807247"/>
    <w:rsid w:val="00840C2B"/>
    <w:rsid w:val="00861315"/>
    <w:rsid w:val="008739FD"/>
    <w:rsid w:val="00884225"/>
    <w:rsid w:val="00893E85"/>
    <w:rsid w:val="008C1C8B"/>
    <w:rsid w:val="008E372C"/>
    <w:rsid w:val="008F48BA"/>
    <w:rsid w:val="009045FC"/>
    <w:rsid w:val="0092059F"/>
    <w:rsid w:val="00926D2A"/>
    <w:rsid w:val="00956D75"/>
    <w:rsid w:val="009830A8"/>
    <w:rsid w:val="009A6F54"/>
    <w:rsid w:val="009E7C2F"/>
    <w:rsid w:val="00A6057A"/>
    <w:rsid w:val="00A74017"/>
    <w:rsid w:val="00AA332C"/>
    <w:rsid w:val="00AC27F8"/>
    <w:rsid w:val="00AC2F56"/>
    <w:rsid w:val="00AD4C72"/>
    <w:rsid w:val="00AE2AEE"/>
    <w:rsid w:val="00AF07E3"/>
    <w:rsid w:val="00B00276"/>
    <w:rsid w:val="00B020E2"/>
    <w:rsid w:val="00B230EC"/>
    <w:rsid w:val="00B52738"/>
    <w:rsid w:val="00B56EDC"/>
    <w:rsid w:val="00BB1F84"/>
    <w:rsid w:val="00BD115D"/>
    <w:rsid w:val="00BD75EF"/>
    <w:rsid w:val="00BE5468"/>
    <w:rsid w:val="00C11EAC"/>
    <w:rsid w:val="00C158A5"/>
    <w:rsid w:val="00C15F6D"/>
    <w:rsid w:val="00C305D7"/>
    <w:rsid w:val="00C30F2A"/>
    <w:rsid w:val="00C43456"/>
    <w:rsid w:val="00C5590C"/>
    <w:rsid w:val="00C65C0C"/>
    <w:rsid w:val="00C666D4"/>
    <w:rsid w:val="00C808FC"/>
    <w:rsid w:val="00C877F7"/>
    <w:rsid w:val="00CC589A"/>
    <w:rsid w:val="00CD7D97"/>
    <w:rsid w:val="00CE3EE6"/>
    <w:rsid w:val="00CE4458"/>
    <w:rsid w:val="00CE4BA1"/>
    <w:rsid w:val="00D000C7"/>
    <w:rsid w:val="00D06B57"/>
    <w:rsid w:val="00D221B8"/>
    <w:rsid w:val="00D52A9D"/>
    <w:rsid w:val="00D535BA"/>
    <w:rsid w:val="00D55AAD"/>
    <w:rsid w:val="00D747AE"/>
    <w:rsid w:val="00D9226C"/>
    <w:rsid w:val="00DA20BD"/>
    <w:rsid w:val="00DA7B09"/>
    <w:rsid w:val="00DD44DB"/>
    <w:rsid w:val="00DE50DB"/>
    <w:rsid w:val="00DF6AE1"/>
    <w:rsid w:val="00E07F7D"/>
    <w:rsid w:val="00E46FD5"/>
    <w:rsid w:val="00E53090"/>
    <w:rsid w:val="00E544BB"/>
    <w:rsid w:val="00E56545"/>
    <w:rsid w:val="00E823A7"/>
    <w:rsid w:val="00EA5D4F"/>
    <w:rsid w:val="00EB1611"/>
    <w:rsid w:val="00EB6C56"/>
    <w:rsid w:val="00ED1D47"/>
    <w:rsid w:val="00ED54E0"/>
    <w:rsid w:val="00EF7C58"/>
    <w:rsid w:val="00F253CA"/>
    <w:rsid w:val="00F32397"/>
    <w:rsid w:val="00F40595"/>
    <w:rsid w:val="00F7545A"/>
    <w:rsid w:val="00F91C4A"/>
    <w:rsid w:val="00FA5EBC"/>
    <w:rsid w:val="00FC4C4E"/>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0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Default">
    <w:name w:val="Default"/>
    <w:basedOn w:val="Normal"/>
    <w:uiPriority w:val="99"/>
    <w:rsid w:val="00BD75EF"/>
    <w:pPr>
      <w:autoSpaceDE w:val="0"/>
      <w:autoSpaceDN w:val="0"/>
      <w:jc w:val="left"/>
    </w:pPr>
    <w:rPr>
      <w:rFonts w:ascii="Times New Roman" w:hAnsi="Times New Roman" w:cs="Times New Roman"/>
      <w:color w:val="000000"/>
      <w:sz w:val="24"/>
      <w:szCs w:val="24"/>
      <w:lang w:eastAsia="en-GB"/>
    </w:rPr>
  </w:style>
  <w:style w:type="character" w:styleId="UnresolvedMention">
    <w:name w:val="Unresolved Mention"/>
    <w:basedOn w:val="DefaultParagraphFont"/>
    <w:uiPriority w:val="99"/>
    <w:semiHidden/>
    <w:unhideWhenUsed/>
    <w:rsid w:val="009E7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50728">
      <w:bodyDiv w:val="1"/>
      <w:marLeft w:val="0"/>
      <w:marRight w:val="0"/>
      <w:marTop w:val="0"/>
      <w:marBottom w:val="0"/>
      <w:divBdr>
        <w:top w:val="none" w:sz="0" w:space="0" w:color="auto"/>
        <w:left w:val="none" w:sz="0" w:space="0" w:color="auto"/>
        <w:bottom w:val="none" w:sz="0" w:space="0" w:color="auto"/>
        <w:right w:val="none" w:sz="0" w:space="0" w:color="auto"/>
      </w:divBdr>
    </w:div>
    <w:div w:id="2032342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20/GPA/EEC/20_1435_00_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mbers.wto.org/crnattachments/2020/GPA/EEC/20_1435_01_e.xls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A9DF2-AF17-4641-9E2E-72B789D9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254</Words>
  <Characters>1494</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2017-08-31T08:52:00Z</cp:lastPrinted>
  <dcterms:created xsi:type="dcterms:W3CDTF">2020-02-21T14:11:00Z</dcterms:created>
  <dcterms:modified xsi:type="dcterms:W3CDTF">2020-02-24T10:32:00Z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GPA/130/Add.10;</vt:lpwstr>
  </property>
  <property fmtid="{D5CDD505-2E9C-101B-9397-08002B2CF9AE}" pid="3" name="Symbol2">
    <vt:lpwstr>GPA/137/Add.12;</vt:lpwstr>
  </property>
  <property fmtid="{D5CDD505-2E9C-101B-9397-08002B2CF9AE}" pid="4" name="Symbol3">
    <vt:lpwstr>GPA/142/Add.13</vt:lpwstr>
  </property>
  <property fmtid="{D5CDD505-2E9C-101B-9397-08002B2CF9AE}" pid="5" name="TitusGUID">
    <vt:lpwstr>b87589d2-e2a0-461e-a170-5ed49ef78c4a</vt:lpwstr>
  </property>
  <property fmtid="{D5CDD505-2E9C-101B-9397-08002B2CF9AE}" pid="6" name="WTOCLASSIFICATION">
    <vt:lpwstr>WTO OFFICIAL</vt:lpwstr>
  </property>
</Properties>
</file>