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C9" w:rsidRDefault="00E943C9" w:rsidP="00E943C9">
      <w:pPr>
        <w:pStyle w:val="Titre"/>
        <w:rPr>
          <w:rFonts w:eastAsia="PMingLiU"/>
          <w:caps w:val="0"/>
          <w:kern w:val="0"/>
          <w:lang w:eastAsia="zh-HK"/>
        </w:rPr>
      </w:pPr>
      <w:bookmarkStart w:id="0" w:name="_GoBack"/>
      <w:bookmarkEnd w:id="0"/>
      <w:r>
        <w:rPr>
          <w:rFonts w:eastAsia="PMingLiU"/>
          <w:caps w:val="0"/>
          <w:kern w:val="0"/>
          <w:lang w:eastAsia="zh-HK"/>
        </w:rPr>
        <w:t>NOTIFICATION OF DOMESTIC LEGISLATION RELEVANT TO THE AGREEMENT ON GOVERNMENT PROCUREMENT</w:t>
      </w:r>
    </w:p>
    <w:p w:rsidR="00E943C9" w:rsidRDefault="00E943C9" w:rsidP="00E943C9">
      <w:pPr>
        <w:pStyle w:val="Title2"/>
      </w:pPr>
      <w:r>
        <w:t>Notification from Liechtenstein</w:t>
      </w:r>
    </w:p>
    <w:p w:rsidR="007141CF" w:rsidRDefault="00E943C9" w:rsidP="00B52738">
      <w:r>
        <w:t xml:space="preserve">The following notification, dated </w:t>
      </w:r>
      <w:r w:rsidR="00020182">
        <w:t>12 July 2018</w:t>
      </w:r>
      <w:r>
        <w:t>, is being circulated at the request of the Delegation of Liechtenstein.</w:t>
      </w:r>
    </w:p>
    <w:p w:rsidR="00E943C9" w:rsidRDefault="00E943C9" w:rsidP="00E943C9"/>
    <w:p w:rsidR="00E943C9" w:rsidRDefault="00E943C9" w:rsidP="00E943C9">
      <w:pPr>
        <w:jc w:val="center"/>
        <w:rPr>
          <w:b/>
        </w:rPr>
      </w:pPr>
      <w:r>
        <w:rPr>
          <w:b/>
        </w:rPr>
        <w:t>_______________</w:t>
      </w:r>
    </w:p>
    <w:p w:rsidR="00E943C9" w:rsidRDefault="00E943C9" w:rsidP="00E943C9">
      <w:pPr>
        <w:pStyle w:val="Titre"/>
      </w:pPr>
      <w:r>
        <w:t xml:space="preserve">Notification of revised domestic legislation </w:t>
      </w:r>
      <w:r>
        <w:br/>
        <w:t>on government procurement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52"/>
        <w:gridCol w:w="7290"/>
      </w:tblGrid>
      <w:tr w:rsidR="00E943C9" w:rsidTr="00E943C9">
        <w:tc>
          <w:tcPr>
            <w:tcW w:w="5000" w:type="pct"/>
            <w:gridSpan w:val="2"/>
            <w:tcBorders>
              <w:top w:val="nil"/>
              <w:left w:val="nil"/>
              <w:bottom w:val="double" w:sz="4" w:space="0" w:color="auto"/>
              <w:right w:val="nil"/>
            </w:tcBorders>
            <w:tcMar>
              <w:top w:w="57" w:type="dxa"/>
              <w:left w:w="108" w:type="dxa"/>
              <w:bottom w:w="57" w:type="dxa"/>
              <w:right w:w="108" w:type="dxa"/>
            </w:tcMar>
          </w:tcPr>
          <w:p w:rsidR="00E943C9" w:rsidRDefault="00E943C9">
            <w:pPr>
              <w:rPr>
                <w:b/>
                <w:smallCaps/>
                <w:szCs w:val="18"/>
                <w:lang w:val="en-US"/>
              </w:rPr>
            </w:pPr>
          </w:p>
        </w:tc>
      </w:tr>
      <w:tr w:rsidR="00E943C9" w:rsidTr="00E943C9">
        <w:trPr>
          <w:trHeight w:val="284"/>
        </w:trPr>
        <w:tc>
          <w:tcPr>
            <w:tcW w:w="1056" w:type="pct"/>
            <w:tcBorders>
              <w:top w:val="doub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Notifying Party</w:t>
            </w:r>
          </w:p>
        </w:tc>
        <w:tc>
          <w:tcPr>
            <w:tcW w:w="3944" w:type="pct"/>
            <w:tcBorders>
              <w:top w:val="doub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b/>
                <w:smallCaps/>
                <w:lang w:val="en-US"/>
              </w:rPr>
            </w:pPr>
            <w:r>
              <w:rPr>
                <w:b/>
                <w:smallCaps/>
                <w:lang w:val="en-US"/>
              </w:rPr>
              <w:t>LIECHTENSTEIN</w:t>
            </w:r>
          </w:p>
        </w:tc>
      </w:tr>
      <w:tr w:rsidR="00E943C9" w:rsidTr="00E943C9">
        <w:trPr>
          <w:trHeight w:val="284"/>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Legal Basis</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b/>
                <w:smallCaps/>
                <w:lang w:val="en-US"/>
              </w:rPr>
            </w:pPr>
            <w:r>
              <w:rPr>
                <w:b/>
                <w:smallCaps/>
                <w:lang w:val="en-US"/>
              </w:rPr>
              <w:fldChar w:fldCharType="begin">
                <w:ffData>
                  <w:name w:val=""/>
                  <w:enabled/>
                  <w:calcOnExit w:val="0"/>
                  <w:checkBox>
                    <w:sizeAuto/>
                    <w:default w:val="1"/>
                  </w:checkBox>
                </w:ffData>
              </w:fldChar>
            </w:r>
            <w:r>
              <w:rPr>
                <w:b/>
                <w:smallCaps/>
                <w:lang w:val="en-US"/>
              </w:rPr>
              <w:instrText xml:space="preserve"> FORMCHECKBOX </w:instrText>
            </w:r>
            <w:r w:rsidR="00FF1BB0">
              <w:rPr>
                <w:b/>
                <w:smallCaps/>
                <w:lang w:val="en-US"/>
              </w:rPr>
            </w:r>
            <w:r w:rsidR="00FF1BB0">
              <w:rPr>
                <w:b/>
                <w:smallCaps/>
                <w:lang w:val="en-US"/>
              </w:rPr>
              <w:fldChar w:fldCharType="separate"/>
            </w:r>
            <w:r>
              <w:rPr>
                <w:b/>
                <w:smallCaps/>
                <w:lang w:val="en-US"/>
              </w:rPr>
              <w:fldChar w:fldCharType="end"/>
            </w:r>
            <w:r>
              <w:rPr>
                <w:b/>
                <w:smallCaps/>
                <w:lang w:val="en-US"/>
              </w:rPr>
              <w:tab/>
              <w:t>Article XXII:5 of the revised GPA</w:t>
            </w:r>
          </w:p>
          <w:p w:rsidR="00E943C9" w:rsidRDefault="00E943C9" w:rsidP="00E943C9">
            <w:pPr>
              <w:ind w:left="567" w:hanging="567"/>
              <w:rPr>
                <w:b/>
                <w:smallCaps/>
                <w:lang w:val="en-US"/>
              </w:rPr>
            </w:pPr>
            <w:r>
              <w:rPr>
                <w:b/>
                <w:smallCaps/>
                <w:lang w:val="en-US"/>
              </w:rPr>
              <w:fldChar w:fldCharType="begin">
                <w:ffData>
                  <w:name w:val=""/>
                  <w:enabled/>
                  <w:calcOnExit w:val="0"/>
                  <w:checkBox>
                    <w:sizeAuto/>
                    <w:default w:val="0"/>
                  </w:checkBox>
                </w:ffData>
              </w:fldChar>
            </w:r>
            <w:r>
              <w:rPr>
                <w:b/>
                <w:smallCaps/>
                <w:lang w:val="en-US"/>
              </w:rPr>
              <w:instrText xml:space="preserve"> FORMCHECKBOX </w:instrText>
            </w:r>
            <w:r w:rsidR="00FF1BB0">
              <w:rPr>
                <w:b/>
                <w:smallCaps/>
                <w:lang w:val="en-US"/>
              </w:rPr>
            </w:r>
            <w:r w:rsidR="00FF1BB0">
              <w:rPr>
                <w:b/>
                <w:smallCaps/>
                <w:lang w:val="en-US"/>
              </w:rPr>
              <w:fldChar w:fldCharType="separate"/>
            </w:r>
            <w:r>
              <w:rPr>
                <w:b/>
                <w:smallCaps/>
                <w:lang w:val="en-US"/>
              </w:rPr>
              <w:fldChar w:fldCharType="end"/>
            </w:r>
            <w:r>
              <w:rPr>
                <w:b/>
                <w:smallCaps/>
                <w:lang w:val="en-US"/>
              </w:rPr>
              <w:tab/>
              <w:t>Committee's Decision on notification requirements under Articles XIX and XXII:5 of the revised GPA (Para. 1 of GPA/113, Annex A of Appendix 2, pp. 436-437)</w:t>
            </w:r>
          </w:p>
        </w:tc>
      </w:tr>
      <w:tr w:rsidR="00E943C9" w:rsidTr="00E943C9">
        <w:trPr>
          <w:trHeight w:val="274"/>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Title of the notified legal text</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rsidP="00E943C9">
            <w:pPr>
              <w:pStyle w:val="Listepuces"/>
              <w:rPr>
                <w:lang w:val="de-CH"/>
              </w:rPr>
            </w:pPr>
            <w:r>
              <w:rPr>
                <w:lang w:val="de-CH"/>
              </w:rPr>
              <w:t>Gesetz über das Öffentliche Auftragswesen (</w:t>
            </w:r>
            <w:proofErr w:type="spellStart"/>
            <w:r>
              <w:rPr>
                <w:lang w:val="de-CH"/>
              </w:rPr>
              <w:t>ÖAWG</w:t>
            </w:r>
            <w:proofErr w:type="spellEnd"/>
            <w:r>
              <w:rPr>
                <w:lang w:val="de-CH"/>
              </w:rPr>
              <w:t xml:space="preserve">) (Law on Public </w:t>
            </w:r>
            <w:r w:rsidRPr="00E943C9">
              <w:t>Procurement</w:t>
            </w:r>
            <w:r>
              <w:rPr>
                <w:lang w:val="de-CH"/>
              </w:rPr>
              <w:t>)</w:t>
            </w:r>
            <w:r w:rsidR="00CF460C">
              <w:rPr>
                <w:lang w:val="de-CH"/>
              </w:rPr>
              <w:t>;</w:t>
            </w:r>
          </w:p>
          <w:p w:rsidR="00E943C9" w:rsidRDefault="00E943C9" w:rsidP="00CF460C">
            <w:pPr>
              <w:pStyle w:val="Listepuces"/>
              <w:spacing w:after="0"/>
              <w:rPr>
                <w:lang w:val="de-CH"/>
              </w:rPr>
            </w:pPr>
            <w:r>
              <w:rPr>
                <w:lang w:val="de-CH"/>
              </w:rPr>
              <w:t>Gesetz über das Öffentliche Auftragswesen im Bereich der Sektoren (</w:t>
            </w:r>
            <w:proofErr w:type="spellStart"/>
            <w:r>
              <w:rPr>
                <w:lang w:val="de-CH"/>
              </w:rPr>
              <w:t>ÖAWSG</w:t>
            </w:r>
            <w:proofErr w:type="spellEnd"/>
            <w:r>
              <w:rPr>
                <w:lang w:val="de-CH"/>
              </w:rPr>
              <w:t xml:space="preserve">) (Law on </w:t>
            </w:r>
            <w:r w:rsidRPr="00E943C9">
              <w:t>Sectoral</w:t>
            </w:r>
            <w:r>
              <w:rPr>
                <w:lang w:val="de-CH"/>
              </w:rPr>
              <w:t xml:space="preserve"> Public </w:t>
            </w:r>
            <w:r w:rsidRPr="00E943C9">
              <w:t>Procurement</w:t>
            </w:r>
            <w:r>
              <w:rPr>
                <w:lang w:val="de-CH"/>
              </w:rPr>
              <w:t>)</w:t>
            </w:r>
            <w:r w:rsidR="00CF460C">
              <w:rPr>
                <w:lang w:val="de-CH"/>
              </w:rPr>
              <w:t>.</w:t>
            </w:r>
          </w:p>
        </w:tc>
      </w:tr>
      <w:tr w:rsidR="00E943C9" w:rsidTr="00E943C9">
        <w:trPr>
          <w:trHeight w:val="297"/>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Link to legal text</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rsidP="00CF460C">
            <w:pPr>
              <w:rPr>
                <w:color w:val="1F497D"/>
                <w:lang w:val="en-US"/>
              </w:rPr>
            </w:pPr>
            <w:proofErr w:type="spellStart"/>
            <w:r>
              <w:rPr>
                <w:lang w:val="en-US"/>
              </w:rPr>
              <w:t>ÖAWG</w:t>
            </w:r>
            <w:proofErr w:type="spellEnd"/>
            <w:r>
              <w:rPr>
                <w:lang w:val="en-US"/>
              </w:rPr>
              <w:t xml:space="preserve">: </w:t>
            </w:r>
            <w:hyperlink r:id="rId8" w:history="1">
              <w:r w:rsidRPr="00CF460C">
                <w:rPr>
                  <w:rStyle w:val="Lienhypertexte"/>
                </w:rPr>
                <w:t>http://www.gesetze.li/konso/1998.135</w:t>
              </w:r>
            </w:hyperlink>
            <w:r w:rsidR="00CF460C">
              <w:t>;</w:t>
            </w:r>
          </w:p>
          <w:p w:rsidR="00E943C9" w:rsidRDefault="00E943C9" w:rsidP="00CF460C">
            <w:pPr>
              <w:rPr>
                <w:lang w:val="de-CH" w:eastAsia="en-GB"/>
              </w:rPr>
            </w:pPr>
            <w:proofErr w:type="spellStart"/>
            <w:r>
              <w:rPr>
                <w:lang w:val="de-CH"/>
              </w:rPr>
              <w:t>ÖAWSG</w:t>
            </w:r>
            <w:proofErr w:type="spellEnd"/>
            <w:r>
              <w:rPr>
                <w:lang w:val="de-CH"/>
              </w:rPr>
              <w:t xml:space="preserve">: </w:t>
            </w:r>
            <w:hyperlink r:id="rId9" w:history="1">
              <w:r w:rsidRPr="00CF460C">
                <w:rPr>
                  <w:rStyle w:val="Lienhypertexte"/>
                </w:rPr>
                <w:t>https://www.gesetze.li/konso/2005.220</w:t>
              </w:r>
            </w:hyperlink>
            <w:r w:rsidR="00CF460C">
              <w:t>.</w:t>
            </w:r>
          </w:p>
        </w:tc>
      </w:tr>
      <w:tr w:rsidR="00E943C9" w:rsidTr="00E943C9">
        <w:trPr>
          <w:trHeight w:val="567"/>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Notification status</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ind w:left="567" w:hanging="567"/>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FF1BB0">
              <w:rPr>
                <w:lang w:val="en-US"/>
              </w:rPr>
            </w:r>
            <w:r w:rsidR="00FF1BB0">
              <w:rPr>
                <w:lang w:val="en-US"/>
              </w:rPr>
              <w:fldChar w:fldCharType="separate"/>
            </w:r>
            <w:r>
              <w:rPr>
                <w:lang w:val="en-US"/>
              </w:rPr>
              <w:fldChar w:fldCharType="end"/>
            </w:r>
            <w:r>
              <w:rPr>
                <w:lang w:val="en-US"/>
              </w:rPr>
              <w:tab/>
              <w:t>First notification (i.e. new domestic legislation)</w:t>
            </w:r>
          </w:p>
          <w:p w:rsidR="00E943C9" w:rsidRDefault="00E943C9">
            <w:pPr>
              <w:ind w:left="567" w:hanging="567"/>
              <w:rPr>
                <w:lang w:val="en-US" w:eastAsia="en-GB"/>
              </w:rPr>
            </w:pPr>
            <w:r>
              <w:rPr>
                <w:b/>
                <w:smallCaps/>
                <w:lang w:val="en-US"/>
              </w:rPr>
              <w:fldChar w:fldCharType="begin">
                <w:ffData>
                  <w:name w:val=""/>
                  <w:enabled/>
                  <w:calcOnExit w:val="0"/>
                  <w:checkBox>
                    <w:sizeAuto/>
                    <w:default w:val="1"/>
                  </w:checkBox>
                </w:ffData>
              </w:fldChar>
            </w:r>
            <w:r>
              <w:rPr>
                <w:b/>
                <w:smallCaps/>
                <w:lang w:val="en-US"/>
              </w:rPr>
              <w:instrText xml:space="preserve"> FORMCHECKBOX </w:instrText>
            </w:r>
            <w:r w:rsidR="00FF1BB0">
              <w:rPr>
                <w:b/>
                <w:smallCaps/>
                <w:lang w:val="en-US"/>
              </w:rPr>
            </w:r>
            <w:r w:rsidR="00FF1BB0">
              <w:rPr>
                <w:b/>
                <w:smallCaps/>
                <w:lang w:val="en-US"/>
              </w:rPr>
              <w:fldChar w:fldCharType="separate"/>
            </w:r>
            <w:r>
              <w:rPr>
                <w:b/>
                <w:smallCaps/>
                <w:lang w:val="en-US"/>
              </w:rPr>
              <w:fldChar w:fldCharType="end"/>
            </w:r>
            <w:r>
              <w:rPr>
                <w:lang w:val="en-US"/>
              </w:rPr>
              <w:tab/>
              <w:t>Change, a</w:t>
            </w:r>
            <w:r>
              <w:rPr>
                <w:lang w:val="en-US" w:eastAsia="en-GB"/>
              </w:rPr>
              <w:t>mendment or revision to notified legal text</w:t>
            </w:r>
          </w:p>
          <w:p w:rsidR="00E943C9" w:rsidRDefault="00E943C9">
            <w:pPr>
              <w:ind w:left="567" w:hanging="567"/>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FF1BB0">
              <w:rPr>
                <w:lang w:val="en-US"/>
              </w:rPr>
            </w:r>
            <w:r w:rsidR="00FF1BB0">
              <w:rPr>
                <w:lang w:val="en-US"/>
              </w:rPr>
              <w:fldChar w:fldCharType="separate"/>
            </w:r>
            <w:r>
              <w:rPr>
                <w:lang w:val="en-US"/>
              </w:rPr>
              <w:fldChar w:fldCharType="end"/>
            </w:r>
            <w:r>
              <w:rPr>
                <w:smallCaps/>
                <w:lang w:val="en-US"/>
              </w:rPr>
              <w:tab/>
            </w:r>
            <w:r>
              <w:rPr>
                <w:lang w:val="en-US"/>
              </w:rPr>
              <w:t>Replacement or consolidation of notified legal text(s)</w:t>
            </w:r>
          </w:p>
        </w:tc>
      </w:tr>
      <w:tr w:rsidR="00E943C9" w:rsidTr="00E943C9">
        <w:trPr>
          <w:trHeight w:val="567"/>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Previous notification(s) referred to</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lang w:val="en-US"/>
              </w:rPr>
            </w:pPr>
            <w:r>
              <w:rPr>
                <w:lang w:val="en-US"/>
              </w:rPr>
              <w:t>Notification of Na</w:t>
            </w:r>
            <w:r w:rsidR="00B72172">
              <w:rPr>
                <w:lang w:val="en-US"/>
              </w:rPr>
              <w:t>tional Implementing Legislation (GPA/46, dated</w:t>
            </w:r>
            <w:r>
              <w:rPr>
                <w:lang w:val="en-US"/>
              </w:rPr>
              <w:t xml:space="preserve"> 19</w:t>
            </w:r>
            <w:r w:rsidR="00B72172">
              <w:rPr>
                <w:lang w:val="en-US"/>
              </w:rPr>
              <w:t> </w:t>
            </w:r>
            <w:r>
              <w:rPr>
                <w:lang w:val="en-US"/>
              </w:rPr>
              <w:t>December 2000</w:t>
            </w:r>
            <w:r w:rsidR="0004131B">
              <w:rPr>
                <w:lang w:val="en-US"/>
              </w:rPr>
              <w:t>):</w:t>
            </w:r>
          </w:p>
          <w:p w:rsidR="00E943C9" w:rsidRDefault="007B022E" w:rsidP="00CF460C">
            <w:pPr>
              <w:rPr>
                <w:lang w:val="en-US" w:eastAsia="en-GB"/>
              </w:rPr>
            </w:pPr>
            <w:r>
              <w:t>"</w:t>
            </w:r>
            <w:hyperlink r:id="rId10" w:history="1">
              <w:r w:rsidR="00E943C9">
                <w:rPr>
                  <w:rStyle w:val="Lienhypertexte"/>
                  <w:lang w:val="en-US" w:eastAsia="en-GB"/>
                </w:rPr>
                <w:t>https://docs.wto.org/dol2fe/Pages/FE_Search/FE_S_S009-DP.aspx?language=E&amp;CatalogueIdList=73665,7323&amp;CurrentCatalogueIdIndex=1&amp;FullTextHash=&amp;HasEnglishRecord=True&amp;HasFrenchRecord=True&amp;HasSpanishRecord=True</w:t>
              </w:r>
            </w:hyperlink>
            <w:r>
              <w:t>"</w:t>
            </w:r>
          </w:p>
        </w:tc>
      </w:tr>
      <w:tr w:rsidR="00E943C9" w:rsidTr="00E943C9">
        <w:trPr>
          <w:trHeight w:val="438"/>
        </w:trPr>
        <w:tc>
          <w:tcPr>
            <w:tcW w:w="5000" w:type="pct"/>
            <w:gridSpan w:val="2"/>
            <w:tcBorders>
              <w:top w:val="single" w:sz="4" w:space="0" w:color="auto"/>
              <w:left w:val="doub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jc w:val="left"/>
              <w:rPr>
                <w:b/>
                <w:lang w:val="en-US"/>
              </w:rPr>
            </w:pPr>
            <w:r>
              <w:rPr>
                <w:b/>
                <w:lang w:val="en-US"/>
              </w:rPr>
              <w:t>Brief description of the notified legal text</w:t>
            </w:r>
          </w:p>
          <w:p w:rsidR="00CF460C" w:rsidRDefault="00CF460C">
            <w:pPr>
              <w:jc w:val="left"/>
              <w:rPr>
                <w:b/>
                <w:lang w:val="en-US"/>
              </w:rPr>
            </w:pPr>
          </w:p>
          <w:p w:rsidR="00E943C9" w:rsidRDefault="00E943C9">
            <w:pPr>
              <w:rPr>
                <w:lang w:val="en-US"/>
              </w:rPr>
            </w:pPr>
            <w:r>
              <w:rPr>
                <w:lang w:val="en-US"/>
              </w:rPr>
              <w:t>The notified legal text consists of rules for the procurement of public construction, purchase, and service contracts. Both laws are subdivided into seven chapters who contain rules regarding the general provisions, the allocation of public procurement, the allocation of concessions, administration and execution, means of legal redress, sanctions as well as transitional and final provisions.</w:t>
            </w:r>
          </w:p>
          <w:p w:rsidR="00CF460C" w:rsidRDefault="00CF460C">
            <w:pPr>
              <w:rPr>
                <w:lang w:val="en-US"/>
              </w:rPr>
            </w:pPr>
          </w:p>
          <w:p w:rsidR="00CF460C" w:rsidRDefault="00CF460C">
            <w:pPr>
              <w:rPr>
                <w:lang w:val="en-US"/>
              </w:rPr>
            </w:pPr>
          </w:p>
          <w:p w:rsidR="00CF460C" w:rsidRDefault="00CF460C">
            <w:pPr>
              <w:rPr>
                <w:lang w:val="en-US"/>
              </w:rPr>
            </w:pPr>
          </w:p>
          <w:p w:rsidR="00E943C9" w:rsidRDefault="00E943C9" w:rsidP="00E943C9">
            <w:pPr>
              <w:keepNext/>
              <w:keepLines/>
              <w:rPr>
                <w:lang w:val="en-US"/>
              </w:rPr>
            </w:pPr>
            <w:r>
              <w:rPr>
                <w:lang w:val="en-US"/>
              </w:rPr>
              <w:lastRenderedPageBreak/>
              <w:t>With the revision of the Law on Public Procurement and the Law on Sectoral Public Procurement, Liechtenstein has implemented the following regulations into national legislation:</w:t>
            </w:r>
          </w:p>
          <w:p w:rsidR="00E943C9" w:rsidRDefault="00E943C9" w:rsidP="00E943C9">
            <w:pPr>
              <w:keepNext/>
              <w:keepLines/>
              <w:rPr>
                <w:lang w:val="en-US"/>
              </w:rPr>
            </w:pPr>
          </w:p>
          <w:p w:rsidR="00E943C9" w:rsidRDefault="00E943C9" w:rsidP="00E943C9">
            <w:pPr>
              <w:pStyle w:val="Listepuces"/>
              <w:rPr>
                <w:lang w:val="en-US"/>
              </w:rPr>
            </w:pPr>
            <w:r>
              <w:rPr>
                <w:lang w:val="en-US"/>
              </w:rPr>
              <w:t xml:space="preserve">Directive 2014/25/EU of the European Parliament and of the Council of 26 February 2014 on procurement by entities operating in the water, energy, transport and postal services sectors and repealing Directive 2004/17/EC: </w:t>
            </w:r>
            <w:r w:rsidR="00CF460C">
              <w:rPr>
                <w:lang w:val="en-US"/>
              </w:rPr>
              <w:t>"</w:t>
            </w:r>
            <w:hyperlink r:id="rId11" w:history="1">
              <w:r w:rsidRPr="00CF460C">
                <w:rPr>
                  <w:rStyle w:val="Lienhypertexte"/>
                </w:rPr>
                <w:t>https://eur-lex.europa.eu/legal-content/EN/TXT/PDF/?uri=CELEX:32014L0025&amp;from=de</w:t>
              </w:r>
            </w:hyperlink>
            <w:r w:rsidR="00CF460C">
              <w:t>"</w:t>
            </w:r>
            <w:r>
              <w:rPr>
                <w:lang w:val="en-US"/>
              </w:rPr>
              <w:t xml:space="preserve">; </w:t>
            </w:r>
          </w:p>
          <w:p w:rsidR="00E943C9" w:rsidRPr="00CF460C" w:rsidRDefault="00E943C9" w:rsidP="00E943C9">
            <w:pPr>
              <w:pStyle w:val="Listepuces"/>
            </w:pPr>
            <w:r w:rsidRPr="00CF460C">
              <w:t>Directive 2014/24/EU of the European Parliament and th</w:t>
            </w:r>
            <w:r w:rsidR="00AF35D6">
              <w:t>e of the Council of 26 February </w:t>
            </w:r>
            <w:r w:rsidRPr="00CF460C">
              <w:t xml:space="preserve">2014 on public procurement and repealing Directive 2004/18/EC: </w:t>
            </w:r>
            <w:r w:rsidR="00CF460C">
              <w:t>"</w:t>
            </w:r>
            <w:hyperlink r:id="rId12" w:history="1">
              <w:r w:rsidRPr="00CF460C">
                <w:rPr>
                  <w:rStyle w:val="Lienhypertexte"/>
                </w:rPr>
                <w:t>https://eur-lex.europa.eu/legal-content/EN/TXT/PDF/?uri=CELEX:32014L0024&amp;from=EN</w:t>
              </w:r>
            </w:hyperlink>
            <w:r w:rsidR="00CF460C">
              <w:t>"</w:t>
            </w:r>
            <w:r w:rsidRPr="00CF460C">
              <w:t xml:space="preserve">; </w:t>
            </w:r>
          </w:p>
          <w:p w:rsidR="00E943C9" w:rsidRDefault="00E943C9" w:rsidP="00E943C9">
            <w:pPr>
              <w:pStyle w:val="Listepuces"/>
              <w:rPr>
                <w:lang w:val="en-US"/>
              </w:rPr>
            </w:pPr>
            <w:r w:rsidRPr="00CF460C">
              <w:t xml:space="preserve">Directive 2014/23/EU of the European Parliament and of the Council of 26 February 2014 on the award of concession contracts: </w:t>
            </w:r>
            <w:r w:rsidR="00CF460C">
              <w:t>"</w:t>
            </w:r>
            <w:hyperlink r:id="rId13" w:history="1">
              <w:r w:rsidRPr="00CF460C">
                <w:rPr>
                  <w:rStyle w:val="Lienhypertexte"/>
                </w:rPr>
                <w:t>https://eur-lex.europa.eu/legal-content/EN/TXT/PDF/?uri=CELEX:32014L0023&amp;from=DE</w:t>
              </w:r>
            </w:hyperlink>
            <w:r w:rsidR="00CF460C">
              <w:t>"</w:t>
            </w:r>
            <w:r w:rsidRPr="00CF460C">
              <w:t>.</w:t>
            </w:r>
          </w:p>
        </w:tc>
      </w:tr>
      <w:tr w:rsidR="00E943C9" w:rsidTr="00E943C9">
        <w:trPr>
          <w:trHeight w:val="35"/>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lastRenderedPageBreak/>
              <w:t>Language(s) of notified legal text</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lang w:val="en-US"/>
              </w:rPr>
            </w:pPr>
            <w:r>
              <w:rPr>
                <w:lang w:val="en-US"/>
              </w:rPr>
              <w:t>German</w:t>
            </w:r>
          </w:p>
        </w:tc>
      </w:tr>
      <w:tr w:rsidR="00E943C9" w:rsidTr="00E943C9">
        <w:trPr>
          <w:trHeight w:val="345"/>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Date of adoption</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lang w:val="en-US"/>
              </w:rPr>
            </w:pPr>
            <w:r>
              <w:rPr>
                <w:lang w:val="en-US"/>
              </w:rPr>
              <w:t>10 November 2017</w:t>
            </w:r>
          </w:p>
        </w:tc>
      </w:tr>
      <w:tr w:rsidR="00E943C9" w:rsidTr="00E943C9">
        <w:trPr>
          <w:trHeight w:val="294"/>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Entry into force</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rPr>
                <w:lang w:val="en-US"/>
              </w:rPr>
            </w:pPr>
            <w:r>
              <w:rPr>
                <w:lang w:val="en-US"/>
              </w:rPr>
              <w:t>1 January 2018</w:t>
            </w:r>
          </w:p>
        </w:tc>
      </w:tr>
      <w:tr w:rsidR="00E943C9" w:rsidTr="00E943C9">
        <w:trPr>
          <w:trHeight w:val="66"/>
        </w:trPr>
        <w:tc>
          <w:tcPr>
            <w:tcW w:w="1056"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rsidR="00E943C9" w:rsidRDefault="00E943C9">
            <w:pPr>
              <w:jc w:val="left"/>
              <w:rPr>
                <w:b/>
                <w:lang w:val="en-US"/>
              </w:rPr>
            </w:pPr>
            <w:r>
              <w:rPr>
                <w:b/>
                <w:lang w:val="en-US"/>
              </w:rPr>
              <w:t xml:space="preserve">Other information </w:t>
            </w:r>
          </w:p>
        </w:tc>
        <w:tc>
          <w:tcPr>
            <w:tcW w:w="3944"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rsidR="00E943C9" w:rsidRDefault="00E943C9">
            <w:pPr>
              <w:jc w:val="left"/>
              <w:rPr>
                <w:b/>
                <w:lang w:val="de-CH"/>
              </w:rPr>
            </w:pPr>
            <w:r w:rsidRPr="00020182">
              <w:rPr>
                <w:b/>
              </w:rPr>
              <w:t>Regulations</w:t>
            </w:r>
            <w:r>
              <w:rPr>
                <w:b/>
                <w:lang w:val="de-CH"/>
              </w:rPr>
              <w:t xml:space="preserve"> on Public </w:t>
            </w:r>
            <w:r w:rsidRPr="00020182">
              <w:rPr>
                <w:b/>
              </w:rPr>
              <w:t>Procurement</w:t>
            </w:r>
          </w:p>
          <w:p w:rsidR="00CF460C" w:rsidRDefault="00CF460C">
            <w:pPr>
              <w:jc w:val="left"/>
              <w:rPr>
                <w:b/>
                <w:lang w:val="de-CH"/>
              </w:rPr>
            </w:pPr>
          </w:p>
          <w:p w:rsidR="00E943C9" w:rsidRPr="00020182" w:rsidRDefault="00E943C9" w:rsidP="00020182">
            <w:pPr>
              <w:pStyle w:val="Listepuces"/>
            </w:pPr>
            <w:proofErr w:type="spellStart"/>
            <w:r w:rsidRPr="00020182">
              <w:t>Verordnung</w:t>
            </w:r>
            <w:proofErr w:type="spellEnd"/>
            <w:r>
              <w:rPr>
                <w:lang w:val="de-CH"/>
              </w:rPr>
              <w:t xml:space="preserve"> über das Öffentliche Auftragswesen (</w:t>
            </w:r>
            <w:proofErr w:type="spellStart"/>
            <w:r>
              <w:rPr>
                <w:lang w:val="de-CH"/>
              </w:rPr>
              <w:t>ÖAWV</w:t>
            </w:r>
            <w:proofErr w:type="spellEnd"/>
            <w:r>
              <w:rPr>
                <w:lang w:val="de-CH"/>
              </w:rPr>
              <w:t xml:space="preserve">) (Regulation on Public </w:t>
            </w:r>
            <w:r w:rsidRPr="00020182">
              <w:t>Procurement</w:t>
            </w:r>
            <w:r>
              <w:rPr>
                <w:lang w:val="de-CH"/>
              </w:rPr>
              <w:t xml:space="preserve">): </w:t>
            </w:r>
            <w:hyperlink r:id="rId14" w:history="1">
              <w:r w:rsidRPr="00CF460C">
                <w:rPr>
                  <w:rStyle w:val="Lienhypertexte"/>
                </w:rPr>
                <w:t>http://www.gesetze.li/</w:t>
              </w:r>
              <w:proofErr w:type="spellStart"/>
              <w:r w:rsidRPr="00CF460C">
                <w:rPr>
                  <w:rStyle w:val="Lienhypertexte"/>
                  <w:lang w:val="de-CH"/>
                </w:rPr>
                <w:t>konso</w:t>
              </w:r>
              <w:proofErr w:type="spellEnd"/>
              <w:r w:rsidRPr="00CF460C">
                <w:rPr>
                  <w:rStyle w:val="Lienhypertexte"/>
                </w:rPr>
                <w:t>/1998.189</w:t>
              </w:r>
            </w:hyperlink>
            <w:r w:rsidR="00CF460C">
              <w:rPr>
                <w:lang w:val="de-CH"/>
              </w:rPr>
              <w:t>;</w:t>
            </w:r>
          </w:p>
          <w:p w:rsidR="00E943C9" w:rsidRPr="00020182" w:rsidRDefault="00E943C9" w:rsidP="00CF460C">
            <w:pPr>
              <w:pStyle w:val="Listepuces"/>
            </w:pPr>
            <w:r>
              <w:rPr>
                <w:lang w:val="de-CH"/>
              </w:rPr>
              <w:t>Verordnung über das Öffentliche Auftragswesen im Bereich der Sektoren (</w:t>
            </w:r>
            <w:proofErr w:type="spellStart"/>
            <w:r>
              <w:rPr>
                <w:lang w:val="de-CH"/>
              </w:rPr>
              <w:t>ÖAWSV</w:t>
            </w:r>
            <w:proofErr w:type="spellEnd"/>
            <w:r>
              <w:rPr>
                <w:lang w:val="de-CH"/>
              </w:rPr>
              <w:t xml:space="preserve">) (Regulation on </w:t>
            </w:r>
            <w:r w:rsidRPr="00020182">
              <w:t>Sectoral</w:t>
            </w:r>
            <w:r>
              <w:rPr>
                <w:lang w:val="de-CH"/>
              </w:rPr>
              <w:t xml:space="preserve"> Public </w:t>
            </w:r>
            <w:r w:rsidRPr="00020182">
              <w:t>Procurement</w:t>
            </w:r>
            <w:r>
              <w:rPr>
                <w:lang w:val="de-CH"/>
              </w:rPr>
              <w:t xml:space="preserve">): </w:t>
            </w:r>
            <w:hyperlink r:id="rId15" w:history="1">
              <w:r w:rsidRPr="00CF460C">
                <w:rPr>
                  <w:rStyle w:val="Lienhypertexte"/>
                </w:rPr>
                <w:t>http://www.gesetze.li/konso/2005.223</w:t>
              </w:r>
            </w:hyperlink>
            <w:r w:rsidR="00CF460C">
              <w:t>;</w:t>
            </w:r>
          </w:p>
          <w:p w:rsidR="00E943C9" w:rsidRPr="00020182" w:rsidRDefault="00E943C9" w:rsidP="00CF460C">
            <w:pPr>
              <w:pStyle w:val="Listepuces"/>
            </w:pPr>
            <w:r>
              <w:rPr>
                <w:lang w:val="de-CH"/>
              </w:rPr>
              <w:t>Kundmachung der Schwellenwerte bei der Vergabe öffentlicher Aufträge (</w:t>
            </w:r>
            <w:r w:rsidRPr="00020182">
              <w:t>Thresholds</w:t>
            </w:r>
            <w:r>
              <w:rPr>
                <w:lang w:val="de-CH"/>
              </w:rPr>
              <w:t xml:space="preserve"> </w:t>
            </w:r>
            <w:r w:rsidRPr="00020182">
              <w:t>for</w:t>
            </w:r>
            <w:r>
              <w:rPr>
                <w:lang w:val="de-CH"/>
              </w:rPr>
              <w:t xml:space="preserve"> Public </w:t>
            </w:r>
            <w:r w:rsidRPr="00020182">
              <w:t>Procurement</w:t>
            </w:r>
            <w:r>
              <w:rPr>
                <w:lang w:val="de-CH"/>
              </w:rPr>
              <w:t xml:space="preserve">): </w:t>
            </w:r>
            <w:hyperlink r:id="rId16" w:history="1">
              <w:r w:rsidRPr="00CF460C">
                <w:rPr>
                  <w:rStyle w:val="Lienhypertexte"/>
                </w:rPr>
                <w:t>https://www.gesetze.li/konso/2018.23</w:t>
              </w:r>
            </w:hyperlink>
            <w:r w:rsidR="00CF460C">
              <w:t>;</w:t>
            </w:r>
          </w:p>
          <w:p w:rsidR="00E943C9" w:rsidRDefault="00E943C9" w:rsidP="00CF460C">
            <w:pPr>
              <w:pStyle w:val="Listepuces"/>
              <w:spacing w:after="0"/>
              <w:rPr>
                <w:b/>
                <w:lang w:val="de-CH"/>
              </w:rPr>
            </w:pPr>
            <w:r>
              <w:rPr>
                <w:lang w:val="de-CH"/>
              </w:rPr>
              <w:t>Kundmachung der Schwellenwerte bei der Vergabe öffentlicher Aufträge im Bereich der Sektoren (</w:t>
            </w:r>
            <w:r w:rsidRPr="00AF35D6">
              <w:t>Thresholds</w:t>
            </w:r>
            <w:r>
              <w:rPr>
                <w:lang w:val="de-CH"/>
              </w:rPr>
              <w:t xml:space="preserve"> </w:t>
            </w:r>
            <w:r w:rsidRPr="00AF35D6">
              <w:t>for</w:t>
            </w:r>
            <w:r>
              <w:rPr>
                <w:lang w:val="de-CH"/>
              </w:rPr>
              <w:t xml:space="preserve"> </w:t>
            </w:r>
            <w:r w:rsidRPr="00AF35D6">
              <w:t>Sectoral</w:t>
            </w:r>
            <w:r>
              <w:rPr>
                <w:lang w:val="de-CH"/>
              </w:rPr>
              <w:t xml:space="preserve"> Public </w:t>
            </w:r>
            <w:r w:rsidRPr="00AF35D6">
              <w:t>Procurement</w:t>
            </w:r>
            <w:r>
              <w:rPr>
                <w:lang w:val="de-CH"/>
              </w:rPr>
              <w:t xml:space="preserve">): </w:t>
            </w:r>
            <w:hyperlink r:id="rId17" w:history="1">
              <w:r w:rsidRPr="00CF460C">
                <w:rPr>
                  <w:rStyle w:val="Lienhypertexte"/>
                </w:rPr>
                <w:t>https://www.gesetze.li/konso/2018.24</w:t>
              </w:r>
            </w:hyperlink>
            <w:r w:rsidR="00CF460C">
              <w:t>.</w:t>
            </w:r>
          </w:p>
        </w:tc>
      </w:tr>
      <w:tr w:rsidR="00E943C9" w:rsidTr="00E943C9">
        <w:trPr>
          <w:trHeight w:val="567"/>
        </w:trPr>
        <w:tc>
          <w:tcPr>
            <w:tcW w:w="1056" w:type="pct"/>
            <w:tcBorders>
              <w:top w:val="single" w:sz="4" w:space="0" w:color="auto"/>
              <w:left w:val="double" w:sz="4" w:space="0" w:color="auto"/>
              <w:bottom w:val="double" w:sz="4" w:space="0" w:color="auto"/>
              <w:right w:val="single" w:sz="4" w:space="0" w:color="auto"/>
            </w:tcBorders>
            <w:shd w:val="clear" w:color="auto" w:fill="FFFFFF"/>
            <w:tcMar>
              <w:top w:w="57" w:type="dxa"/>
              <w:left w:w="108" w:type="dxa"/>
              <w:bottom w:w="57" w:type="dxa"/>
              <w:right w:w="108" w:type="dxa"/>
            </w:tcMar>
            <w:hideMark/>
          </w:tcPr>
          <w:p w:rsidR="00E943C9" w:rsidRDefault="00E943C9">
            <w:pPr>
              <w:jc w:val="left"/>
              <w:rPr>
                <w:b/>
                <w:lang w:val="en-US"/>
              </w:rPr>
            </w:pPr>
            <w:r>
              <w:rPr>
                <w:b/>
                <w:lang w:val="en-US"/>
              </w:rPr>
              <w:t>Agency or authority responsible</w:t>
            </w:r>
          </w:p>
        </w:tc>
        <w:tc>
          <w:tcPr>
            <w:tcW w:w="3944" w:type="pct"/>
            <w:tcBorders>
              <w:top w:val="single" w:sz="4" w:space="0" w:color="auto"/>
              <w:left w:val="single" w:sz="4" w:space="0" w:color="auto"/>
              <w:bottom w:val="double" w:sz="4" w:space="0" w:color="auto"/>
              <w:right w:val="double" w:sz="4" w:space="0" w:color="auto"/>
            </w:tcBorders>
            <w:shd w:val="clear" w:color="auto" w:fill="FFFFFF"/>
            <w:tcMar>
              <w:top w:w="57" w:type="dxa"/>
              <w:left w:w="108" w:type="dxa"/>
              <w:bottom w:w="57" w:type="dxa"/>
              <w:right w:w="108" w:type="dxa"/>
            </w:tcMar>
            <w:hideMark/>
          </w:tcPr>
          <w:p w:rsidR="00E943C9" w:rsidRDefault="00E943C9" w:rsidP="00AF35D6">
            <w:pPr>
              <w:rPr>
                <w:b/>
                <w:lang w:val="de-CH"/>
              </w:rPr>
            </w:pPr>
            <w:r>
              <w:rPr>
                <w:lang w:val="de-CH"/>
              </w:rPr>
              <w:t>Fachstelle Öffentliches Auftragswesen (</w:t>
            </w:r>
            <w:r w:rsidRPr="00AF35D6">
              <w:t>Specialised</w:t>
            </w:r>
            <w:r>
              <w:rPr>
                <w:lang w:val="de-CH"/>
              </w:rPr>
              <w:t xml:space="preserve"> Unit </w:t>
            </w:r>
            <w:r w:rsidRPr="00AF35D6">
              <w:t>for</w:t>
            </w:r>
            <w:r>
              <w:rPr>
                <w:lang w:val="de-CH"/>
              </w:rPr>
              <w:t xml:space="preserve"> Public </w:t>
            </w:r>
            <w:r w:rsidRPr="00AF35D6">
              <w:t>Procurement</w:t>
            </w:r>
            <w:r>
              <w:rPr>
                <w:lang w:val="de-CH"/>
              </w:rPr>
              <w:t>)</w:t>
            </w:r>
          </w:p>
        </w:tc>
      </w:tr>
    </w:tbl>
    <w:p w:rsidR="00E943C9" w:rsidRDefault="00E943C9" w:rsidP="00E943C9"/>
    <w:p w:rsidR="00CF460C" w:rsidRDefault="00CF460C" w:rsidP="00CF460C"/>
    <w:p w:rsidR="00CF460C" w:rsidRPr="00CF460C" w:rsidRDefault="00CF460C" w:rsidP="00CF460C">
      <w:pPr>
        <w:jc w:val="center"/>
      </w:pPr>
      <w:r>
        <w:rPr>
          <w:b/>
        </w:rPr>
        <w:t>__________</w:t>
      </w:r>
    </w:p>
    <w:sectPr w:rsidR="00CF460C" w:rsidRPr="00CF460C" w:rsidSect="00760DB3">
      <w:headerReference w:type="even" r:id="rId18"/>
      <w:headerReference w:type="default" r:id="rId19"/>
      <w:footerReference w:type="even" r:id="rId20"/>
      <w:footerReference w:type="default" r:id="rId21"/>
      <w:head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C9" w:rsidRDefault="00E943C9" w:rsidP="00ED54E0">
      <w:r>
        <w:separator/>
      </w:r>
    </w:p>
  </w:endnote>
  <w:endnote w:type="continuationSeparator" w:id="0">
    <w:p w:rsidR="00E943C9" w:rsidRDefault="00E943C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E943C9" w:rsidRDefault="00E943C9" w:rsidP="00E943C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E943C9" w:rsidRDefault="00E943C9" w:rsidP="00E943C9">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C9" w:rsidRDefault="00E943C9" w:rsidP="00ED54E0">
      <w:r>
        <w:separator/>
      </w:r>
    </w:p>
  </w:footnote>
  <w:footnote w:type="continuationSeparator" w:id="0">
    <w:p w:rsidR="00E943C9" w:rsidRDefault="00E943C9"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C9" w:rsidRPr="00E943C9" w:rsidRDefault="00E943C9" w:rsidP="00E943C9">
    <w:pPr>
      <w:pStyle w:val="En-tte"/>
      <w:pBdr>
        <w:bottom w:val="single" w:sz="4" w:space="1" w:color="auto"/>
      </w:pBdr>
      <w:tabs>
        <w:tab w:val="clear" w:pos="4513"/>
        <w:tab w:val="clear" w:pos="9027"/>
      </w:tabs>
      <w:jc w:val="center"/>
    </w:pPr>
    <w:r w:rsidRPr="00E943C9">
      <w:t>GPA/</w:t>
    </w:r>
    <w:proofErr w:type="spellStart"/>
    <w:r w:rsidRPr="00E943C9">
      <w:t>LEGIS</w:t>
    </w:r>
    <w:proofErr w:type="spellEnd"/>
    <w:r w:rsidRPr="00E943C9">
      <w:t>/LIE/1</w:t>
    </w:r>
  </w:p>
  <w:p w:rsidR="00E943C9" w:rsidRPr="00E943C9" w:rsidRDefault="00E943C9" w:rsidP="00E943C9">
    <w:pPr>
      <w:pStyle w:val="En-tte"/>
      <w:pBdr>
        <w:bottom w:val="single" w:sz="4" w:space="1" w:color="auto"/>
      </w:pBdr>
      <w:tabs>
        <w:tab w:val="clear" w:pos="4513"/>
        <w:tab w:val="clear" w:pos="9027"/>
      </w:tabs>
      <w:jc w:val="center"/>
    </w:pPr>
  </w:p>
  <w:p w:rsidR="00E943C9" w:rsidRPr="00E943C9" w:rsidRDefault="00E943C9" w:rsidP="00E943C9">
    <w:pPr>
      <w:pStyle w:val="En-tte"/>
      <w:pBdr>
        <w:bottom w:val="single" w:sz="4" w:space="1" w:color="auto"/>
      </w:pBdr>
      <w:tabs>
        <w:tab w:val="clear" w:pos="4513"/>
        <w:tab w:val="clear" w:pos="9027"/>
      </w:tabs>
      <w:jc w:val="center"/>
    </w:pPr>
    <w:r w:rsidRPr="00E943C9">
      <w:t xml:space="preserve">- </w:t>
    </w:r>
    <w:r w:rsidRPr="00E943C9">
      <w:fldChar w:fldCharType="begin"/>
    </w:r>
    <w:r w:rsidRPr="00E943C9">
      <w:instrText xml:space="preserve"> PAGE </w:instrText>
    </w:r>
    <w:r w:rsidRPr="00E943C9">
      <w:fldChar w:fldCharType="separate"/>
    </w:r>
    <w:r w:rsidRPr="00E943C9">
      <w:rPr>
        <w:noProof/>
      </w:rPr>
      <w:t>1</w:t>
    </w:r>
    <w:r w:rsidRPr="00E943C9">
      <w:fldChar w:fldCharType="end"/>
    </w:r>
    <w:r w:rsidRPr="00E943C9">
      <w:t xml:space="preserve"> -</w:t>
    </w:r>
  </w:p>
  <w:p w:rsidR="00544326" w:rsidRPr="00E943C9" w:rsidRDefault="00544326" w:rsidP="00E943C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C9" w:rsidRPr="00E943C9" w:rsidRDefault="00E943C9" w:rsidP="00E943C9">
    <w:pPr>
      <w:pStyle w:val="En-tte"/>
      <w:pBdr>
        <w:bottom w:val="single" w:sz="4" w:space="1" w:color="auto"/>
      </w:pBdr>
      <w:tabs>
        <w:tab w:val="clear" w:pos="4513"/>
        <w:tab w:val="clear" w:pos="9027"/>
      </w:tabs>
      <w:jc w:val="center"/>
    </w:pPr>
    <w:r w:rsidRPr="00E943C9">
      <w:t>GPA/</w:t>
    </w:r>
    <w:proofErr w:type="spellStart"/>
    <w:r w:rsidRPr="00E943C9">
      <w:t>LEGIS</w:t>
    </w:r>
    <w:proofErr w:type="spellEnd"/>
    <w:r w:rsidRPr="00E943C9">
      <w:t>/LIE/1</w:t>
    </w:r>
  </w:p>
  <w:p w:rsidR="00E943C9" w:rsidRPr="00E943C9" w:rsidRDefault="00E943C9" w:rsidP="00E943C9">
    <w:pPr>
      <w:pStyle w:val="En-tte"/>
      <w:pBdr>
        <w:bottom w:val="single" w:sz="4" w:space="1" w:color="auto"/>
      </w:pBdr>
      <w:tabs>
        <w:tab w:val="clear" w:pos="4513"/>
        <w:tab w:val="clear" w:pos="9027"/>
      </w:tabs>
      <w:jc w:val="center"/>
    </w:pPr>
  </w:p>
  <w:p w:rsidR="00E943C9" w:rsidRPr="00E943C9" w:rsidRDefault="00E943C9" w:rsidP="00E943C9">
    <w:pPr>
      <w:pStyle w:val="En-tte"/>
      <w:pBdr>
        <w:bottom w:val="single" w:sz="4" w:space="1" w:color="auto"/>
      </w:pBdr>
      <w:tabs>
        <w:tab w:val="clear" w:pos="4513"/>
        <w:tab w:val="clear" w:pos="9027"/>
      </w:tabs>
      <w:jc w:val="center"/>
    </w:pPr>
    <w:r w:rsidRPr="00E943C9">
      <w:t xml:space="preserve">- </w:t>
    </w:r>
    <w:r w:rsidRPr="00E943C9">
      <w:fldChar w:fldCharType="begin"/>
    </w:r>
    <w:r w:rsidRPr="00E943C9">
      <w:instrText xml:space="preserve"> PAGE </w:instrText>
    </w:r>
    <w:r w:rsidRPr="00E943C9">
      <w:fldChar w:fldCharType="separate"/>
    </w:r>
    <w:r w:rsidR="00FF1BB0">
      <w:rPr>
        <w:noProof/>
      </w:rPr>
      <w:t>2</w:t>
    </w:r>
    <w:r w:rsidRPr="00E943C9">
      <w:fldChar w:fldCharType="end"/>
    </w:r>
    <w:r w:rsidRPr="00E943C9">
      <w:t xml:space="preserve"> -</w:t>
    </w:r>
  </w:p>
  <w:p w:rsidR="00544326" w:rsidRPr="00E943C9" w:rsidRDefault="00544326" w:rsidP="00E943C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fr-FR" w:eastAsia="fr-FR"/>
            </w:rPr>
            <w:drawing>
              <wp:inline distT="0" distB="0" distL="0" distR="0" wp14:anchorId="684AA8CA" wp14:editId="133A3FC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E943C9" w:rsidRDefault="00E943C9" w:rsidP="00425DC5">
          <w:pPr>
            <w:jc w:val="right"/>
            <w:rPr>
              <w:b/>
              <w:szCs w:val="16"/>
            </w:rPr>
          </w:pPr>
          <w:bookmarkStart w:id="2" w:name="bmkSymbols"/>
          <w:r>
            <w:rPr>
              <w:b/>
              <w:szCs w:val="16"/>
            </w:rPr>
            <w:t>GPA/</w:t>
          </w:r>
          <w:proofErr w:type="spellStart"/>
          <w:r>
            <w:rPr>
              <w:b/>
              <w:szCs w:val="16"/>
            </w:rPr>
            <w:t>LEGIS</w:t>
          </w:r>
          <w:proofErr w:type="spellEnd"/>
          <w:r>
            <w:rPr>
              <w:b/>
              <w:szCs w:val="16"/>
            </w:rPr>
            <w:t>/LIE/1</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E15E28" w:rsidP="00425DC5">
          <w:pPr>
            <w:jc w:val="right"/>
            <w:rPr>
              <w:szCs w:val="16"/>
            </w:rPr>
          </w:pPr>
          <w:r>
            <w:rPr>
              <w:szCs w:val="16"/>
            </w:rPr>
            <w:t>24</w:t>
          </w:r>
          <w:r w:rsidR="00020182">
            <w:rPr>
              <w:szCs w:val="16"/>
            </w:rPr>
            <w:t xml:space="preserve"> July</w:t>
          </w:r>
          <w:r w:rsidR="00E943C9">
            <w:rPr>
              <w:szCs w:val="16"/>
            </w:rPr>
            <w:t xml:space="preserve"> 2018</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FF1BB0">
          <w:pPr>
            <w:jc w:val="left"/>
            <w:rPr>
              <w:b/>
            </w:rPr>
          </w:pPr>
          <w:bookmarkStart w:id="3" w:name="bmkSerial" w:colFirst="0" w:colLast="0"/>
          <w:r w:rsidRPr="00182B84">
            <w:rPr>
              <w:color w:val="FF0000"/>
              <w:szCs w:val="16"/>
            </w:rPr>
            <w:t>(</w:t>
          </w:r>
          <w:r w:rsidR="00E943C9">
            <w:rPr>
              <w:color w:val="FF0000"/>
              <w:szCs w:val="16"/>
            </w:rPr>
            <w:t>18</w:t>
          </w:r>
          <w:r w:rsidRPr="00182B84">
            <w:rPr>
              <w:color w:val="FF0000"/>
              <w:szCs w:val="16"/>
            </w:rPr>
            <w:t>-</w:t>
          </w:r>
          <w:r w:rsidR="00FF1BB0">
            <w:rPr>
              <w:color w:val="FF0000"/>
              <w:szCs w:val="16"/>
            </w:rPr>
            <w:t>4677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F1BB0">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F1BB0">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E943C9" w:rsidP="00425DC5">
          <w:pPr>
            <w:jc w:val="left"/>
            <w:rPr>
              <w:sz w:val="14"/>
              <w:szCs w:val="16"/>
            </w:rPr>
          </w:pPr>
          <w:bookmarkStart w:id="5" w:name="bmkCommittee"/>
          <w:bookmarkStart w:id="6" w:name="bmkLanguage" w:colFirst="1" w:colLast="1"/>
          <w:bookmarkEnd w:id="3"/>
          <w:r>
            <w:rPr>
              <w:b/>
            </w:rPr>
            <w:t>Committee on Government Procurement</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E943C9" w:rsidP="00425DC5">
          <w:pPr>
            <w:jc w:val="right"/>
            <w:rPr>
              <w:bCs/>
              <w:szCs w:val="18"/>
            </w:rPr>
          </w:pPr>
          <w:r>
            <w:rPr>
              <w:szCs w:val="18"/>
            </w:rPr>
            <w:t>Original: English</w:t>
          </w:r>
        </w:p>
      </w:tc>
    </w:tr>
    <w:bookmarkEnd w:id="6"/>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C9"/>
    <w:rsid w:val="00020182"/>
    <w:rsid w:val="000272F6"/>
    <w:rsid w:val="00037AC4"/>
    <w:rsid w:val="0004131B"/>
    <w:rsid w:val="000423BF"/>
    <w:rsid w:val="000A4945"/>
    <w:rsid w:val="000B31E1"/>
    <w:rsid w:val="000D7025"/>
    <w:rsid w:val="0011356B"/>
    <w:rsid w:val="0013337F"/>
    <w:rsid w:val="00182B84"/>
    <w:rsid w:val="001E291F"/>
    <w:rsid w:val="00233408"/>
    <w:rsid w:val="0027067B"/>
    <w:rsid w:val="003156C6"/>
    <w:rsid w:val="003572B4"/>
    <w:rsid w:val="00393EE0"/>
    <w:rsid w:val="00467032"/>
    <w:rsid w:val="0046754A"/>
    <w:rsid w:val="004A0B3E"/>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6E14"/>
    <w:rsid w:val="007577E3"/>
    <w:rsid w:val="00760DB3"/>
    <w:rsid w:val="007B022E"/>
    <w:rsid w:val="007E6507"/>
    <w:rsid w:val="007F2B8E"/>
    <w:rsid w:val="007F32D1"/>
    <w:rsid w:val="00807247"/>
    <w:rsid w:val="00840C2B"/>
    <w:rsid w:val="008739FD"/>
    <w:rsid w:val="00893E85"/>
    <w:rsid w:val="008E372C"/>
    <w:rsid w:val="009A6F54"/>
    <w:rsid w:val="00A11E70"/>
    <w:rsid w:val="00A6057A"/>
    <w:rsid w:val="00A74017"/>
    <w:rsid w:val="00AA332C"/>
    <w:rsid w:val="00AC27F8"/>
    <w:rsid w:val="00AD4C72"/>
    <w:rsid w:val="00AE2AEE"/>
    <w:rsid w:val="00AF35D6"/>
    <w:rsid w:val="00B00276"/>
    <w:rsid w:val="00B230EC"/>
    <w:rsid w:val="00B52738"/>
    <w:rsid w:val="00B56EDC"/>
    <w:rsid w:val="00B56EF6"/>
    <w:rsid w:val="00B72172"/>
    <w:rsid w:val="00BA682C"/>
    <w:rsid w:val="00BB1F84"/>
    <w:rsid w:val="00BE5468"/>
    <w:rsid w:val="00C11EAC"/>
    <w:rsid w:val="00C15F6D"/>
    <w:rsid w:val="00C305D7"/>
    <w:rsid w:val="00C30F2A"/>
    <w:rsid w:val="00C43456"/>
    <w:rsid w:val="00C65C0C"/>
    <w:rsid w:val="00C808FC"/>
    <w:rsid w:val="00CD7D97"/>
    <w:rsid w:val="00CE3EE6"/>
    <w:rsid w:val="00CE4BA1"/>
    <w:rsid w:val="00CF460C"/>
    <w:rsid w:val="00D000C7"/>
    <w:rsid w:val="00D221B8"/>
    <w:rsid w:val="00D52A9D"/>
    <w:rsid w:val="00D55AAD"/>
    <w:rsid w:val="00D747AE"/>
    <w:rsid w:val="00D75368"/>
    <w:rsid w:val="00D9226C"/>
    <w:rsid w:val="00DA20BD"/>
    <w:rsid w:val="00DE50DB"/>
    <w:rsid w:val="00DF6AE1"/>
    <w:rsid w:val="00E15E28"/>
    <w:rsid w:val="00E46FD5"/>
    <w:rsid w:val="00E544BB"/>
    <w:rsid w:val="00E56545"/>
    <w:rsid w:val="00E943C9"/>
    <w:rsid w:val="00EA5D4F"/>
    <w:rsid w:val="00EB4DE7"/>
    <w:rsid w:val="00EB6C56"/>
    <w:rsid w:val="00ED1D47"/>
    <w:rsid w:val="00ED54E0"/>
    <w:rsid w:val="00F32397"/>
    <w:rsid w:val="00F40595"/>
    <w:rsid w:val="00FA5EBC"/>
    <w:rsid w:val="00FD224A"/>
    <w:rsid w:val="00FF1BB0"/>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E943C9"/>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rPr>
      <w:rFonts w:eastAsiaTheme="minorHAnsi" w:cstheme="minorBidi"/>
    </w:r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rPr>
      <w:rFonts w:eastAsiaTheme="minorHAnsi" w:cstheme="minorBidi"/>
    </w:rPr>
  </w:style>
  <w:style w:type="paragraph" w:styleId="Listepuces2">
    <w:name w:val="List Bullet 2"/>
    <w:basedOn w:val="Normal"/>
    <w:uiPriority w:val="1"/>
    <w:rsid w:val="00AE2AEE"/>
    <w:pPr>
      <w:numPr>
        <w:ilvl w:val="1"/>
        <w:numId w:val="8"/>
      </w:numPr>
      <w:spacing w:after="240"/>
    </w:pPr>
    <w:rPr>
      <w:rFonts w:eastAsiaTheme="minorHAnsi" w:cstheme="minorBidi"/>
    </w:rPr>
  </w:style>
  <w:style w:type="paragraph" w:styleId="Listepuces3">
    <w:name w:val="List Bullet 3"/>
    <w:basedOn w:val="Normal"/>
    <w:uiPriority w:val="1"/>
    <w:rsid w:val="00AE2AEE"/>
    <w:pPr>
      <w:numPr>
        <w:ilvl w:val="2"/>
        <w:numId w:val="8"/>
      </w:numPr>
      <w:spacing w:after="240"/>
    </w:pPr>
    <w:rPr>
      <w:rFonts w:eastAsiaTheme="minorHAnsi" w:cstheme="minorBidi"/>
    </w:rPr>
  </w:style>
  <w:style w:type="paragraph" w:styleId="Listepuces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epuces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rPr>
      <w:rFonts w:eastAsiaTheme="minorHAnsi" w:cstheme="minorBidi"/>
    </w:rPr>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rFonts w:eastAsiaTheme="minorHAnsi" w:cstheme="minorBidi"/>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rPr>
      <w:rFonts w:eastAsiaTheme="minorHAnsi" w:cstheme="minorBidi"/>
    </w:rPr>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rPr>
      <w:rFonts w:eastAsiaTheme="minorHAnsi" w:cstheme="minorBidi"/>
    </w:rPr>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rFonts w:eastAsiaTheme="minorHAnsi" w:cstheme="minorBidi"/>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Emphase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rPr>
      <w:rFonts w:eastAsiaTheme="minorHAnsi" w:cstheme="minorBidi"/>
    </w:rPr>
  </w:style>
  <w:style w:type="paragraph" w:styleId="Liste2">
    <w:name w:val="List 2"/>
    <w:basedOn w:val="Normal"/>
    <w:uiPriority w:val="99"/>
    <w:semiHidden/>
    <w:unhideWhenUsed/>
    <w:rsid w:val="00547B5F"/>
    <w:pPr>
      <w:ind w:left="566" w:hanging="283"/>
      <w:contextualSpacing/>
    </w:pPr>
    <w:rPr>
      <w:rFonts w:eastAsiaTheme="minorHAnsi" w:cstheme="minorBidi"/>
    </w:rPr>
  </w:style>
  <w:style w:type="paragraph" w:styleId="Liste3">
    <w:name w:val="List 3"/>
    <w:basedOn w:val="Normal"/>
    <w:uiPriority w:val="99"/>
    <w:semiHidden/>
    <w:unhideWhenUsed/>
    <w:rsid w:val="00547B5F"/>
    <w:pPr>
      <w:ind w:left="849" w:hanging="283"/>
      <w:contextualSpacing/>
    </w:pPr>
    <w:rPr>
      <w:rFonts w:eastAsiaTheme="minorHAnsi" w:cstheme="minorBidi"/>
    </w:rPr>
  </w:style>
  <w:style w:type="paragraph" w:styleId="Liste4">
    <w:name w:val="List 4"/>
    <w:basedOn w:val="Normal"/>
    <w:uiPriority w:val="99"/>
    <w:semiHidden/>
    <w:unhideWhenUsed/>
    <w:rsid w:val="00547B5F"/>
    <w:pPr>
      <w:ind w:left="1132" w:hanging="283"/>
      <w:contextualSpacing/>
    </w:pPr>
    <w:rPr>
      <w:rFonts w:eastAsiaTheme="minorHAnsi" w:cstheme="minorBidi"/>
    </w:rPr>
  </w:style>
  <w:style w:type="paragraph" w:styleId="Liste5">
    <w:name w:val="List 5"/>
    <w:basedOn w:val="Normal"/>
    <w:uiPriority w:val="99"/>
    <w:semiHidden/>
    <w:unhideWhenUsed/>
    <w:rsid w:val="00547B5F"/>
    <w:pPr>
      <w:ind w:left="1415" w:hanging="283"/>
      <w:contextualSpacing/>
    </w:pPr>
    <w:rPr>
      <w:rFonts w:eastAsiaTheme="minorHAnsi" w:cstheme="minorBidi"/>
    </w:rPr>
  </w:style>
  <w:style w:type="paragraph" w:styleId="Liste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enumros">
    <w:name w:val="List Number"/>
    <w:basedOn w:val="Normal"/>
    <w:uiPriority w:val="49"/>
    <w:semiHidden/>
    <w:unhideWhenUsed/>
    <w:rsid w:val="00547B5F"/>
    <w:pPr>
      <w:numPr>
        <w:numId w:val="11"/>
      </w:numPr>
      <w:contextualSpacing/>
    </w:pPr>
    <w:rPr>
      <w:rFonts w:eastAsiaTheme="minorHAnsi" w:cstheme="minorBidi"/>
    </w:rPr>
  </w:style>
  <w:style w:type="paragraph" w:styleId="Listenumros2">
    <w:name w:val="List Number 2"/>
    <w:basedOn w:val="Normal"/>
    <w:uiPriority w:val="49"/>
    <w:semiHidden/>
    <w:unhideWhenUsed/>
    <w:rsid w:val="00547B5F"/>
    <w:pPr>
      <w:numPr>
        <w:numId w:val="12"/>
      </w:numPr>
      <w:contextualSpacing/>
    </w:pPr>
    <w:rPr>
      <w:rFonts w:eastAsiaTheme="minorHAnsi" w:cstheme="minorBidi"/>
    </w:rPr>
  </w:style>
  <w:style w:type="paragraph" w:styleId="Listenumros3">
    <w:name w:val="List Number 3"/>
    <w:basedOn w:val="Normal"/>
    <w:uiPriority w:val="49"/>
    <w:semiHidden/>
    <w:unhideWhenUsed/>
    <w:rsid w:val="00547B5F"/>
    <w:pPr>
      <w:numPr>
        <w:numId w:val="13"/>
      </w:numPr>
      <w:contextualSpacing/>
    </w:pPr>
    <w:rPr>
      <w:rFonts w:eastAsiaTheme="minorHAnsi" w:cstheme="minorBidi"/>
    </w:rPr>
  </w:style>
  <w:style w:type="paragraph" w:styleId="Listenumros4">
    <w:name w:val="List Number 4"/>
    <w:basedOn w:val="Normal"/>
    <w:uiPriority w:val="49"/>
    <w:semiHidden/>
    <w:unhideWhenUsed/>
    <w:rsid w:val="00547B5F"/>
    <w:pPr>
      <w:numPr>
        <w:numId w:val="14"/>
      </w:numPr>
      <w:contextualSpacing/>
    </w:pPr>
    <w:rPr>
      <w:rFonts w:eastAsiaTheme="minorHAnsi" w:cstheme="minorBidi"/>
    </w:rPr>
  </w:style>
  <w:style w:type="paragraph" w:styleId="Listenumros5">
    <w:name w:val="List Number 5"/>
    <w:basedOn w:val="Normal"/>
    <w:uiPriority w:val="49"/>
    <w:semiHidden/>
    <w:unhideWhenUsed/>
    <w:rsid w:val="00547B5F"/>
    <w:pPr>
      <w:numPr>
        <w:numId w:val="15"/>
      </w:numPr>
      <w:contextualSpacing/>
    </w:pPr>
    <w:rPr>
      <w:rFonts w:eastAsiaTheme="minorHAnsi" w:cstheme="minorBidi"/>
    </w:r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Retraitnormal">
    <w:name w:val="Normal Indent"/>
    <w:basedOn w:val="Normal"/>
    <w:uiPriority w:val="99"/>
    <w:semiHidden/>
    <w:unhideWhenUsed/>
    <w:rsid w:val="00547B5F"/>
    <w:pPr>
      <w:ind w:left="567"/>
    </w:pPr>
    <w:rPr>
      <w:rFonts w:eastAsiaTheme="minorHAnsi" w:cstheme="minorBidi"/>
    </w:rPr>
  </w:style>
  <w:style w:type="paragraph" w:styleId="Titredenote">
    <w:name w:val="Note Heading"/>
    <w:basedOn w:val="Normal"/>
    <w:next w:val="Normal"/>
    <w:link w:val="TitredenoteCar"/>
    <w:uiPriority w:val="99"/>
    <w:semiHidden/>
    <w:unhideWhenUsed/>
    <w:rsid w:val="00547B5F"/>
    <w:rPr>
      <w:rFonts w:eastAsiaTheme="minorHAnsi" w:cstheme="minorBidi"/>
    </w:rPr>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rPr>
      <w:rFonts w:eastAsiaTheme="minorHAnsi" w:cstheme="minorBidi"/>
    </w:rPr>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rPr>
      <w:rFonts w:eastAsiaTheme="minorHAnsi" w:cstheme="minorBidi"/>
    </w:r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Emphaseple">
    <w:name w:val="Subtle Emphasis"/>
    <w:basedOn w:val="Policepardfaut"/>
    <w:uiPriority w:val="99"/>
    <w:semiHidden/>
    <w:qFormat/>
    <w:rsid w:val="00547B5F"/>
    <w:rPr>
      <w:i/>
      <w:iCs/>
      <w:color w:val="808080" w:themeColor="text1" w:themeTint="7F"/>
    </w:rPr>
  </w:style>
  <w:style w:type="character" w:styleId="Rfrencepl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E943C9"/>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rPr>
      <w:rFonts w:eastAsiaTheme="minorHAnsi" w:cstheme="minorBidi"/>
    </w:r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rPr>
      <w:rFonts w:eastAsiaTheme="minorHAnsi" w:cstheme="minorBidi"/>
    </w:rPr>
  </w:style>
  <w:style w:type="paragraph" w:styleId="Listepuces2">
    <w:name w:val="List Bullet 2"/>
    <w:basedOn w:val="Normal"/>
    <w:uiPriority w:val="1"/>
    <w:rsid w:val="00AE2AEE"/>
    <w:pPr>
      <w:numPr>
        <w:ilvl w:val="1"/>
        <w:numId w:val="8"/>
      </w:numPr>
      <w:spacing w:after="240"/>
    </w:pPr>
    <w:rPr>
      <w:rFonts w:eastAsiaTheme="minorHAnsi" w:cstheme="minorBidi"/>
    </w:rPr>
  </w:style>
  <w:style w:type="paragraph" w:styleId="Listepuces3">
    <w:name w:val="List Bullet 3"/>
    <w:basedOn w:val="Normal"/>
    <w:uiPriority w:val="1"/>
    <w:rsid w:val="00AE2AEE"/>
    <w:pPr>
      <w:numPr>
        <w:ilvl w:val="2"/>
        <w:numId w:val="8"/>
      </w:numPr>
      <w:spacing w:after="240"/>
    </w:pPr>
    <w:rPr>
      <w:rFonts w:eastAsiaTheme="minorHAnsi" w:cstheme="minorBidi"/>
    </w:rPr>
  </w:style>
  <w:style w:type="paragraph" w:styleId="Listepuces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epuces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rPr>
      <w:rFonts w:eastAsiaTheme="minorHAnsi" w:cstheme="minorBidi"/>
    </w:rPr>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rFonts w:eastAsiaTheme="minorHAnsi" w:cstheme="minorBidi"/>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rPr>
      <w:rFonts w:eastAsiaTheme="minorHAnsi" w:cstheme="minorBidi"/>
    </w:rPr>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rPr>
      <w:rFonts w:eastAsiaTheme="minorHAnsi" w:cstheme="minorBidi"/>
    </w:rPr>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rFonts w:eastAsiaTheme="minorHAnsi" w:cstheme="minorBidi"/>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Emphase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rPr>
      <w:rFonts w:eastAsiaTheme="minorHAnsi" w:cstheme="minorBidi"/>
    </w:rPr>
  </w:style>
  <w:style w:type="paragraph" w:styleId="Liste2">
    <w:name w:val="List 2"/>
    <w:basedOn w:val="Normal"/>
    <w:uiPriority w:val="99"/>
    <w:semiHidden/>
    <w:unhideWhenUsed/>
    <w:rsid w:val="00547B5F"/>
    <w:pPr>
      <w:ind w:left="566" w:hanging="283"/>
      <w:contextualSpacing/>
    </w:pPr>
    <w:rPr>
      <w:rFonts w:eastAsiaTheme="minorHAnsi" w:cstheme="minorBidi"/>
    </w:rPr>
  </w:style>
  <w:style w:type="paragraph" w:styleId="Liste3">
    <w:name w:val="List 3"/>
    <w:basedOn w:val="Normal"/>
    <w:uiPriority w:val="99"/>
    <w:semiHidden/>
    <w:unhideWhenUsed/>
    <w:rsid w:val="00547B5F"/>
    <w:pPr>
      <w:ind w:left="849" w:hanging="283"/>
      <w:contextualSpacing/>
    </w:pPr>
    <w:rPr>
      <w:rFonts w:eastAsiaTheme="minorHAnsi" w:cstheme="minorBidi"/>
    </w:rPr>
  </w:style>
  <w:style w:type="paragraph" w:styleId="Liste4">
    <w:name w:val="List 4"/>
    <w:basedOn w:val="Normal"/>
    <w:uiPriority w:val="99"/>
    <w:semiHidden/>
    <w:unhideWhenUsed/>
    <w:rsid w:val="00547B5F"/>
    <w:pPr>
      <w:ind w:left="1132" w:hanging="283"/>
      <w:contextualSpacing/>
    </w:pPr>
    <w:rPr>
      <w:rFonts w:eastAsiaTheme="minorHAnsi" w:cstheme="minorBidi"/>
    </w:rPr>
  </w:style>
  <w:style w:type="paragraph" w:styleId="Liste5">
    <w:name w:val="List 5"/>
    <w:basedOn w:val="Normal"/>
    <w:uiPriority w:val="99"/>
    <w:semiHidden/>
    <w:unhideWhenUsed/>
    <w:rsid w:val="00547B5F"/>
    <w:pPr>
      <w:ind w:left="1415" w:hanging="283"/>
      <w:contextualSpacing/>
    </w:pPr>
    <w:rPr>
      <w:rFonts w:eastAsiaTheme="minorHAnsi" w:cstheme="minorBidi"/>
    </w:rPr>
  </w:style>
  <w:style w:type="paragraph" w:styleId="Liste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enumros">
    <w:name w:val="List Number"/>
    <w:basedOn w:val="Normal"/>
    <w:uiPriority w:val="49"/>
    <w:semiHidden/>
    <w:unhideWhenUsed/>
    <w:rsid w:val="00547B5F"/>
    <w:pPr>
      <w:numPr>
        <w:numId w:val="11"/>
      </w:numPr>
      <w:contextualSpacing/>
    </w:pPr>
    <w:rPr>
      <w:rFonts w:eastAsiaTheme="minorHAnsi" w:cstheme="minorBidi"/>
    </w:rPr>
  </w:style>
  <w:style w:type="paragraph" w:styleId="Listenumros2">
    <w:name w:val="List Number 2"/>
    <w:basedOn w:val="Normal"/>
    <w:uiPriority w:val="49"/>
    <w:semiHidden/>
    <w:unhideWhenUsed/>
    <w:rsid w:val="00547B5F"/>
    <w:pPr>
      <w:numPr>
        <w:numId w:val="12"/>
      </w:numPr>
      <w:contextualSpacing/>
    </w:pPr>
    <w:rPr>
      <w:rFonts w:eastAsiaTheme="minorHAnsi" w:cstheme="minorBidi"/>
    </w:rPr>
  </w:style>
  <w:style w:type="paragraph" w:styleId="Listenumros3">
    <w:name w:val="List Number 3"/>
    <w:basedOn w:val="Normal"/>
    <w:uiPriority w:val="49"/>
    <w:semiHidden/>
    <w:unhideWhenUsed/>
    <w:rsid w:val="00547B5F"/>
    <w:pPr>
      <w:numPr>
        <w:numId w:val="13"/>
      </w:numPr>
      <w:contextualSpacing/>
    </w:pPr>
    <w:rPr>
      <w:rFonts w:eastAsiaTheme="minorHAnsi" w:cstheme="minorBidi"/>
    </w:rPr>
  </w:style>
  <w:style w:type="paragraph" w:styleId="Listenumros4">
    <w:name w:val="List Number 4"/>
    <w:basedOn w:val="Normal"/>
    <w:uiPriority w:val="49"/>
    <w:semiHidden/>
    <w:unhideWhenUsed/>
    <w:rsid w:val="00547B5F"/>
    <w:pPr>
      <w:numPr>
        <w:numId w:val="14"/>
      </w:numPr>
      <w:contextualSpacing/>
    </w:pPr>
    <w:rPr>
      <w:rFonts w:eastAsiaTheme="minorHAnsi" w:cstheme="minorBidi"/>
    </w:rPr>
  </w:style>
  <w:style w:type="paragraph" w:styleId="Listenumros5">
    <w:name w:val="List Number 5"/>
    <w:basedOn w:val="Normal"/>
    <w:uiPriority w:val="49"/>
    <w:semiHidden/>
    <w:unhideWhenUsed/>
    <w:rsid w:val="00547B5F"/>
    <w:pPr>
      <w:numPr>
        <w:numId w:val="15"/>
      </w:numPr>
      <w:contextualSpacing/>
    </w:pPr>
    <w:rPr>
      <w:rFonts w:eastAsiaTheme="minorHAnsi" w:cstheme="minorBidi"/>
    </w:r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Retraitnormal">
    <w:name w:val="Normal Indent"/>
    <w:basedOn w:val="Normal"/>
    <w:uiPriority w:val="99"/>
    <w:semiHidden/>
    <w:unhideWhenUsed/>
    <w:rsid w:val="00547B5F"/>
    <w:pPr>
      <w:ind w:left="567"/>
    </w:pPr>
    <w:rPr>
      <w:rFonts w:eastAsiaTheme="minorHAnsi" w:cstheme="minorBidi"/>
    </w:rPr>
  </w:style>
  <w:style w:type="paragraph" w:styleId="Titredenote">
    <w:name w:val="Note Heading"/>
    <w:basedOn w:val="Normal"/>
    <w:next w:val="Normal"/>
    <w:link w:val="TitredenoteCar"/>
    <w:uiPriority w:val="99"/>
    <w:semiHidden/>
    <w:unhideWhenUsed/>
    <w:rsid w:val="00547B5F"/>
    <w:rPr>
      <w:rFonts w:eastAsiaTheme="minorHAnsi" w:cstheme="minorBidi"/>
    </w:rPr>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rPr>
      <w:rFonts w:eastAsiaTheme="minorHAnsi" w:cstheme="minorBidi"/>
    </w:rPr>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rPr>
      <w:rFonts w:eastAsiaTheme="minorHAnsi" w:cstheme="minorBidi"/>
    </w:r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Emphaseple">
    <w:name w:val="Subtle Emphasis"/>
    <w:basedOn w:val="Policepardfaut"/>
    <w:uiPriority w:val="99"/>
    <w:semiHidden/>
    <w:qFormat/>
    <w:rsid w:val="00547B5F"/>
    <w:rPr>
      <w:i/>
      <w:iCs/>
      <w:color w:val="808080" w:themeColor="text1" w:themeTint="7F"/>
    </w:rPr>
  </w:style>
  <w:style w:type="character" w:styleId="Rfrencepl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402">
      <w:bodyDiv w:val="1"/>
      <w:marLeft w:val="0"/>
      <w:marRight w:val="0"/>
      <w:marTop w:val="0"/>
      <w:marBottom w:val="0"/>
      <w:divBdr>
        <w:top w:val="none" w:sz="0" w:space="0" w:color="auto"/>
        <w:left w:val="none" w:sz="0" w:space="0" w:color="auto"/>
        <w:bottom w:val="none" w:sz="0" w:space="0" w:color="auto"/>
        <w:right w:val="none" w:sz="0" w:space="0" w:color="auto"/>
      </w:divBdr>
    </w:div>
    <w:div w:id="687101136">
      <w:bodyDiv w:val="1"/>
      <w:marLeft w:val="0"/>
      <w:marRight w:val="0"/>
      <w:marTop w:val="0"/>
      <w:marBottom w:val="0"/>
      <w:divBdr>
        <w:top w:val="none" w:sz="0" w:space="0" w:color="auto"/>
        <w:left w:val="none" w:sz="0" w:space="0" w:color="auto"/>
        <w:bottom w:val="none" w:sz="0" w:space="0" w:color="auto"/>
        <w:right w:val="none" w:sz="0" w:space="0" w:color="auto"/>
      </w:divBdr>
    </w:div>
    <w:div w:id="180885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esetze.li/konso/1998.135" TargetMode="External"/><Relationship Id="rId13" Type="http://schemas.openxmlformats.org/officeDocument/2006/relationships/hyperlink" Target="https://eur-lex.europa.eu/legal-content/EN/TXT/PDF/?uri=CELEX:32014L0023&amp;from=D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lex.europa.eu/legal-content/EN/TXT/PDF/?uri=CELEX:32014L0024&amp;from=EN" TargetMode="External"/><Relationship Id="rId17" Type="http://schemas.openxmlformats.org/officeDocument/2006/relationships/hyperlink" Target="https://www.gesetze.li/konso/2018.24" TargetMode="External"/><Relationship Id="rId2" Type="http://schemas.openxmlformats.org/officeDocument/2006/relationships/styles" Target="styles.xml"/><Relationship Id="rId16" Type="http://schemas.openxmlformats.org/officeDocument/2006/relationships/hyperlink" Target="https://www.gesetze.li/konso/2018.2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lex.europa.eu/legal-content/EN/TXT/PDF/?uri=CELEX:32014L0025&amp;from=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setze.li/konso/2005.223" TargetMode="External"/><Relationship Id="rId23" Type="http://schemas.openxmlformats.org/officeDocument/2006/relationships/fontTable" Target="fontTable.xml"/><Relationship Id="rId10" Type="http://schemas.openxmlformats.org/officeDocument/2006/relationships/hyperlink" Target="https://docs.wto.org/dol2fe/Pages/FE_Search/FE_S_S009-DP.aspx?language=E&amp;CatalogueIdList=73665,7323&amp;CurrentCatalogueIdIndex=1&amp;FullTextHash=&amp;HasEnglishRecord=True&amp;HasFrenchRecord=True&amp;HasSpanishRecord=Tru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esetze.li/konso/2005.220" TargetMode="External"/><Relationship Id="rId14" Type="http://schemas.openxmlformats.org/officeDocument/2006/relationships/hyperlink" Target="http://www.gesetze.li/konso/1998.18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31</TotalTime>
  <Pages>2</Pages>
  <Words>418</Words>
  <Characters>3255</Characters>
  <Application>Microsoft Office Word</Application>
  <DocSecurity>0</DocSecurity>
  <Lines>95</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2018-07-24T09:15:00Z</cp:lastPrinted>
  <dcterms:created xsi:type="dcterms:W3CDTF">2018-06-20T09:03:00Z</dcterms:created>
  <dcterms:modified xsi:type="dcterms:W3CDTF">2018-07-24T12:33:00Z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GPA/LEGIS/LIE/1</vt:lpwstr>
  </property>
</Properties>
</file>