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F5A1" w14:textId="4D0F0D84" w:rsidR="005E69D8" w:rsidRDefault="005E69D8" w:rsidP="005E69D8">
      <w:pPr>
        <w:pStyle w:val="Title"/>
        <w:rPr>
          <w:rFonts w:eastAsia="PMingLiU"/>
          <w:caps w:val="0"/>
          <w:kern w:val="0"/>
          <w:lang w:eastAsia="zh-HK"/>
        </w:rPr>
      </w:pPr>
      <w:r>
        <w:rPr>
          <w:rFonts w:eastAsia="PMingLiU"/>
          <w:caps w:val="0"/>
          <w:kern w:val="0"/>
          <w:lang w:eastAsia="zh-HK"/>
        </w:rPr>
        <w:t xml:space="preserve">THE THRESHOLDS IN APPENDIX I OF THE </w:t>
      </w:r>
      <w:r w:rsidR="00E314CD">
        <w:rPr>
          <w:rFonts w:eastAsia="PMingLiU"/>
          <w:caps w:val="0"/>
          <w:kern w:val="0"/>
          <w:lang w:eastAsia="zh-HK"/>
        </w:rPr>
        <w:t>GPA 2012</w:t>
      </w:r>
      <w:r>
        <w:rPr>
          <w:rFonts w:eastAsia="PMingLiU"/>
          <w:caps w:val="0"/>
          <w:kern w:val="0"/>
          <w:lang w:eastAsia="zh-HK"/>
        </w:rPr>
        <w:t xml:space="preserve">, AS EXPRESSED </w:t>
      </w:r>
      <w:r w:rsidR="00E314CD">
        <w:rPr>
          <w:rFonts w:eastAsia="PMingLiU"/>
          <w:caps w:val="0"/>
          <w:kern w:val="0"/>
          <w:lang w:eastAsia="zh-HK"/>
        </w:rPr>
        <w:br/>
      </w:r>
      <w:r>
        <w:rPr>
          <w:rFonts w:eastAsia="PMingLiU"/>
          <w:caps w:val="0"/>
          <w:kern w:val="0"/>
          <w:lang w:eastAsia="zh-HK"/>
        </w:rPr>
        <w:t>IN NATIONAL CURRENCIES FOR 202</w:t>
      </w:r>
      <w:r w:rsidR="00E314CD">
        <w:rPr>
          <w:rFonts w:eastAsia="PMingLiU"/>
          <w:caps w:val="0"/>
          <w:kern w:val="0"/>
          <w:lang w:eastAsia="zh-HK"/>
        </w:rPr>
        <w:t>2</w:t>
      </w:r>
      <w:r>
        <w:rPr>
          <w:rFonts w:eastAsia="PMingLiU"/>
          <w:caps w:val="0"/>
          <w:kern w:val="0"/>
          <w:lang w:eastAsia="zh-HK"/>
        </w:rPr>
        <w:noBreakHyphen/>
        <w:t>20</w:t>
      </w:r>
      <w:r w:rsidR="00F77F90">
        <w:rPr>
          <w:rFonts w:eastAsia="PMingLiU"/>
          <w:caps w:val="0"/>
          <w:kern w:val="0"/>
          <w:lang w:eastAsia="zh-HK"/>
        </w:rPr>
        <w:t>2</w:t>
      </w:r>
      <w:r w:rsidR="00E314CD">
        <w:rPr>
          <w:rFonts w:eastAsia="PMingLiU"/>
          <w:caps w:val="0"/>
          <w:kern w:val="0"/>
          <w:lang w:eastAsia="zh-HK"/>
        </w:rPr>
        <w:t>3</w:t>
      </w:r>
    </w:p>
    <w:p w14:paraId="56C7DAE2" w14:textId="557B2ED3" w:rsidR="005E69D8" w:rsidRDefault="00ED0EB6" w:rsidP="009532E3">
      <w:pPr>
        <w:pStyle w:val="TitleCountry"/>
      </w:pPr>
      <w:r>
        <w:t xml:space="preserve">Notification From </w:t>
      </w:r>
      <w:r w:rsidR="009532E3">
        <w:t>The</w:t>
      </w:r>
      <w:r w:rsidR="005E69D8">
        <w:t xml:space="preserve"> E</w:t>
      </w:r>
      <w:r w:rsidR="009532E3">
        <w:t>uropean</w:t>
      </w:r>
      <w:r w:rsidR="005E69D8">
        <w:t xml:space="preserve"> U</w:t>
      </w:r>
      <w:r w:rsidR="009532E3">
        <w:t>nion</w:t>
      </w:r>
    </w:p>
    <w:p w14:paraId="4C24EF2F" w14:textId="770D7010" w:rsidR="005E69D8" w:rsidRDefault="005E69D8" w:rsidP="00E314CD">
      <w:pPr>
        <w:spacing w:after="240"/>
        <w:rPr>
          <w:lang w:eastAsia="zh-HK"/>
        </w:rPr>
      </w:pPr>
      <w:r>
        <w:rPr>
          <w:lang w:eastAsia="zh-HK"/>
        </w:rPr>
        <w:t>Pursuant to the agreed procedures (</w:t>
      </w:r>
      <w:hyperlink r:id="rId8" w:history="1">
        <w:r w:rsidRPr="00E314CD">
          <w:rPr>
            <w:rStyle w:val="Hyperlink"/>
            <w:lang w:eastAsia="zh-HK"/>
          </w:rPr>
          <w:t>GPA/1</w:t>
        </w:r>
      </w:hyperlink>
      <w:r>
        <w:rPr>
          <w:lang w:eastAsia="zh-HK"/>
        </w:rPr>
        <w:t>, Annex 3), delegations have been invited to notify their respective threshold values in national currencies.</w:t>
      </w:r>
    </w:p>
    <w:p w14:paraId="46971C71" w14:textId="52794475" w:rsidR="005E69D8" w:rsidRDefault="005E69D8" w:rsidP="005E69D8">
      <w:r>
        <w:t xml:space="preserve">The following notification, dated </w:t>
      </w:r>
      <w:r w:rsidR="00A56459">
        <w:t>17</w:t>
      </w:r>
      <w:r w:rsidR="00F77F90">
        <w:t xml:space="preserve"> December 20</w:t>
      </w:r>
      <w:r w:rsidR="00E314CD">
        <w:t>21</w:t>
      </w:r>
      <w:r>
        <w:t>, is being circulated at the request of the Delegation of the European Union.</w:t>
      </w:r>
    </w:p>
    <w:p w14:paraId="2E2B0381" w14:textId="77777777" w:rsidR="005E69D8" w:rsidRDefault="005E69D8" w:rsidP="005E69D8">
      <w:pPr>
        <w:rPr>
          <w:sz w:val="15"/>
          <w:szCs w:val="15"/>
        </w:rPr>
      </w:pPr>
    </w:p>
    <w:p w14:paraId="43322748" w14:textId="77777777" w:rsidR="005E69D8" w:rsidRDefault="005E69D8" w:rsidP="005E69D8">
      <w:pPr>
        <w:jc w:val="center"/>
        <w:rPr>
          <w:b/>
        </w:rPr>
      </w:pPr>
      <w:r>
        <w:rPr>
          <w:b/>
        </w:rPr>
        <w:t>_______________</w:t>
      </w:r>
    </w:p>
    <w:p w14:paraId="7619D091" w14:textId="77777777" w:rsidR="005E69D8" w:rsidRDefault="005E69D8" w:rsidP="005E69D8">
      <w:pPr>
        <w:rPr>
          <w:sz w:val="15"/>
          <w:szCs w:val="15"/>
        </w:rPr>
      </w:pPr>
    </w:p>
    <w:p w14:paraId="57633B97" w14:textId="77777777" w:rsidR="00F77F90" w:rsidRDefault="00F77F90" w:rsidP="005E69D8"/>
    <w:p w14:paraId="14F205DF" w14:textId="091B1E8E" w:rsidR="005C4FEC" w:rsidRPr="005F3747" w:rsidRDefault="005F3747" w:rsidP="00E314CD">
      <w:pPr>
        <w:spacing w:after="240"/>
      </w:pPr>
      <w:r>
        <w:t>These thresholds are effective via Commission Delegated Regulations (EU) N° 2021/1950, N°</w:t>
      </w:r>
      <w:r w:rsidR="0023665E">
        <w:t> </w:t>
      </w:r>
      <w:r>
        <w:t>2021/1951, N° 2021/1952 and N° 2021/1953 as well as Commission Communication C/2021/7937 of 10 November 2021 published in the EU Official Journal of 11 November 2021:</w:t>
      </w:r>
    </w:p>
    <w:p w14:paraId="1467BFBB" w14:textId="77777777" w:rsidR="005F3747" w:rsidRPr="005F3747" w:rsidRDefault="005F3747" w:rsidP="006315C8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>
        <w:t xml:space="preserve">Commission Delegated Regulation (EU) 2021/1950 of 10 November 2021 amending Directive 2009/81/EC of the European Parliament and of the Council in respect of the thresholds for supply, service and works contracts: </w:t>
      </w:r>
      <w:hyperlink r:id="rId9" w:history="1">
        <w:r>
          <w:rPr>
            <w:rStyle w:val="Hyperlink"/>
          </w:rPr>
          <w:t>https://eur-lex.europa.eu/legal-content/EN/TXT/?uri=uriserv%3AOJ.L_.2021.398.01.0019.01.ENG&amp;toc=OJ%3AL%3A2021%3A398%3ATOC</w:t>
        </w:r>
      </w:hyperlink>
      <w:r>
        <w:t xml:space="preserve"> </w:t>
      </w:r>
    </w:p>
    <w:p w14:paraId="0A5709C4" w14:textId="24425D3A" w:rsidR="005C4FEC" w:rsidRPr="005F3747" w:rsidRDefault="005F3747" w:rsidP="006315C8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</w:pPr>
      <w:r>
        <w:t xml:space="preserve">Commission Delegated Regulation (EU) 2021/1951 of 10 November 2021 amending Directive 2014/23/EU of the European Parliament and of the Council in respect of the threshold for concessions: </w:t>
      </w:r>
      <w:hyperlink r:id="rId10" w:history="1">
        <w:r>
          <w:rPr>
            <w:rStyle w:val="Hyperlink"/>
          </w:rPr>
          <w:t>https://eur-lex.europa.eu/legal-content/EN/TXT/?uri=uriserv%3AOJ.L_.2021.398.01.0021.01.ENG&amp;toc=OJ%3AL%3A2021%3A398%3ATOC</w:t>
        </w:r>
      </w:hyperlink>
      <w:r w:rsidR="005C4FEC" w:rsidRPr="005F3747">
        <w:t xml:space="preserve"> </w:t>
      </w:r>
    </w:p>
    <w:p w14:paraId="6D0D7C73" w14:textId="1ADBF2BD" w:rsidR="005F3747" w:rsidRPr="005F3747" w:rsidRDefault="005F3747" w:rsidP="006315C8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>
        <w:t xml:space="preserve">Commission Delegated Regulation (EU) 2021/1952 of 10 November 2021 amending Directive 2014/24/EU of the European Parliament and of the Council in respect of the thresholds for public supply, service and works contracts, and design contests: </w:t>
      </w:r>
      <w:hyperlink r:id="rId11" w:history="1">
        <w:r>
          <w:rPr>
            <w:rStyle w:val="Hyperlink"/>
          </w:rPr>
          <w:t>https://eur-lex.europa.eu/legal-content/EN/TXT/?uri=uriserv%3AOJ.L_.2021.398.01.0023.01.ENG&amp;toc=OJ%3AL%3A2021%3A398%3ATOC</w:t>
        </w:r>
      </w:hyperlink>
      <w:r>
        <w:t xml:space="preserve"> </w:t>
      </w:r>
    </w:p>
    <w:p w14:paraId="02FBFC6E" w14:textId="03A0359F" w:rsidR="005F3747" w:rsidRPr="005F3747" w:rsidRDefault="005F3747" w:rsidP="006315C8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rPr>
          <w:rFonts w:ascii="Times New Roman" w:eastAsia="Times New Roman" w:hAnsi="Times New Roman"/>
          <w:sz w:val="24"/>
        </w:rPr>
      </w:pPr>
      <w:r>
        <w:t xml:space="preserve">Commission Delegated Regulation (EU) 2021/1953 of 10 November 2021 amending Directive 2014/25/EU of the European Parliament and of the Council in respect of the thresholds for supply, service and works contracts, and design contests: </w:t>
      </w:r>
      <w:hyperlink r:id="rId12" w:history="1">
        <w:r>
          <w:rPr>
            <w:rStyle w:val="Hyperlink"/>
          </w:rPr>
          <w:t>https://eur-lex.europa.eu/legal-content/EN/TXT/?uri=uriserv%3AOJ.L_.2021.398.01.0025.01.ENG&amp;toc=OJ%3AL%3A2021%3A398%3ATOC</w:t>
        </w:r>
      </w:hyperlink>
    </w:p>
    <w:p w14:paraId="3CC5EA0A" w14:textId="1D29BEE8" w:rsidR="005F3747" w:rsidRPr="005F3747" w:rsidRDefault="005F3747" w:rsidP="006315C8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</w:pPr>
      <w:r>
        <w:t xml:space="preserve">Communication from the Commission C/2021/7937 on Corresponding values of the thresholds of Directives 2014/23/EU, 2014/24/EU, 2014/25/EU and 2009/81/EC of the European Parliament and of the Council: </w:t>
      </w:r>
      <w:hyperlink r:id="rId13" w:history="1">
        <w:r>
          <w:rPr>
            <w:rStyle w:val="Hyperlink"/>
          </w:rPr>
          <w:t>https://eur-lex.europa.eu/legal-content/EN/TXT/?uri=uriserv%3AOJ.C_.2021.457.01.0001.01.ENG&amp;toc=OJ%3AC%3A2021%3A457%3ATOC</w:t>
        </w:r>
      </w:hyperlink>
    </w:p>
    <w:p w14:paraId="2B601F5F" w14:textId="77777777" w:rsidR="005C4FEC" w:rsidRDefault="005C4FEC" w:rsidP="005C4FEC"/>
    <w:p w14:paraId="21A05010" w14:textId="77777777" w:rsidR="00C70AFA" w:rsidRDefault="00C70AFA" w:rsidP="005E69D8"/>
    <w:p w14:paraId="1E2C3368" w14:textId="77777777" w:rsidR="00C70AFA" w:rsidRDefault="00C70AFA" w:rsidP="005E69D8"/>
    <w:p w14:paraId="20BCDC19" w14:textId="77777777" w:rsidR="00C70AFA" w:rsidRDefault="00C70AFA" w:rsidP="005E69D8"/>
    <w:p w14:paraId="2A88256C" w14:textId="77777777" w:rsidR="00F77F90" w:rsidRPr="00F77F90" w:rsidRDefault="00F77F90" w:rsidP="00C70AFA">
      <w:pPr>
        <w:pStyle w:val="Heading1"/>
      </w:pPr>
      <w:r w:rsidRPr="00F77F90">
        <w:lastRenderedPageBreak/>
        <w:t>ThrEsholds in appendix I of the GPA, as expressed in NATIONAL CURRENCIES</w:t>
      </w:r>
    </w:p>
    <w:p w14:paraId="44105CED" w14:textId="77777777" w:rsidR="00F77F90" w:rsidRPr="00F77F90" w:rsidRDefault="00F77F90" w:rsidP="006315C8">
      <w:pPr>
        <w:pStyle w:val="Heading2"/>
      </w:pPr>
      <w:r w:rsidRPr="00F77F90">
        <w:t>Central Government Entities (Annex 1)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287"/>
        <w:gridCol w:w="1250"/>
        <w:gridCol w:w="1275"/>
        <w:gridCol w:w="1333"/>
        <w:gridCol w:w="1286"/>
        <w:gridCol w:w="1286"/>
      </w:tblGrid>
      <w:tr w:rsidR="00E314CD" w:rsidRPr="006315C8" w14:paraId="5BD96304" w14:textId="77777777" w:rsidTr="006315C8">
        <w:trPr>
          <w:cantSplit/>
          <w:tblHeader/>
        </w:trPr>
        <w:tc>
          <w:tcPr>
            <w:tcW w:w="1286" w:type="dxa"/>
            <w:shd w:val="clear" w:color="auto" w:fill="006283"/>
            <w:vAlign w:val="center"/>
          </w:tcPr>
          <w:p w14:paraId="42C9CEE2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7" w:type="dxa"/>
            <w:shd w:val="clear" w:color="auto" w:fill="006283"/>
            <w:vAlign w:val="center"/>
          </w:tcPr>
          <w:p w14:paraId="53128553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Special Drawing Right (SDR)</w:t>
            </w:r>
          </w:p>
        </w:tc>
        <w:tc>
          <w:tcPr>
            <w:tcW w:w="1250" w:type="dxa"/>
            <w:shd w:val="clear" w:color="auto" w:fill="006283"/>
            <w:vAlign w:val="center"/>
          </w:tcPr>
          <w:p w14:paraId="08919719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Euro (EUR)</w:t>
            </w:r>
          </w:p>
        </w:tc>
        <w:tc>
          <w:tcPr>
            <w:tcW w:w="1275" w:type="dxa"/>
            <w:shd w:val="clear" w:color="auto" w:fill="006283"/>
            <w:vAlign w:val="center"/>
          </w:tcPr>
          <w:p w14:paraId="545E5AAB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New Bulgarian Lev (BGN)</w:t>
            </w:r>
          </w:p>
        </w:tc>
        <w:tc>
          <w:tcPr>
            <w:tcW w:w="1333" w:type="dxa"/>
            <w:shd w:val="clear" w:color="auto" w:fill="006283"/>
            <w:vAlign w:val="center"/>
          </w:tcPr>
          <w:p w14:paraId="42C941FD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Czech Koruna (CZK)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143A9C62" w14:textId="20A83ECE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Danish Krone (DKK)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771EB594" w14:textId="17E701BE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Croatian Kuna (HRK)</w:t>
            </w:r>
          </w:p>
        </w:tc>
      </w:tr>
      <w:tr w:rsidR="00E314CD" w:rsidRPr="006315C8" w14:paraId="2BD95D13" w14:textId="77777777" w:rsidTr="006315C8">
        <w:trPr>
          <w:cantSplit/>
        </w:trPr>
        <w:tc>
          <w:tcPr>
            <w:tcW w:w="1286" w:type="dxa"/>
            <w:shd w:val="clear" w:color="auto" w:fill="auto"/>
            <w:vAlign w:val="center"/>
          </w:tcPr>
          <w:p w14:paraId="3DB88305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87263D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130,000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DD2E0AE" w14:textId="4387D7DE" w:rsidR="00E314CD" w:rsidRPr="006315C8" w:rsidRDefault="005F374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140,000</w:t>
            </w:r>
          </w:p>
        </w:tc>
        <w:tc>
          <w:tcPr>
            <w:tcW w:w="1275" w:type="dxa"/>
            <w:vAlign w:val="center"/>
          </w:tcPr>
          <w:p w14:paraId="7E0249F9" w14:textId="612B7385" w:rsidR="00E314CD" w:rsidRPr="006315C8" w:rsidRDefault="002B21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273,812</w:t>
            </w:r>
          </w:p>
        </w:tc>
        <w:tc>
          <w:tcPr>
            <w:tcW w:w="1333" w:type="dxa"/>
            <w:vAlign w:val="center"/>
          </w:tcPr>
          <w:p w14:paraId="38DCE2B3" w14:textId="719AC46D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3,653,440</w:t>
            </w:r>
          </w:p>
        </w:tc>
        <w:tc>
          <w:tcPr>
            <w:tcW w:w="1286" w:type="dxa"/>
            <w:vAlign w:val="center"/>
          </w:tcPr>
          <w:p w14:paraId="131E3ED3" w14:textId="03B78F96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1,043,126</w:t>
            </w:r>
          </w:p>
        </w:tc>
        <w:tc>
          <w:tcPr>
            <w:tcW w:w="1286" w:type="dxa"/>
            <w:vAlign w:val="center"/>
          </w:tcPr>
          <w:p w14:paraId="6C397F4A" w14:textId="06148D47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1,052,800</w:t>
            </w:r>
          </w:p>
        </w:tc>
      </w:tr>
      <w:tr w:rsidR="00E314CD" w:rsidRPr="006315C8" w14:paraId="7934CDFC" w14:textId="77777777" w:rsidTr="006315C8">
        <w:trPr>
          <w:cantSplit/>
        </w:trPr>
        <w:tc>
          <w:tcPr>
            <w:tcW w:w="1286" w:type="dxa"/>
            <w:shd w:val="clear" w:color="auto" w:fill="C9DED4"/>
            <w:vAlign w:val="center"/>
          </w:tcPr>
          <w:p w14:paraId="4CD46F14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7" w:type="dxa"/>
            <w:shd w:val="clear" w:color="auto" w:fill="C9DED4"/>
            <w:vAlign w:val="center"/>
          </w:tcPr>
          <w:p w14:paraId="0CB62F8E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130,000</w:t>
            </w:r>
          </w:p>
        </w:tc>
        <w:tc>
          <w:tcPr>
            <w:tcW w:w="1250" w:type="dxa"/>
            <w:shd w:val="clear" w:color="auto" w:fill="C9DED4"/>
            <w:vAlign w:val="center"/>
          </w:tcPr>
          <w:p w14:paraId="444B1388" w14:textId="75F597AA" w:rsidR="00E314CD" w:rsidRPr="006315C8" w:rsidRDefault="005F374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140,000</w:t>
            </w:r>
          </w:p>
        </w:tc>
        <w:tc>
          <w:tcPr>
            <w:tcW w:w="1275" w:type="dxa"/>
            <w:shd w:val="clear" w:color="auto" w:fill="C9DED4"/>
            <w:vAlign w:val="center"/>
          </w:tcPr>
          <w:p w14:paraId="0F39240C" w14:textId="1366E1B7" w:rsidR="00E314CD" w:rsidRPr="006315C8" w:rsidRDefault="002B21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273,812</w:t>
            </w:r>
          </w:p>
        </w:tc>
        <w:tc>
          <w:tcPr>
            <w:tcW w:w="1333" w:type="dxa"/>
            <w:shd w:val="clear" w:color="auto" w:fill="C9DED4"/>
            <w:vAlign w:val="center"/>
          </w:tcPr>
          <w:p w14:paraId="1E289975" w14:textId="753B641D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3,653,440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27C51130" w14:textId="6EA1D403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1,043,126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2F5C5B32" w14:textId="54F8BFF9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1,052,800</w:t>
            </w:r>
          </w:p>
        </w:tc>
      </w:tr>
      <w:tr w:rsidR="00E314CD" w:rsidRPr="006315C8" w14:paraId="5DF1A9C5" w14:textId="77777777" w:rsidTr="006315C8">
        <w:trPr>
          <w:cantSplit/>
        </w:trPr>
        <w:tc>
          <w:tcPr>
            <w:tcW w:w="1286" w:type="dxa"/>
            <w:shd w:val="clear" w:color="auto" w:fill="auto"/>
            <w:vAlign w:val="center"/>
          </w:tcPr>
          <w:p w14:paraId="79CF3315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CE79442" w14:textId="77777777" w:rsidR="00E314CD" w:rsidRPr="006315C8" w:rsidRDefault="00E314CD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B2F638B" w14:textId="585A1E4B" w:rsidR="00E314CD" w:rsidRPr="006315C8" w:rsidRDefault="005F3747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5,382,000</w:t>
            </w:r>
          </w:p>
        </w:tc>
        <w:tc>
          <w:tcPr>
            <w:tcW w:w="1275" w:type="dxa"/>
            <w:vAlign w:val="center"/>
          </w:tcPr>
          <w:p w14:paraId="640AB4D8" w14:textId="1664B4DA" w:rsidR="00E314CD" w:rsidRPr="006315C8" w:rsidRDefault="002B2163" w:rsidP="006315C8">
            <w:pPr>
              <w:tabs>
                <w:tab w:val="right" w:pos="916"/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10,526,116</w:t>
            </w:r>
          </w:p>
        </w:tc>
        <w:tc>
          <w:tcPr>
            <w:tcW w:w="1333" w:type="dxa"/>
            <w:vAlign w:val="center"/>
          </w:tcPr>
          <w:p w14:paraId="09C8AB4C" w14:textId="23EF5232" w:rsidR="00E314CD" w:rsidRPr="006315C8" w:rsidRDefault="002F0637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140,448,672</w:t>
            </w:r>
          </w:p>
        </w:tc>
        <w:tc>
          <w:tcPr>
            <w:tcW w:w="1286" w:type="dxa"/>
            <w:vAlign w:val="center"/>
          </w:tcPr>
          <w:p w14:paraId="4D2F9CAB" w14:textId="04481B1D" w:rsidR="00E314CD" w:rsidRPr="006315C8" w:rsidRDefault="002F0637" w:rsidP="006315C8">
            <w:pPr>
              <w:tabs>
                <w:tab w:val="right" w:pos="1006"/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40,100,744</w:t>
            </w:r>
          </w:p>
        </w:tc>
        <w:tc>
          <w:tcPr>
            <w:tcW w:w="1286" w:type="dxa"/>
            <w:vAlign w:val="center"/>
          </w:tcPr>
          <w:p w14:paraId="35FA93AA" w14:textId="584F63E5" w:rsidR="00E314CD" w:rsidRPr="006315C8" w:rsidRDefault="002F0637" w:rsidP="006315C8">
            <w:pPr>
              <w:tabs>
                <w:tab w:val="right" w:pos="1006"/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40,472,640</w:t>
            </w:r>
          </w:p>
        </w:tc>
      </w:tr>
    </w:tbl>
    <w:p w14:paraId="1B0AD5F1" w14:textId="77777777" w:rsidR="00F77F90" w:rsidRPr="00AB0FD9" w:rsidRDefault="00F77F90" w:rsidP="00F77F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689"/>
        <w:gridCol w:w="1417"/>
        <w:gridCol w:w="1560"/>
        <w:gridCol w:w="1791"/>
      </w:tblGrid>
      <w:tr w:rsidR="00E314CD" w:rsidRPr="006315C8" w14:paraId="2A9A16AD" w14:textId="77777777" w:rsidTr="006315C8">
        <w:trPr>
          <w:cantSplit/>
          <w:tblHeader/>
        </w:trPr>
        <w:tc>
          <w:tcPr>
            <w:tcW w:w="1279" w:type="dxa"/>
            <w:shd w:val="clear" w:color="auto" w:fill="006283"/>
            <w:vAlign w:val="center"/>
          </w:tcPr>
          <w:p w14:paraId="09BE3D32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006283"/>
            <w:vAlign w:val="center"/>
          </w:tcPr>
          <w:p w14:paraId="623E54F2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Special Drawing Right (SDR)</w:t>
            </w:r>
          </w:p>
        </w:tc>
        <w:tc>
          <w:tcPr>
            <w:tcW w:w="1689" w:type="dxa"/>
            <w:shd w:val="clear" w:color="auto" w:fill="006283"/>
            <w:vAlign w:val="center"/>
          </w:tcPr>
          <w:p w14:paraId="19295BF4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Hungarian Forint (HUF)</w:t>
            </w:r>
          </w:p>
        </w:tc>
        <w:tc>
          <w:tcPr>
            <w:tcW w:w="1417" w:type="dxa"/>
            <w:shd w:val="clear" w:color="auto" w:fill="006283"/>
            <w:vAlign w:val="center"/>
          </w:tcPr>
          <w:p w14:paraId="62B95164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New Polish Zloty (PLN)</w:t>
            </w:r>
          </w:p>
        </w:tc>
        <w:tc>
          <w:tcPr>
            <w:tcW w:w="1560" w:type="dxa"/>
            <w:shd w:val="clear" w:color="auto" w:fill="006283"/>
            <w:vAlign w:val="center"/>
          </w:tcPr>
          <w:p w14:paraId="7A745A8B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New Romanian Leu (RON)</w:t>
            </w:r>
          </w:p>
        </w:tc>
        <w:tc>
          <w:tcPr>
            <w:tcW w:w="1791" w:type="dxa"/>
            <w:shd w:val="clear" w:color="auto" w:fill="006283"/>
            <w:vAlign w:val="center"/>
          </w:tcPr>
          <w:p w14:paraId="5CC271F1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Swedish Krona (SEK)</w:t>
            </w:r>
          </w:p>
        </w:tc>
      </w:tr>
      <w:tr w:rsidR="00E314CD" w:rsidRPr="006315C8" w14:paraId="505130E4" w14:textId="77777777" w:rsidTr="00336224">
        <w:trPr>
          <w:cantSplit/>
        </w:trPr>
        <w:tc>
          <w:tcPr>
            <w:tcW w:w="1279" w:type="dxa"/>
            <w:shd w:val="clear" w:color="auto" w:fill="auto"/>
            <w:vAlign w:val="center"/>
          </w:tcPr>
          <w:p w14:paraId="7464A271" w14:textId="77777777" w:rsidR="00E314CD" w:rsidRPr="006315C8" w:rsidRDefault="00E314CD" w:rsidP="00F77F90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3B8C0B6" w14:textId="77777777" w:rsidR="00E314CD" w:rsidRPr="006315C8" w:rsidRDefault="00E314CD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130,000</w:t>
            </w:r>
          </w:p>
        </w:tc>
        <w:tc>
          <w:tcPr>
            <w:tcW w:w="1689" w:type="dxa"/>
            <w:vAlign w:val="center"/>
          </w:tcPr>
          <w:p w14:paraId="4FA6463E" w14:textId="1852D618" w:rsidR="00E314CD" w:rsidRPr="006315C8" w:rsidRDefault="002F063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48,997,200</w:t>
            </w:r>
          </w:p>
        </w:tc>
        <w:tc>
          <w:tcPr>
            <w:tcW w:w="1417" w:type="dxa"/>
            <w:vAlign w:val="center"/>
          </w:tcPr>
          <w:p w14:paraId="38E1A4A5" w14:textId="0EA479EE" w:rsidR="00E314CD" w:rsidRPr="006315C8" w:rsidRDefault="005F5D63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623,504</w:t>
            </w:r>
          </w:p>
        </w:tc>
        <w:tc>
          <w:tcPr>
            <w:tcW w:w="1560" w:type="dxa"/>
            <w:vAlign w:val="center"/>
          </w:tcPr>
          <w:p w14:paraId="43762BE7" w14:textId="22590539" w:rsidR="00E314CD" w:rsidRPr="006315C8" w:rsidRDefault="005F5D63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678,748</w:t>
            </w:r>
          </w:p>
        </w:tc>
        <w:tc>
          <w:tcPr>
            <w:tcW w:w="1791" w:type="dxa"/>
            <w:vAlign w:val="center"/>
          </w:tcPr>
          <w:p w14:paraId="277F0E38" w14:textId="034B434B" w:rsidR="00E314CD" w:rsidRPr="006315C8" w:rsidRDefault="005F5D63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1,456,476</w:t>
            </w:r>
          </w:p>
        </w:tc>
      </w:tr>
      <w:tr w:rsidR="00E314CD" w:rsidRPr="006315C8" w14:paraId="32A49335" w14:textId="77777777" w:rsidTr="00336224">
        <w:trPr>
          <w:cantSplit/>
        </w:trPr>
        <w:tc>
          <w:tcPr>
            <w:tcW w:w="1279" w:type="dxa"/>
            <w:shd w:val="clear" w:color="auto" w:fill="C9DED4"/>
            <w:vAlign w:val="center"/>
          </w:tcPr>
          <w:p w14:paraId="55CD7DA8" w14:textId="77777777" w:rsidR="00E314CD" w:rsidRPr="006315C8" w:rsidRDefault="00E314CD" w:rsidP="0019047D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0" w:type="dxa"/>
            <w:shd w:val="clear" w:color="auto" w:fill="C9DED4"/>
            <w:vAlign w:val="center"/>
          </w:tcPr>
          <w:p w14:paraId="475A8646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130,000</w:t>
            </w:r>
          </w:p>
        </w:tc>
        <w:tc>
          <w:tcPr>
            <w:tcW w:w="1689" w:type="dxa"/>
            <w:shd w:val="clear" w:color="auto" w:fill="C9DED4"/>
            <w:vAlign w:val="center"/>
          </w:tcPr>
          <w:p w14:paraId="3F0CB346" w14:textId="33E53A0C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48,997,200</w:t>
            </w:r>
          </w:p>
        </w:tc>
        <w:tc>
          <w:tcPr>
            <w:tcW w:w="1417" w:type="dxa"/>
            <w:shd w:val="clear" w:color="auto" w:fill="C9DED4"/>
            <w:vAlign w:val="center"/>
          </w:tcPr>
          <w:p w14:paraId="65464F95" w14:textId="04E0A29D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623,504</w:t>
            </w:r>
          </w:p>
        </w:tc>
        <w:tc>
          <w:tcPr>
            <w:tcW w:w="1560" w:type="dxa"/>
            <w:shd w:val="clear" w:color="auto" w:fill="C9DED4"/>
            <w:vAlign w:val="center"/>
          </w:tcPr>
          <w:p w14:paraId="5567E816" w14:textId="6993F588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678,748</w:t>
            </w:r>
          </w:p>
        </w:tc>
        <w:tc>
          <w:tcPr>
            <w:tcW w:w="1791" w:type="dxa"/>
            <w:shd w:val="clear" w:color="auto" w:fill="C9DED4"/>
            <w:vAlign w:val="center"/>
          </w:tcPr>
          <w:p w14:paraId="0E3F6F7C" w14:textId="08CC747E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1,456,476</w:t>
            </w:r>
          </w:p>
        </w:tc>
      </w:tr>
      <w:tr w:rsidR="00E314CD" w:rsidRPr="006315C8" w14:paraId="00D1AD87" w14:textId="77777777" w:rsidTr="00336224">
        <w:trPr>
          <w:cantSplit/>
        </w:trPr>
        <w:tc>
          <w:tcPr>
            <w:tcW w:w="1279" w:type="dxa"/>
            <w:shd w:val="clear" w:color="auto" w:fill="auto"/>
            <w:vAlign w:val="center"/>
          </w:tcPr>
          <w:p w14:paraId="6EB023B4" w14:textId="77777777" w:rsidR="00E314CD" w:rsidRPr="006315C8" w:rsidRDefault="00E314CD" w:rsidP="00F77F90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656AD38" w14:textId="77777777" w:rsidR="00E314CD" w:rsidRPr="006315C8" w:rsidRDefault="00E314CD" w:rsidP="005F5D63">
            <w:pPr>
              <w:keepNext/>
              <w:keepLines/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689" w:type="dxa"/>
            <w:vAlign w:val="center"/>
          </w:tcPr>
          <w:p w14:paraId="17528EF5" w14:textId="31BA1008" w:rsidR="00E314CD" w:rsidRPr="006315C8" w:rsidRDefault="005F5D63" w:rsidP="005F5D63">
            <w:pPr>
              <w:keepNext/>
              <w:keepLines/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1,883,592,360</w:t>
            </w:r>
          </w:p>
        </w:tc>
        <w:tc>
          <w:tcPr>
            <w:tcW w:w="1417" w:type="dxa"/>
            <w:vAlign w:val="center"/>
          </w:tcPr>
          <w:p w14:paraId="5543092C" w14:textId="4D8A469C" w:rsidR="00E314CD" w:rsidRPr="006315C8" w:rsidRDefault="005F5D63" w:rsidP="005F5D63">
            <w:pPr>
              <w:keepNext/>
              <w:keepLines/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23,969,275</w:t>
            </w:r>
          </w:p>
        </w:tc>
        <w:tc>
          <w:tcPr>
            <w:tcW w:w="1560" w:type="dxa"/>
            <w:vAlign w:val="center"/>
          </w:tcPr>
          <w:p w14:paraId="07C3B15B" w14:textId="77590F90" w:rsidR="00E314CD" w:rsidRPr="006315C8" w:rsidRDefault="005F5D63" w:rsidP="005F5D63">
            <w:pPr>
              <w:keepNext/>
              <w:keepLines/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26,093,012</w:t>
            </w:r>
          </w:p>
        </w:tc>
        <w:tc>
          <w:tcPr>
            <w:tcW w:w="1791" w:type="dxa"/>
            <w:vAlign w:val="center"/>
          </w:tcPr>
          <w:p w14:paraId="7977B7C3" w14:textId="1B5A34A6" w:rsidR="00E314CD" w:rsidRPr="006315C8" w:rsidRDefault="005F5D63" w:rsidP="006315C8">
            <w:pPr>
              <w:keepNext/>
              <w:keepLines/>
              <w:tabs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55,991,099</w:t>
            </w:r>
          </w:p>
        </w:tc>
      </w:tr>
    </w:tbl>
    <w:p w14:paraId="5DAE0C06" w14:textId="77777777" w:rsidR="00F77F90" w:rsidRPr="00F77F90" w:rsidRDefault="00F77F90" w:rsidP="006315C8">
      <w:pPr>
        <w:pStyle w:val="Heading2"/>
        <w:spacing w:before="240"/>
      </w:pPr>
      <w:r w:rsidRPr="00F77F90">
        <w:t>Sub</w:t>
      </w:r>
      <w:r w:rsidRPr="00F77F90">
        <w:noBreakHyphen/>
        <w:t>central Government Entities (Annex 2)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287"/>
        <w:gridCol w:w="1286"/>
        <w:gridCol w:w="1286"/>
        <w:gridCol w:w="1286"/>
        <w:gridCol w:w="1286"/>
        <w:gridCol w:w="1286"/>
      </w:tblGrid>
      <w:tr w:rsidR="00E314CD" w:rsidRPr="006315C8" w14:paraId="37B2BBF5" w14:textId="77777777" w:rsidTr="00A15885">
        <w:trPr>
          <w:cantSplit/>
          <w:tblHeader/>
        </w:trPr>
        <w:tc>
          <w:tcPr>
            <w:tcW w:w="1287" w:type="dxa"/>
            <w:shd w:val="clear" w:color="auto" w:fill="006283"/>
            <w:vAlign w:val="center"/>
          </w:tcPr>
          <w:p w14:paraId="791021AC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7" w:type="dxa"/>
            <w:shd w:val="clear" w:color="auto" w:fill="006283"/>
            <w:vAlign w:val="center"/>
          </w:tcPr>
          <w:p w14:paraId="7AE8C3C2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SDR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4EAAE87B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EUR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0DA58C08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BGN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22F9BE1D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CZK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3D08CC47" w14:textId="7830E65D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DKK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5E55F202" w14:textId="04293CA9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HRK</w:t>
            </w:r>
          </w:p>
        </w:tc>
      </w:tr>
      <w:tr w:rsidR="00E314CD" w:rsidRPr="006315C8" w14:paraId="5E368A36" w14:textId="77777777" w:rsidTr="00A15885">
        <w:trPr>
          <w:cantSplit/>
        </w:trPr>
        <w:tc>
          <w:tcPr>
            <w:tcW w:w="1287" w:type="dxa"/>
            <w:shd w:val="clear" w:color="auto" w:fill="auto"/>
            <w:vAlign w:val="center"/>
          </w:tcPr>
          <w:p w14:paraId="5EE17AAC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2BFC11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200,000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71DB03" w14:textId="0B361BFA" w:rsidR="00E314CD" w:rsidRPr="006315C8" w:rsidRDefault="005F374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215,000</w:t>
            </w:r>
          </w:p>
        </w:tc>
        <w:tc>
          <w:tcPr>
            <w:tcW w:w="1286" w:type="dxa"/>
            <w:vAlign w:val="center"/>
          </w:tcPr>
          <w:p w14:paraId="77EBDCD3" w14:textId="40CCBE9D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420,497</w:t>
            </w:r>
          </w:p>
        </w:tc>
        <w:tc>
          <w:tcPr>
            <w:tcW w:w="1286" w:type="dxa"/>
            <w:vAlign w:val="center"/>
          </w:tcPr>
          <w:p w14:paraId="2E838995" w14:textId="5E62A3A1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5,610,640</w:t>
            </w:r>
          </w:p>
        </w:tc>
        <w:tc>
          <w:tcPr>
            <w:tcW w:w="1286" w:type="dxa"/>
            <w:vAlign w:val="center"/>
          </w:tcPr>
          <w:p w14:paraId="0C9D5A97" w14:textId="51714C54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1,601,944</w:t>
            </w:r>
          </w:p>
        </w:tc>
        <w:tc>
          <w:tcPr>
            <w:tcW w:w="1286" w:type="dxa"/>
            <w:vAlign w:val="center"/>
          </w:tcPr>
          <w:p w14:paraId="767E732A" w14:textId="4E118B56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1,616,800</w:t>
            </w:r>
          </w:p>
        </w:tc>
      </w:tr>
      <w:tr w:rsidR="00E314CD" w:rsidRPr="006315C8" w14:paraId="7D7AC486" w14:textId="77777777" w:rsidTr="00A15885">
        <w:trPr>
          <w:cantSplit/>
        </w:trPr>
        <w:tc>
          <w:tcPr>
            <w:tcW w:w="1287" w:type="dxa"/>
            <w:shd w:val="clear" w:color="auto" w:fill="C9DED4"/>
            <w:vAlign w:val="center"/>
          </w:tcPr>
          <w:p w14:paraId="6D611B9F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7" w:type="dxa"/>
            <w:shd w:val="clear" w:color="auto" w:fill="C9DED4"/>
            <w:vAlign w:val="center"/>
          </w:tcPr>
          <w:p w14:paraId="416D9314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200,000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23B04AE5" w14:textId="658E94A3" w:rsidR="00E314CD" w:rsidRPr="006315C8" w:rsidRDefault="005F374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215,000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3D360ADC" w14:textId="3E0A3FCF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420,497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5D4B6154" w14:textId="5A485761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5,610,640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6D762748" w14:textId="4B0D683E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1,601,944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7BC614D3" w14:textId="12F7B5D6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1,616,800</w:t>
            </w:r>
          </w:p>
        </w:tc>
      </w:tr>
      <w:tr w:rsidR="00E314CD" w:rsidRPr="006315C8" w14:paraId="1B0F114D" w14:textId="77777777" w:rsidTr="00A15885">
        <w:trPr>
          <w:cantSplit/>
        </w:trPr>
        <w:tc>
          <w:tcPr>
            <w:tcW w:w="1287" w:type="dxa"/>
            <w:shd w:val="clear" w:color="auto" w:fill="auto"/>
            <w:vAlign w:val="center"/>
          </w:tcPr>
          <w:p w14:paraId="69D25120" w14:textId="77777777" w:rsidR="00E314CD" w:rsidRPr="006315C8" w:rsidRDefault="00E314CD" w:rsidP="00E314CD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47F1802" w14:textId="77777777" w:rsidR="00E314CD" w:rsidRPr="006315C8" w:rsidRDefault="00E314CD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C8E755" w14:textId="4295550C" w:rsidR="00E314CD" w:rsidRPr="006315C8" w:rsidRDefault="005F3747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5,382,000</w:t>
            </w:r>
          </w:p>
        </w:tc>
        <w:tc>
          <w:tcPr>
            <w:tcW w:w="1286" w:type="dxa"/>
            <w:vAlign w:val="center"/>
          </w:tcPr>
          <w:p w14:paraId="685F8337" w14:textId="562315B7" w:rsidR="00E314CD" w:rsidRPr="006315C8" w:rsidRDefault="002B2163" w:rsidP="006315C8">
            <w:pPr>
              <w:tabs>
                <w:tab w:val="right" w:pos="916"/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10,526,116</w:t>
            </w:r>
          </w:p>
        </w:tc>
        <w:tc>
          <w:tcPr>
            <w:tcW w:w="1286" w:type="dxa"/>
            <w:vAlign w:val="center"/>
          </w:tcPr>
          <w:p w14:paraId="3339BEEE" w14:textId="04B338E4" w:rsidR="00E314CD" w:rsidRPr="006315C8" w:rsidRDefault="002F0637" w:rsidP="006315C8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140,448,672</w:t>
            </w:r>
          </w:p>
        </w:tc>
        <w:tc>
          <w:tcPr>
            <w:tcW w:w="1286" w:type="dxa"/>
            <w:vAlign w:val="center"/>
          </w:tcPr>
          <w:p w14:paraId="3FBDC295" w14:textId="7499D0AC" w:rsidR="00E314CD" w:rsidRPr="006315C8" w:rsidRDefault="002F0637" w:rsidP="005F5D63">
            <w:pPr>
              <w:tabs>
                <w:tab w:val="right" w:pos="1006"/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40,100,744</w:t>
            </w:r>
          </w:p>
        </w:tc>
        <w:tc>
          <w:tcPr>
            <w:tcW w:w="1286" w:type="dxa"/>
            <w:vAlign w:val="center"/>
          </w:tcPr>
          <w:p w14:paraId="71CD358B" w14:textId="27AF78BB" w:rsidR="00E314CD" w:rsidRPr="006315C8" w:rsidRDefault="002F0637" w:rsidP="005F5D63">
            <w:pPr>
              <w:tabs>
                <w:tab w:val="right" w:pos="1006"/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40,472,640</w:t>
            </w:r>
          </w:p>
        </w:tc>
      </w:tr>
    </w:tbl>
    <w:p w14:paraId="2C17667B" w14:textId="77777777" w:rsidR="00F77F90" w:rsidRPr="00426F44" w:rsidRDefault="00F77F90" w:rsidP="00F77F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689"/>
        <w:gridCol w:w="1417"/>
        <w:gridCol w:w="1701"/>
        <w:gridCol w:w="1650"/>
      </w:tblGrid>
      <w:tr w:rsidR="00E314CD" w:rsidRPr="006315C8" w14:paraId="433715B5" w14:textId="77777777" w:rsidTr="00336224">
        <w:trPr>
          <w:cantSplit/>
          <w:tblHeader/>
        </w:trPr>
        <w:tc>
          <w:tcPr>
            <w:tcW w:w="1279" w:type="dxa"/>
            <w:shd w:val="clear" w:color="auto" w:fill="006283"/>
            <w:vAlign w:val="center"/>
          </w:tcPr>
          <w:p w14:paraId="18C3364E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006283"/>
            <w:vAlign w:val="center"/>
          </w:tcPr>
          <w:p w14:paraId="14071BF7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SDR</w:t>
            </w:r>
          </w:p>
        </w:tc>
        <w:tc>
          <w:tcPr>
            <w:tcW w:w="1689" w:type="dxa"/>
            <w:shd w:val="clear" w:color="auto" w:fill="006283"/>
            <w:vAlign w:val="center"/>
          </w:tcPr>
          <w:p w14:paraId="7BD9E506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HUF</w:t>
            </w:r>
          </w:p>
        </w:tc>
        <w:tc>
          <w:tcPr>
            <w:tcW w:w="1417" w:type="dxa"/>
            <w:shd w:val="clear" w:color="auto" w:fill="006283"/>
            <w:vAlign w:val="center"/>
          </w:tcPr>
          <w:p w14:paraId="71341B93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PLN</w:t>
            </w:r>
          </w:p>
        </w:tc>
        <w:tc>
          <w:tcPr>
            <w:tcW w:w="1701" w:type="dxa"/>
            <w:shd w:val="clear" w:color="auto" w:fill="006283"/>
            <w:vAlign w:val="center"/>
          </w:tcPr>
          <w:p w14:paraId="7712D51A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RON</w:t>
            </w:r>
          </w:p>
        </w:tc>
        <w:tc>
          <w:tcPr>
            <w:tcW w:w="1650" w:type="dxa"/>
            <w:shd w:val="clear" w:color="auto" w:fill="006283"/>
            <w:vAlign w:val="center"/>
          </w:tcPr>
          <w:p w14:paraId="28864CA5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SEK</w:t>
            </w:r>
          </w:p>
        </w:tc>
      </w:tr>
      <w:tr w:rsidR="00E314CD" w:rsidRPr="006315C8" w14:paraId="7D6F11D0" w14:textId="77777777" w:rsidTr="00336224">
        <w:trPr>
          <w:cantSplit/>
        </w:trPr>
        <w:tc>
          <w:tcPr>
            <w:tcW w:w="1279" w:type="dxa"/>
            <w:shd w:val="clear" w:color="auto" w:fill="auto"/>
            <w:vAlign w:val="center"/>
          </w:tcPr>
          <w:p w14:paraId="33488A56" w14:textId="77777777" w:rsidR="00E314CD" w:rsidRPr="006315C8" w:rsidRDefault="00E314CD" w:rsidP="00F77F90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0EFC6F5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200,000</w:t>
            </w:r>
          </w:p>
        </w:tc>
        <w:tc>
          <w:tcPr>
            <w:tcW w:w="1689" w:type="dxa"/>
            <w:vAlign w:val="center"/>
          </w:tcPr>
          <w:p w14:paraId="4EF70492" w14:textId="763D308A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75,245,700</w:t>
            </w:r>
          </w:p>
        </w:tc>
        <w:tc>
          <w:tcPr>
            <w:tcW w:w="1417" w:type="dxa"/>
            <w:vAlign w:val="center"/>
          </w:tcPr>
          <w:p w14:paraId="75772938" w14:textId="51EE777D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957,524</w:t>
            </w:r>
          </w:p>
        </w:tc>
        <w:tc>
          <w:tcPr>
            <w:tcW w:w="1701" w:type="dxa"/>
            <w:vAlign w:val="center"/>
          </w:tcPr>
          <w:p w14:paraId="77753922" w14:textId="512C4A1C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1,042,363</w:t>
            </w:r>
          </w:p>
        </w:tc>
        <w:tc>
          <w:tcPr>
            <w:tcW w:w="1650" w:type="dxa"/>
            <w:vAlign w:val="center"/>
          </w:tcPr>
          <w:p w14:paraId="671DCDDA" w14:textId="4D172DBA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2,236,731</w:t>
            </w:r>
          </w:p>
        </w:tc>
      </w:tr>
      <w:tr w:rsidR="00E314CD" w:rsidRPr="006315C8" w14:paraId="776F8230" w14:textId="77777777" w:rsidTr="00336224">
        <w:trPr>
          <w:cantSplit/>
        </w:trPr>
        <w:tc>
          <w:tcPr>
            <w:tcW w:w="1279" w:type="dxa"/>
            <w:shd w:val="clear" w:color="auto" w:fill="C9DED4"/>
            <w:vAlign w:val="center"/>
          </w:tcPr>
          <w:p w14:paraId="290B4ECD" w14:textId="77777777" w:rsidR="00E314CD" w:rsidRPr="006315C8" w:rsidRDefault="00E314CD" w:rsidP="002940E2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0" w:type="dxa"/>
            <w:shd w:val="clear" w:color="auto" w:fill="C9DED4"/>
            <w:vAlign w:val="center"/>
          </w:tcPr>
          <w:p w14:paraId="31DADA3A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200,000</w:t>
            </w:r>
          </w:p>
        </w:tc>
        <w:tc>
          <w:tcPr>
            <w:tcW w:w="1689" w:type="dxa"/>
            <w:shd w:val="clear" w:color="auto" w:fill="C9DED4"/>
            <w:vAlign w:val="center"/>
          </w:tcPr>
          <w:p w14:paraId="0032403F" w14:textId="0A28A27B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75,245,700</w:t>
            </w:r>
          </w:p>
        </w:tc>
        <w:tc>
          <w:tcPr>
            <w:tcW w:w="1417" w:type="dxa"/>
            <w:shd w:val="clear" w:color="auto" w:fill="C9DED4"/>
            <w:vAlign w:val="center"/>
          </w:tcPr>
          <w:p w14:paraId="22D75F0B" w14:textId="019FB548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957,524</w:t>
            </w:r>
          </w:p>
        </w:tc>
        <w:tc>
          <w:tcPr>
            <w:tcW w:w="1701" w:type="dxa"/>
            <w:shd w:val="clear" w:color="auto" w:fill="C9DED4"/>
            <w:vAlign w:val="center"/>
          </w:tcPr>
          <w:p w14:paraId="3B65FEA4" w14:textId="3D8AD1B9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1,042,363</w:t>
            </w:r>
          </w:p>
        </w:tc>
        <w:tc>
          <w:tcPr>
            <w:tcW w:w="1650" w:type="dxa"/>
            <w:shd w:val="clear" w:color="auto" w:fill="C9DED4"/>
            <w:vAlign w:val="center"/>
          </w:tcPr>
          <w:p w14:paraId="52E6B30B" w14:textId="3B0115AC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2,236,731</w:t>
            </w:r>
          </w:p>
        </w:tc>
      </w:tr>
      <w:tr w:rsidR="00E314CD" w:rsidRPr="006315C8" w14:paraId="08D9798C" w14:textId="77777777" w:rsidTr="00336224">
        <w:trPr>
          <w:cantSplit/>
        </w:trPr>
        <w:tc>
          <w:tcPr>
            <w:tcW w:w="1279" w:type="dxa"/>
            <w:shd w:val="clear" w:color="auto" w:fill="auto"/>
            <w:vAlign w:val="center"/>
          </w:tcPr>
          <w:p w14:paraId="0BE25970" w14:textId="77777777" w:rsidR="00E314CD" w:rsidRPr="006315C8" w:rsidRDefault="00E314CD" w:rsidP="00F77F90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58DC3AE" w14:textId="77777777" w:rsidR="00E314CD" w:rsidRPr="006315C8" w:rsidRDefault="00E314CD" w:rsidP="005F5D63">
            <w:pPr>
              <w:tabs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689" w:type="dxa"/>
            <w:vAlign w:val="center"/>
          </w:tcPr>
          <w:p w14:paraId="3C6D5488" w14:textId="1595DFDE" w:rsidR="00E314CD" w:rsidRPr="006315C8" w:rsidRDefault="005F5D63" w:rsidP="006315C8">
            <w:pPr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1,883,592,360</w:t>
            </w:r>
          </w:p>
        </w:tc>
        <w:tc>
          <w:tcPr>
            <w:tcW w:w="1417" w:type="dxa"/>
            <w:vAlign w:val="center"/>
          </w:tcPr>
          <w:p w14:paraId="4950BCEC" w14:textId="59D89309" w:rsidR="00E314CD" w:rsidRPr="006315C8" w:rsidRDefault="005F5D63" w:rsidP="006315C8">
            <w:pPr>
              <w:tabs>
                <w:tab w:val="right" w:pos="1862"/>
              </w:tabs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23,969,275</w:t>
            </w:r>
          </w:p>
        </w:tc>
        <w:tc>
          <w:tcPr>
            <w:tcW w:w="1701" w:type="dxa"/>
            <w:vAlign w:val="center"/>
          </w:tcPr>
          <w:p w14:paraId="396C8992" w14:textId="1527C617" w:rsidR="00E314CD" w:rsidRPr="006315C8" w:rsidRDefault="005F5D63" w:rsidP="005F5D63">
            <w:pPr>
              <w:tabs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26,093,012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3E665BB" w14:textId="17854E4A" w:rsidR="00E314CD" w:rsidRPr="006315C8" w:rsidRDefault="005F5D63" w:rsidP="005F5D63">
            <w:pPr>
              <w:tabs>
                <w:tab w:val="right" w:pos="1862"/>
              </w:tabs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55,991,099</w:t>
            </w:r>
          </w:p>
        </w:tc>
      </w:tr>
    </w:tbl>
    <w:p w14:paraId="40FF2C3B" w14:textId="77777777" w:rsidR="00F77F90" w:rsidRPr="00F77F90" w:rsidRDefault="00F77F90" w:rsidP="006315C8">
      <w:pPr>
        <w:pStyle w:val="Heading2"/>
        <w:spacing w:before="240"/>
      </w:pPr>
      <w:r w:rsidRPr="00F77F90">
        <w:t>Other Entities (Annex 3)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287"/>
        <w:gridCol w:w="1286"/>
        <w:gridCol w:w="1286"/>
        <w:gridCol w:w="1286"/>
        <w:gridCol w:w="1286"/>
        <w:gridCol w:w="1286"/>
      </w:tblGrid>
      <w:tr w:rsidR="00E314CD" w:rsidRPr="006315C8" w14:paraId="09B0B605" w14:textId="77777777" w:rsidTr="00A15885">
        <w:trPr>
          <w:cantSplit/>
          <w:tblHeader/>
        </w:trPr>
        <w:tc>
          <w:tcPr>
            <w:tcW w:w="1287" w:type="dxa"/>
            <w:shd w:val="clear" w:color="auto" w:fill="006283"/>
            <w:vAlign w:val="center"/>
          </w:tcPr>
          <w:p w14:paraId="1850A09D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7" w:type="dxa"/>
            <w:shd w:val="clear" w:color="auto" w:fill="006283"/>
            <w:vAlign w:val="center"/>
          </w:tcPr>
          <w:p w14:paraId="682E5DF5" w14:textId="77777777" w:rsidR="00E314CD" w:rsidRPr="006315C8" w:rsidRDefault="00E314CD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SDR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55D75F50" w14:textId="336EAF73" w:rsidR="00E314CD" w:rsidRPr="006315C8" w:rsidRDefault="005F3747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EUR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42705BB3" w14:textId="0D380DA6" w:rsidR="00E314CD" w:rsidRPr="006315C8" w:rsidRDefault="005F3747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BGN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6B7AC17C" w14:textId="07537A73" w:rsidR="00E314CD" w:rsidRPr="006315C8" w:rsidRDefault="005F3747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CZK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35A302CD" w14:textId="4A85279B" w:rsidR="00E314CD" w:rsidRPr="006315C8" w:rsidRDefault="005F3747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DKK</w:t>
            </w:r>
          </w:p>
        </w:tc>
        <w:tc>
          <w:tcPr>
            <w:tcW w:w="1286" w:type="dxa"/>
            <w:shd w:val="clear" w:color="auto" w:fill="006283"/>
            <w:vAlign w:val="center"/>
          </w:tcPr>
          <w:p w14:paraId="7A097F48" w14:textId="17E05556" w:rsidR="00E314CD" w:rsidRPr="006315C8" w:rsidRDefault="002F0637" w:rsidP="00E314CD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HRK</w:t>
            </w:r>
          </w:p>
        </w:tc>
      </w:tr>
      <w:tr w:rsidR="00E314CD" w:rsidRPr="006315C8" w14:paraId="658CF3B5" w14:textId="77777777" w:rsidTr="00A15885">
        <w:trPr>
          <w:cantSplit/>
        </w:trPr>
        <w:tc>
          <w:tcPr>
            <w:tcW w:w="1287" w:type="dxa"/>
            <w:shd w:val="clear" w:color="auto" w:fill="auto"/>
            <w:vAlign w:val="center"/>
          </w:tcPr>
          <w:p w14:paraId="5B438381" w14:textId="77777777" w:rsidR="00E314CD" w:rsidRPr="006315C8" w:rsidRDefault="00E314CD" w:rsidP="00E314CD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18D3B7" w14:textId="77777777" w:rsidR="00E314CD" w:rsidRPr="006315C8" w:rsidRDefault="00E314CD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400,000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7EE3E0" w14:textId="3856933F" w:rsidR="00E314CD" w:rsidRPr="006315C8" w:rsidRDefault="005F374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431,000</w:t>
            </w:r>
          </w:p>
        </w:tc>
        <w:tc>
          <w:tcPr>
            <w:tcW w:w="1286" w:type="dxa"/>
            <w:vAlign w:val="center"/>
          </w:tcPr>
          <w:p w14:paraId="4DF904C1" w14:textId="7BF15CB9" w:rsidR="00E314CD" w:rsidRPr="006315C8" w:rsidRDefault="002F063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842,950</w:t>
            </w:r>
          </w:p>
        </w:tc>
        <w:tc>
          <w:tcPr>
            <w:tcW w:w="1286" w:type="dxa"/>
            <w:vAlign w:val="center"/>
          </w:tcPr>
          <w:p w14:paraId="65384E08" w14:textId="23D3809A" w:rsidR="00E314CD" w:rsidRPr="006315C8" w:rsidRDefault="002F063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11,247,376</w:t>
            </w:r>
          </w:p>
        </w:tc>
        <w:tc>
          <w:tcPr>
            <w:tcW w:w="1286" w:type="dxa"/>
            <w:vAlign w:val="center"/>
          </w:tcPr>
          <w:p w14:paraId="659684A7" w14:textId="025AD73F" w:rsidR="00E314CD" w:rsidRPr="006315C8" w:rsidRDefault="002F063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3,211,338</w:t>
            </w:r>
          </w:p>
        </w:tc>
        <w:tc>
          <w:tcPr>
            <w:tcW w:w="1286" w:type="dxa"/>
            <w:vAlign w:val="center"/>
          </w:tcPr>
          <w:p w14:paraId="0FADB747" w14:textId="646409A4" w:rsidR="00E314CD" w:rsidRPr="006315C8" w:rsidRDefault="002F0637" w:rsidP="005F5D63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3,241,120</w:t>
            </w:r>
          </w:p>
        </w:tc>
      </w:tr>
      <w:tr w:rsidR="00E314CD" w:rsidRPr="006315C8" w14:paraId="1C528DD4" w14:textId="77777777" w:rsidTr="00A15885">
        <w:trPr>
          <w:cantSplit/>
        </w:trPr>
        <w:tc>
          <w:tcPr>
            <w:tcW w:w="1287" w:type="dxa"/>
            <w:shd w:val="clear" w:color="auto" w:fill="C9DED4"/>
            <w:vAlign w:val="center"/>
          </w:tcPr>
          <w:p w14:paraId="6B6E41CA" w14:textId="77777777" w:rsidR="00E314CD" w:rsidRPr="006315C8" w:rsidRDefault="00E314CD" w:rsidP="00E314CD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7" w:type="dxa"/>
            <w:shd w:val="clear" w:color="auto" w:fill="C9DED4"/>
            <w:vAlign w:val="center"/>
          </w:tcPr>
          <w:p w14:paraId="7FDED6D1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400,000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22E41A9F" w14:textId="602E4E0E" w:rsidR="00E314CD" w:rsidRPr="006315C8" w:rsidRDefault="005F374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bCs/>
                <w:spacing w:val="-2"/>
                <w:sz w:val="15"/>
                <w:szCs w:val="15"/>
              </w:rPr>
              <w:t>431,000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23DE01A2" w14:textId="1E42D150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842,950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16F15C5A" w14:textId="736B2D72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11,247,376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7B2AF2B0" w14:textId="75E953AF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3,211,338</w:t>
            </w:r>
          </w:p>
        </w:tc>
        <w:tc>
          <w:tcPr>
            <w:tcW w:w="1286" w:type="dxa"/>
            <w:shd w:val="clear" w:color="auto" w:fill="C9DED4"/>
            <w:vAlign w:val="center"/>
          </w:tcPr>
          <w:p w14:paraId="0088A36D" w14:textId="08EE2061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3,241,120</w:t>
            </w:r>
          </w:p>
        </w:tc>
      </w:tr>
      <w:tr w:rsidR="00E314CD" w:rsidRPr="006315C8" w14:paraId="7F544A87" w14:textId="77777777" w:rsidTr="00A15885">
        <w:trPr>
          <w:cantSplit/>
        </w:trPr>
        <w:tc>
          <w:tcPr>
            <w:tcW w:w="1287" w:type="dxa"/>
            <w:shd w:val="clear" w:color="auto" w:fill="auto"/>
            <w:vAlign w:val="center"/>
          </w:tcPr>
          <w:p w14:paraId="2617C400" w14:textId="77777777" w:rsidR="00E314CD" w:rsidRPr="006315C8" w:rsidRDefault="00E314CD" w:rsidP="00E314CD">
            <w:pPr>
              <w:keepNext/>
              <w:keepLines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C70080" w14:textId="77777777" w:rsidR="00E314CD" w:rsidRPr="006315C8" w:rsidRDefault="00E314CD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56B19CD" w14:textId="75EC785C" w:rsidR="00E314CD" w:rsidRPr="006315C8" w:rsidRDefault="005F3747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5,382,000</w:t>
            </w:r>
          </w:p>
        </w:tc>
        <w:tc>
          <w:tcPr>
            <w:tcW w:w="1286" w:type="dxa"/>
            <w:vAlign w:val="center"/>
          </w:tcPr>
          <w:p w14:paraId="78C98524" w14:textId="1B04F2DC" w:rsidR="00E314CD" w:rsidRPr="006315C8" w:rsidRDefault="002B2163" w:rsidP="006315C8">
            <w:pPr>
              <w:ind w:right="227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10,526,116</w:t>
            </w:r>
          </w:p>
        </w:tc>
        <w:tc>
          <w:tcPr>
            <w:tcW w:w="1286" w:type="dxa"/>
            <w:vAlign w:val="center"/>
          </w:tcPr>
          <w:p w14:paraId="6605B4B4" w14:textId="51ECA3ED" w:rsidR="00E314CD" w:rsidRPr="006315C8" w:rsidRDefault="002F0637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140,448,672</w:t>
            </w:r>
          </w:p>
        </w:tc>
        <w:tc>
          <w:tcPr>
            <w:tcW w:w="1286" w:type="dxa"/>
            <w:vAlign w:val="center"/>
          </w:tcPr>
          <w:p w14:paraId="49D6A3D2" w14:textId="4BE75916" w:rsidR="00E314CD" w:rsidRPr="006315C8" w:rsidRDefault="002F0637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40,100,744</w:t>
            </w:r>
          </w:p>
        </w:tc>
        <w:tc>
          <w:tcPr>
            <w:tcW w:w="1286" w:type="dxa"/>
            <w:vAlign w:val="center"/>
          </w:tcPr>
          <w:p w14:paraId="2BADD4CB" w14:textId="11B778C0" w:rsidR="00E314CD" w:rsidRPr="006315C8" w:rsidRDefault="002F0637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40,472,640</w:t>
            </w:r>
          </w:p>
        </w:tc>
      </w:tr>
    </w:tbl>
    <w:p w14:paraId="5FBC0D22" w14:textId="77777777" w:rsidR="00F77F90" w:rsidRPr="00426F44" w:rsidRDefault="00F77F90" w:rsidP="00F77F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1280"/>
        <w:gridCol w:w="1687"/>
        <w:gridCol w:w="1386"/>
        <w:gridCol w:w="1691"/>
        <w:gridCol w:w="1691"/>
      </w:tblGrid>
      <w:tr w:rsidR="00E314CD" w:rsidRPr="006315C8" w14:paraId="31E85283" w14:textId="77777777" w:rsidTr="00336224">
        <w:trPr>
          <w:cantSplit/>
          <w:tblHeader/>
        </w:trPr>
        <w:tc>
          <w:tcPr>
            <w:tcW w:w="1281" w:type="dxa"/>
            <w:shd w:val="clear" w:color="auto" w:fill="006283"/>
            <w:vAlign w:val="center"/>
          </w:tcPr>
          <w:p w14:paraId="4C50C75D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006283"/>
            <w:vAlign w:val="center"/>
          </w:tcPr>
          <w:p w14:paraId="51FD17D8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SDR</w:t>
            </w:r>
          </w:p>
        </w:tc>
        <w:tc>
          <w:tcPr>
            <w:tcW w:w="1687" w:type="dxa"/>
            <w:shd w:val="clear" w:color="auto" w:fill="006283"/>
            <w:vAlign w:val="center"/>
          </w:tcPr>
          <w:p w14:paraId="16F7A7CD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HUF</w:t>
            </w:r>
          </w:p>
        </w:tc>
        <w:tc>
          <w:tcPr>
            <w:tcW w:w="1386" w:type="dxa"/>
            <w:shd w:val="clear" w:color="auto" w:fill="006283"/>
            <w:vAlign w:val="center"/>
          </w:tcPr>
          <w:p w14:paraId="35ED1B72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PLN</w:t>
            </w:r>
          </w:p>
        </w:tc>
        <w:tc>
          <w:tcPr>
            <w:tcW w:w="1691" w:type="dxa"/>
            <w:shd w:val="clear" w:color="auto" w:fill="006283"/>
            <w:vAlign w:val="center"/>
          </w:tcPr>
          <w:p w14:paraId="6442B230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RON</w:t>
            </w:r>
          </w:p>
        </w:tc>
        <w:tc>
          <w:tcPr>
            <w:tcW w:w="1691" w:type="dxa"/>
            <w:shd w:val="clear" w:color="auto" w:fill="006283"/>
            <w:vAlign w:val="center"/>
          </w:tcPr>
          <w:p w14:paraId="6DBACA1B" w14:textId="77777777" w:rsidR="00E314CD" w:rsidRPr="006315C8" w:rsidRDefault="00E314CD" w:rsidP="00F77F90">
            <w:pPr>
              <w:keepNext/>
              <w:keepLines/>
              <w:jc w:val="center"/>
              <w:rPr>
                <w:b/>
                <w:color w:val="FFFFFF"/>
                <w:sz w:val="15"/>
                <w:szCs w:val="15"/>
              </w:rPr>
            </w:pPr>
            <w:r w:rsidRPr="006315C8">
              <w:rPr>
                <w:b/>
                <w:color w:val="FFFFFF"/>
                <w:sz w:val="15"/>
                <w:szCs w:val="15"/>
              </w:rPr>
              <w:t>SEK</w:t>
            </w:r>
          </w:p>
        </w:tc>
      </w:tr>
      <w:tr w:rsidR="00E314CD" w:rsidRPr="006315C8" w14:paraId="0B2E81F1" w14:textId="77777777" w:rsidTr="00336224">
        <w:trPr>
          <w:cantSplit/>
        </w:trPr>
        <w:tc>
          <w:tcPr>
            <w:tcW w:w="1281" w:type="dxa"/>
            <w:shd w:val="clear" w:color="auto" w:fill="auto"/>
            <w:vAlign w:val="center"/>
          </w:tcPr>
          <w:p w14:paraId="38B24A3A" w14:textId="77777777" w:rsidR="00E314CD" w:rsidRPr="006315C8" w:rsidRDefault="00E314CD" w:rsidP="00F77F90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 xml:space="preserve">Goods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D6565C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400,000</w:t>
            </w:r>
          </w:p>
        </w:tc>
        <w:tc>
          <w:tcPr>
            <w:tcW w:w="1687" w:type="dxa"/>
            <w:vAlign w:val="center"/>
          </w:tcPr>
          <w:p w14:paraId="6CA493B9" w14:textId="3C9837AA" w:rsidR="00E314CD" w:rsidRPr="006315C8" w:rsidRDefault="002F0637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150,841</w:t>
            </w:r>
            <w:r w:rsidR="005F5D63" w:rsidRPr="006315C8">
              <w:rPr>
                <w:spacing w:val="-2"/>
                <w:sz w:val="15"/>
                <w:szCs w:val="15"/>
              </w:rPr>
              <w:t>,</w:t>
            </w:r>
            <w:r w:rsidRPr="006315C8">
              <w:rPr>
                <w:spacing w:val="-2"/>
                <w:sz w:val="15"/>
                <w:szCs w:val="15"/>
              </w:rPr>
              <w:t>380</w:t>
            </w:r>
          </w:p>
        </w:tc>
        <w:tc>
          <w:tcPr>
            <w:tcW w:w="1386" w:type="dxa"/>
            <w:vAlign w:val="center"/>
          </w:tcPr>
          <w:p w14:paraId="00C4171F" w14:textId="3DC910AD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1,919,502</w:t>
            </w:r>
          </w:p>
        </w:tc>
        <w:tc>
          <w:tcPr>
            <w:tcW w:w="1691" w:type="dxa"/>
            <w:vAlign w:val="center"/>
          </w:tcPr>
          <w:p w14:paraId="7DB7BDED" w14:textId="2CEBCE05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2,089,574</w:t>
            </w:r>
          </w:p>
        </w:tc>
        <w:tc>
          <w:tcPr>
            <w:tcW w:w="1691" w:type="dxa"/>
            <w:vAlign w:val="center"/>
          </w:tcPr>
          <w:p w14:paraId="0CFE19C0" w14:textId="6AE1D06A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4,483,865</w:t>
            </w:r>
          </w:p>
        </w:tc>
      </w:tr>
      <w:tr w:rsidR="00E314CD" w:rsidRPr="006315C8" w14:paraId="1AFCCFEE" w14:textId="77777777" w:rsidTr="00336224">
        <w:trPr>
          <w:cantSplit/>
        </w:trPr>
        <w:tc>
          <w:tcPr>
            <w:tcW w:w="1281" w:type="dxa"/>
            <w:shd w:val="clear" w:color="auto" w:fill="C9DED4"/>
            <w:vAlign w:val="center"/>
          </w:tcPr>
          <w:p w14:paraId="123BADF4" w14:textId="77777777" w:rsidR="00E314CD" w:rsidRPr="006315C8" w:rsidRDefault="00E314CD" w:rsidP="00C70AFA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Services</w:t>
            </w:r>
          </w:p>
        </w:tc>
        <w:tc>
          <w:tcPr>
            <w:tcW w:w="1280" w:type="dxa"/>
            <w:shd w:val="clear" w:color="auto" w:fill="C9DED4"/>
            <w:vAlign w:val="center"/>
          </w:tcPr>
          <w:p w14:paraId="168D3459" w14:textId="77777777" w:rsidR="00E314CD" w:rsidRPr="006315C8" w:rsidRDefault="00E314CD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400,000</w:t>
            </w:r>
          </w:p>
        </w:tc>
        <w:tc>
          <w:tcPr>
            <w:tcW w:w="1687" w:type="dxa"/>
            <w:shd w:val="clear" w:color="auto" w:fill="C9DED4"/>
            <w:vAlign w:val="center"/>
          </w:tcPr>
          <w:p w14:paraId="11C5C98A" w14:textId="1F215E06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150,841,380</w:t>
            </w:r>
          </w:p>
        </w:tc>
        <w:tc>
          <w:tcPr>
            <w:tcW w:w="1386" w:type="dxa"/>
            <w:shd w:val="clear" w:color="auto" w:fill="C9DED4"/>
            <w:vAlign w:val="center"/>
          </w:tcPr>
          <w:p w14:paraId="6BD15C0B" w14:textId="27C35F0D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1,919,502</w:t>
            </w:r>
          </w:p>
        </w:tc>
        <w:tc>
          <w:tcPr>
            <w:tcW w:w="1691" w:type="dxa"/>
            <w:shd w:val="clear" w:color="auto" w:fill="C9DED4"/>
            <w:vAlign w:val="center"/>
          </w:tcPr>
          <w:p w14:paraId="59C4F294" w14:textId="7F879E7C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2,089,574</w:t>
            </w:r>
          </w:p>
        </w:tc>
        <w:tc>
          <w:tcPr>
            <w:tcW w:w="1691" w:type="dxa"/>
            <w:shd w:val="clear" w:color="auto" w:fill="C9DED4"/>
            <w:vAlign w:val="center"/>
          </w:tcPr>
          <w:p w14:paraId="739AF6D9" w14:textId="107A3E63" w:rsidR="00E314CD" w:rsidRPr="006315C8" w:rsidRDefault="005F5D63" w:rsidP="005F5D63">
            <w:pPr>
              <w:jc w:val="center"/>
              <w:rPr>
                <w:sz w:val="15"/>
                <w:szCs w:val="15"/>
              </w:rPr>
            </w:pPr>
            <w:r w:rsidRPr="006315C8">
              <w:rPr>
                <w:spacing w:val="-2"/>
                <w:sz w:val="15"/>
                <w:szCs w:val="15"/>
              </w:rPr>
              <w:t>4,483,865</w:t>
            </w:r>
          </w:p>
        </w:tc>
      </w:tr>
      <w:tr w:rsidR="00E314CD" w:rsidRPr="006315C8" w14:paraId="1EAA9BD3" w14:textId="77777777" w:rsidTr="00336224">
        <w:trPr>
          <w:cantSplit/>
        </w:trPr>
        <w:tc>
          <w:tcPr>
            <w:tcW w:w="1281" w:type="dxa"/>
            <w:shd w:val="clear" w:color="auto" w:fill="auto"/>
            <w:vAlign w:val="center"/>
          </w:tcPr>
          <w:p w14:paraId="6FC1A2EB" w14:textId="77777777" w:rsidR="00E314CD" w:rsidRPr="006315C8" w:rsidRDefault="00E314CD" w:rsidP="00C70AFA">
            <w:pPr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Construction Services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293F9D2" w14:textId="77777777" w:rsidR="00E314CD" w:rsidRPr="006315C8" w:rsidRDefault="00E314CD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5,000,000</w:t>
            </w:r>
          </w:p>
        </w:tc>
        <w:tc>
          <w:tcPr>
            <w:tcW w:w="1687" w:type="dxa"/>
            <w:vAlign w:val="center"/>
          </w:tcPr>
          <w:p w14:paraId="0B9180C5" w14:textId="1B8F4FFE" w:rsidR="00E314CD" w:rsidRPr="006315C8" w:rsidRDefault="005F5D63" w:rsidP="006315C8">
            <w:pPr>
              <w:ind w:right="170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1,883,592,360</w:t>
            </w:r>
          </w:p>
        </w:tc>
        <w:tc>
          <w:tcPr>
            <w:tcW w:w="1386" w:type="dxa"/>
            <w:vAlign w:val="center"/>
          </w:tcPr>
          <w:p w14:paraId="6805CED8" w14:textId="648D984F" w:rsidR="00E314CD" w:rsidRPr="006315C8" w:rsidRDefault="005F5D63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23,969,275</w:t>
            </w:r>
          </w:p>
        </w:tc>
        <w:tc>
          <w:tcPr>
            <w:tcW w:w="1691" w:type="dxa"/>
            <w:vAlign w:val="center"/>
          </w:tcPr>
          <w:p w14:paraId="41DD2709" w14:textId="31E72477" w:rsidR="00E314CD" w:rsidRPr="006315C8" w:rsidRDefault="005F5D63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26,093,012</w:t>
            </w:r>
          </w:p>
        </w:tc>
        <w:tc>
          <w:tcPr>
            <w:tcW w:w="1691" w:type="dxa"/>
            <w:vAlign w:val="center"/>
          </w:tcPr>
          <w:p w14:paraId="5C2F53B1" w14:textId="701918A3" w:rsidR="00E314CD" w:rsidRPr="006315C8" w:rsidRDefault="005F5D63" w:rsidP="005F5D63">
            <w:pPr>
              <w:ind w:right="113"/>
              <w:jc w:val="center"/>
              <w:rPr>
                <w:sz w:val="15"/>
                <w:szCs w:val="15"/>
              </w:rPr>
            </w:pPr>
            <w:r w:rsidRPr="006315C8">
              <w:rPr>
                <w:sz w:val="15"/>
                <w:szCs w:val="15"/>
              </w:rPr>
              <w:t>55,991,099</w:t>
            </w:r>
          </w:p>
        </w:tc>
      </w:tr>
    </w:tbl>
    <w:p w14:paraId="3B4465F7" w14:textId="77777777" w:rsidR="00F77F90" w:rsidRPr="00F77F90" w:rsidRDefault="00F77F90" w:rsidP="00E314CD">
      <w:pPr>
        <w:pStyle w:val="Heading1"/>
        <w:spacing w:before="240"/>
      </w:pPr>
      <w:r w:rsidRPr="00F77F90">
        <w:t>Period of validity for the threshold</w:t>
      </w:r>
    </w:p>
    <w:p w14:paraId="4A087744" w14:textId="619418EC" w:rsidR="00F77F90" w:rsidRPr="00F77F90" w:rsidRDefault="00F77F90" w:rsidP="00E314CD">
      <w:pPr>
        <w:spacing w:after="240"/>
      </w:pPr>
      <w:r w:rsidRPr="00F77F90">
        <w:t>The threshold levels provided above will apply to the period starting on 1 January 20</w:t>
      </w:r>
      <w:r>
        <w:t>2</w:t>
      </w:r>
      <w:r w:rsidR="00E314CD">
        <w:t>2</w:t>
      </w:r>
      <w:r w:rsidRPr="00F77F90">
        <w:t xml:space="preserve"> and ending on 31 December 20</w:t>
      </w:r>
      <w:r>
        <w:t>2</w:t>
      </w:r>
      <w:r w:rsidR="00E314CD">
        <w:t>3</w:t>
      </w:r>
      <w:r w:rsidRPr="00F77F90">
        <w:t>.</w:t>
      </w:r>
    </w:p>
    <w:p w14:paraId="0931A384" w14:textId="77777777" w:rsidR="00F77F90" w:rsidRPr="00F77F90" w:rsidRDefault="00F77F90" w:rsidP="00C70AFA">
      <w:pPr>
        <w:pStyle w:val="Heading1"/>
      </w:pPr>
      <w:r w:rsidRPr="00F77F90">
        <w:t>Method of calculation</w:t>
      </w:r>
    </w:p>
    <w:p w14:paraId="505AA564" w14:textId="08B5DD3C" w:rsidR="00F77F90" w:rsidRPr="00F77F90" w:rsidRDefault="00F77F90" w:rsidP="00E314CD">
      <w:pPr>
        <w:spacing w:after="240"/>
      </w:pPr>
      <w:r w:rsidRPr="00F77F90">
        <w:t>The calculation of the thresholds of the Agreement on Government Procurement, expressed in Euro</w:t>
      </w:r>
      <w:r w:rsidR="00C70AFA">
        <w:t> </w:t>
      </w:r>
      <w:r w:rsidRPr="00F77F90">
        <w:t xml:space="preserve">(EUR) and in national currencies, has been based on the average </w:t>
      </w:r>
      <w:r w:rsidR="00E90128">
        <w:t>daily</w:t>
      </w:r>
      <w:r w:rsidR="00E90128" w:rsidRPr="00F77F90">
        <w:t xml:space="preserve"> </w:t>
      </w:r>
      <w:r w:rsidRPr="00F77F90">
        <w:t xml:space="preserve">Special Drawing Right (SDR) to EUR exchange rate over 24 months from </w:t>
      </w:r>
      <w:r>
        <w:t xml:space="preserve">1 </w:t>
      </w:r>
      <w:r w:rsidRPr="00F77F90">
        <w:t>September </w:t>
      </w:r>
      <w:r w:rsidR="006315C8">
        <w:t>2019</w:t>
      </w:r>
      <w:r w:rsidRPr="00F77F90">
        <w:t xml:space="preserve"> through </w:t>
      </w:r>
      <w:r>
        <w:t xml:space="preserve">31 </w:t>
      </w:r>
      <w:r w:rsidRPr="00F77F90">
        <w:t>August </w:t>
      </w:r>
      <w:r w:rsidR="006315C8">
        <w:t>2021</w:t>
      </w:r>
      <w:r w:rsidRPr="00F77F90">
        <w:t xml:space="preserve"> (SDR</w:t>
      </w:r>
      <w:r>
        <w:t> </w:t>
      </w:r>
      <w:r w:rsidRPr="00F77F90">
        <w:t xml:space="preserve">1 = EUR </w:t>
      </w:r>
      <w:r w:rsidR="006315C8" w:rsidRPr="00DF22B9">
        <w:rPr>
          <w:lang w:val="en-IE"/>
        </w:rPr>
        <w:t>1.21635</w:t>
      </w:r>
      <w:r w:rsidRPr="00F77F90">
        <w:t>).</w:t>
      </w:r>
    </w:p>
    <w:p w14:paraId="34FBE244" w14:textId="77777777" w:rsidR="00F77F90" w:rsidRPr="00F77F90" w:rsidRDefault="00F77F90" w:rsidP="00F77F90">
      <w:r w:rsidRPr="00F77F90">
        <w:t>The value of the thresholds in Euro and in national currencies has been expressed without the value</w:t>
      </w:r>
      <w:r>
        <w:noBreakHyphen/>
      </w:r>
      <w:r w:rsidRPr="00F77F90">
        <w:t>added tax (VAT)</w:t>
      </w:r>
      <w:r w:rsidR="00E90128">
        <w:t>,</w:t>
      </w:r>
      <w:r w:rsidRPr="00F77F90">
        <w:t xml:space="preserve"> because the European Union excludes VAT when calculating the value of contracts.</w:t>
      </w:r>
    </w:p>
    <w:p w14:paraId="3E242478" w14:textId="77777777" w:rsidR="00F77F90" w:rsidRPr="00F77F90" w:rsidRDefault="00F77F90" w:rsidP="00F77F90"/>
    <w:p w14:paraId="5B9E731E" w14:textId="33E61989" w:rsidR="007141CF" w:rsidRPr="0027067B" w:rsidRDefault="00F77F90" w:rsidP="006315C8">
      <w:pPr>
        <w:jc w:val="center"/>
      </w:pPr>
      <w:r w:rsidRPr="00F77F90">
        <w:rPr>
          <w:b/>
        </w:rPr>
        <w:t>__________</w:t>
      </w:r>
    </w:p>
    <w:sectPr w:rsidR="007141CF" w:rsidRPr="0027067B" w:rsidSect="00E314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64E2" w14:textId="77777777" w:rsidR="005E69D8" w:rsidRDefault="005E69D8" w:rsidP="00ED54E0">
      <w:r>
        <w:separator/>
      </w:r>
    </w:p>
  </w:endnote>
  <w:endnote w:type="continuationSeparator" w:id="0">
    <w:p w14:paraId="44D3E812" w14:textId="77777777" w:rsidR="005E69D8" w:rsidRDefault="005E69D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7D1E" w14:textId="68439725" w:rsidR="00544326" w:rsidRPr="00E314CD" w:rsidRDefault="00E314CD" w:rsidP="00E314C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AE65" w14:textId="77657D1B" w:rsidR="00544326" w:rsidRPr="00E314CD" w:rsidRDefault="00E314CD" w:rsidP="00E314C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33A1C" w14:textId="77777777" w:rsidR="005E69D8" w:rsidRDefault="005E69D8" w:rsidP="00ED54E0">
      <w:r>
        <w:separator/>
      </w:r>
    </w:p>
  </w:footnote>
  <w:footnote w:type="continuationSeparator" w:id="0">
    <w:p w14:paraId="48BB9AC8" w14:textId="77777777" w:rsidR="005E69D8" w:rsidRDefault="005E69D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F559" w14:textId="77777777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4CD">
      <w:t>GPA/THR/EU/3</w:t>
    </w:r>
  </w:p>
  <w:p w14:paraId="20D6990F" w14:textId="77777777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09C3EC" w14:textId="20881D3E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4CD">
      <w:t xml:space="preserve">- </w:t>
    </w:r>
    <w:r w:rsidRPr="00E314CD">
      <w:fldChar w:fldCharType="begin"/>
    </w:r>
    <w:r w:rsidRPr="00E314CD">
      <w:instrText xml:space="preserve"> PAGE </w:instrText>
    </w:r>
    <w:r w:rsidRPr="00E314CD">
      <w:fldChar w:fldCharType="separate"/>
    </w:r>
    <w:r w:rsidRPr="00E314CD">
      <w:rPr>
        <w:noProof/>
      </w:rPr>
      <w:t>2</w:t>
    </w:r>
    <w:r w:rsidRPr="00E314CD">
      <w:fldChar w:fldCharType="end"/>
    </w:r>
    <w:r w:rsidRPr="00E314CD">
      <w:t xml:space="preserve"> -</w:t>
    </w:r>
  </w:p>
  <w:p w14:paraId="517047B7" w14:textId="6C3B53C6" w:rsidR="00544326" w:rsidRPr="00E314CD" w:rsidRDefault="00544326" w:rsidP="00E314C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E2C4" w14:textId="77777777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4CD">
      <w:t>GPA/THR/EU/3</w:t>
    </w:r>
  </w:p>
  <w:p w14:paraId="63486AF0" w14:textId="77777777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334393" w14:textId="07BC7104" w:rsidR="00E314CD" w:rsidRPr="00E314CD" w:rsidRDefault="00E314CD" w:rsidP="00E314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4CD">
      <w:t xml:space="preserve">- </w:t>
    </w:r>
    <w:r w:rsidRPr="00E314CD">
      <w:fldChar w:fldCharType="begin"/>
    </w:r>
    <w:r w:rsidRPr="00E314CD">
      <w:instrText xml:space="preserve"> PAGE </w:instrText>
    </w:r>
    <w:r w:rsidRPr="00E314CD">
      <w:fldChar w:fldCharType="separate"/>
    </w:r>
    <w:r w:rsidRPr="00E314CD">
      <w:rPr>
        <w:noProof/>
      </w:rPr>
      <w:t>2</w:t>
    </w:r>
    <w:r w:rsidRPr="00E314CD">
      <w:fldChar w:fldCharType="end"/>
    </w:r>
    <w:r w:rsidRPr="00E314CD">
      <w:t xml:space="preserve"> -</w:t>
    </w:r>
  </w:p>
  <w:p w14:paraId="3C55A154" w14:textId="040A60E1" w:rsidR="00544326" w:rsidRPr="00E314CD" w:rsidRDefault="00544326" w:rsidP="00E314C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0DD07C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6402A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887429" w14:textId="448F13DC" w:rsidR="00ED54E0" w:rsidRPr="00182B84" w:rsidRDefault="00E314C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6B450B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7F8687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de-DE" w:eastAsia="de-DE"/>
            </w:rPr>
            <w:drawing>
              <wp:inline distT="0" distB="0" distL="0" distR="0" wp14:anchorId="3B506904" wp14:editId="16D9824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58B5D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BE1961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E03D8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D66587" w14:textId="77777777" w:rsidR="00E314CD" w:rsidRDefault="00E314CD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GPA/THR/EU/3</w:t>
          </w:r>
        </w:p>
        <w:bookmarkEnd w:id="1"/>
        <w:p w14:paraId="2CBDE406" w14:textId="71C5EB0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5B0CD6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48D1D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A80ABD" w14:textId="4043735D" w:rsidR="00ED54E0" w:rsidRPr="00182B84" w:rsidRDefault="008372EF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5E69D8">
            <w:rPr>
              <w:szCs w:val="16"/>
            </w:rPr>
            <w:t xml:space="preserve"> December 20</w:t>
          </w:r>
          <w:r w:rsidR="00E314CD">
            <w:rPr>
              <w:szCs w:val="16"/>
            </w:rPr>
            <w:t>21</w:t>
          </w:r>
        </w:p>
      </w:tc>
    </w:tr>
    <w:tr w:rsidR="00ED54E0" w:rsidRPr="00182B84" w14:paraId="75FC910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3B81D" w14:textId="12BC7BD7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997910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8372EF">
            <w:rPr>
              <w:color w:val="FF0000"/>
              <w:szCs w:val="16"/>
            </w:rPr>
            <w:t>9489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7AFB03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E90128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E90128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5427F08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5C6A9" w14:textId="4A7E34BC" w:rsidR="00ED54E0" w:rsidRPr="00182B84" w:rsidRDefault="00E314CD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B335E8" w14:textId="4DCB3A7B" w:rsidR="00ED54E0" w:rsidRPr="00182B84" w:rsidRDefault="00E314C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1B425C02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43AED"/>
    <w:multiLevelType w:val="hybridMultilevel"/>
    <w:tmpl w:val="1BFE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A9A"/>
    <w:multiLevelType w:val="hybridMultilevel"/>
    <w:tmpl w:val="FE8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4325C66"/>
    <w:multiLevelType w:val="hybridMultilevel"/>
    <w:tmpl w:val="DB6EAA96"/>
    <w:lvl w:ilvl="0" w:tplc="C46019A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4AB1"/>
    <w:multiLevelType w:val="multilevel"/>
    <w:tmpl w:val="075A666C"/>
    <w:numStyleLink w:val="LegalHeadings"/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C766098"/>
    <w:multiLevelType w:val="hybridMultilevel"/>
    <w:tmpl w:val="2DE4F2AA"/>
    <w:lvl w:ilvl="0" w:tplc="F5CEA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A8E"/>
    <w:multiLevelType w:val="hybridMultilevel"/>
    <w:tmpl w:val="45B6B3EE"/>
    <w:lvl w:ilvl="0" w:tplc="5ACE0DE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1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WTODOCE2012"/>
  </w:docVars>
  <w:rsids>
    <w:rsidRoot w:val="005E69D8"/>
    <w:rsid w:val="000272F6"/>
    <w:rsid w:val="00037AC4"/>
    <w:rsid w:val="000423BF"/>
    <w:rsid w:val="000A4945"/>
    <w:rsid w:val="000B31E1"/>
    <w:rsid w:val="000C4C7F"/>
    <w:rsid w:val="0011356B"/>
    <w:rsid w:val="0013337F"/>
    <w:rsid w:val="00182B84"/>
    <w:rsid w:val="00185C9D"/>
    <w:rsid w:val="0019047D"/>
    <w:rsid w:val="001E291F"/>
    <w:rsid w:val="001F2B18"/>
    <w:rsid w:val="00233408"/>
    <w:rsid w:val="0023665E"/>
    <w:rsid w:val="0027067B"/>
    <w:rsid w:val="002940E2"/>
    <w:rsid w:val="002B2163"/>
    <w:rsid w:val="002F0637"/>
    <w:rsid w:val="003156C6"/>
    <w:rsid w:val="00336224"/>
    <w:rsid w:val="003572B4"/>
    <w:rsid w:val="00426F44"/>
    <w:rsid w:val="004353EB"/>
    <w:rsid w:val="00467032"/>
    <w:rsid w:val="0046754A"/>
    <w:rsid w:val="004F203A"/>
    <w:rsid w:val="005336B8"/>
    <w:rsid w:val="0054393D"/>
    <w:rsid w:val="00544326"/>
    <w:rsid w:val="00547B5F"/>
    <w:rsid w:val="005A1A22"/>
    <w:rsid w:val="005B04B9"/>
    <w:rsid w:val="005B68C7"/>
    <w:rsid w:val="005B7054"/>
    <w:rsid w:val="005C4FEC"/>
    <w:rsid w:val="005D5981"/>
    <w:rsid w:val="005E69D8"/>
    <w:rsid w:val="005F30CB"/>
    <w:rsid w:val="005F3747"/>
    <w:rsid w:val="005F5D63"/>
    <w:rsid w:val="00612644"/>
    <w:rsid w:val="006315C8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7F4399"/>
    <w:rsid w:val="00807247"/>
    <w:rsid w:val="008372EF"/>
    <w:rsid w:val="00840C2B"/>
    <w:rsid w:val="008739FD"/>
    <w:rsid w:val="00893E85"/>
    <w:rsid w:val="008E372C"/>
    <w:rsid w:val="009532E3"/>
    <w:rsid w:val="00997910"/>
    <w:rsid w:val="009A6F54"/>
    <w:rsid w:val="009B26D6"/>
    <w:rsid w:val="009F2558"/>
    <w:rsid w:val="00A15885"/>
    <w:rsid w:val="00A56459"/>
    <w:rsid w:val="00A6057A"/>
    <w:rsid w:val="00A74017"/>
    <w:rsid w:val="00AA332C"/>
    <w:rsid w:val="00AB0FD9"/>
    <w:rsid w:val="00AC27F8"/>
    <w:rsid w:val="00AC6896"/>
    <w:rsid w:val="00AD4C72"/>
    <w:rsid w:val="00AE2AEE"/>
    <w:rsid w:val="00B00276"/>
    <w:rsid w:val="00B230EC"/>
    <w:rsid w:val="00B521CB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70AFA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B1526"/>
    <w:rsid w:val="00DE50DB"/>
    <w:rsid w:val="00DF6AE1"/>
    <w:rsid w:val="00E314CD"/>
    <w:rsid w:val="00E46FD5"/>
    <w:rsid w:val="00E544BB"/>
    <w:rsid w:val="00E56545"/>
    <w:rsid w:val="00E579FA"/>
    <w:rsid w:val="00E90128"/>
    <w:rsid w:val="00EA5D4F"/>
    <w:rsid w:val="00EB6C56"/>
    <w:rsid w:val="00ED0EB6"/>
    <w:rsid w:val="00ED1D47"/>
    <w:rsid w:val="00ED54E0"/>
    <w:rsid w:val="00F04A9D"/>
    <w:rsid w:val="00F32397"/>
    <w:rsid w:val="00F40595"/>
    <w:rsid w:val="00F77F90"/>
    <w:rsid w:val="00F9430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8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D8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BodyText">
    <w:name w:val="Body Text"/>
    <w:basedOn w:val="Normal"/>
    <w:uiPriority w:val="1"/>
    <w:qFormat/>
    <w:rsid w:val="00D747AE"/>
    <w:pPr>
      <w:numPr>
        <w:ilvl w:val="6"/>
        <w:numId w:val="7"/>
      </w:numPr>
      <w:spacing w:after="240"/>
    </w:pPr>
  </w:style>
  <w:style w:type="paragraph" w:styleId="BodyText2">
    <w:name w:val="Body Text 2"/>
    <w:basedOn w:val="Normal"/>
    <w:uiPriority w:val="1"/>
    <w:qFormat/>
    <w:rsid w:val="00D747AE"/>
    <w:pPr>
      <w:numPr>
        <w:ilvl w:val="7"/>
        <w:numId w:val="7"/>
      </w:numPr>
      <w:spacing w:after="240"/>
    </w:pPr>
  </w:style>
  <w:style w:type="paragraph" w:styleId="BodyText3">
    <w:name w:val="Body Text 3"/>
    <w:basedOn w:val="Normal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uiPriority w:val="6"/>
    <w:qFormat/>
    <w:rsid w:val="0046754A"/>
    <w:pPr>
      <w:spacing w:after="240"/>
      <w:ind w:left="1077"/>
    </w:p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paragraph" w:styleId="EndnoteText">
    <w:name w:val="endnote text"/>
    <w:basedOn w:val="FootnoteText"/>
    <w:uiPriority w:val="49"/>
    <w:rsid w:val="0046754A"/>
    <w:rPr>
      <w:szCs w:val="20"/>
    </w:rPr>
  </w:style>
  <w:style w:type="paragraph" w:customStyle="1" w:styleId="FollowUp">
    <w:name w:val="FollowUp"/>
    <w:basedOn w:val="Normal"/>
    <w:uiPriority w:val="6"/>
    <w:qFormat/>
    <w:rsid w:val="0046754A"/>
    <w:pPr>
      <w:spacing w:after="240"/>
      <w:ind w:left="720"/>
    </w:pPr>
    <w:rPr>
      <w:i/>
    </w:rPr>
  </w:style>
  <w:style w:type="paragraph" w:styleId="Footer">
    <w:name w:val="footer"/>
    <w:basedOn w:val="Normal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uiPriority w:val="99"/>
    <w:semiHidden/>
    <w:unhideWhenUsed/>
    <w:rsid w:val="00547B5F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547B5F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rsid w:val="00547B5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uiPriority w:val="99"/>
    <w:semiHidden/>
    <w:unhideWhenUsed/>
    <w:rsid w:val="00547B5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547B5F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unhideWhenUsed/>
    <w:rsid w:val="00547B5F"/>
    <w:rPr>
      <w:b/>
      <w:bCs/>
    </w:rPr>
  </w:style>
  <w:style w:type="paragraph" w:styleId="Date">
    <w:name w:val="Date"/>
    <w:basedOn w:val="Normal"/>
    <w:next w:val="Normal"/>
    <w:uiPriority w:val="99"/>
    <w:semiHidden/>
    <w:unhideWhenUsed/>
    <w:rsid w:val="00547B5F"/>
  </w:style>
  <w:style w:type="paragraph" w:styleId="DocumentMap">
    <w:name w:val="Document Map"/>
    <w:basedOn w:val="Normal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547B5F"/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uiPriority w:val="99"/>
    <w:semiHidden/>
    <w:unhideWhenUsed/>
    <w:rsid w:val="00547B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uiPriority w:val="99"/>
    <w:semiHidden/>
    <w:unhideWhenUsed/>
    <w:rsid w:val="00547B5F"/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uiPriority w:val="99"/>
    <w:unhideWhenUsed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uiPriority w:val="59"/>
    <w:semiHidden/>
    <w:qFormat/>
    <w:rsid w:val="00547B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unhideWhenUsed/>
    <w:rsid w:val="00547B5F"/>
  </w:style>
  <w:style w:type="paragraph" w:styleId="Signature">
    <w:name w:val="Signature"/>
    <w:basedOn w:val="Normal"/>
    <w:uiPriority w:val="99"/>
    <w:semiHidden/>
    <w:unhideWhenUsed/>
    <w:rsid w:val="00547B5F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14CD"/>
    <w:rPr>
      <w:color w:val="605E5C"/>
      <w:shd w:val="clear" w:color="auto" w:fill="E1DFDD"/>
    </w:rPr>
  </w:style>
  <w:style w:type="character" w:styleId="Hashtag">
    <w:name w:val="Hashtag"/>
    <w:basedOn w:val="DefaultParagraphFont"/>
    <w:uiPriority w:val="99"/>
    <w:semiHidden/>
    <w:unhideWhenUsed/>
    <w:rsid w:val="005F374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5F374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5F374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F3747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GPA/1%22%20OR%20@Symbol=%22GPA/1/*%22&amp;Language=English&amp;Context=ScriptedSearches&amp;languageUIChanged=true" TargetMode="External"/><Relationship Id="rId13" Type="http://schemas.openxmlformats.org/officeDocument/2006/relationships/hyperlink" Target="https://eur-lex.europa.eu/legal-content/EN/TXT/?uri=uriserv%3AOJ.C_.2021.457.01.0001.01.ENG&amp;toc=OJ%3AC%3A2021%3A457%3AT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uriserv%3AOJ.L_.2021.398.01.0025.01.ENG&amp;toc=OJ%3AL%3A2021%3A398%3AT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uriserv%3AOJ.L_.2021.398.01.0023.01.ENG&amp;toc=OJ%3AL%3A2021%3A398%3AT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EN/TXT/?uri=uriserv%3AOJ.L_.2021.398.01.0021.01.ENG&amp;toc=OJ%3AL%3A2021%3A398%3A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uriserv%3AOJ.L_.2021.398.01.0019.01.ENG&amp;toc=OJ%3AL%3A2021%3A398%3ATO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9AA4-D7C6-4C04-9F65-E08D1C2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81</TotalTime>
  <Pages>2</Pages>
  <Words>585</Words>
  <Characters>4195</Characters>
  <Application>Microsoft Office Word</Application>
  <DocSecurity>0</DocSecurity>
  <Lines>240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2019-12-18T13:54:00Z</cp:lastPrinted>
  <dcterms:created xsi:type="dcterms:W3CDTF">2019-12-19T13:03:00Z</dcterms:created>
  <dcterms:modified xsi:type="dcterms:W3CDTF">2021-12-20T09:06:00Z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bc61db9e-d5c9-4f33-baa0-4005e66e7ae3</vt:lpwstr>
  </property>
  <property fmtid="{D5CDD505-2E9C-101B-9397-08002B2CF9AE}" pid="3" name="Symbol1">
    <vt:lpwstr>GPA/THR/EU/3</vt:lpwstr>
  </property>
  <property fmtid="{D5CDD505-2E9C-101B-9397-08002B2CF9AE}" pid="4" name="WTOCLASSIFICATION">
    <vt:lpwstr>WTO OFFICIAL</vt:lpwstr>
  </property>
</Properties>
</file>