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526" w14:textId="2925BA18" w:rsidR="00444691" w:rsidRDefault="00444691" w:rsidP="005A08A6">
      <w:pPr>
        <w:pStyle w:val="Title"/>
        <w:rPr>
          <w:rFonts w:eastAsia="PMingLiU"/>
          <w:caps w:val="0"/>
          <w:kern w:val="0"/>
        </w:rPr>
      </w:pPr>
      <w:r>
        <w:rPr>
          <w:rFonts w:eastAsia="PMingLiU"/>
          <w:caps w:val="0"/>
          <w:kern w:val="0"/>
        </w:rPr>
        <w:t xml:space="preserve">THRESHOLDS IN APPENDIX I </w:t>
      </w:r>
      <w:r w:rsidR="00E919A0">
        <w:rPr>
          <w:rFonts w:eastAsia="PMingLiU"/>
          <w:caps w:val="0"/>
          <w:kern w:val="0"/>
        </w:rPr>
        <w:t>TO</w:t>
      </w:r>
      <w:r>
        <w:rPr>
          <w:rFonts w:eastAsia="PMingLiU"/>
          <w:caps w:val="0"/>
          <w:kern w:val="0"/>
        </w:rPr>
        <w:t xml:space="preserve"> THE </w:t>
      </w:r>
      <w:r w:rsidR="00E919A0">
        <w:rPr>
          <w:rFonts w:eastAsia="PMingLiU"/>
          <w:caps w:val="0"/>
          <w:kern w:val="0"/>
        </w:rPr>
        <w:t xml:space="preserve">AGREEMENT ON </w:t>
      </w:r>
      <w:r w:rsidR="00E919A0">
        <w:rPr>
          <w:rFonts w:eastAsia="PMingLiU"/>
          <w:caps w:val="0"/>
          <w:kern w:val="0"/>
        </w:rPr>
        <w:br/>
        <w:t>GOVERNMENT PROCUREMENT</w:t>
      </w:r>
      <w:r w:rsidR="005A08A6">
        <w:rPr>
          <w:rFonts w:eastAsia="PMingLiU"/>
          <w:caps w:val="0"/>
          <w:kern w:val="0"/>
        </w:rPr>
        <w:t xml:space="preserve"> 2012</w:t>
      </w:r>
      <w:r>
        <w:rPr>
          <w:rFonts w:eastAsia="PMingLiU"/>
          <w:caps w:val="0"/>
          <w:kern w:val="0"/>
        </w:rPr>
        <w:t xml:space="preserve"> AS EXPRESSED </w:t>
      </w:r>
      <w:r w:rsidR="00E919A0">
        <w:rPr>
          <w:rFonts w:eastAsia="PMingLiU"/>
          <w:caps w:val="0"/>
          <w:kern w:val="0"/>
        </w:rPr>
        <w:br/>
      </w:r>
      <w:r>
        <w:rPr>
          <w:rFonts w:eastAsia="PMingLiU"/>
          <w:caps w:val="0"/>
          <w:kern w:val="0"/>
        </w:rPr>
        <w:t>IN NATIONAL CURRENCIES FOR 20</w:t>
      </w:r>
      <w:r>
        <w:rPr>
          <w:rFonts w:eastAsia="PMingLiU" w:hint="eastAsia"/>
          <w:caps w:val="0"/>
          <w:kern w:val="0"/>
        </w:rPr>
        <w:t>22</w:t>
      </w:r>
      <w:r>
        <w:rPr>
          <w:rFonts w:eastAsia="PMingLiU"/>
          <w:caps w:val="0"/>
          <w:kern w:val="0"/>
        </w:rPr>
        <w:t>-20</w:t>
      </w:r>
      <w:r>
        <w:rPr>
          <w:rFonts w:eastAsia="PMingLiU" w:hint="eastAsia"/>
          <w:caps w:val="0"/>
          <w:kern w:val="0"/>
        </w:rPr>
        <w:t>23</w:t>
      </w:r>
    </w:p>
    <w:p w14:paraId="54D02F15" w14:textId="77777777" w:rsidR="00444691" w:rsidRPr="00991FD9" w:rsidRDefault="00444691" w:rsidP="005A08A6">
      <w:pPr>
        <w:pStyle w:val="TitleCountry"/>
      </w:pPr>
      <w:r w:rsidRPr="00991FD9">
        <w:t>Japan</w:t>
      </w:r>
    </w:p>
    <w:p w14:paraId="51AB0F05" w14:textId="6CDA6BA0" w:rsidR="00444691" w:rsidRDefault="00444691" w:rsidP="00444691">
      <w:pPr>
        <w:spacing w:after="240"/>
        <w:rPr>
          <w:rFonts w:eastAsia="Calibri"/>
        </w:rPr>
      </w:pPr>
      <w:r>
        <w:rPr>
          <w:rFonts w:eastAsia="Calibri"/>
        </w:rPr>
        <w:t>Pursuant to the agreed procedures (</w:t>
      </w:r>
      <w:hyperlink r:id="rId7" w:history="1">
        <w:r w:rsidRPr="005A08A6">
          <w:rPr>
            <w:rStyle w:val="Hyperlink"/>
            <w:rFonts w:eastAsia="Calibri"/>
          </w:rPr>
          <w:t>GPA/1</w:t>
        </w:r>
      </w:hyperlink>
      <w:r>
        <w:rPr>
          <w:rFonts w:eastAsia="Calibri"/>
        </w:rPr>
        <w:t>, Annex 3), delegations have been invited to notify their respective threshold values in national currencies.</w:t>
      </w:r>
    </w:p>
    <w:p w14:paraId="3B85F7B2" w14:textId="4EDAA6C9" w:rsidR="00444691" w:rsidRDefault="00444691" w:rsidP="00444691">
      <w:pPr>
        <w:rPr>
          <w:rFonts w:eastAsia="Calibri"/>
        </w:rPr>
      </w:pPr>
      <w:r>
        <w:rPr>
          <w:rFonts w:eastAsia="Calibri" w:hint="eastAsia"/>
        </w:rPr>
        <w:t xml:space="preserve">The information notified by </w:t>
      </w:r>
      <w:r>
        <w:rPr>
          <w:rFonts w:eastAsia="Calibri"/>
        </w:rPr>
        <w:t>Japan</w:t>
      </w:r>
      <w:r>
        <w:rPr>
          <w:rFonts w:eastAsia="Calibri" w:hint="eastAsia"/>
        </w:rPr>
        <w:t xml:space="preserve"> for the period 2022</w:t>
      </w:r>
      <w:r>
        <w:rPr>
          <w:rFonts w:eastAsia="Calibri"/>
        </w:rPr>
        <w:t>-</w:t>
      </w:r>
      <w:r>
        <w:rPr>
          <w:rFonts w:eastAsia="Calibri" w:hint="eastAsia"/>
        </w:rPr>
        <w:t>2023 is reproduced below.</w:t>
      </w:r>
    </w:p>
    <w:p w14:paraId="353D5732" w14:textId="0D46DB67" w:rsidR="00444691" w:rsidRDefault="00444691" w:rsidP="00444691">
      <w:pPr>
        <w:rPr>
          <w:rFonts w:eastAsia="Calibri"/>
        </w:rPr>
      </w:pPr>
    </w:p>
    <w:p w14:paraId="725BC7C5" w14:textId="4D5512E6" w:rsidR="00444691" w:rsidRDefault="00444691" w:rsidP="00444691">
      <w:pPr>
        <w:jc w:val="center"/>
        <w:rPr>
          <w:rFonts w:eastAsia="Calibri"/>
          <w:b/>
        </w:rPr>
      </w:pPr>
      <w:r>
        <w:rPr>
          <w:rFonts w:eastAsia="Calibri"/>
          <w:b/>
        </w:rPr>
        <w:t>_______________</w:t>
      </w:r>
    </w:p>
    <w:p w14:paraId="53C2D805" w14:textId="74E6292E" w:rsidR="00444691" w:rsidRDefault="00444691" w:rsidP="00444691">
      <w:pPr>
        <w:rPr>
          <w:rFonts w:eastAsia="Calibri"/>
        </w:rPr>
      </w:pPr>
    </w:p>
    <w:p w14:paraId="3CC6C318" w14:textId="77777777" w:rsidR="00444691" w:rsidRPr="00444691" w:rsidRDefault="00444691" w:rsidP="00444691">
      <w:pPr>
        <w:rPr>
          <w:rFonts w:eastAsia="Calibri"/>
        </w:rPr>
      </w:pPr>
    </w:p>
    <w:p w14:paraId="0B8B7AB9" w14:textId="3888E18B" w:rsidR="00444691" w:rsidRDefault="00444691" w:rsidP="00444691">
      <w:pPr>
        <w:pStyle w:val="Heading1"/>
        <w:numPr>
          <w:ilvl w:val="0"/>
          <w:numId w:val="17"/>
        </w:numPr>
      </w:pPr>
      <w:r>
        <w:t xml:space="preserve">THRESHOLDS IN APPENDIX I </w:t>
      </w:r>
      <w:r w:rsidR="00E919A0">
        <w:t>TO</w:t>
      </w:r>
      <w:r>
        <w:t xml:space="preserve"> THE GPA</w:t>
      </w:r>
      <w:r w:rsidR="00E919A0">
        <w:t xml:space="preserve"> 2012</w:t>
      </w:r>
      <w:r>
        <w:t xml:space="preserve"> AS EXPRESSED IN NATIONAL CURRENCIES</w:t>
      </w:r>
    </w:p>
    <w:p w14:paraId="00EFBE2A" w14:textId="431F565C" w:rsidR="00444691" w:rsidRDefault="00444691" w:rsidP="005A08A6">
      <w:pPr>
        <w:pStyle w:val="Heading2"/>
        <w:numPr>
          <w:ilvl w:val="1"/>
          <w:numId w:val="17"/>
        </w:numPr>
        <w:spacing w:after="120"/>
      </w:pPr>
      <w:r>
        <w:t>Central Government Entities (Annex</w:t>
      </w:r>
      <w:r w:rsidR="00234BA0">
        <w:t xml:space="preserve"> </w:t>
      </w:r>
      <w:r>
        <w:t>1)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80"/>
        <w:gridCol w:w="3081"/>
        <w:gridCol w:w="3081"/>
      </w:tblGrid>
      <w:tr w:rsidR="00444691" w14:paraId="3CEE78E4" w14:textId="77777777" w:rsidTr="00DF505D">
        <w:tc>
          <w:tcPr>
            <w:tcW w:w="3080" w:type="dxa"/>
            <w:shd w:val="clear" w:color="auto" w:fill="006283"/>
            <w:vAlign w:val="center"/>
          </w:tcPr>
          <w:p w14:paraId="68AE3E19" w14:textId="77777777" w:rsidR="00444691" w:rsidRDefault="00444691" w:rsidP="00C748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atLeast"/>
              <w:jc w:val="left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3081" w:type="dxa"/>
            <w:shd w:val="clear" w:color="auto" w:fill="006283"/>
            <w:vAlign w:val="center"/>
          </w:tcPr>
          <w:p w14:paraId="7F91212A" w14:textId="77777777" w:rsidR="00444691" w:rsidRDefault="00444691" w:rsidP="00C748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atLeast"/>
              <w:jc w:val="center"/>
              <w:rPr>
                <w:rFonts w:eastAsia="Calibri"/>
                <w:b/>
                <w:color w:val="000000"/>
                <w:sz w:val="16"/>
              </w:rPr>
            </w:pPr>
            <w:r>
              <w:rPr>
                <w:rFonts w:eastAsia="Calibri"/>
                <w:b/>
                <w:color w:val="FFFFFF"/>
                <w:sz w:val="16"/>
              </w:rPr>
              <w:t>Threshold Value in Special Drawing Right (SDR)</w:t>
            </w:r>
          </w:p>
        </w:tc>
        <w:tc>
          <w:tcPr>
            <w:tcW w:w="3081" w:type="dxa"/>
            <w:shd w:val="clear" w:color="auto" w:fill="006283"/>
            <w:vAlign w:val="center"/>
          </w:tcPr>
          <w:p w14:paraId="7DB25186" w14:textId="77777777" w:rsidR="00444691" w:rsidRDefault="00444691" w:rsidP="00C748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atLeast"/>
              <w:jc w:val="center"/>
              <w:rPr>
                <w:rFonts w:eastAsia="Calibri"/>
                <w:b/>
                <w:color w:val="000000"/>
                <w:sz w:val="16"/>
              </w:rPr>
            </w:pPr>
            <w:r>
              <w:rPr>
                <w:rFonts w:eastAsia="Calibri"/>
                <w:b/>
                <w:color w:val="FFFFFF"/>
                <w:sz w:val="16"/>
              </w:rPr>
              <w:t xml:space="preserve">Threshold Value in Japanese YEN (JPY) </w:t>
            </w:r>
          </w:p>
        </w:tc>
      </w:tr>
      <w:tr w:rsidR="00444691" w14:paraId="1A75A222" w14:textId="77777777" w:rsidTr="00DF505D">
        <w:tc>
          <w:tcPr>
            <w:tcW w:w="3080" w:type="dxa"/>
            <w:shd w:val="clear" w:color="auto" w:fill="auto"/>
            <w:vAlign w:val="center"/>
          </w:tcPr>
          <w:p w14:paraId="23A09C5F" w14:textId="77777777" w:rsidR="00444691" w:rsidRDefault="00444691" w:rsidP="00C7480C">
            <w:pPr>
              <w:spacing w:line="220" w:lineRule="atLeast"/>
              <w:ind w:left="720" w:hanging="720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Goods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39B9E4F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1</w:t>
            </w:r>
            <w:r>
              <w:rPr>
                <w:rFonts w:eastAsia="Calibri" w:hint="eastAsia"/>
                <w:color w:val="000000"/>
                <w:sz w:val="16"/>
              </w:rPr>
              <w:t>0</w:t>
            </w:r>
            <w:r>
              <w:rPr>
                <w:rFonts w:eastAsia="Calibri"/>
                <w:color w:val="000000"/>
                <w:sz w:val="16"/>
              </w:rPr>
              <w:t>0,000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4152692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1</w:t>
            </w:r>
            <w:r>
              <w:rPr>
                <w:rFonts w:eastAsia="Calibri"/>
                <w:color w:val="000000"/>
                <w:sz w:val="16"/>
              </w:rPr>
              <w:t>5,000,000</w:t>
            </w:r>
          </w:p>
        </w:tc>
      </w:tr>
      <w:tr w:rsidR="00444691" w14:paraId="62B718BD" w14:textId="77777777" w:rsidTr="00DF505D">
        <w:tc>
          <w:tcPr>
            <w:tcW w:w="3080" w:type="dxa"/>
            <w:shd w:val="clear" w:color="auto" w:fill="C9DED4"/>
            <w:vAlign w:val="center"/>
          </w:tcPr>
          <w:p w14:paraId="2DD9A5D4" w14:textId="77777777" w:rsidR="00444691" w:rsidRDefault="00444691" w:rsidP="00C7480C">
            <w:pPr>
              <w:spacing w:line="220" w:lineRule="atLeas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Construction Services</w:t>
            </w:r>
          </w:p>
        </w:tc>
        <w:tc>
          <w:tcPr>
            <w:tcW w:w="3081" w:type="dxa"/>
            <w:shd w:val="clear" w:color="auto" w:fill="C9DED4"/>
            <w:vAlign w:val="center"/>
          </w:tcPr>
          <w:p w14:paraId="11BB87B1" w14:textId="77777777" w:rsidR="00444691" w:rsidRDefault="00444691" w:rsidP="00C7480C">
            <w:pPr>
              <w:tabs>
                <w:tab w:val="right" w:pos="1762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  <w:t>4,500,000</w:t>
            </w:r>
          </w:p>
        </w:tc>
        <w:tc>
          <w:tcPr>
            <w:tcW w:w="3081" w:type="dxa"/>
            <w:shd w:val="clear" w:color="auto" w:fill="C9DED4"/>
            <w:vAlign w:val="center"/>
          </w:tcPr>
          <w:p w14:paraId="62514453" w14:textId="77777777" w:rsidR="00444691" w:rsidRDefault="00444691" w:rsidP="00C7480C">
            <w:pPr>
              <w:tabs>
                <w:tab w:val="right" w:pos="1894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</w:r>
            <w:r>
              <w:rPr>
                <w:rFonts w:eastAsia="Calibri" w:hint="eastAsia"/>
                <w:color w:val="000000"/>
                <w:sz w:val="16"/>
              </w:rPr>
              <w:t>680,000,000</w:t>
            </w:r>
          </w:p>
        </w:tc>
      </w:tr>
      <w:tr w:rsidR="00444691" w14:paraId="24F733CC" w14:textId="77777777" w:rsidTr="00DF505D">
        <w:tc>
          <w:tcPr>
            <w:tcW w:w="3080" w:type="dxa"/>
            <w:shd w:val="clear" w:color="auto" w:fill="auto"/>
            <w:vAlign w:val="center"/>
          </w:tcPr>
          <w:p w14:paraId="253CFCC7" w14:textId="77777777" w:rsidR="00444691" w:rsidRDefault="00444691" w:rsidP="00C7480C">
            <w:pPr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 xml:space="preserve">Architectural, Engineering </w:t>
            </w:r>
            <w:r>
              <w:rPr>
                <w:rFonts w:eastAsia="Calibri" w:hint="eastAsia"/>
                <w:color w:val="000000"/>
                <w:sz w:val="16"/>
              </w:rPr>
              <w:t>and</w:t>
            </w:r>
            <w:r>
              <w:rPr>
                <w:rFonts w:eastAsia="Calibri"/>
                <w:color w:val="000000"/>
                <w:sz w:val="16"/>
              </w:rPr>
              <w:t xml:space="preserve"> Other Technical Services </w:t>
            </w:r>
            <w:r>
              <w:rPr>
                <w:rFonts w:eastAsia="Calibri" w:hint="eastAsia"/>
                <w:color w:val="000000"/>
                <w:sz w:val="16"/>
              </w:rPr>
              <w:t>covered by the Agreement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FBA2A46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450,000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13F479F4" w14:textId="77777777" w:rsidR="00444691" w:rsidRDefault="00444691" w:rsidP="00C7480C">
            <w:pPr>
              <w:tabs>
                <w:tab w:val="right" w:pos="1955"/>
              </w:tabs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68,000,000</w:t>
            </w:r>
          </w:p>
        </w:tc>
      </w:tr>
      <w:tr w:rsidR="00444691" w14:paraId="72494710" w14:textId="77777777" w:rsidTr="00DF505D">
        <w:tc>
          <w:tcPr>
            <w:tcW w:w="3080" w:type="dxa"/>
            <w:shd w:val="clear" w:color="auto" w:fill="C9DED4"/>
            <w:tcMar>
              <w:bottom w:w="28" w:type="dxa"/>
            </w:tcMar>
            <w:vAlign w:val="center"/>
          </w:tcPr>
          <w:p w14:paraId="3A8AEEC1" w14:textId="77777777" w:rsidR="00444691" w:rsidRDefault="00444691" w:rsidP="00C7480C">
            <w:pPr>
              <w:spacing w:line="220" w:lineRule="atLeas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Other services</w:t>
            </w:r>
          </w:p>
        </w:tc>
        <w:tc>
          <w:tcPr>
            <w:tcW w:w="3081" w:type="dxa"/>
            <w:shd w:val="clear" w:color="auto" w:fill="C9DED4"/>
            <w:tcMar>
              <w:bottom w:w="28" w:type="dxa"/>
            </w:tcMar>
            <w:vAlign w:val="center"/>
          </w:tcPr>
          <w:p w14:paraId="7EF62D30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1</w:t>
            </w:r>
            <w:r>
              <w:rPr>
                <w:rFonts w:eastAsia="Calibri" w:hint="eastAsia"/>
                <w:color w:val="000000"/>
                <w:sz w:val="16"/>
              </w:rPr>
              <w:t>0</w:t>
            </w:r>
            <w:r>
              <w:rPr>
                <w:rFonts w:eastAsia="Calibri"/>
                <w:color w:val="000000"/>
                <w:sz w:val="16"/>
              </w:rPr>
              <w:t>0,000</w:t>
            </w:r>
          </w:p>
        </w:tc>
        <w:tc>
          <w:tcPr>
            <w:tcW w:w="3081" w:type="dxa"/>
            <w:shd w:val="clear" w:color="auto" w:fill="C9DED4"/>
            <w:tcMar>
              <w:bottom w:w="28" w:type="dxa"/>
            </w:tcMar>
            <w:vAlign w:val="center"/>
          </w:tcPr>
          <w:p w14:paraId="45308ACA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1</w:t>
            </w:r>
            <w:r>
              <w:rPr>
                <w:rFonts w:eastAsia="Calibri"/>
                <w:color w:val="000000"/>
                <w:sz w:val="16"/>
              </w:rPr>
              <w:t>5,000,000</w:t>
            </w:r>
          </w:p>
        </w:tc>
      </w:tr>
    </w:tbl>
    <w:p w14:paraId="23B57835" w14:textId="77777777" w:rsidR="00444691" w:rsidRDefault="00444691" w:rsidP="003E373B">
      <w:pPr>
        <w:pStyle w:val="Heading2"/>
        <w:spacing w:before="240" w:after="120"/>
      </w:pPr>
      <w:r>
        <w:t>Sub-central Government Entities (Annex 2)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60"/>
        <w:gridCol w:w="3060"/>
        <w:gridCol w:w="3060"/>
      </w:tblGrid>
      <w:tr w:rsidR="00444691" w14:paraId="14FC78C4" w14:textId="77777777" w:rsidTr="00707831">
        <w:trPr>
          <w:trHeight w:val="156"/>
        </w:trPr>
        <w:tc>
          <w:tcPr>
            <w:tcW w:w="3060" w:type="dxa"/>
            <w:shd w:val="clear" w:color="auto" w:fill="006283"/>
            <w:tcMar>
              <w:top w:w="28" w:type="dxa"/>
              <w:bottom w:w="57" w:type="dxa"/>
            </w:tcMar>
            <w:vAlign w:val="center"/>
          </w:tcPr>
          <w:p w14:paraId="03D14A98" w14:textId="77777777" w:rsidR="00444691" w:rsidRDefault="00444691" w:rsidP="00C748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atLeast"/>
              <w:jc w:val="left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3060" w:type="dxa"/>
            <w:shd w:val="clear" w:color="auto" w:fill="006283"/>
            <w:tcMar>
              <w:top w:w="28" w:type="dxa"/>
              <w:bottom w:w="57" w:type="dxa"/>
            </w:tcMar>
            <w:vAlign w:val="center"/>
          </w:tcPr>
          <w:p w14:paraId="0F276BAF" w14:textId="77777777" w:rsidR="00444691" w:rsidRDefault="00444691" w:rsidP="00C748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atLeast"/>
              <w:jc w:val="center"/>
              <w:rPr>
                <w:rFonts w:eastAsia="Calibri"/>
                <w:b/>
                <w:color w:val="000000"/>
                <w:sz w:val="16"/>
              </w:rPr>
            </w:pPr>
            <w:r>
              <w:rPr>
                <w:rFonts w:eastAsia="Calibri"/>
                <w:b/>
                <w:color w:val="FFFFFF"/>
                <w:sz w:val="16"/>
              </w:rPr>
              <w:t>Threshold Value in SDRs</w:t>
            </w:r>
          </w:p>
        </w:tc>
        <w:tc>
          <w:tcPr>
            <w:tcW w:w="3060" w:type="dxa"/>
            <w:shd w:val="clear" w:color="auto" w:fill="006283"/>
            <w:tcMar>
              <w:top w:w="28" w:type="dxa"/>
              <w:bottom w:w="57" w:type="dxa"/>
            </w:tcMar>
            <w:vAlign w:val="center"/>
          </w:tcPr>
          <w:p w14:paraId="765AD078" w14:textId="77777777" w:rsidR="00444691" w:rsidRDefault="00444691" w:rsidP="00C7480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atLeast"/>
              <w:jc w:val="center"/>
              <w:rPr>
                <w:rFonts w:eastAsia="Calibri"/>
                <w:b/>
                <w:color w:val="000000"/>
                <w:sz w:val="16"/>
              </w:rPr>
            </w:pPr>
            <w:r>
              <w:rPr>
                <w:rFonts w:eastAsia="Calibri"/>
                <w:b/>
                <w:color w:val="FFFFFF"/>
                <w:sz w:val="16"/>
              </w:rPr>
              <w:t>Threshold Value in JPY</w:t>
            </w:r>
          </w:p>
        </w:tc>
      </w:tr>
      <w:tr w:rsidR="00444691" w14:paraId="4DF824B9" w14:textId="77777777" w:rsidTr="00DF505D">
        <w:tc>
          <w:tcPr>
            <w:tcW w:w="3060" w:type="dxa"/>
            <w:shd w:val="clear" w:color="auto" w:fill="auto"/>
            <w:vAlign w:val="center"/>
          </w:tcPr>
          <w:p w14:paraId="34B1C3B5" w14:textId="77777777" w:rsidR="00444691" w:rsidRDefault="00444691" w:rsidP="00C7480C">
            <w:pPr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Goods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2ADBBB1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200,000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E062CF8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3</w:t>
            </w:r>
            <w:r>
              <w:rPr>
                <w:rFonts w:eastAsia="Calibri"/>
                <w:color w:val="000000"/>
                <w:sz w:val="16"/>
              </w:rPr>
              <w:t>0,000,000</w:t>
            </w:r>
          </w:p>
        </w:tc>
      </w:tr>
      <w:tr w:rsidR="00444691" w14:paraId="2A3B1C67" w14:textId="77777777" w:rsidTr="00DF505D">
        <w:tc>
          <w:tcPr>
            <w:tcW w:w="3060" w:type="dxa"/>
            <w:shd w:val="clear" w:color="auto" w:fill="C9DED4"/>
            <w:vAlign w:val="center"/>
          </w:tcPr>
          <w:p w14:paraId="43A5A626" w14:textId="77777777" w:rsidR="00444691" w:rsidRDefault="00444691" w:rsidP="00C7480C">
            <w:pPr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Construction Services</w:t>
            </w:r>
          </w:p>
        </w:tc>
        <w:tc>
          <w:tcPr>
            <w:tcW w:w="3060" w:type="dxa"/>
            <w:shd w:val="clear" w:color="auto" w:fill="C9DED4"/>
            <w:vAlign w:val="center"/>
          </w:tcPr>
          <w:p w14:paraId="44E3CA95" w14:textId="77777777" w:rsidR="00444691" w:rsidRDefault="00444691" w:rsidP="00C7480C">
            <w:pPr>
              <w:tabs>
                <w:tab w:val="right" w:pos="1762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  <w:t>15,000,000</w:t>
            </w:r>
          </w:p>
        </w:tc>
        <w:tc>
          <w:tcPr>
            <w:tcW w:w="3060" w:type="dxa"/>
            <w:shd w:val="clear" w:color="auto" w:fill="C9DED4"/>
            <w:vAlign w:val="center"/>
          </w:tcPr>
          <w:p w14:paraId="71DF9A9B" w14:textId="77777777" w:rsidR="00444691" w:rsidRDefault="00444691" w:rsidP="00C7480C">
            <w:pPr>
              <w:tabs>
                <w:tab w:val="right" w:pos="1894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</w:r>
            <w:r>
              <w:rPr>
                <w:rFonts w:eastAsia="Calibri" w:hint="eastAsia"/>
                <w:color w:val="000000"/>
                <w:sz w:val="16"/>
              </w:rPr>
              <w:t>2,280,000,000</w:t>
            </w:r>
          </w:p>
        </w:tc>
      </w:tr>
      <w:tr w:rsidR="00444691" w14:paraId="72577A4F" w14:textId="77777777" w:rsidTr="00DF505D">
        <w:tc>
          <w:tcPr>
            <w:tcW w:w="3060" w:type="dxa"/>
            <w:shd w:val="clear" w:color="auto" w:fill="auto"/>
            <w:vAlign w:val="center"/>
          </w:tcPr>
          <w:p w14:paraId="38BD6B11" w14:textId="77777777" w:rsidR="00444691" w:rsidRDefault="00444691" w:rsidP="00C7480C">
            <w:pPr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 xml:space="preserve">Architectural, Engineering </w:t>
            </w:r>
            <w:r>
              <w:rPr>
                <w:rFonts w:eastAsia="Calibri" w:hint="eastAsia"/>
                <w:color w:val="000000"/>
                <w:sz w:val="16"/>
              </w:rPr>
              <w:t>and</w:t>
            </w:r>
            <w:r>
              <w:rPr>
                <w:rFonts w:eastAsia="Calibri"/>
                <w:color w:val="000000"/>
                <w:sz w:val="16"/>
              </w:rPr>
              <w:t xml:space="preserve"> Other Technical Services </w:t>
            </w:r>
            <w:r>
              <w:rPr>
                <w:rFonts w:eastAsia="Calibri" w:hint="eastAsia"/>
                <w:color w:val="000000"/>
                <w:sz w:val="16"/>
              </w:rPr>
              <w:t>covered by the Agreement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C1483C" w14:textId="77777777" w:rsidR="00444691" w:rsidRDefault="00444691" w:rsidP="00C7480C">
            <w:pPr>
              <w:tabs>
                <w:tab w:val="right" w:pos="1762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  <w:t>1,500,000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2FD1690" w14:textId="77777777" w:rsidR="00444691" w:rsidRDefault="00444691" w:rsidP="00C7480C">
            <w:pPr>
              <w:tabs>
                <w:tab w:val="right" w:pos="1894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</w:r>
            <w:r>
              <w:rPr>
                <w:rFonts w:eastAsia="Calibri" w:hint="eastAsia"/>
                <w:color w:val="000000"/>
                <w:sz w:val="16"/>
              </w:rPr>
              <w:t>220,000,000</w:t>
            </w:r>
          </w:p>
        </w:tc>
      </w:tr>
      <w:tr w:rsidR="00444691" w14:paraId="399CB62B" w14:textId="77777777" w:rsidTr="00DF505D">
        <w:tc>
          <w:tcPr>
            <w:tcW w:w="3060" w:type="dxa"/>
            <w:shd w:val="clear" w:color="auto" w:fill="C9DED4"/>
            <w:tcMar>
              <w:bottom w:w="28" w:type="dxa"/>
            </w:tcMar>
            <w:vAlign w:val="center"/>
          </w:tcPr>
          <w:p w14:paraId="20FC2D66" w14:textId="77777777" w:rsidR="00444691" w:rsidRDefault="00444691" w:rsidP="00C7480C">
            <w:pPr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Other services</w:t>
            </w:r>
          </w:p>
        </w:tc>
        <w:tc>
          <w:tcPr>
            <w:tcW w:w="3060" w:type="dxa"/>
            <w:shd w:val="clear" w:color="auto" w:fill="C9DED4"/>
            <w:tcMar>
              <w:bottom w:w="28" w:type="dxa"/>
            </w:tcMar>
            <w:vAlign w:val="center"/>
          </w:tcPr>
          <w:p w14:paraId="05666FE9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200,000</w:t>
            </w:r>
          </w:p>
        </w:tc>
        <w:tc>
          <w:tcPr>
            <w:tcW w:w="3060" w:type="dxa"/>
            <w:shd w:val="clear" w:color="auto" w:fill="C9DED4"/>
            <w:tcMar>
              <w:bottom w:w="28" w:type="dxa"/>
            </w:tcMar>
            <w:vAlign w:val="center"/>
          </w:tcPr>
          <w:p w14:paraId="45DFE68E" w14:textId="77777777" w:rsidR="00444691" w:rsidRDefault="00444691" w:rsidP="00C7480C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3</w:t>
            </w:r>
            <w:r>
              <w:rPr>
                <w:rFonts w:eastAsia="Calibri"/>
                <w:color w:val="000000"/>
                <w:sz w:val="16"/>
              </w:rPr>
              <w:t>0,000,000</w:t>
            </w:r>
          </w:p>
        </w:tc>
      </w:tr>
    </w:tbl>
    <w:p w14:paraId="727B1CC1" w14:textId="77777777" w:rsidR="00444691" w:rsidRDefault="00444691" w:rsidP="005A08A6">
      <w:pPr>
        <w:pStyle w:val="Heading2"/>
        <w:spacing w:before="240" w:after="120"/>
      </w:pPr>
      <w:r>
        <w:t>Other Entities (Annex 3)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2977"/>
        <w:gridCol w:w="3118"/>
      </w:tblGrid>
      <w:tr w:rsidR="00444691" w14:paraId="214797E7" w14:textId="77777777" w:rsidTr="00707831">
        <w:trPr>
          <w:trHeight w:val="44"/>
        </w:trPr>
        <w:tc>
          <w:tcPr>
            <w:tcW w:w="3085" w:type="dxa"/>
            <w:shd w:val="clear" w:color="auto" w:fill="006283"/>
            <w:tcMar>
              <w:top w:w="28" w:type="dxa"/>
              <w:bottom w:w="57" w:type="dxa"/>
            </w:tcMar>
            <w:vAlign w:val="center"/>
          </w:tcPr>
          <w:p w14:paraId="780B06EE" w14:textId="77777777" w:rsidR="00444691" w:rsidRDefault="00444691" w:rsidP="005A08A6">
            <w:pPr>
              <w:spacing w:line="220" w:lineRule="atLeast"/>
              <w:jc w:val="left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006283"/>
            <w:tcMar>
              <w:top w:w="28" w:type="dxa"/>
              <w:bottom w:w="57" w:type="dxa"/>
            </w:tcMar>
            <w:vAlign w:val="center"/>
          </w:tcPr>
          <w:p w14:paraId="5A15CB2D" w14:textId="77777777" w:rsidR="00444691" w:rsidRDefault="00444691" w:rsidP="005A08A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atLeast"/>
              <w:jc w:val="center"/>
              <w:rPr>
                <w:rFonts w:eastAsia="Calibri"/>
                <w:b/>
                <w:color w:val="000000"/>
                <w:sz w:val="16"/>
              </w:rPr>
            </w:pPr>
            <w:r>
              <w:rPr>
                <w:rFonts w:eastAsia="Calibri"/>
                <w:b/>
                <w:color w:val="FFFFFF"/>
                <w:sz w:val="16"/>
              </w:rPr>
              <w:t>Threshold Value in SDRs</w:t>
            </w:r>
            <w:r>
              <w:rPr>
                <w:rFonts w:eastAsia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118" w:type="dxa"/>
            <w:shd w:val="clear" w:color="auto" w:fill="006283"/>
            <w:tcMar>
              <w:top w:w="28" w:type="dxa"/>
              <w:bottom w:w="57" w:type="dxa"/>
            </w:tcMar>
            <w:vAlign w:val="center"/>
          </w:tcPr>
          <w:p w14:paraId="11205AC9" w14:textId="77777777" w:rsidR="00444691" w:rsidRDefault="00444691" w:rsidP="005A08A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atLeast"/>
              <w:jc w:val="center"/>
              <w:rPr>
                <w:rFonts w:eastAsia="Calibri"/>
                <w:b/>
                <w:color w:val="000000"/>
                <w:sz w:val="16"/>
              </w:rPr>
            </w:pPr>
            <w:r>
              <w:rPr>
                <w:rFonts w:eastAsia="Calibri"/>
                <w:b/>
                <w:color w:val="FFFFFF"/>
                <w:sz w:val="16"/>
              </w:rPr>
              <w:t>Threshold Value in JPY</w:t>
            </w:r>
          </w:p>
        </w:tc>
      </w:tr>
      <w:tr w:rsidR="00444691" w14:paraId="7E2077F3" w14:textId="77777777" w:rsidTr="00DF505D">
        <w:tc>
          <w:tcPr>
            <w:tcW w:w="3085" w:type="dxa"/>
            <w:shd w:val="clear" w:color="auto" w:fill="auto"/>
            <w:vAlign w:val="center"/>
          </w:tcPr>
          <w:p w14:paraId="529B4C50" w14:textId="77777777" w:rsidR="00444691" w:rsidRDefault="00444691" w:rsidP="005A08A6">
            <w:pPr>
              <w:spacing w:line="220" w:lineRule="atLeast"/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Goods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B7946" w14:textId="77777777" w:rsidR="00444691" w:rsidRDefault="00444691" w:rsidP="005A08A6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130,000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F82E99" w14:textId="77777777" w:rsidR="00444691" w:rsidRDefault="00444691" w:rsidP="005A08A6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19,000,000</w:t>
            </w:r>
          </w:p>
        </w:tc>
      </w:tr>
      <w:tr w:rsidR="00444691" w14:paraId="07169E07" w14:textId="77777777" w:rsidTr="00DF505D">
        <w:tc>
          <w:tcPr>
            <w:tcW w:w="3085" w:type="dxa"/>
            <w:shd w:val="clear" w:color="auto" w:fill="C9DED4"/>
            <w:vAlign w:val="center"/>
          </w:tcPr>
          <w:p w14:paraId="3EA69359" w14:textId="77777777" w:rsidR="00444691" w:rsidRDefault="00444691" w:rsidP="005A08A6">
            <w:pPr>
              <w:rPr>
                <w:rFonts w:eastAsia="Calibri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 xml:space="preserve">Construction Services for </w:t>
            </w:r>
          </w:p>
          <w:p w14:paraId="176F90BB" w14:textId="77777777" w:rsidR="00444691" w:rsidRDefault="00444691" w:rsidP="005A08A6">
            <w:pPr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Japan Post</w:t>
            </w:r>
            <w:r>
              <w:rPr>
                <w:rFonts w:eastAsia="Calibri"/>
                <w:color w:val="000000"/>
                <w:sz w:val="16"/>
              </w:rPr>
              <w:t xml:space="preserve"> in Group A</w:t>
            </w:r>
          </w:p>
        </w:tc>
        <w:tc>
          <w:tcPr>
            <w:tcW w:w="2977" w:type="dxa"/>
            <w:shd w:val="clear" w:color="auto" w:fill="C9DED4"/>
            <w:vAlign w:val="center"/>
          </w:tcPr>
          <w:p w14:paraId="2E100FC8" w14:textId="77777777" w:rsidR="00444691" w:rsidRDefault="00444691" w:rsidP="005A08A6">
            <w:pPr>
              <w:tabs>
                <w:tab w:val="right" w:pos="1701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  <w:t>4,500,000</w:t>
            </w:r>
          </w:p>
        </w:tc>
        <w:tc>
          <w:tcPr>
            <w:tcW w:w="3118" w:type="dxa"/>
            <w:shd w:val="clear" w:color="auto" w:fill="C9DED4"/>
            <w:vAlign w:val="center"/>
          </w:tcPr>
          <w:p w14:paraId="393A27D3" w14:textId="77777777" w:rsidR="00444691" w:rsidRDefault="00444691" w:rsidP="005A08A6">
            <w:pPr>
              <w:tabs>
                <w:tab w:val="right" w:pos="1912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</w:r>
            <w:r>
              <w:rPr>
                <w:rFonts w:eastAsia="Calibri" w:hint="eastAsia"/>
                <w:color w:val="000000"/>
                <w:sz w:val="16"/>
              </w:rPr>
              <w:t>680,000,000</w:t>
            </w:r>
          </w:p>
        </w:tc>
      </w:tr>
      <w:tr w:rsidR="00444691" w14:paraId="207A10A1" w14:textId="77777777" w:rsidTr="00DF505D">
        <w:tc>
          <w:tcPr>
            <w:tcW w:w="3085" w:type="dxa"/>
            <w:shd w:val="clear" w:color="auto" w:fill="auto"/>
            <w:vAlign w:val="center"/>
          </w:tcPr>
          <w:p w14:paraId="09B913E4" w14:textId="77777777" w:rsidR="00444691" w:rsidRDefault="00444691" w:rsidP="005A08A6">
            <w:pPr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 xml:space="preserve">Construction Services for all other </w:t>
            </w:r>
            <w:r>
              <w:rPr>
                <w:rFonts w:eastAsia="Calibri" w:hint="eastAsia"/>
                <w:color w:val="000000"/>
                <w:sz w:val="16"/>
              </w:rPr>
              <w:t xml:space="preserve">Entities </w:t>
            </w:r>
            <w:r>
              <w:rPr>
                <w:rFonts w:eastAsia="Calibri"/>
                <w:color w:val="000000"/>
                <w:sz w:val="16"/>
              </w:rPr>
              <w:t>in Group A</w:t>
            </w:r>
            <w:r>
              <w:rPr>
                <w:rFonts w:eastAsia="Calibri" w:hint="eastAsia"/>
                <w:color w:val="000000"/>
                <w:sz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3CBECA" w14:textId="77777777" w:rsidR="00444691" w:rsidRDefault="00444691" w:rsidP="005A08A6">
            <w:pPr>
              <w:tabs>
                <w:tab w:val="right" w:pos="1701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  <w:t>15,000,000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6FFE42" w14:textId="77777777" w:rsidR="00444691" w:rsidRDefault="00444691" w:rsidP="005A08A6">
            <w:pPr>
              <w:tabs>
                <w:tab w:val="right" w:pos="1912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</w:r>
            <w:r>
              <w:rPr>
                <w:rFonts w:eastAsia="Calibri" w:hint="eastAsia"/>
                <w:color w:val="000000"/>
                <w:sz w:val="16"/>
              </w:rPr>
              <w:t>2,280,000,000</w:t>
            </w:r>
          </w:p>
        </w:tc>
      </w:tr>
      <w:tr w:rsidR="00444691" w14:paraId="238A5F6E" w14:textId="77777777" w:rsidTr="00DF505D">
        <w:tc>
          <w:tcPr>
            <w:tcW w:w="3085" w:type="dxa"/>
            <w:shd w:val="clear" w:color="auto" w:fill="C9DED4"/>
            <w:vAlign w:val="center"/>
          </w:tcPr>
          <w:p w14:paraId="05DCC47D" w14:textId="77777777" w:rsidR="00444691" w:rsidRDefault="00444691" w:rsidP="005A08A6">
            <w:pPr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 xml:space="preserve">Construction Services for </w:t>
            </w:r>
            <w:r>
              <w:rPr>
                <w:rFonts w:eastAsia="Calibri" w:hint="eastAsia"/>
                <w:color w:val="000000"/>
                <w:sz w:val="16"/>
              </w:rPr>
              <w:t>E</w:t>
            </w:r>
            <w:r>
              <w:rPr>
                <w:rFonts w:eastAsia="Calibri"/>
                <w:color w:val="000000"/>
                <w:sz w:val="16"/>
              </w:rPr>
              <w:t>ntities in Group B</w:t>
            </w:r>
          </w:p>
        </w:tc>
        <w:tc>
          <w:tcPr>
            <w:tcW w:w="2977" w:type="dxa"/>
            <w:shd w:val="clear" w:color="auto" w:fill="C9DED4"/>
            <w:vAlign w:val="center"/>
          </w:tcPr>
          <w:p w14:paraId="016A9447" w14:textId="77777777" w:rsidR="00444691" w:rsidRDefault="00444691" w:rsidP="005A08A6">
            <w:pPr>
              <w:tabs>
                <w:tab w:val="right" w:pos="1701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  <w:t>4,500,000</w:t>
            </w:r>
          </w:p>
        </w:tc>
        <w:tc>
          <w:tcPr>
            <w:tcW w:w="3118" w:type="dxa"/>
            <w:shd w:val="clear" w:color="auto" w:fill="C9DED4"/>
            <w:vAlign w:val="center"/>
          </w:tcPr>
          <w:p w14:paraId="70C7295A" w14:textId="77777777" w:rsidR="00444691" w:rsidRDefault="00444691" w:rsidP="005A08A6">
            <w:pPr>
              <w:tabs>
                <w:tab w:val="right" w:pos="1912"/>
              </w:tabs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ab/>
            </w:r>
            <w:r>
              <w:rPr>
                <w:rFonts w:eastAsia="Calibri" w:hint="eastAsia"/>
                <w:color w:val="000000"/>
                <w:sz w:val="16"/>
              </w:rPr>
              <w:t>680,000,000</w:t>
            </w:r>
          </w:p>
        </w:tc>
      </w:tr>
      <w:tr w:rsidR="00444691" w14:paraId="329E4186" w14:textId="77777777" w:rsidTr="00DF505D">
        <w:tc>
          <w:tcPr>
            <w:tcW w:w="3085" w:type="dxa"/>
            <w:shd w:val="clear" w:color="auto" w:fill="auto"/>
            <w:vAlign w:val="center"/>
          </w:tcPr>
          <w:p w14:paraId="0E7BB609" w14:textId="77777777" w:rsidR="00444691" w:rsidRDefault="00444691" w:rsidP="005A08A6">
            <w:pPr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 xml:space="preserve">Architectural, Engineering </w:t>
            </w:r>
            <w:r>
              <w:rPr>
                <w:rFonts w:eastAsia="Calibri" w:hint="eastAsia"/>
                <w:color w:val="000000"/>
                <w:sz w:val="16"/>
              </w:rPr>
              <w:t>and</w:t>
            </w:r>
            <w:r>
              <w:rPr>
                <w:rFonts w:eastAsia="Calibri"/>
                <w:color w:val="000000"/>
                <w:sz w:val="16"/>
              </w:rPr>
              <w:t xml:space="preserve"> Other Technical Services </w:t>
            </w:r>
            <w:r>
              <w:rPr>
                <w:rFonts w:eastAsia="Calibri" w:hint="eastAsia"/>
                <w:color w:val="000000"/>
                <w:sz w:val="16"/>
              </w:rPr>
              <w:t>covered by the Agreement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033E27" w14:textId="77777777" w:rsidR="00444691" w:rsidRDefault="00444691" w:rsidP="005A08A6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450,000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743191" w14:textId="77777777" w:rsidR="00444691" w:rsidRDefault="00444691" w:rsidP="005A08A6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 w:hint="eastAsia"/>
                <w:color w:val="000000"/>
                <w:sz w:val="16"/>
              </w:rPr>
              <w:t>68,000,000</w:t>
            </w:r>
          </w:p>
        </w:tc>
      </w:tr>
      <w:tr w:rsidR="00444691" w14:paraId="711C8CA4" w14:textId="77777777" w:rsidTr="00DF505D">
        <w:tc>
          <w:tcPr>
            <w:tcW w:w="3085" w:type="dxa"/>
            <w:shd w:val="clear" w:color="auto" w:fill="C9DED4"/>
            <w:tcMar>
              <w:bottom w:w="28" w:type="dxa"/>
            </w:tcMar>
            <w:vAlign w:val="center"/>
          </w:tcPr>
          <w:p w14:paraId="7C446DD8" w14:textId="77777777" w:rsidR="00444691" w:rsidRDefault="00444691" w:rsidP="005A08A6">
            <w:pPr>
              <w:jc w:val="left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Other services</w:t>
            </w:r>
          </w:p>
        </w:tc>
        <w:tc>
          <w:tcPr>
            <w:tcW w:w="2977" w:type="dxa"/>
            <w:shd w:val="clear" w:color="auto" w:fill="C9DED4"/>
            <w:tcMar>
              <w:bottom w:w="28" w:type="dxa"/>
            </w:tcMar>
            <w:vAlign w:val="center"/>
          </w:tcPr>
          <w:p w14:paraId="6836F233" w14:textId="77777777" w:rsidR="00444691" w:rsidRDefault="00444691" w:rsidP="005A08A6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130,000</w:t>
            </w:r>
          </w:p>
        </w:tc>
        <w:tc>
          <w:tcPr>
            <w:tcW w:w="3118" w:type="dxa"/>
            <w:shd w:val="clear" w:color="auto" w:fill="C9DED4"/>
            <w:tcMar>
              <w:bottom w:w="28" w:type="dxa"/>
            </w:tcMar>
            <w:vAlign w:val="center"/>
          </w:tcPr>
          <w:p w14:paraId="1EF67CC0" w14:textId="77777777" w:rsidR="00444691" w:rsidRDefault="00444691" w:rsidP="005A08A6">
            <w:pPr>
              <w:jc w:val="center"/>
              <w:rPr>
                <w:rFonts w:eastAsia="Calibri"/>
                <w:color w:val="000000"/>
                <w:sz w:val="16"/>
              </w:rPr>
            </w:pPr>
            <w:r>
              <w:rPr>
                <w:rFonts w:eastAsia="Calibri"/>
                <w:color w:val="000000"/>
                <w:sz w:val="16"/>
              </w:rPr>
              <w:t>19,000,000</w:t>
            </w:r>
          </w:p>
        </w:tc>
      </w:tr>
    </w:tbl>
    <w:p w14:paraId="27F55F06" w14:textId="77777777" w:rsidR="00444691" w:rsidRDefault="00444691" w:rsidP="003E373B">
      <w:pPr>
        <w:pStyle w:val="Heading1"/>
      </w:pPr>
      <w:r>
        <w:lastRenderedPageBreak/>
        <w:t>PERIOD OF VALIDITY FOR THE THRESHOLD</w:t>
      </w:r>
    </w:p>
    <w:p w14:paraId="0B4B3203" w14:textId="77777777" w:rsidR="00444691" w:rsidRDefault="00444691" w:rsidP="005A08A6">
      <w:pPr>
        <w:keepNext/>
        <w:keepLines/>
        <w:spacing w:after="240"/>
        <w:rPr>
          <w:rFonts w:eastAsia="Calibri"/>
        </w:rPr>
      </w:pPr>
      <w:r>
        <w:rPr>
          <w:rFonts w:eastAsia="Calibri"/>
        </w:rPr>
        <w:t>The threshold levels provided above will apply to the period</w:t>
      </w:r>
      <w:r>
        <w:rPr>
          <w:rFonts w:eastAsia="Calibri" w:hint="eastAsia"/>
        </w:rPr>
        <w:t xml:space="preserve"> starting on</w:t>
      </w: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1 April </w:t>
      </w:r>
      <w:r>
        <w:rPr>
          <w:rFonts w:eastAsia="Calibri" w:hint="eastAsia"/>
          <w:color w:val="000000"/>
        </w:rPr>
        <w:t>2022</w:t>
      </w:r>
      <w:r>
        <w:rPr>
          <w:rFonts w:eastAsia="Calibri"/>
          <w:color w:val="000000"/>
        </w:rPr>
        <w:t xml:space="preserve"> (the beginning of the fiscal year for </w:t>
      </w:r>
      <w:r>
        <w:rPr>
          <w:rFonts w:eastAsia="Calibri" w:hint="eastAsia"/>
          <w:color w:val="000000"/>
        </w:rPr>
        <w:t>20</w:t>
      </w:r>
      <w:r>
        <w:rPr>
          <w:rFonts w:eastAsia="Calibri"/>
          <w:color w:val="000000"/>
        </w:rPr>
        <w:t xml:space="preserve">22) </w:t>
      </w:r>
      <w:r>
        <w:rPr>
          <w:rFonts w:eastAsia="Calibri" w:hint="eastAsia"/>
          <w:color w:val="000000"/>
        </w:rPr>
        <w:t>and ending on</w:t>
      </w:r>
      <w:r>
        <w:rPr>
          <w:rFonts w:eastAsia="Calibri"/>
          <w:color w:val="000000"/>
        </w:rPr>
        <w:t xml:space="preserve"> 31 March </w:t>
      </w:r>
      <w:r>
        <w:rPr>
          <w:rFonts w:eastAsia="Calibri" w:hint="eastAsia"/>
          <w:color w:val="000000"/>
        </w:rPr>
        <w:t>2024</w:t>
      </w:r>
      <w:r>
        <w:rPr>
          <w:rFonts w:eastAsia="Calibri"/>
          <w:color w:val="000000"/>
        </w:rPr>
        <w:t xml:space="preserve"> (the end of the fiscal year for </w:t>
      </w:r>
      <w:r>
        <w:rPr>
          <w:rFonts w:eastAsia="Calibri" w:hint="eastAsia"/>
          <w:color w:val="000000"/>
        </w:rPr>
        <w:t>2023</w:t>
      </w:r>
      <w:r>
        <w:rPr>
          <w:rFonts w:eastAsia="Calibri"/>
          <w:color w:val="000000"/>
        </w:rPr>
        <w:t>).</w:t>
      </w:r>
    </w:p>
    <w:p w14:paraId="15B1F79F" w14:textId="77777777" w:rsidR="00444691" w:rsidRDefault="00444691" w:rsidP="003E373B">
      <w:pPr>
        <w:pStyle w:val="Heading1"/>
      </w:pPr>
      <w:r>
        <w:t>METHOD OF CALCULATION</w:t>
      </w:r>
    </w:p>
    <w:p w14:paraId="677554AB" w14:textId="4836C136" w:rsidR="00444691" w:rsidRDefault="00444691" w:rsidP="005A08A6">
      <w:pPr>
        <w:rPr>
          <w:rFonts w:eastAsia="Calibri"/>
        </w:rPr>
      </w:pPr>
      <w:r>
        <w:rPr>
          <w:rFonts w:eastAsia="Calibri"/>
        </w:rPr>
        <w:t xml:space="preserve">The calculation of the thresholds </w:t>
      </w:r>
      <w:r>
        <w:rPr>
          <w:rFonts w:eastAsia="Calibri" w:hint="eastAsia"/>
        </w:rPr>
        <w:t xml:space="preserve">in national currencies </w:t>
      </w:r>
      <w:r>
        <w:rPr>
          <w:rFonts w:eastAsia="Calibri"/>
        </w:rPr>
        <w:t xml:space="preserve">is based on the daily </w:t>
      </w:r>
      <w:r>
        <w:rPr>
          <w:rFonts w:eastAsia="Calibri" w:hint="eastAsia"/>
        </w:rPr>
        <w:t xml:space="preserve">average </w:t>
      </w:r>
      <w:r>
        <w:rPr>
          <w:rFonts w:eastAsia="Calibri"/>
        </w:rPr>
        <w:t xml:space="preserve">exchange rates of </w:t>
      </w:r>
      <w:r>
        <w:rPr>
          <w:rFonts w:eastAsia="Calibri" w:hint="eastAsia"/>
        </w:rPr>
        <w:t xml:space="preserve">Japanese YEN </w:t>
      </w:r>
      <w:r>
        <w:rPr>
          <w:rFonts w:eastAsia="Calibri"/>
        </w:rPr>
        <w:t xml:space="preserve">(JPY) in terms of the Special Drawing Right (SDR) over the two-year period </w:t>
      </w:r>
      <w:r>
        <w:rPr>
          <w:rFonts w:eastAsia="Calibri" w:hint="eastAsia"/>
        </w:rPr>
        <w:t>from</w:t>
      </w:r>
      <w:r>
        <w:rPr>
          <w:rFonts w:eastAsia="Calibri"/>
        </w:rPr>
        <w:t xml:space="preserve"> January </w:t>
      </w:r>
      <w:r>
        <w:rPr>
          <w:rFonts w:eastAsia="Calibri" w:hint="eastAsia"/>
        </w:rPr>
        <w:t>2020</w:t>
      </w:r>
      <w:r>
        <w:rPr>
          <w:rFonts w:eastAsia="Calibri"/>
        </w:rPr>
        <w:t xml:space="preserve"> to December </w:t>
      </w:r>
      <w:r>
        <w:rPr>
          <w:rFonts w:eastAsia="Calibri" w:hint="eastAsia"/>
        </w:rPr>
        <w:t>2021</w:t>
      </w:r>
      <w:r>
        <w:rPr>
          <w:rFonts w:eastAsia="Calibri"/>
        </w:rPr>
        <w:t xml:space="preserve"> (SDR</w:t>
      </w:r>
      <w:r w:rsidR="00234BA0">
        <w:rPr>
          <w:rFonts w:eastAsia="Calibri"/>
        </w:rPr>
        <w:t xml:space="preserve"> </w:t>
      </w:r>
      <w:r>
        <w:rPr>
          <w:rFonts w:eastAsia="Calibri"/>
        </w:rPr>
        <w:t>1</w:t>
      </w:r>
      <w:r w:rsidR="00234BA0">
        <w:rPr>
          <w:rFonts w:eastAsia="Calibri"/>
        </w:rPr>
        <w:t xml:space="preserve"> </w:t>
      </w:r>
      <w:r>
        <w:rPr>
          <w:rFonts w:eastAsia="Calibri"/>
        </w:rPr>
        <w:t>=</w:t>
      </w:r>
      <w:r w:rsidR="00234BA0">
        <w:rPr>
          <w:rFonts w:eastAsia="Calibri"/>
        </w:rPr>
        <w:t xml:space="preserve"> </w:t>
      </w:r>
      <w:r>
        <w:rPr>
          <w:rFonts w:eastAsia="Calibri"/>
        </w:rPr>
        <w:t>JPY</w:t>
      </w:r>
      <w:r w:rsidR="00234BA0">
        <w:rPr>
          <w:rFonts w:eastAsia="Calibri"/>
        </w:rPr>
        <w:t xml:space="preserve"> </w:t>
      </w:r>
      <w:r>
        <w:rPr>
          <w:rFonts w:eastAsia="Calibri" w:hint="eastAsia"/>
        </w:rPr>
        <w:t>152.523</w:t>
      </w:r>
      <w:r>
        <w:rPr>
          <w:rFonts w:eastAsia="Calibri"/>
        </w:rPr>
        <w:t>).</w:t>
      </w:r>
    </w:p>
    <w:p w14:paraId="342AE45E" w14:textId="6C87C136" w:rsidR="00444691" w:rsidRDefault="00444691" w:rsidP="00444691"/>
    <w:p w14:paraId="2F0C375E" w14:textId="02B4E9A5" w:rsidR="00444691" w:rsidRPr="00444691" w:rsidRDefault="00444691" w:rsidP="00444691">
      <w:pPr>
        <w:jc w:val="center"/>
      </w:pPr>
      <w:r>
        <w:rPr>
          <w:b/>
        </w:rPr>
        <w:t>__________</w:t>
      </w:r>
    </w:p>
    <w:sectPr w:rsidR="00444691" w:rsidRPr="00444691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0614" w14:textId="77777777" w:rsidR="00444691" w:rsidRDefault="00444691" w:rsidP="00ED54E0">
      <w:r>
        <w:separator/>
      </w:r>
    </w:p>
  </w:endnote>
  <w:endnote w:type="continuationSeparator" w:id="0">
    <w:p w14:paraId="3DBA6772" w14:textId="77777777" w:rsidR="00444691" w:rsidRDefault="0044469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18AF" w14:textId="77777777" w:rsidR="00544326" w:rsidRPr="00444691" w:rsidRDefault="00444691" w:rsidP="004446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9CAE" w14:textId="77777777" w:rsidR="00544326" w:rsidRPr="00444691" w:rsidRDefault="00444691" w:rsidP="004446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F8BF" w14:textId="77777777" w:rsidR="00887B53" w:rsidRDefault="0088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875B" w14:textId="77777777" w:rsidR="00444691" w:rsidRDefault="00444691" w:rsidP="00ED54E0">
      <w:r>
        <w:separator/>
      </w:r>
    </w:p>
  </w:footnote>
  <w:footnote w:type="continuationSeparator" w:id="0">
    <w:p w14:paraId="28D430F0" w14:textId="77777777" w:rsidR="00444691" w:rsidRDefault="0044469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F8C0" w14:textId="77777777" w:rsidR="00444691" w:rsidRPr="00444691" w:rsidRDefault="00444691" w:rsidP="00444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691">
      <w:t>GPA/THR/JPN/3</w:t>
    </w:r>
  </w:p>
  <w:p w14:paraId="28BAB3B2" w14:textId="77777777" w:rsidR="00444691" w:rsidRPr="00444691" w:rsidRDefault="00444691" w:rsidP="00444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8C7441" w14:textId="77777777" w:rsidR="00444691" w:rsidRPr="00444691" w:rsidRDefault="00444691" w:rsidP="00444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691">
      <w:t xml:space="preserve">- </w:t>
    </w:r>
    <w:r w:rsidRPr="00444691">
      <w:fldChar w:fldCharType="begin"/>
    </w:r>
    <w:r w:rsidRPr="00444691">
      <w:instrText xml:space="preserve"> PAGE </w:instrText>
    </w:r>
    <w:r w:rsidRPr="00444691">
      <w:fldChar w:fldCharType="separate"/>
    </w:r>
    <w:r w:rsidRPr="00444691">
      <w:rPr>
        <w:noProof/>
      </w:rPr>
      <w:t>1</w:t>
    </w:r>
    <w:r w:rsidRPr="00444691">
      <w:fldChar w:fldCharType="end"/>
    </w:r>
    <w:r w:rsidRPr="00444691">
      <w:t xml:space="preserve"> -</w:t>
    </w:r>
  </w:p>
  <w:p w14:paraId="3054AB1F" w14:textId="77777777" w:rsidR="00544326" w:rsidRPr="00444691" w:rsidRDefault="00544326" w:rsidP="004446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32CA" w14:textId="77777777" w:rsidR="00444691" w:rsidRPr="00444691" w:rsidRDefault="00444691" w:rsidP="00444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691">
      <w:t>GPA/THR/JPN/3</w:t>
    </w:r>
  </w:p>
  <w:p w14:paraId="1BE738AA" w14:textId="77777777" w:rsidR="00444691" w:rsidRPr="00444691" w:rsidRDefault="00444691" w:rsidP="00444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759DF7" w14:textId="77777777" w:rsidR="00444691" w:rsidRPr="00444691" w:rsidRDefault="00444691" w:rsidP="00444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691">
      <w:t xml:space="preserve">- </w:t>
    </w:r>
    <w:r w:rsidRPr="00444691">
      <w:fldChar w:fldCharType="begin"/>
    </w:r>
    <w:r w:rsidRPr="00444691">
      <w:instrText xml:space="preserve"> PAGE </w:instrText>
    </w:r>
    <w:r w:rsidRPr="00444691">
      <w:fldChar w:fldCharType="separate"/>
    </w:r>
    <w:r w:rsidRPr="00444691">
      <w:rPr>
        <w:noProof/>
      </w:rPr>
      <w:t>1</w:t>
    </w:r>
    <w:r w:rsidRPr="00444691">
      <w:fldChar w:fldCharType="end"/>
    </w:r>
    <w:r w:rsidRPr="00444691">
      <w:t xml:space="preserve"> -</w:t>
    </w:r>
  </w:p>
  <w:p w14:paraId="0B39B5CB" w14:textId="77777777" w:rsidR="00544326" w:rsidRPr="00444691" w:rsidRDefault="00544326" w:rsidP="004446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A8B57A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E687F3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FA6897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0"/>
    <w:tr w:rsidR="00ED54E0" w:rsidRPr="00182B84" w14:paraId="2174BBB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AF5434" w14:textId="77777777" w:rsidR="00ED54E0" w:rsidRPr="00182B84" w:rsidRDefault="00ED54E0" w:rsidP="00425DC5">
          <w:pPr>
            <w:jc w:val="left"/>
          </w:pPr>
          <w:r w:rsidRPr="00182B84">
            <w:rPr>
              <w:noProof/>
            </w:rPr>
            <w:drawing>
              <wp:inline distT="0" distB="0" distL="0" distR="0" wp14:anchorId="1E48A789" wp14:editId="644FE891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3E05E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1377C6D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533F9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BC50D7" w14:textId="77777777" w:rsidR="00444691" w:rsidRDefault="00444691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GPA/THR/JPN/3</w:t>
          </w:r>
        </w:p>
        <w:bookmarkEnd w:id="1"/>
        <w:p w14:paraId="5D7603A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6DA823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13C20D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08636A" w14:textId="7EB079CB" w:rsidR="00ED54E0" w:rsidRPr="00182B84" w:rsidRDefault="00F4665C" w:rsidP="00425DC5">
          <w:pPr>
            <w:jc w:val="right"/>
            <w:rPr>
              <w:szCs w:val="16"/>
            </w:rPr>
          </w:pPr>
          <w:r>
            <w:rPr>
              <w:szCs w:val="16"/>
            </w:rPr>
            <w:t xml:space="preserve">1 </w:t>
          </w:r>
          <w:r w:rsidR="001B62B1">
            <w:rPr>
              <w:szCs w:val="16"/>
            </w:rPr>
            <w:t>February</w:t>
          </w:r>
          <w:r w:rsidR="00444691">
            <w:rPr>
              <w:szCs w:val="16"/>
            </w:rPr>
            <w:t xml:space="preserve"> 2022</w:t>
          </w:r>
        </w:p>
      </w:tc>
    </w:tr>
    <w:tr w:rsidR="00ED54E0" w:rsidRPr="00182B84" w14:paraId="3F5DBF53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C183D7" w14:textId="36CF840D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3E373B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-0</w:t>
          </w:r>
          <w:r w:rsidR="00887B53">
            <w:rPr>
              <w:color w:val="FF0000"/>
              <w:szCs w:val="16"/>
            </w:rPr>
            <w:t>786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EBBA7B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1CF7769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81A74D" w14:textId="77777777" w:rsidR="00ED54E0" w:rsidRPr="00182B84" w:rsidRDefault="00444691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BE7C7" w14:textId="77777777" w:rsidR="00ED54E0" w:rsidRPr="00182B84" w:rsidRDefault="00444691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5C8E3D26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4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1" w15:restartNumberingAfterBreak="0">
    <w:nsid w:val="00000007"/>
    <w:multiLevelType w:val="singleLevel"/>
    <w:tmpl w:val="04104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4628F98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91"/>
    <w:rsid w:val="000272F6"/>
    <w:rsid w:val="00037AC4"/>
    <w:rsid w:val="000423BF"/>
    <w:rsid w:val="000A4945"/>
    <w:rsid w:val="000B31E1"/>
    <w:rsid w:val="0011356B"/>
    <w:rsid w:val="0013337F"/>
    <w:rsid w:val="00182B84"/>
    <w:rsid w:val="001B62B1"/>
    <w:rsid w:val="001E291F"/>
    <w:rsid w:val="00233408"/>
    <w:rsid w:val="00234BA0"/>
    <w:rsid w:val="0027067B"/>
    <w:rsid w:val="003156C6"/>
    <w:rsid w:val="003572B4"/>
    <w:rsid w:val="003E373B"/>
    <w:rsid w:val="00444691"/>
    <w:rsid w:val="00467032"/>
    <w:rsid w:val="0046754A"/>
    <w:rsid w:val="004804E8"/>
    <w:rsid w:val="004F203A"/>
    <w:rsid w:val="005336B8"/>
    <w:rsid w:val="00544326"/>
    <w:rsid w:val="00547B5F"/>
    <w:rsid w:val="005A08A6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0783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77E6C"/>
    <w:rsid w:val="00887B53"/>
    <w:rsid w:val="00893E85"/>
    <w:rsid w:val="008E372C"/>
    <w:rsid w:val="00991FD9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505D"/>
    <w:rsid w:val="00DF6AE1"/>
    <w:rsid w:val="00E46FD5"/>
    <w:rsid w:val="00E544BB"/>
    <w:rsid w:val="00E56545"/>
    <w:rsid w:val="00E919A0"/>
    <w:rsid w:val="00EA5D4F"/>
    <w:rsid w:val="00EB6C56"/>
    <w:rsid w:val="00ED1D47"/>
    <w:rsid w:val="00ED54E0"/>
    <w:rsid w:val="00F04A9D"/>
    <w:rsid w:val="00F1136A"/>
    <w:rsid w:val="00F32397"/>
    <w:rsid w:val="00F40595"/>
    <w:rsid w:val="00F4665C"/>
    <w:rsid w:val="00FA5EBC"/>
    <w:rsid w:val="00FD224A"/>
    <w:rsid w:val="00FE5F9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0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91"/>
    <w:pPr>
      <w:spacing w:after="0" w:line="240" w:lineRule="auto"/>
      <w:jc w:val="both"/>
    </w:pPr>
    <w:rPr>
      <w:rFonts w:ascii="Verdana" w:eastAsiaTheme="minorEastAsia" w:hAnsi="Verdana" w:cs="Times New Roman"/>
      <w:sz w:val="18"/>
      <w:szCs w:val="20"/>
      <w:lang w:val="en-US" w:eastAsia="ja-JP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DataSource=Cat&amp;query=@Symbol=%22GPA/1%22%20OR%20@Symbol=%22GPA/1/*%22&amp;Language=English&amp;Context=ScriptedSearches&amp;languageUIChanged=tru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85</TotalTime>
  <Pages>2</Pages>
  <Words>300</Words>
  <Characters>1762</Characters>
  <Application>Microsoft Office Word</Application>
  <DocSecurity>0</DocSecurity>
  <Lines>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dcterms:created xsi:type="dcterms:W3CDTF">2022-01-28T15:11:00Z</dcterms:created>
  <dcterms:modified xsi:type="dcterms:W3CDTF">2022-02-01T15:39:00Z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9e373987-585d-418b-ae1d-1b75c397f51e</vt:lpwstr>
  </property>
  <property fmtid="{D5CDD505-2E9C-101B-9397-08002B2CF9AE}" pid="3" name="Symbol1">
    <vt:lpwstr>GPA/THR/JPN/3</vt:lpwstr>
  </property>
  <property fmtid="{D5CDD505-2E9C-101B-9397-08002B2CF9AE}" pid="4" name="WTOCLASSIFICATION">
    <vt:lpwstr>WTO OFFICIAL</vt:lpwstr>
  </property>
</Properties>
</file>