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B1A7" w14:textId="0228A8D8" w:rsidR="00FD54AB" w:rsidRDefault="00FD54AB" w:rsidP="00FD54AB">
      <w:pPr>
        <w:pStyle w:val="Title"/>
        <w:spacing w:before="360"/>
        <w:rPr>
          <w:rFonts w:eastAsia="PMingLiU"/>
          <w:caps w:val="0"/>
          <w:kern w:val="0"/>
          <w:lang w:eastAsia="zh-HK"/>
        </w:rPr>
      </w:pPr>
      <w:r>
        <w:rPr>
          <w:rFonts w:eastAsia="PMingLiU"/>
          <w:caps w:val="0"/>
          <w:kern w:val="0"/>
          <w:lang w:eastAsia="zh-HK"/>
        </w:rPr>
        <w:t>THRESHOLDS IN APPENDIX I OF THE GPA 2012, AS EXPRESSED</w:t>
      </w:r>
      <w:r w:rsidR="00437D70">
        <w:rPr>
          <w:rFonts w:eastAsia="PMingLiU"/>
          <w:caps w:val="0"/>
          <w:kern w:val="0"/>
          <w:lang w:eastAsia="zh-HK"/>
        </w:rPr>
        <w:br/>
      </w:r>
      <w:r>
        <w:rPr>
          <w:rFonts w:eastAsia="PMingLiU"/>
          <w:caps w:val="0"/>
          <w:kern w:val="0"/>
          <w:lang w:eastAsia="zh-HK"/>
        </w:rPr>
        <w:t>IN NATIONAL CURRENCIES FOR 2020-2021</w:t>
      </w:r>
    </w:p>
    <w:p w14:paraId="150C8AC5" w14:textId="1735F1FC" w:rsidR="00FD54AB" w:rsidRDefault="00FD54AB" w:rsidP="00FD54AB">
      <w:pPr>
        <w:pStyle w:val="TitleCountry"/>
      </w:pPr>
      <w:r>
        <w:t>Montenegro</w:t>
      </w:r>
    </w:p>
    <w:p w14:paraId="5150569A" w14:textId="77777777" w:rsidR="00FD54AB" w:rsidRDefault="00FD54AB" w:rsidP="00121D5E">
      <w:pPr>
        <w:spacing w:after="240"/>
        <w:rPr>
          <w:lang w:eastAsia="zh-HK"/>
        </w:rPr>
      </w:pPr>
      <w:r>
        <w:rPr>
          <w:lang w:eastAsia="zh-HK"/>
        </w:rPr>
        <w:t>Pursuant to the agreed procedures (GPA/1, Annex 3), delegations have been invited to notify their respective threshold values in national currencies.</w:t>
      </w:r>
    </w:p>
    <w:p w14:paraId="1C903FDC" w14:textId="791A7A6C" w:rsidR="00FD54AB" w:rsidRDefault="00FD54AB" w:rsidP="00FD54AB">
      <w:pPr>
        <w:rPr>
          <w:lang w:eastAsia="zh-HK"/>
        </w:rPr>
      </w:pPr>
      <w:r>
        <w:rPr>
          <w:lang w:eastAsia="zh-HK"/>
        </w:rPr>
        <w:t>The information notified by the Republic of Montenegro for the period 2020-2021 is reproduced below.</w:t>
      </w:r>
    </w:p>
    <w:p w14:paraId="07D785A3" w14:textId="722E7030" w:rsidR="00FD54AB" w:rsidRDefault="00FD54AB" w:rsidP="00FD54AB">
      <w:pPr>
        <w:rPr>
          <w:lang w:eastAsia="zh-HK"/>
        </w:rPr>
      </w:pPr>
    </w:p>
    <w:p w14:paraId="7A92E78E" w14:textId="18DA37D2" w:rsidR="00FD54AB" w:rsidRDefault="00FD54AB" w:rsidP="00FD54AB">
      <w:pPr>
        <w:jc w:val="center"/>
        <w:rPr>
          <w:b/>
          <w:lang w:eastAsia="zh-HK"/>
        </w:rPr>
      </w:pPr>
      <w:r>
        <w:rPr>
          <w:b/>
          <w:lang w:eastAsia="zh-HK"/>
        </w:rPr>
        <w:t>_______________</w:t>
      </w:r>
    </w:p>
    <w:p w14:paraId="069C378D" w14:textId="77777777" w:rsidR="00FD54AB" w:rsidRPr="00FD54AB" w:rsidRDefault="00FD54AB" w:rsidP="00FD54AB">
      <w:pPr>
        <w:rPr>
          <w:lang w:eastAsia="zh-HK"/>
        </w:rPr>
      </w:pPr>
    </w:p>
    <w:p w14:paraId="0B90FDBB" w14:textId="77777777" w:rsidR="00FD54AB" w:rsidRPr="00FD54AB" w:rsidRDefault="00FD54AB" w:rsidP="00FD54AB">
      <w:pPr>
        <w:rPr>
          <w:lang w:eastAsia="en-GB"/>
        </w:rPr>
      </w:pPr>
    </w:p>
    <w:p w14:paraId="4BC36B34" w14:textId="77777777" w:rsidR="00FD54AB" w:rsidRDefault="00FD54AB" w:rsidP="00FD54AB">
      <w:pPr>
        <w:pStyle w:val="Heading1"/>
      </w:pPr>
      <w:r>
        <w:t>THRESHOLDS IN APPENDIX I OF THE GPA, AS EXPRESSED IN NATIONAL CURRENCIES</w:t>
      </w:r>
    </w:p>
    <w:p w14:paraId="22F481B5" w14:textId="77777777" w:rsidR="00FD54AB" w:rsidRDefault="00FD54AB" w:rsidP="00FD54AB">
      <w:pPr>
        <w:pStyle w:val="Heading2"/>
        <w:tabs>
          <w:tab w:val="left" w:pos="4395"/>
        </w:tabs>
      </w:pPr>
      <w:r>
        <w:t>Central Government Entities (Annex 1)</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28" w:type="dxa"/>
          <w:bottom w:w="28" w:type="dxa"/>
        </w:tblCellMar>
        <w:tblLook w:val="04A0" w:firstRow="1" w:lastRow="0" w:firstColumn="1" w:lastColumn="0" w:noHBand="0" w:noVBand="1"/>
      </w:tblPr>
      <w:tblGrid>
        <w:gridCol w:w="2305"/>
        <w:gridCol w:w="3318"/>
        <w:gridCol w:w="3393"/>
      </w:tblGrid>
      <w:tr w:rsidR="00FD54AB" w14:paraId="2BC82EA7" w14:textId="77777777" w:rsidTr="00E67F5E">
        <w:tc>
          <w:tcPr>
            <w:tcW w:w="2305" w:type="dxa"/>
            <w:tcBorders>
              <w:top w:val="single" w:sz="4" w:space="0" w:color="auto"/>
              <w:left w:val="single" w:sz="4" w:space="0" w:color="auto"/>
              <w:bottom w:val="nil"/>
              <w:right w:val="single" w:sz="4" w:space="0" w:color="auto"/>
            </w:tcBorders>
            <w:shd w:val="clear" w:color="auto" w:fill="006283"/>
            <w:vAlign w:val="center"/>
          </w:tcPr>
          <w:p w14:paraId="1920D21A" w14:textId="77777777" w:rsidR="00FD54AB" w:rsidRDefault="00FD54AB" w:rsidP="00536B38">
            <w:pPr>
              <w:rPr>
                <w:sz w:val="16"/>
              </w:rPr>
            </w:pPr>
          </w:p>
        </w:tc>
        <w:tc>
          <w:tcPr>
            <w:tcW w:w="3318" w:type="dxa"/>
            <w:tcBorders>
              <w:top w:val="single" w:sz="4" w:space="0" w:color="auto"/>
              <w:left w:val="single" w:sz="4" w:space="0" w:color="auto"/>
              <w:bottom w:val="nil"/>
              <w:right w:val="single" w:sz="4" w:space="0" w:color="auto"/>
            </w:tcBorders>
            <w:shd w:val="clear" w:color="auto" w:fill="006283"/>
            <w:vAlign w:val="center"/>
            <w:hideMark/>
          </w:tcPr>
          <w:p w14:paraId="1B28DEA7" w14:textId="77777777" w:rsidR="00FD54AB" w:rsidRDefault="00FD54AB" w:rsidP="00536B38">
            <w:pPr>
              <w:jc w:val="center"/>
              <w:rPr>
                <w:b/>
                <w:color w:val="FFFFFF"/>
                <w:sz w:val="16"/>
                <w:lang w:val="en-US" w:eastAsia="ru-RU"/>
              </w:rPr>
            </w:pPr>
            <w:r>
              <w:rPr>
                <w:b/>
                <w:color w:val="FFFFFF"/>
                <w:sz w:val="16"/>
                <w:lang w:val="en-US" w:eastAsia="ru-RU"/>
              </w:rPr>
              <w:t>Threshold Value in Special Drawing Right (SDR)</w:t>
            </w:r>
          </w:p>
        </w:tc>
        <w:tc>
          <w:tcPr>
            <w:tcW w:w="3393" w:type="dxa"/>
            <w:tcBorders>
              <w:top w:val="single" w:sz="4" w:space="0" w:color="auto"/>
              <w:left w:val="single" w:sz="4" w:space="0" w:color="auto"/>
              <w:bottom w:val="nil"/>
              <w:right w:val="single" w:sz="4" w:space="0" w:color="auto"/>
            </w:tcBorders>
            <w:shd w:val="clear" w:color="auto" w:fill="006283"/>
            <w:vAlign w:val="center"/>
            <w:hideMark/>
          </w:tcPr>
          <w:p w14:paraId="09F270C8" w14:textId="059B070F" w:rsidR="00FD54AB" w:rsidRDefault="00FD54AB" w:rsidP="00536B38">
            <w:pPr>
              <w:jc w:val="center"/>
              <w:rPr>
                <w:b/>
                <w:color w:val="FFFFFF"/>
                <w:sz w:val="16"/>
                <w:lang w:val="en-US" w:eastAsia="ru-RU"/>
              </w:rPr>
            </w:pPr>
            <w:r>
              <w:rPr>
                <w:b/>
                <w:color w:val="FFFFFF"/>
                <w:sz w:val="16"/>
                <w:lang w:val="en-US" w:eastAsia="ru-RU"/>
              </w:rPr>
              <w:t>Threshold Value in</w:t>
            </w:r>
            <w:r w:rsidR="00E67F5E">
              <w:rPr>
                <w:b/>
                <w:color w:val="FFFFFF"/>
                <w:sz w:val="16"/>
                <w:lang w:val="en-US" w:eastAsia="ru-RU"/>
              </w:rPr>
              <w:t xml:space="preserve"> Euros</w:t>
            </w:r>
          </w:p>
          <w:p w14:paraId="34DD6067" w14:textId="39BE922B" w:rsidR="00FD54AB" w:rsidRDefault="00E67F5E" w:rsidP="00536B38">
            <w:pPr>
              <w:jc w:val="center"/>
              <w:rPr>
                <w:b/>
                <w:color w:val="FFFFFF"/>
                <w:sz w:val="16"/>
                <w:lang w:val="en-US" w:eastAsia="ru-RU"/>
              </w:rPr>
            </w:pPr>
            <w:r>
              <w:rPr>
                <w:b/>
                <w:color w:val="FFFFFF"/>
                <w:sz w:val="16"/>
                <w:lang w:val="en-US" w:eastAsia="ru-RU"/>
              </w:rPr>
              <w:t>(</w:t>
            </w:r>
            <w:r w:rsidR="00FD54AB">
              <w:rPr>
                <w:b/>
                <w:color w:val="FFFFFF"/>
                <w:sz w:val="16"/>
                <w:lang w:val="en-US" w:eastAsia="ru-RU"/>
              </w:rPr>
              <w:t>EUR</w:t>
            </w:r>
            <w:r>
              <w:rPr>
                <w:b/>
                <w:color w:val="FFFFFF"/>
                <w:sz w:val="16"/>
                <w:lang w:val="en-US" w:eastAsia="ru-RU"/>
              </w:rPr>
              <w:t>)</w:t>
            </w:r>
          </w:p>
        </w:tc>
      </w:tr>
      <w:tr w:rsidR="00D33BE3" w14:paraId="3DD41E26" w14:textId="77777777" w:rsidTr="00E67F5E">
        <w:tc>
          <w:tcPr>
            <w:tcW w:w="2305" w:type="dxa"/>
            <w:tcBorders>
              <w:top w:val="nil"/>
              <w:left w:val="single" w:sz="4" w:space="0" w:color="auto"/>
              <w:bottom w:val="nil"/>
              <w:right w:val="single" w:sz="4" w:space="0" w:color="auto"/>
            </w:tcBorders>
            <w:hideMark/>
          </w:tcPr>
          <w:p w14:paraId="39B29156" w14:textId="77777777" w:rsidR="00D33BE3" w:rsidRDefault="00D33BE3" w:rsidP="00D33BE3">
            <w:pPr>
              <w:rPr>
                <w:sz w:val="16"/>
              </w:rPr>
            </w:pPr>
            <w:r>
              <w:rPr>
                <w:sz w:val="16"/>
              </w:rPr>
              <w:t>Goods</w:t>
            </w:r>
          </w:p>
        </w:tc>
        <w:tc>
          <w:tcPr>
            <w:tcW w:w="3318" w:type="dxa"/>
            <w:shd w:val="clear" w:color="auto" w:fill="auto"/>
            <w:hideMark/>
          </w:tcPr>
          <w:p w14:paraId="127E73D3" w14:textId="265DCF2F" w:rsidR="00D33BE3" w:rsidRDefault="00D33BE3" w:rsidP="00D33BE3">
            <w:pPr>
              <w:jc w:val="center"/>
              <w:rPr>
                <w:sz w:val="16"/>
              </w:rPr>
            </w:pPr>
            <w:r w:rsidRPr="007717AE">
              <w:rPr>
                <w:rFonts w:eastAsia="Calibri" w:cs="Times New Roman"/>
                <w:sz w:val="16"/>
              </w:rPr>
              <w:t>130,000</w:t>
            </w:r>
          </w:p>
        </w:tc>
        <w:tc>
          <w:tcPr>
            <w:tcW w:w="3393" w:type="dxa"/>
            <w:tcBorders>
              <w:top w:val="nil"/>
              <w:left w:val="single" w:sz="4" w:space="0" w:color="auto"/>
              <w:bottom w:val="nil"/>
              <w:right w:val="single" w:sz="4" w:space="0" w:color="auto"/>
            </w:tcBorders>
            <w:hideMark/>
          </w:tcPr>
          <w:p w14:paraId="182E287E" w14:textId="081A02A9" w:rsidR="00D33BE3" w:rsidRDefault="00D33BE3" w:rsidP="00D33BE3">
            <w:pPr>
              <w:jc w:val="center"/>
              <w:rPr>
                <w:sz w:val="16"/>
              </w:rPr>
            </w:pPr>
            <w:r>
              <w:rPr>
                <w:sz w:val="16"/>
              </w:rPr>
              <w:t>159,78</w:t>
            </w:r>
            <w:r w:rsidR="008474F1">
              <w:rPr>
                <w:sz w:val="16"/>
              </w:rPr>
              <w:t>3</w:t>
            </w:r>
          </w:p>
        </w:tc>
      </w:tr>
      <w:tr w:rsidR="00D33BE3" w14:paraId="09CF0861" w14:textId="77777777" w:rsidTr="00E67F5E">
        <w:trPr>
          <w:trHeight w:val="221"/>
        </w:trPr>
        <w:tc>
          <w:tcPr>
            <w:tcW w:w="2305" w:type="dxa"/>
            <w:tcBorders>
              <w:top w:val="nil"/>
              <w:left w:val="single" w:sz="4" w:space="0" w:color="auto"/>
              <w:bottom w:val="nil"/>
              <w:right w:val="single" w:sz="4" w:space="0" w:color="auto"/>
            </w:tcBorders>
            <w:shd w:val="clear" w:color="auto" w:fill="C9DED4"/>
            <w:hideMark/>
          </w:tcPr>
          <w:p w14:paraId="0D957060" w14:textId="77777777" w:rsidR="00D33BE3" w:rsidRDefault="00D33BE3" w:rsidP="00D33BE3">
            <w:pPr>
              <w:rPr>
                <w:sz w:val="16"/>
              </w:rPr>
            </w:pPr>
            <w:r>
              <w:rPr>
                <w:sz w:val="16"/>
              </w:rPr>
              <w:t>Services</w:t>
            </w:r>
          </w:p>
        </w:tc>
        <w:tc>
          <w:tcPr>
            <w:tcW w:w="3318" w:type="dxa"/>
            <w:shd w:val="clear" w:color="auto" w:fill="C9DED4"/>
            <w:hideMark/>
          </w:tcPr>
          <w:p w14:paraId="3904BAD0" w14:textId="340A883B" w:rsidR="00D33BE3" w:rsidRDefault="00D33BE3" w:rsidP="00D33BE3">
            <w:pPr>
              <w:jc w:val="center"/>
              <w:rPr>
                <w:sz w:val="16"/>
              </w:rPr>
            </w:pPr>
            <w:r w:rsidRPr="007717AE">
              <w:rPr>
                <w:rFonts w:eastAsia="Calibri" w:cs="Times New Roman"/>
                <w:sz w:val="16"/>
              </w:rPr>
              <w:t>130,000</w:t>
            </w:r>
          </w:p>
        </w:tc>
        <w:tc>
          <w:tcPr>
            <w:tcW w:w="3393" w:type="dxa"/>
            <w:tcBorders>
              <w:top w:val="nil"/>
              <w:left w:val="single" w:sz="4" w:space="0" w:color="auto"/>
              <w:bottom w:val="nil"/>
              <w:right w:val="single" w:sz="4" w:space="0" w:color="auto"/>
            </w:tcBorders>
            <w:shd w:val="clear" w:color="auto" w:fill="C9DED4"/>
            <w:hideMark/>
          </w:tcPr>
          <w:p w14:paraId="057F904A" w14:textId="2C886883" w:rsidR="00D33BE3" w:rsidRDefault="00D33BE3" w:rsidP="00D33BE3">
            <w:pPr>
              <w:jc w:val="center"/>
              <w:rPr>
                <w:sz w:val="16"/>
              </w:rPr>
            </w:pPr>
            <w:r>
              <w:rPr>
                <w:sz w:val="16"/>
              </w:rPr>
              <w:t>159,78</w:t>
            </w:r>
            <w:r w:rsidR="008474F1">
              <w:rPr>
                <w:sz w:val="16"/>
              </w:rPr>
              <w:t>3</w:t>
            </w:r>
          </w:p>
        </w:tc>
      </w:tr>
      <w:tr w:rsidR="00D33BE3" w14:paraId="58B9EF3F" w14:textId="77777777" w:rsidTr="00E67F5E">
        <w:tc>
          <w:tcPr>
            <w:tcW w:w="2305" w:type="dxa"/>
            <w:tcBorders>
              <w:top w:val="nil"/>
              <w:left w:val="single" w:sz="4" w:space="0" w:color="auto"/>
              <w:bottom w:val="single" w:sz="4" w:space="0" w:color="auto"/>
              <w:right w:val="single" w:sz="4" w:space="0" w:color="auto"/>
            </w:tcBorders>
            <w:hideMark/>
          </w:tcPr>
          <w:p w14:paraId="66812C21" w14:textId="77777777" w:rsidR="00D33BE3" w:rsidRDefault="00D33BE3" w:rsidP="00D33BE3">
            <w:pPr>
              <w:rPr>
                <w:sz w:val="16"/>
              </w:rPr>
            </w:pPr>
            <w:r>
              <w:rPr>
                <w:sz w:val="16"/>
              </w:rPr>
              <w:t>Construction Services</w:t>
            </w:r>
          </w:p>
        </w:tc>
        <w:tc>
          <w:tcPr>
            <w:tcW w:w="3318" w:type="dxa"/>
            <w:shd w:val="clear" w:color="auto" w:fill="auto"/>
            <w:hideMark/>
          </w:tcPr>
          <w:p w14:paraId="0486E55A" w14:textId="435A9C3A" w:rsidR="00D33BE3" w:rsidRDefault="00D33BE3" w:rsidP="00D33BE3">
            <w:pPr>
              <w:ind w:right="170"/>
              <w:jc w:val="center"/>
              <w:rPr>
                <w:sz w:val="16"/>
              </w:rPr>
            </w:pPr>
            <w:r w:rsidRPr="007717AE">
              <w:rPr>
                <w:rFonts w:eastAsia="Calibri" w:cs="Times New Roman"/>
                <w:sz w:val="16"/>
              </w:rPr>
              <w:t>5,000,000</w:t>
            </w:r>
          </w:p>
        </w:tc>
        <w:tc>
          <w:tcPr>
            <w:tcW w:w="3393" w:type="dxa"/>
            <w:tcBorders>
              <w:top w:val="nil"/>
              <w:left w:val="single" w:sz="4" w:space="0" w:color="auto"/>
              <w:bottom w:val="single" w:sz="4" w:space="0" w:color="auto"/>
              <w:right w:val="single" w:sz="4" w:space="0" w:color="auto"/>
            </w:tcBorders>
            <w:hideMark/>
          </w:tcPr>
          <w:p w14:paraId="46196EBC" w14:textId="77777777" w:rsidR="00D33BE3" w:rsidRDefault="00D33BE3" w:rsidP="008474F1">
            <w:pPr>
              <w:ind w:right="170"/>
              <w:jc w:val="center"/>
              <w:rPr>
                <w:sz w:val="16"/>
              </w:rPr>
            </w:pPr>
            <w:r>
              <w:rPr>
                <w:sz w:val="16"/>
              </w:rPr>
              <w:t>6,145,490</w:t>
            </w:r>
          </w:p>
        </w:tc>
      </w:tr>
    </w:tbl>
    <w:p w14:paraId="701C32A1" w14:textId="77777777" w:rsidR="00FD54AB" w:rsidRDefault="00FD54AB" w:rsidP="00FD54AB"/>
    <w:p w14:paraId="04CF362A" w14:textId="77777777" w:rsidR="00FD54AB" w:rsidRDefault="00FD54AB" w:rsidP="00FD54AB">
      <w:pPr>
        <w:pStyle w:val="Heading2"/>
        <w:spacing w:after="120"/>
      </w:pPr>
      <w:r>
        <w:t>Sub-central Government Entities (Annex 2)</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28" w:type="dxa"/>
          <w:bottom w:w="28" w:type="dxa"/>
        </w:tblCellMar>
        <w:tblLook w:val="04A0" w:firstRow="1" w:lastRow="0" w:firstColumn="1" w:lastColumn="0" w:noHBand="0" w:noVBand="1"/>
      </w:tblPr>
      <w:tblGrid>
        <w:gridCol w:w="2305"/>
        <w:gridCol w:w="3318"/>
        <w:gridCol w:w="3393"/>
      </w:tblGrid>
      <w:tr w:rsidR="00FD54AB" w14:paraId="4A9951DF" w14:textId="77777777" w:rsidTr="00E67F5E">
        <w:tc>
          <w:tcPr>
            <w:tcW w:w="2310" w:type="dxa"/>
            <w:tcBorders>
              <w:top w:val="single" w:sz="4" w:space="0" w:color="auto"/>
              <w:left w:val="single" w:sz="4" w:space="0" w:color="auto"/>
              <w:bottom w:val="nil"/>
              <w:right w:val="single" w:sz="4" w:space="0" w:color="auto"/>
            </w:tcBorders>
            <w:shd w:val="clear" w:color="auto" w:fill="006283"/>
            <w:vAlign w:val="center"/>
          </w:tcPr>
          <w:p w14:paraId="1C5D9D7C" w14:textId="77777777" w:rsidR="00FD54AB" w:rsidRDefault="00FD54AB" w:rsidP="00536B38">
            <w:pPr>
              <w:rPr>
                <w:sz w:val="16"/>
              </w:rPr>
            </w:pPr>
          </w:p>
        </w:tc>
        <w:tc>
          <w:tcPr>
            <w:tcW w:w="3327" w:type="dxa"/>
            <w:tcBorders>
              <w:top w:val="single" w:sz="4" w:space="0" w:color="auto"/>
              <w:left w:val="single" w:sz="4" w:space="0" w:color="auto"/>
              <w:bottom w:val="nil"/>
              <w:right w:val="single" w:sz="4" w:space="0" w:color="auto"/>
            </w:tcBorders>
            <w:shd w:val="clear" w:color="auto" w:fill="006283"/>
            <w:vAlign w:val="center"/>
            <w:hideMark/>
          </w:tcPr>
          <w:p w14:paraId="4E6F68AD" w14:textId="38C8C687" w:rsidR="00FD54AB" w:rsidRDefault="00FD54AB" w:rsidP="00536B38">
            <w:pPr>
              <w:jc w:val="center"/>
              <w:rPr>
                <w:b/>
                <w:color w:val="FFFFFF"/>
                <w:sz w:val="16"/>
                <w:lang w:val="en-US" w:eastAsia="ru-RU"/>
              </w:rPr>
            </w:pPr>
            <w:r>
              <w:rPr>
                <w:b/>
                <w:color w:val="FFFFFF"/>
                <w:sz w:val="16"/>
                <w:lang w:val="en-US" w:eastAsia="ru-RU"/>
              </w:rPr>
              <w:t>Threshold Value in SDR</w:t>
            </w:r>
          </w:p>
        </w:tc>
        <w:tc>
          <w:tcPr>
            <w:tcW w:w="3402" w:type="dxa"/>
            <w:tcBorders>
              <w:top w:val="single" w:sz="4" w:space="0" w:color="auto"/>
              <w:left w:val="single" w:sz="4" w:space="0" w:color="auto"/>
              <w:bottom w:val="nil"/>
              <w:right w:val="single" w:sz="4" w:space="0" w:color="auto"/>
            </w:tcBorders>
            <w:shd w:val="clear" w:color="auto" w:fill="006283"/>
            <w:vAlign w:val="center"/>
            <w:hideMark/>
          </w:tcPr>
          <w:p w14:paraId="26634D4D" w14:textId="0A415AD6" w:rsidR="00FD54AB" w:rsidRDefault="00FD54AB" w:rsidP="00E67F5E">
            <w:pPr>
              <w:jc w:val="center"/>
              <w:rPr>
                <w:b/>
                <w:color w:val="FFFFFF"/>
                <w:sz w:val="16"/>
                <w:lang w:val="en-US" w:eastAsia="ru-RU"/>
              </w:rPr>
            </w:pPr>
            <w:r>
              <w:rPr>
                <w:b/>
                <w:color w:val="FFFFFF"/>
                <w:sz w:val="16"/>
                <w:lang w:val="en-US" w:eastAsia="ru-RU"/>
              </w:rPr>
              <w:t>Threshold Value in</w:t>
            </w:r>
            <w:r w:rsidR="00E67F5E">
              <w:rPr>
                <w:b/>
                <w:color w:val="FFFFFF"/>
                <w:sz w:val="16"/>
                <w:lang w:val="en-US" w:eastAsia="ru-RU"/>
              </w:rPr>
              <w:t xml:space="preserve"> </w:t>
            </w:r>
            <w:r>
              <w:rPr>
                <w:b/>
                <w:color w:val="FFFFFF"/>
                <w:sz w:val="16"/>
                <w:lang w:val="en-US" w:eastAsia="ru-RU"/>
              </w:rPr>
              <w:t>EUR</w:t>
            </w:r>
          </w:p>
        </w:tc>
      </w:tr>
      <w:tr w:rsidR="00FD54AB" w14:paraId="7628D081" w14:textId="77777777" w:rsidTr="00E67F5E">
        <w:tc>
          <w:tcPr>
            <w:tcW w:w="2310" w:type="dxa"/>
            <w:tcBorders>
              <w:top w:val="nil"/>
              <w:left w:val="single" w:sz="4" w:space="0" w:color="auto"/>
              <w:bottom w:val="nil"/>
              <w:right w:val="single" w:sz="4" w:space="0" w:color="auto"/>
            </w:tcBorders>
            <w:hideMark/>
          </w:tcPr>
          <w:p w14:paraId="76E6BC1D" w14:textId="77777777" w:rsidR="00FD54AB" w:rsidRDefault="00FD54AB" w:rsidP="00536B38">
            <w:pPr>
              <w:rPr>
                <w:sz w:val="16"/>
              </w:rPr>
            </w:pPr>
            <w:r>
              <w:rPr>
                <w:sz w:val="16"/>
              </w:rPr>
              <w:t>Goods</w:t>
            </w:r>
          </w:p>
        </w:tc>
        <w:tc>
          <w:tcPr>
            <w:tcW w:w="3327" w:type="dxa"/>
            <w:tcBorders>
              <w:top w:val="nil"/>
              <w:left w:val="single" w:sz="4" w:space="0" w:color="auto"/>
              <w:bottom w:val="nil"/>
              <w:right w:val="single" w:sz="4" w:space="0" w:color="auto"/>
            </w:tcBorders>
            <w:hideMark/>
          </w:tcPr>
          <w:p w14:paraId="0CCB9827" w14:textId="77777777" w:rsidR="00FD54AB" w:rsidRDefault="00FD54AB" w:rsidP="00D33BE3">
            <w:pPr>
              <w:jc w:val="center"/>
              <w:rPr>
                <w:sz w:val="16"/>
              </w:rPr>
            </w:pPr>
            <w:r>
              <w:rPr>
                <w:sz w:val="16"/>
              </w:rPr>
              <w:t>200,000</w:t>
            </w:r>
          </w:p>
        </w:tc>
        <w:tc>
          <w:tcPr>
            <w:tcW w:w="3402" w:type="dxa"/>
            <w:tcBorders>
              <w:top w:val="nil"/>
              <w:left w:val="single" w:sz="4" w:space="0" w:color="auto"/>
              <w:bottom w:val="nil"/>
              <w:right w:val="single" w:sz="4" w:space="0" w:color="auto"/>
            </w:tcBorders>
            <w:hideMark/>
          </w:tcPr>
          <w:p w14:paraId="7998CE21" w14:textId="4BA90CDC" w:rsidR="00FD54AB" w:rsidRDefault="00FD54AB" w:rsidP="00E84C5B">
            <w:pPr>
              <w:jc w:val="center"/>
              <w:rPr>
                <w:sz w:val="16"/>
              </w:rPr>
            </w:pPr>
            <w:r>
              <w:rPr>
                <w:sz w:val="16"/>
              </w:rPr>
              <w:t>245,8</w:t>
            </w:r>
            <w:r w:rsidR="008474F1">
              <w:rPr>
                <w:sz w:val="16"/>
              </w:rPr>
              <w:t>20</w:t>
            </w:r>
          </w:p>
        </w:tc>
      </w:tr>
      <w:tr w:rsidR="00FD54AB" w14:paraId="0B67E1F6" w14:textId="77777777" w:rsidTr="00E67F5E">
        <w:tc>
          <w:tcPr>
            <w:tcW w:w="2310" w:type="dxa"/>
            <w:tcBorders>
              <w:top w:val="nil"/>
              <w:left w:val="single" w:sz="4" w:space="0" w:color="auto"/>
              <w:bottom w:val="nil"/>
              <w:right w:val="single" w:sz="4" w:space="0" w:color="auto"/>
            </w:tcBorders>
            <w:shd w:val="clear" w:color="auto" w:fill="C9DED4"/>
            <w:hideMark/>
          </w:tcPr>
          <w:p w14:paraId="16D3E345" w14:textId="77777777" w:rsidR="00FD54AB" w:rsidRDefault="00FD54AB" w:rsidP="00536B38">
            <w:pPr>
              <w:rPr>
                <w:sz w:val="16"/>
              </w:rPr>
            </w:pPr>
            <w:r>
              <w:rPr>
                <w:sz w:val="16"/>
              </w:rPr>
              <w:t>Services</w:t>
            </w:r>
          </w:p>
        </w:tc>
        <w:tc>
          <w:tcPr>
            <w:tcW w:w="3327" w:type="dxa"/>
            <w:tcBorders>
              <w:top w:val="nil"/>
              <w:left w:val="single" w:sz="4" w:space="0" w:color="auto"/>
              <w:bottom w:val="nil"/>
              <w:right w:val="single" w:sz="4" w:space="0" w:color="auto"/>
            </w:tcBorders>
            <w:shd w:val="clear" w:color="auto" w:fill="C9DED4"/>
            <w:hideMark/>
          </w:tcPr>
          <w:p w14:paraId="59C29206" w14:textId="77777777" w:rsidR="00FD54AB" w:rsidRDefault="00FD54AB" w:rsidP="00D33BE3">
            <w:pPr>
              <w:jc w:val="center"/>
              <w:rPr>
                <w:sz w:val="16"/>
              </w:rPr>
            </w:pPr>
            <w:r>
              <w:rPr>
                <w:sz w:val="16"/>
              </w:rPr>
              <w:t>200,000</w:t>
            </w:r>
          </w:p>
        </w:tc>
        <w:tc>
          <w:tcPr>
            <w:tcW w:w="3402" w:type="dxa"/>
            <w:tcBorders>
              <w:top w:val="nil"/>
              <w:left w:val="single" w:sz="4" w:space="0" w:color="auto"/>
              <w:bottom w:val="nil"/>
              <w:right w:val="single" w:sz="4" w:space="0" w:color="auto"/>
            </w:tcBorders>
            <w:shd w:val="clear" w:color="auto" w:fill="C9DED4"/>
            <w:hideMark/>
          </w:tcPr>
          <w:p w14:paraId="1868E6B8" w14:textId="2A1A83CE" w:rsidR="00FD54AB" w:rsidRDefault="00FD54AB" w:rsidP="00E84C5B">
            <w:pPr>
              <w:jc w:val="center"/>
              <w:rPr>
                <w:sz w:val="16"/>
              </w:rPr>
            </w:pPr>
            <w:r>
              <w:rPr>
                <w:sz w:val="16"/>
              </w:rPr>
              <w:t>245,8</w:t>
            </w:r>
            <w:r w:rsidR="008474F1">
              <w:rPr>
                <w:sz w:val="16"/>
              </w:rPr>
              <w:t>20</w:t>
            </w:r>
          </w:p>
        </w:tc>
      </w:tr>
      <w:tr w:rsidR="00FD54AB" w14:paraId="501EC0CD" w14:textId="77777777" w:rsidTr="00E67F5E">
        <w:tc>
          <w:tcPr>
            <w:tcW w:w="2310" w:type="dxa"/>
            <w:tcBorders>
              <w:top w:val="nil"/>
              <w:left w:val="single" w:sz="4" w:space="0" w:color="auto"/>
              <w:bottom w:val="single" w:sz="4" w:space="0" w:color="auto"/>
              <w:right w:val="single" w:sz="4" w:space="0" w:color="auto"/>
            </w:tcBorders>
            <w:hideMark/>
          </w:tcPr>
          <w:p w14:paraId="2B5447ED" w14:textId="77777777" w:rsidR="00FD54AB" w:rsidRDefault="00FD54AB" w:rsidP="00536B38">
            <w:pPr>
              <w:rPr>
                <w:sz w:val="16"/>
              </w:rPr>
            </w:pPr>
            <w:r>
              <w:rPr>
                <w:sz w:val="16"/>
              </w:rPr>
              <w:t>Construction Services</w:t>
            </w:r>
          </w:p>
        </w:tc>
        <w:tc>
          <w:tcPr>
            <w:tcW w:w="3327" w:type="dxa"/>
            <w:tcBorders>
              <w:top w:val="nil"/>
              <w:left w:val="single" w:sz="4" w:space="0" w:color="auto"/>
              <w:bottom w:val="single" w:sz="4" w:space="0" w:color="auto"/>
              <w:right w:val="single" w:sz="4" w:space="0" w:color="auto"/>
            </w:tcBorders>
            <w:hideMark/>
          </w:tcPr>
          <w:p w14:paraId="5B58135B" w14:textId="77777777" w:rsidR="00FD54AB" w:rsidRDefault="00FD54AB" w:rsidP="00D33BE3">
            <w:pPr>
              <w:ind w:right="170"/>
              <w:jc w:val="center"/>
              <w:rPr>
                <w:sz w:val="16"/>
              </w:rPr>
            </w:pPr>
            <w:r>
              <w:rPr>
                <w:sz w:val="16"/>
              </w:rPr>
              <w:t>5,000,000</w:t>
            </w:r>
          </w:p>
        </w:tc>
        <w:tc>
          <w:tcPr>
            <w:tcW w:w="3402" w:type="dxa"/>
            <w:tcBorders>
              <w:top w:val="nil"/>
              <w:left w:val="single" w:sz="4" w:space="0" w:color="auto"/>
              <w:bottom w:val="single" w:sz="4" w:space="0" w:color="auto"/>
              <w:right w:val="single" w:sz="4" w:space="0" w:color="auto"/>
            </w:tcBorders>
            <w:hideMark/>
          </w:tcPr>
          <w:p w14:paraId="5CEB761B" w14:textId="29D2A927" w:rsidR="00FD54AB" w:rsidRDefault="00FD54AB" w:rsidP="008474F1">
            <w:pPr>
              <w:ind w:right="170"/>
              <w:jc w:val="center"/>
              <w:rPr>
                <w:sz w:val="16"/>
              </w:rPr>
            </w:pPr>
            <w:r>
              <w:rPr>
                <w:sz w:val="16"/>
              </w:rPr>
              <w:t>6,145</w:t>
            </w:r>
            <w:r w:rsidR="008474F1">
              <w:rPr>
                <w:sz w:val="16"/>
              </w:rPr>
              <w:t>,</w:t>
            </w:r>
            <w:r>
              <w:rPr>
                <w:sz w:val="16"/>
              </w:rPr>
              <w:t>490</w:t>
            </w:r>
          </w:p>
        </w:tc>
      </w:tr>
    </w:tbl>
    <w:p w14:paraId="46D74DE4" w14:textId="77777777" w:rsidR="00FD54AB" w:rsidRDefault="00FD54AB" w:rsidP="00FD54AB"/>
    <w:p w14:paraId="4CD4005D" w14:textId="77777777" w:rsidR="00FD54AB" w:rsidRDefault="00FD54AB" w:rsidP="00FD54AB">
      <w:pPr>
        <w:pStyle w:val="Heading2"/>
      </w:pPr>
      <w:r>
        <w:t>Other Entities (Annex 3)</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28" w:type="dxa"/>
          <w:bottom w:w="28" w:type="dxa"/>
        </w:tblCellMar>
        <w:tblLook w:val="04A0" w:firstRow="1" w:lastRow="0" w:firstColumn="1" w:lastColumn="0" w:noHBand="0" w:noVBand="1"/>
      </w:tblPr>
      <w:tblGrid>
        <w:gridCol w:w="2305"/>
        <w:gridCol w:w="3318"/>
        <w:gridCol w:w="3393"/>
      </w:tblGrid>
      <w:tr w:rsidR="00FD54AB" w14:paraId="1DC932D7" w14:textId="77777777" w:rsidTr="00E67F5E">
        <w:tc>
          <w:tcPr>
            <w:tcW w:w="2310" w:type="dxa"/>
            <w:tcBorders>
              <w:top w:val="single" w:sz="4" w:space="0" w:color="auto"/>
              <w:left w:val="single" w:sz="4" w:space="0" w:color="auto"/>
              <w:bottom w:val="nil"/>
              <w:right w:val="single" w:sz="4" w:space="0" w:color="auto"/>
            </w:tcBorders>
            <w:shd w:val="clear" w:color="auto" w:fill="006283"/>
            <w:vAlign w:val="center"/>
          </w:tcPr>
          <w:p w14:paraId="7C1ED622" w14:textId="77777777" w:rsidR="00FD54AB" w:rsidRDefault="00FD54AB" w:rsidP="00536B38"/>
        </w:tc>
        <w:tc>
          <w:tcPr>
            <w:tcW w:w="3327" w:type="dxa"/>
            <w:tcBorders>
              <w:top w:val="single" w:sz="4" w:space="0" w:color="auto"/>
              <w:left w:val="single" w:sz="4" w:space="0" w:color="auto"/>
              <w:bottom w:val="nil"/>
              <w:right w:val="single" w:sz="4" w:space="0" w:color="auto"/>
            </w:tcBorders>
            <w:shd w:val="clear" w:color="auto" w:fill="006283"/>
            <w:vAlign w:val="center"/>
            <w:hideMark/>
          </w:tcPr>
          <w:p w14:paraId="4609DB33" w14:textId="210A6931" w:rsidR="00FD54AB" w:rsidRDefault="00FD54AB" w:rsidP="00536B38">
            <w:pPr>
              <w:jc w:val="center"/>
              <w:rPr>
                <w:b/>
                <w:color w:val="FFFFFF"/>
                <w:sz w:val="16"/>
                <w:lang w:val="en-US" w:eastAsia="ru-RU"/>
              </w:rPr>
            </w:pPr>
            <w:r>
              <w:rPr>
                <w:b/>
                <w:color w:val="FFFFFF"/>
                <w:sz w:val="16"/>
                <w:lang w:val="en-US" w:eastAsia="ru-RU"/>
              </w:rPr>
              <w:t>Threshold Value in SDR</w:t>
            </w:r>
          </w:p>
        </w:tc>
        <w:tc>
          <w:tcPr>
            <w:tcW w:w="3402" w:type="dxa"/>
            <w:tcBorders>
              <w:top w:val="single" w:sz="4" w:space="0" w:color="auto"/>
              <w:left w:val="single" w:sz="4" w:space="0" w:color="auto"/>
              <w:bottom w:val="nil"/>
              <w:right w:val="single" w:sz="4" w:space="0" w:color="auto"/>
            </w:tcBorders>
            <w:shd w:val="clear" w:color="auto" w:fill="006283"/>
            <w:vAlign w:val="center"/>
            <w:hideMark/>
          </w:tcPr>
          <w:p w14:paraId="25F75D76" w14:textId="26C8959C" w:rsidR="00FD54AB" w:rsidRDefault="00FD54AB" w:rsidP="00E67F5E">
            <w:pPr>
              <w:jc w:val="center"/>
              <w:rPr>
                <w:b/>
                <w:color w:val="FFFFFF"/>
                <w:sz w:val="16"/>
                <w:lang w:val="en-US" w:eastAsia="ru-RU"/>
              </w:rPr>
            </w:pPr>
            <w:r>
              <w:rPr>
                <w:b/>
                <w:color w:val="FFFFFF"/>
                <w:sz w:val="16"/>
                <w:lang w:val="en-US" w:eastAsia="ru-RU"/>
              </w:rPr>
              <w:t>Threshold Value in</w:t>
            </w:r>
            <w:r w:rsidR="00E67F5E">
              <w:rPr>
                <w:b/>
                <w:color w:val="FFFFFF"/>
                <w:sz w:val="16"/>
                <w:lang w:val="en-US" w:eastAsia="ru-RU"/>
              </w:rPr>
              <w:t xml:space="preserve"> </w:t>
            </w:r>
            <w:r>
              <w:rPr>
                <w:b/>
                <w:color w:val="FFFFFF"/>
                <w:sz w:val="16"/>
                <w:lang w:val="en-US" w:eastAsia="ru-RU"/>
              </w:rPr>
              <w:t>EUR</w:t>
            </w:r>
          </w:p>
        </w:tc>
      </w:tr>
      <w:tr w:rsidR="00FD54AB" w14:paraId="445968B1" w14:textId="77777777" w:rsidTr="00E67F5E">
        <w:tc>
          <w:tcPr>
            <w:tcW w:w="2310" w:type="dxa"/>
            <w:tcBorders>
              <w:top w:val="nil"/>
              <w:left w:val="single" w:sz="4" w:space="0" w:color="auto"/>
              <w:bottom w:val="nil"/>
              <w:right w:val="single" w:sz="4" w:space="0" w:color="auto"/>
            </w:tcBorders>
            <w:hideMark/>
          </w:tcPr>
          <w:p w14:paraId="4AB02AB6" w14:textId="77777777" w:rsidR="00FD54AB" w:rsidRDefault="00FD54AB" w:rsidP="00536B38">
            <w:pPr>
              <w:rPr>
                <w:sz w:val="16"/>
                <w:szCs w:val="16"/>
              </w:rPr>
            </w:pPr>
            <w:r>
              <w:rPr>
                <w:sz w:val="16"/>
                <w:szCs w:val="16"/>
              </w:rPr>
              <w:t>Goods</w:t>
            </w:r>
          </w:p>
        </w:tc>
        <w:tc>
          <w:tcPr>
            <w:tcW w:w="3327" w:type="dxa"/>
            <w:tcBorders>
              <w:top w:val="nil"/>
              <w:left w:val="single" w:sz="4" w:space="0" w:color="auto"/>
              <w:bottom w:val="nil"/>
              <w:right w:val="single" w:sz="4" w:space="0" w:color="auto"/>
            </w:tcBorders>
            <w:hideMark/>
          </w:tcPr>
          <w:p w14:paraId="63636254" w14:textId="77777777" w:rsidR="00FD54AB" w:rsidRDefault="00FD54AB" w:rsidP="00D33BE3">
            <w:pPr>
              <w:jc w:val="center"/>
              <w:rPr>
                <w:sz w:val="16"/>
                <w:szCs w:val="16"/>
              </w:rPr>
            </w:pPr>
            <w:r>
              <w:rPr>
                <w:sz w:val="16"/>
                <w:szCs w:val="16"/>
              </w:rPr>
              <w:t>400,000</w:t>
            </w:r>
          </w:p>
        </w:tc>
        <w:tc>
          <w:tcPr>
            <w:tcW w:w="3402" w:type="dxa"/>
            <w:tcBorders>
              <w:top w:val="nil"/>
              <w:left w:val="single" w:sz="4" w:space="0" w:color="auto"/>
              <w:bottom w:val="nil"/>
              <w:right w:val="single" w:sz="4" w:space="0" w:color="auto"/>
            </w:tcBorders>
            <w:hideMark/>
          </w:tcPr>
          <w:p w14:paraId="76C02507" w14:textId="38E5BC8E" w:rsidR="00FD54AB" w:rsidRDefault="00FD54AB" w:rsidP="00000884">
            <w:pPr>
              <w:jc w:val="center"/>
              <w:rPr>
                <w:sz w:val="16"/>
                <w:szCs w:val="16"/>
              </w:rPr>
            </w:pPr>
            <w:r>
              <w:rPr>
                <w:sz w:val="16"/>
                <w:szCs w:val="16"/>
              </w:rPr>
              <w:t>491,639</w:t>
            </w:r>
          </w:p>
        </w:tc>
      </w:tr>
      <w:tr w:rsidR="00FD54AB" w14:paraId="2E680A5A" w14:textId="77777777" w:rsidTr="00E67F5E">
        <w:tc>
          <w:tcPr>
            <w:tcW w:w="2310" w:type="dxa"/>
            <w:tcBorders>
              <w:top w:val="nil"/>
              <w:left w:val="single" w:sz="4" w:space="0" w:color="auto"/>
              <w:bottom w:val="nil"/>
              <w:right w:val="single" w:sz="4" w:space="0" w:color="auto"/>
            </w:tcBorders>
            <w:shd w:val="clear" w:color="auto" w:fill="C9DED4"/>
            <w:hideMark/>
          </w:tcPr>
          <w:p w14:paraId="35121E8D" w14:textId="77777777" w:rsidR="00FD54AB" w:rsidRDefault="00FD54AB" w:rsidP="00536B38">
            <w:pPr>
              <w:rPr>
                <w:sz w:val="16"/>
                <w:szCs w:val="16"/>
              </w:rPr>
            </w:pPr>
            <w:r>
              <w:rPr>
                <w:sz w:val="16"/>
                <w:szCs w:val="16"/>
              </w:rPr>
              <w:t>Services</w:t>
            </w:r>
          </w:p>
        </w:tc>
        <w:tc>
          <w:tcPr>
            <w:tcW w:w="3327" w:type="dxa"/>
            <w:tcBorders>
              <w:top w:val="nil"/>
              <w:left w:val="single" w:sz="4" w:space="0" w:color="auto"/>
              <w:bottom w:val="nil"/>
              <w:right w:val="single" w:sz="4" w:space="0" w:color="auto"/>
            </w:tcBorders>
            <w:shd w:val="clear" w:color="auto" w:fill="C9DED4"/>
            <w:hideMark/>
          </w:tcPr>
          <w:p w14:paraId="132ACF4F" w14:textId="77777777" w:rsidR="00FD54AB" w:rsidRDefault="00FD54AB" w:rsidP="00D33BE3">
            <w:pPr>
              <w:jc w:val="center"/>
              <w:rPr>
                <w:sz w:val="16"/>
                <w:szCs w:val="16"/>
              </w:rPr>
            </w:pPr>
            <w:r>
              <w:rPr>
                <w:sz w:val="16"/>
                <w:szCs w:val="16"/>
              </w:rPr>
              <w:t>400,000</w:t>
            </w:r>
          </w:p>
        </w:tc>
        <w:tc>
          <w:tcPr>
            <w:tcW w:w="3402" w:type="dxa"/>
            <w:tcBorders>
              <w:top w:val="nil"/>
              <w:left w:val="single" w:sz="4" w:space="0" w:color="auto"/>
              <w:bottom w:val="nil"/>
              <w:right w:val="single" w:sz="4" w:space="0" w:color="auto"/>
            </w:tcBorders>
            <w:shd w:val="clear" w:color="auto" w:fill="C9DED4"/>
            <w:hideMark/>
          </w:tcPr>
          <w:p w14:paraId="6C5FB322" w14:textId="1170B8F9" w:rsidR="00FD54AB" w:rsidRDefault="00FD54AB" w:rsidP="00000884">
            <w:pPr>
              <w:jc w:val="center"/>
              <w:rPr>
                <w:sz w:val="16"/>
                <w:szCs w:val="16"/>
              </w:rPr>
            </w:pPr>
            <w:r>
              <w:rPr>
                <w:sz w:val="16"/>
                <w:szCs w:val="16"/>
              </w:rPr>
              <w:t>491,639</w:t>
            </w:r>
          </w:p>
        </w:tc>
      </w:tr>
      <w:tr w:rsidR="00FD54AB" w14:paraId="1CFA1E34" w14:textId="77777777" w:rsidTr="00E67F5E">
        <w:trPr>
          <w:trHeight w:val="182"/>
        </w:trPr>
        <w:tc>
          <w:tcPr>
            <w:tcW w:w="2310" w:type="dxa"/>
            <w:tcBorders>
              <w:top w:val="nil"/>
              <w:left w:val="single" w:sz="4" w:space="0" w:color="auto"/>
              <w:bottom w:val="single" w:sz="4" w:space="0" w:color="auto"/>
              <w:right w:val="single" w:sz="4" w:space="0" w:color="auto"/>
            </w:tcBorders>
            <w:hideMark/>
          </w:tcPr>
          <w:p w14:paraId="6861E0DB" w14:textId="77777777" w:rsidR="00FD54AB" w:rsidRDefault="00FD54AB" w:rsidP="00536B38">
            <w:pPr>
              <w:rPr>
                <w:sz w:val="16"/>
                <w:szCs w:val="16"/>
              </w:rPr>
            </w:pPr>
            <w:r>
              <w:rPr>
                <w:sz w:val="16"/>
                <w:szCs w:val="16"/>
              </w:rPr>
              <w:t>Construction Services</w:t>
            </w:r>
          </w:p>
        </w:tc>
        <w:tc>
          <w:tcPr>
            <w:tcW w:w="3327" w:type="dxa"/>
            <w:tcBorders>
              <w:top w:val="nil"/>
              <w:left w:val="single" w:sz="4" w:space="0" w:color="auto"/>
              <w:bottom w:val="single" w:sz="4" w:space="0" w:color="auto"/>
              <w:right w:val="single" w:sz="4" w:space="0" w:color="auto"/>
            </w:tcBorders>
            <w:hideMark/>
          </w:tcPr>
          <w:p w14:paraId="0DFC1A50" w14:textId="77777777" w:rsidR="00FD54AB" w:rsidRDefault="00FD54AB" w:rsidP="00D33BE3">
            <w:pPr>
              <w:ind w:right="170"/>
              <w:jc w:val="center"/>
              <w:rPr>
                <w:sz w:val="16"/>
                <w:szCs w:val="16"/>
              </w:rPr>
            </w:pPr>
            <w:r>
              <w:rPr>
                <w:sz w:val="16"/>
                <w:szCs w:val="16"/>
              </w:rPr>
              <w:t>5,000,000</w:t>
            </w:r>
          </w:p>
        </w:tc>
        <w:tc>
          <w:tcPr>
            <w:tcW w:w="3402" w:type="dxa"/>
            <w:tcBorders>
              <w:top w:val="nil"/>
              <w:left w:val="single" w:sz="4" w:space="0" w:color="auto"/>
              <w:bottom w:val="single" w:sz="4" w:space="0" w:color="auto"/>
              <w:right w:val="single" w:sz="4" w:space="0" w:color="auto"/>
            </w:tcBorders>
            <w:hideMark/>
          </w:tcPr>
          <w:p w14:paraId="1B8A1FFE" w14:textId="29E2CB3F" w:rsidR="00FD54AB" w:rsidRDefault="00FD54AB" w:rsidP="008474F1">
            <w:pPr>
              <w:ind w:right="170"/>
              <w:jc w:val="center"/>
              <w:rPr>
                <w:sz w:val="16"/>
                <w:szCs w:val="16"/>
              </w:rPr>
            </w:pPr>
            <w:r>
              <w:rPr>
                <w:sz w:val="16"/>
                <w:szCs w:val="16"/>
              </w:rPr>
              <w:t>6,145</w:t>
            </w:r>
            <w:r w:rsidR="008474F1">
              <w:rPr>
                <w:sz w:val="16"/>
                <w:szCs w:val="16"/>
              </w:rPr>
              <w:t>,</w:t>
            </w:r>
            <w:r>
              <w:rPr>
                <w:sz w:val="16"/>
                <w:szCs w:val="16"/>
              </w:rPr>
              <w:t>490</w:t>
            </w:r>
          </w:p>
        </w:tc>
      </w:tr>
    </w:tbl>
    <w:p w14:paraId="42657CF1" w14:textId="77777777" w:rsidR="00FD54AB" w:rsidRDefault="00FD54AB" w:rsidP="00FD54AB"/>
    <w:p w14:paraId="4A771167" w14:textId="77777777" w:rsidR="00FD54AB" w:rsidRDefault="00FD54AB" w:rsidP="00121D5E">
      <w:pPr>
        <w:pStyle w:val="Heading1"/>
        <w:spacing w:before="120" w:after="120"/>
      </w:pPr>
      <w:r>
        <w:t>PERIOD OF VALIDITY FOR THE THRESHOLD</w:t>
      </w:r>
    </w:p>
    <w:p w14:paraId="54E36CD1" w14:textId="77777777" w:rsidR="00FD54AB" w:rsidRDefault="00FD54AB" w:rsidP="00FD54AB">
      <w:pPr>
        <w:spacing w:after="120"/>
      </w:pPr>
      <w:r>
        <w:t>The thresholds would be effective from 1 January 2020 to 31 December 2021.</w:t>
      </w:r>
    </w:p>
    <w:p w14:paraId="33D263F2" w14:textId="77777777" w:rsidR="00FD54AB" w:rsidRDefault="00FD54AB" w:rsidP="00121D5E">
      <w:pPr>
        <w:pStyle w:val="Heading1"/>
        <w:spacing w:before="240" w:after="120"/>
      </w:pPr>
      <w:r>
        <w:t>METHOD OF CALCULATION</w:t>
      </w:r>
    </w:p>
    <w:p w14:paraId="2BFE1871" w14:textId="6043779B" w:rsidR="007141CF" w:rsidRDefault="00FD54AB" w:rsidP="00B52738">
      <w:r>
        <w:t>The calculation of the GPA threshold values in national currencies is based on the daily average exchange rates of the Montenegro EUR in terms of the Special Drawing Right (SDR) over the period from 1 November 2018 to 1 October 2020 (SDR 1 = EUR 1</w:t>
      </w:r>
      <w:r w:rsidR="00011EBD">
        <w:t>.</w:t>
      </w:r>
      <w:r>
        <w:t>229098).</w:t>
      </w:r>
    </w:p>
    <w:p w14:paraId="43602295" w14:textId="5A1B9946" w:rsidR="00FD54AB" w:rsidRDefault="00FD54AB" w:rsidP="00FD54AB"/>
    <w:p w14:paraId="6FD408E4" w14:textId="3465F356" w:rsidR="00FD54AB" w:rsidRPr="00FD54AB" w:rsidRDefault="00FD54AB" w:rsidP="00FD54AB">
      <w:pPr>
        <w:jc w:val="center"/>
      </w:pPr>
      <w:r>
        <w:rPr>
          <w:b/>
        </w:rPr>
        <w:t>__________</w:t>
      </w:r>
    </w:p>
    <w:sectPr w:rsidR="00FD54AB" w:rsidRPr="00FD54AB" w:rsidSect="00760D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1B3E" w14:textId="77777777" w:rsidR="003F06C4" w:rsidRDefault="003F06C4" w:rsidP="00ED54E0">
      <w:r>
        <w:separator/>
      </w:r>
    </w:p>
  </w:endnote>
  <w:endnote w:type="continuationSeparator" w:id="0">
    <w:p w14:paraId="7B987C80" w14:textId="77777777" w:rsidR="003F06C4" w:rsidRDefault="003F06C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69F6" w14:textId="77777777" w:rsidR="00544326" w:rsidRPr="003F06C4" w:rsidRDefault="003F06C4" w:rsidP="003F06C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4329" w14:textId="77777777" w:rsidR="00544326" w:rsidRPr="003F06C4" w:rsidRDefault="003F06C4" w:rsidP="003F06C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0517" w14:textId="77777777" w:rsidR="00C173AC" w:rsidRDefault="00C1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535D" w14:textId="77777777" w:rsidR="003F06C4" w:rsidRDefault="003F06C4" w:rsidP="00ED54E0">
      <w:r>
        <w:separator/>
      </w:r>
    </w:p>
  </w:footnote>
  <w:footnote w:type="continuationSeparator" w:id="0">
    <w:p w14:paraId="61F4F26D" w14:textId="77777777" w:rsidR="003F06C4" w:rsidRDefault="003F06C4"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1523" w14:textId="77777777" w:rsidR="003F06C4" w:rsidRPr="003F06C4" w:rsidRDefault="003F06C4" w:rsidP="003F06C4">
    <w:pPr>
      <w:pStyle w:val="Header"/>
      <w:pBdr>
        <w:bottom w:val="single" w:sz="4" w:space="1" w:color="auto"/>
      </w:pBdr>
      <w:tabs>
        <w:tab w:val="clear" w:pos="4513"/>
        <w:tab w:val="clear" w:pos="9027"/>
      </w:tabs>
      <w:jc w:val="center"/>
    </w:pPr>
    <w:r w:rsidRPr="003F06C4">
      <w:t>GPA/THR/MNE/1</w:t>
    </w:r>
  </w:p>
  <w:p w14:paraId="4EDDC22C" w14:textId="77777777" w:rsidR="003F06C4" w:rsidRPr="003F06C4" w:rsidRDefault="003F06C4" w:rsidP="003F06C4">
    <w:pPr>
      <w:pStyle w:val="Header"/>
      <w:pBdr>
        <w:bottom w:val="single" w:sz="4" w:space="1" w:color="auto"/>
      </w:pBdr>
      <w:tabs>
        <w:tab w:val="clear" w:pos="4513"/>
        <w:tab w:val="clear" w:pos="9027"/>
      </w:tabs>
      <w:jc w:val="center"/>
    </w:pPr>
  </w:p>
  <w:p w14:paraId="2C6EDF63" w14:textId="77777777" w:rsidR="003F06C4" w:rsidRPr="003F06C4" w:rsidRDefault="003F06C4" w:rsidP="003F06C4">
    <w:pPr>
      <w:pStyle w:val="Header"/>
      <w:pBdr>
        <w:bottom w:val="single" w:sz="4" w:space="1" w:color="auto"/>
      </w:pBdr>
      <w:tabs>
        <w:tab w:val="clear" w:pos="4513"/>
        <w:tab w:val="clear" w:pos="9027"/>
      </w:tabs>
      <w:jc w:val="center"/>
    </w:pPr>
    <w:r w:rsidRPr="003F06C4">
      <w:t xml:space="preserve">- </w:t>
    </w:r>
    <w:r w:rsidRPr="003F06C4">
      <w:fldChar w:fldCharType="begin"/>
    </w:r>
    <w:r w:rsidRPr="003F06C4">
      <w:instrText xml:space="preserve"> PAGE </w:instrText>
    </w:r>
    <w:r w:rsidRPr="003F06C4">
      <w:fldChar w:fldCharType="separate"/>
    </w:r>
    <w:r w:rsidRPr="003F06C4">
      <w:rPr>
        <w:noProof/>
      </w:rPr>
      <w:t>1</w:t>
    </w:r>
    <w:r w:rsidRPr="003F06C4">
      <w:fldChar w:fldCharType="end"/>
    </w:r>
    <w:r w:rsidRPr="003F06C4">
      <w:t xml:space="preserve"> -</w:t>
    </w:r>
  </w:p>
  <w:p w14:paraId="347CA4CB" w14:textId="77777777" w:rsidR="00544326" w:rsidRPr="003F06C4" w:rsidRDefault="00544326" w:rsidP="003F06C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AD0F" w14:textId="77777777" w:rsidR="003F06C4" w:rsidRPr="003F06C4" w:rsidRDefault="003F06C4" w:rsidP="003F06C4">
    <w:pPr>
      <w:pStyle w:val="Header"/>
      <w:pBdr>
        <w:bottom w:val="single" w:sz="4" w:space="1" w:color="auto"/>
      </w:pBdr>
      <w:tabs>
        <w:tab w:val="clear" w:pos="4513"/>
        <w:tab w:val="clear" w:pos="9027"/>
      </w:tabs>
      <w:jc w:val="center"/>
    </w:pPr>
    <w:r w:rsidRPr="003F06C4">
      <w:t>GPA/THR/MNE/1</w:t>
    </w:r>
  </w:p>
  <w:p w14:paraId="675913B4" w14:textId="77777777" w:rsidR="003F06C4" w:rsidRPr="003F06C4" w:rsidRDefault="003F06C4" w:rsidP="003F06C4">
    <w:pPr>
      <w:pStyle w:val="Header"/>
      <w:pBdr>
        <w:bottom w:val="single" w:sz="4" w:space="1" w:color="auto"/>
      </w:pBdr>
      <w:tabs>
        <w:tab w:val="clear" w:pos="4513"/>
        <w:tab w:val="clear" w:pos="9027"/>
      </w:tabs>
      <w:jc w:val="center"/>
    </w:pPr>
  </w:p>
  <w:p w14:paraId="5F55D8F3" w14:textId="77777777" w:rsidR="003F06C4" w:rsidRPr="003F06C4" w:rsidRDefault="003F06C4" w:rsidP="003F06C4">
    <w:pPr>
      <w:pStyle w:val="Header"/>
      <w:pBdr>
        <w:bottom w:val="single" w:sz="4" w:space="1" w:color="auto"/>
      </w:pBdr>
      <w:tabs>
        <w:tab w:val="clear" w:pos="4513"/>
        <w:tab w:val="clear" w:pos="9027"/>
      </w:tabs>
      <w:jc w:val="center"/>
    </w:pPr>
    <w:r w:rsidRPr="003F06C4">
      <w:t xml:space="preserve">- </w:t>
    </w:r>
    <w:r w:rsidRPr="003F06C4">
      <w:fldChar w:fldCharType="begin"/>
    </w:r>
    <w:r w:rsidRPr="003F06C4">
      <w:instrText xml:space="preserve"> PAGE </w:instrText>
    </w:r>
    <w:r w:rsidRPr="003F06C4">
      <w:fldChar w:fldCharType="separate"/>
    </w:r>
    <w:r w:rsidRPr="003F06C4">
      <w:rPr>
        <w:noProof/>
      </w:rPr>
      <w:t>1</w:t>
    </w:r>
    <w:r w:rsidRPr="003F06C4">
      <w:fldChar w:fldCharType="end"/>
    </w:r>
    <w:r w:rsidRPr="003F06C4">
      <w:t xml:space="preserve"> -</w:t>
    </w:r>
  </w:p>
  <w:p w14:paraId="7B70C614" w14:textId="77777777" w:rsidR="00544326" w:rsidRPr="003F06C4" w:rsidRDefault="00544326" w:rsidP="003F06C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DBCD6D5" w14:textId="77777777" w:rsidTr="00544326">
      <w:trPr>
        <w:trHeight w:val="240"/>
        <w:jc w:val="center"/>
      </w:trPr>
      <w:tc>
        <w:tcPr>
          <w:tcW w:w="3794" w:type="dxa"/>
          <w:shd w:val="clear" w:color="auto" w:fill="FFFFFF"/>
          <w:tcMar>
            <w:left w:w="108" w:type="dxa"/>
            <w:right w:w="108" w:type="dxa"/>
          </w:tcMar>
          <w:vAlign w:val="center"/>
        </w:tcPr>
        <w:p w14:paraId="6EAF52F5"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570E616F" w14:textId="77777777" w:rsidR="00ED54E0" w:rsidRPr="00182B84" w:rsidRDefault="00ED54E0" w:rsidP="00425DC5">
          <w:pPr>
            <w:jc w:val="right"/>
            <w:rPr>
              <w:b/>
              <w:color w:val="FF0000"/>
              <w:szCs w:val="16"/>
            </w:rPr>
          </w:pPr>
        </w:p>
      </w:tc>
    </w:tr>
    <w:bookmarkEnd w:id="0"/>
    <w:tr w:rsidR="00ED54E0" w:rsidRPr="00182B84" w14:paraId="4B2FB9B7" w14:textId="77777777" w:rsidTr="00544326">
      <w:trPr>
        <w:trHeight w:val="213"/>
        <w:jc w:val="center"/>
      </w:trPr>
      <w:tc>
        <w:tcPr>
          <w:tcW w:w="3794" w:type="dxa"/>
          <w:vMerge w:val="restart"/>
          <w:shd w:val="clear" w:color="auto" w:fill="FFFFFF"/>
          <w:tcMar>
            <w:left w:w="0" w:type="dxa"/>
            <w:right w:w="0" w:type="dxa"/>
          </w:tcMar>
        </w:tcPr>
        <w:p w14:paraId="308A9EB8" w14:textId="77777777" w:rsidR="00ED54E0" w:rsidRPr="00182B84" w:rsidRDefault="00ED54E0" w:rsidP="00425DC5">
          <w:pPr>
            <w:jc w:val="left"/>
          </w:pPr>
          <w:r w:rsidRPr="00182B84">
            <w:rPr>
              <w:noProof/>
              <w:lang w:val="en-US"/>
            </w:rPr>
            <w:drawing>
              <wp:inline distT="0" distB="0" distL="0" distR="0" wp14:anchorId="4611D614" wp14:editId="354EA7BD">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F7BD8D" w14:textId="77777777" w:rsidR="00ED54E0" w:rsidRPr="00182B84" w:rsidRDefault="00ED54E0" w:rsidP="00425DC5">
          <w:pPr>
            <w:jc w:val="right"/>
            <w:rPr>
              <w:b/>
              <w:szCs w:val="16"/>
            </w:rPr>
          </w:pPr>
        </w:p>
      </w:tc>
    </w:tr>
    <w:tr w:rsidR="00ED54E0" w:rsidRPr="00182B84" w14:paraId="32CEDCDD" w14:textId="77777777" w:rsidTr="00544326">
      <w:trPr>
        <w:trHeight w:val="868"/>
        <w:jc w:val="center"/>
      </w:trPr>
      <w:tc>
        <w:tcPr>
          <w:tcW w:w="3794" w:type="dxa"/>
          <w:vMerge/>
          <w:shd w:val="clear" w:color="auto" w:fill="FFFFFF"/>
          <w:tcMar>
            <w:left w:w="108" w:type="dxa"/>
            <w:right w:w="108" w:type="dxa"/>
          </w:tcMar>
        </w:tcPr>
        <w:p w14:paraId="00F4861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FC9B7D7" w14:textId="77777777" w:rsidR="003F06C4" w:rsidRDefault="003F06C4" w:rsidP="00425DC5">
          <w:pPr>
            <w:jc w:val="right"/>
            <w:rPr>
              <w:b/>
              <w:szCs w:val="16"/>
            </w:rPr>
          </w:pPr>
          <w:bookmarkStart w:id="1" w:name="bmkSymbols"/>
          <w:r>
            <w:rPr>
              <w:b/>
              <w:szCs w:val="16"/>
            </w:rPr>
            <w:t>GPA/THR/MNE/1</w:t>
          </w:r>
        </w:p>
        <w:bookmarkEnd w:id="1"/>
        <w:p w14:paraId="389E7A84" w14:textId="77777777" w:rsidR="00ED54E0" w:rsidRPr="00182B84" w:rsidRDefault="00ED54E0" w:rsidP="00425DC5">
          <w:pPr>
            <w:jc w:val="right"/>
            <w:rPr>
              <w:b/>
              <w:szCs w:val="16"/>
            </w:rPr>
          </w:pPr>
        </w:p>
      </w:tc>
    </w:tr>
    <w:tr w:rsidR="00ED54E0" w:rsidRPr="00182B84" w14:paraId="05C7B886" w14:textId="77777777" w:rsidTr="00544326">
      <w:trPr>
        <w:trHeight w:val="240"/>
        <w:jc w:val="center"/>
      </w:trPr>
      <w:tc>
        <w:tcPr>
          <w:tcW w:w="3794" w:type="dxa"/>
          <w:vMerge/>
          <w:shd w:val="clear" w:color="auto" w:fill="FFFFFF"/>
          <w:tcMar>
            <w:left w:w="108" w:type="dxa"/>
            <w:right w:w="108" w:type="dxa"/>
          </w:tcMar>
          <w:vAlign w:val="center"/>
        </w:tcPr>
        <w:p w14:paraId="44FBEBFE" w14:textId="77777777" w:rsidR="00ED54E0" w:rsidRPr="00182B84" w:rsidRDefault="00ED54E0" w:rsidP="00425DC5"/>
      </w:tc>
      <w:tc>
        <w:tcPr>
          <w:tcW w:w="5448" w:type="dxa"/>
          <w:gridSpan w:val="2"/>
          <w:shd w:val="clear" w:color="auto" w:fill="FFFFFF"/>
          <w:tcMar>
            <w:left w:w="108" w:type="dxa"/>
            <w:right w:w="108" w:type="dxa"/>
          </w:tcMar>
          <w:vAlign w:val="center"/>
        </w:tcPr>
        <w:p w14:paraId="0F9943B9" w14:textId="0512F149" w:rsidR="00ED54E0" w:rsidRPr="00182B84" w:rsidRDefault="000D50C4" w:rsidP="00425DC5">
          <w:pPr>
            <w:jc w:val="right"/>
            <w:rPr>
              <w:szCs w:val="16"/>
            </w:rPr>
          </w:pPr>
          <w:r>
            <w:rPr>
              <w:szCs w:val="16"/>
            </w:rPr>
            <w:t>5</w:t>
          </w:r>
          <w:r w:rsidR="003F06C4">
            <w:rPr>
              <w:szCs w:val="16"/>
            </w:rPr>
            <w:t xml:space="preserve"> March 2021</w:t>
          </w:r>
        </w:p>
      </w:tc>
    </w:tr>
    <w:tr w:rsidR="00ED54E0" w:rsidRPr="00182B84" w14:paraId="15C717C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FE9584" w14:textId="15F4CA0F" w:rsidR="00ED54E0" w:rsidRPr="00182B84" w:rsidRDefault="00ED54E0" w:rsidP="00425DC5">
          <w:pPr>
            <w:jc w:val="left"/>
            <w:rPr>
              <w:b/>
            </w:rPr>
          </w:pPr>
          <w:bookmarkStart w:id="2" w:name="bmkSerial" w:colFirst="0" w:colLast="0"/>
          <w:r w:rsidRPr="00182B84">
            <w:rPr>
              <w:color w:val="FF0000"/>
              <w:szCs w:val="16"/>
            </w:rPr>
            <w:t>(</w:t>
          </w:r>
          <w:r w:rsidR="00665C8C">
            <w:rPr>
              <w:color w:val="FF0000"/>
              <w:szCs w:val="16"/>
            </w:rPr>
            <w:t>21</w:t>
          </w:r>
          <w:r w:rsidRPr="00182B84">
            <w:rPr>
              <w:color w:val="FF0000"/>
              <w:szCs w:val="16"/>
            </w:rPr>
            <w:t>-</w:t>
          </w:r>
          <w:r w:rsidR="00C173AC">
            <w:rPr>
              <w:color w:val="FF0000"/>
              <w:szCs w:val="16"/>
            </w:rPr>
            <w:t>1846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6BAC292"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062A7D53"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E91F97" w14:textId="77777777" w:rsidR="00ED54E0" w:rsidRPr="00182B84" w:rsidRDefault="003F06C4" w:rsidP="00425DC5">
          <w:pPr>
            <w:jc w:val="left"/>
            <w:rPr>
              <w:sz w:val="14"/>
              <w:szCs w:val="16"/>
            </w:rPr>
          </w:pPr>
          <w:bookmarkStart w:id="4" w:name="bmkCommittee"/>
          <w:bookmarkStart w:id="5" w:name="bmkLanguage" w:colFirst="1" w:colLast="1"/>
          <w:bookmarkEnd w:id="2"/>
          <w:r>
            <w:rPr>
              <w:b/>
            </w:rPr>
            <w:t>Committee on Government Procurement</w:t>
          </w:r>
          <w:bookmarkEnd w:id="4"/>
        </w:p>
      </w:tc>
      <w:tc>
        <w:tcPr>
          <w:tcW w:w="3325" w:type="dxa"/>
          <w:tcBorders>
            <w:top w:val="single" w:sz="4" w:space="0" w:color="auto"/>
          </w:tcBorders>
          <w:tcMar>
            <w:top w:w="113" w:type="dxa"/>
            <w:left w:w="108" w:type="dxa"/>
            <w:bottom w:w="57" w:type="dxa"/>
            <w:right w:w="108" w:type="dxa"/>
          </w:tcMar>
          <w:vAlign w:val="center"/>
        </w:tcPr>
        <w:p w14:paraId="376DB0F5" w14:textId="77777777" w:rsidR="00ED54E0" w:rsidRPr="00182B84" w:rsidRDefault="003F06C4" w:rsidP="00425DC5">
          <w:pPr>
            <w:jc w:val="right"/>
            <w:rPr>
              <w:bCs/>
              <w:szCs w:val="18"/>
            </w:rPr>
          </w:pPr>
          <w:r>
            <w:rPr>
              <w:szCs w:val="18"/>
            </w:rPr>
            <w:t>Original: English</w:t>
          </w:r>
        </w:p>
      </w:tc>
    </w:tr>
    <w:bookmarkEnd w:id="5"/>
  </w:tbl>
  <w:p w14:paraId="2716963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C4"/>
    <w:rsid w:val="00000884"/>
    <w:rsid w:val="00011EBD"/>
    <w:rsid w:val="000272F6"/>
    <w:rsid w:val="00037AC4"/>
    <w:rsid w:val="000423BF"/>
    <w:rsid w:val="000A4945"/>
    <w:rsid w:val="000B31E1"/>
    <w:rsid w:val="000D50C4"/>
    <w:rsid w:val="0011356B"/>
    <w:rsid w:val="00121D5E"/>
    <w:rsid w:val="0013337F"/>
    <w:rsid w:val="00182B84"/>
    <w:rsid w:val="001E291F"/>
    <w:rsid w:val="00233408"/>
    <w:rsid w:val="0027067B"/>
    <w:rsid w:val="003156C6"/>
    <w:rsid w:val="003572B4"/>
    <w:rsid w:val="003F06C4"/>
    <w:rsid w:val="00437D70"/>
    <w:rsid w:val="00467032"/>
    <w:rsid w:val="0046754A"/>
    <w:rsid w:val="004F203A"/>
    <w:rsid w:val="005336B8"/>
    <w:rsid w:val="00544326"/>
    <w:rsid w:val="00547B5F"/>
    <w:rsid w:val="005A1A22"/>
    <w:rsid w:val="005B04B9"/>
    <w:rsid w:val="005B68C7"/>
    <w:rsid w:val="005B7054"/>
    <w:rsid w:val="005D5981"/>
    <w:rsid w:val="005F30CB"/>
    <w:rsid w:val="00612644"/>
    <w:rsid w:val="00665C8C"/>
    <w:rsid w:val="00674CCD"/>
    <w:rsid w:val="006F5826"/>
    <w:rsid w:val="00700181"/>
    <w:rsid w:val="007141CF"/>
    <w:rsid w:val="00745146"/>
    <w:rsid w:val="007577E3"/>
    <w:rsid w:val="00760DB3"/>
    <w:rsid w:val="007E6507"/>
    <w:rsid w:val="007F2B8E"/>
    <w:rsid w:val="007F32D1"/>
    <w:rsid w:val="00807247"/>
    <w:rsid w:val="00840C2B"/>
    <w:rsid w:val="008474F1"/>
    <w:rsid w:val="008739FD"/>
    <w:rsid w:val="00893E85"/>
    <w:rsid w:val="008E372C"/>
    <w:rsid w:val="0094357E"/>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173AC"/>
    <w:rsid w:val="00C305D7"/>
    <w:rsid w:val="00C30F2A"/>
    <w:rsid w:val="00C43456"/>
    <w:rsid w:val="00C65C0C"/>
    <w:rsid w:val="00C808FC"/>
    <w:rsid w:val="00CA2AC9"/>
    <w:rsid w:val="00CD7D97"/>
    <w:rsid w:val="00CE3EE6"/>
    <w:rsid w:val="00CE4467"/>
    <w:rsid w:val="00CE4BA1"/>
    <w:rsid w:val="00D000C7"/>
    <w:rsid w:val="00D221B8"/>
    <w:rsid w:val="00D33BE3"/>
    <w:rsid w:val="00D52A9D"/>
    <w:rsid w:val="00D55AAD"/>
    <w:rsid w:val="00D747AE"/>
    <w:rsid w:val="00D9226C"/>
    <w:rsid w:val="00DA20BD"/>
    <w:rsid w:val="00DE50DB"/>
    <w:rsid w:val="00DF6AE1"/>
    <w:rsid w:val="00E46FD5"/>
    <w:rsid w:val="00E544BB"/>
    <w:rsid w:val="00E56545"/>
    <w:rsid w:val="00E67F5E"/>
    <w:rsid w:val="00E84C5B"/>
    <w:rsid w:val="00EA5D4F"/>
    <w:rsid w:val="00EB6C56"/>
    <w:rsid w:val="00ED1D47"/>
    <w:rsid w:val="00ED54E0"/>
    <w:rsid w:val="00F04A9D"/>
    <w:rsid w:val="00F1136A"/>
    <w:rsid w:val="00F32397"/>
    <w:rsid w:val="00F40595"/>
    <w:rsid w:val="00FA5EBC"/>
    <w:rsid w:val="00FD224A"/>
    <w:rsid w:val="00FD54AB"/>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C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53</TotalTime>
  <Pages>1</Pages>
  <Words>212</Words>
  <Characters>1193</Characters>
  <Application>Microsoft Office Word</Application>
  <DocSecurity>0</DocSecurity>
  <Lines>64</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cp:revision>
  <dcterms:created xsi:type="dcterms:W3CDTF">2021-03-04T13:12:00Z</dcterms:created>
  <dcterms:modified xsi:type="dcterms:W3CDTF">2021-03-05T10:20:00Z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GPA/THR/MNE/1</vt:lpwstr>
  </property>
  <property fmtid="{D5CDD505-2E9C-101B-9397-08002B2CF9AE}" pid="3" name="TitusGUID">
    <vt:lpwstr>0a4e4dd5-7307-49ce-9c3f-1300bca3ca38</vt:lpwstr>
  </property>
  <property fmtid="{D5CDD505-2E9C-101B-9397-08002B2CF9AE}" pid="4" name="WTOCLASSIFICATION">
    <vt:lpwstr>WTO OFFICIAL</vt:lpwstr>
  </property>
</Properties>
</file>