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3001" w14:textId="07449680" w:rsidR="00EB7232" w:rsidRDefault="00EB7232" w:rsidP="00EB7232">
      <w:pPr>
        <w:pStyle w:val="Title"/>
        <w:rPr>
          <w:szCs w:val="18"/>
        </w:rPr>
      </w:pPr>
      <w:bookmarkStart w:id="8" w:name="_Hlk74745374"/>
      <w:r>
        <w:rPr>
          <w:szCs w:val="18"/>
        </w:rPr>
        <w:t>Report of the MEETING held on 30 March 2021</w:t>
      </w:r>
    </w:p>
    <w:p w14:paraId="07169572" w14:textId="77777777" w:rsidR="00EB7232" w:rsidRDefault="00EB7232" w:rsidP="00EB7232">
      <w:pPr>
        <w:pStyle w:val="Title2"/>
      </w:pPr>
      <w:bookmarkStart w:id="9" w:name="_Toc414626423"/>
      <w:bookmarkStart w:id="10" w:name="_Toc414528728"/>
      <w:r>
        <w:t>Note by the Secretariat</w:t>
      </w:r>
      <w:r>
        <w:rPr>
          <w:rStyle w:val="FootnoteReference"/>
        </w:rPr>
        <w:footnoteReference w:id="1"/>
      </w:r>
      <w:bookmarkEnd w:id="9"/>
      <w:bookmarkEnd w:id="10"/>
    </w:p>
    <w:p w14:paraId="086FEC4B" w14:textId="21DD89EE" w:rsidR="00EB7232" w:rsidRDefault="00EB7232" w:rsidP="00EB7232">
      <w:pPr>
        <w:spacing w:after="240"/>
      </w:pPr>
      <w:r w:rsidRPr="00AD56BD">
        <w:t xml:space="preserve">The Committee on Trade and Environment (CTE Regular) met on </w:t>
      </w:r>
      <w:r>
        <w:t>30 March 2021</w:t>
      </w:r>
      <w:r w:rsidRPr="00AD56BD">
        <w:t>, chaired by</w:t>
      </w:r>
      <w:r>
        <w:t xml:space="preserve"> </w:t>
      </w:r>
      <w:r>
        <w:br/>
      </w:r>
      <w:r>
        <w:rPr>
          <w:rFonts w:cs="Arial"/>
        </w:rPr>
        <w:t>H.E. </w:t>
      </w:r>
      <w:r w:rsidRPr="37FEBA0A">
        <w:rPr>
          <w:rFonts w:cs="Arial"/>
        </w:rPr>
        <w:t>Mr</w:t>
      </w:r>
      <w:r>
        <w:rPr>
          <w:rFonts w:cs="Arial"/>
        </w:rPr>
        <w:t> Chad Blackman (Barbados</w:t>
      </w:r>
      <w:r w:rsidRPr="37FEBA0A">
        <w:rPr>
          <w:rFonts w:cs="Arial"/>
        </w:rPr>
        <w:t>)</w:t>
      </w:r>
      <w:r w:rsidRPr="00AD56BD">
        <w:t>. The Committee adopted the Airgram,</w:t>
      </w:r>
      <w:r>
        <w:t xml:space="preserve"> </w:t>
      </w:r>
      <w:r w:rsidRPr="000F689C">
        <w:rPr>
          <w:b/>
        </w:rPr>
        <w:t>WTO/AIR/CTE/</w:t>
      </w:r>
      <w:r>
        <w:rPr>
          <w:b/>
        </w:rPr>
        <w:t>14</w:t>
      </w:r>
      <w:r w:rsidRPr="000F689C">
        <w:t xml:space="preserve">, dated </w:t>
      </w:r>
      <w:r>
        <w:t>18 January 2021.</w:t>
      </w:r>
      <w:r w:rsidRPr="007C63E1">
        <w:t xml:space="preserve"> </w:t>
      </w:r>
      <w:r>
        <w:t>The Report of the last CTE meeting, held on 16 and 20 November</w:t>
      </w:r>
      <w:r w:rsidRPr="00EE5C30">
        <w:rPr>
          <w:szCs w:val="18"/>
        </w:rPr>
        <w:t xml:space="preserve"> 2020</w:t>
      </w:r>
      <w:r>
        <w:rPr>
          <w:szCs w:val="18"/>
        </w:rPr>
        <w:t xml:space="preserve">, </w:t>
      </w:r>
      <w:r>
        <w:t xml:space="preserve">is contained in </w:t>
      </w:r>
      <w:hyperlink r:id="rId9" w:history="1">
        <w:r w:rsidR="00C4183B" w:rsidRPr="00C4183B">
          <w:rPr>
            <w:rStyle w:val="Hyperlink"/>
            <w:b/>
            <w:bCs/>
          </w:rPr>
          <w:t>WT/CTE/M/70</w:t>
        </w:r>
      </w:hyperlink>
      <w:r>
        <w:t>.</w:t>
      </w:r>
    </w:p>
    <w:p w14:paraId="48C89D5C" w14:textId="77777777" w:rsidR="00EB7232" w:rsidRDefault="00EB7232" w:rsidP="00EB7232">
      <w:pPr>
        <w:tabs>
          <w:tab w:val="left" w:pos="-720"/>
        </w:tabs>
        <w:suppressAutoHyphens/>
        <w:jc w:val="center"/>
        <w:rPr>
          <w:b/>
          <w:szCs w:val="18"/>
        </w:rPr>
      </w:pPr>
      <w:r w:rsidRPr="001759E3">
        <w:rPr>
          <w:b/>
          <w:szCs w:val="18"/>
        </w:rPr>
        <w:t>_______________</w:t>
      </w:r>
    </w:p>
    <w:p w14:paraId="1D530493" w14:textId="50B2D5EF" w:rsidR="00E21F03" w:rsidRDefault="00E21F03" w:rsidP="00E21F03">
      <w:pPr>
        <w:tabs>
          <w:tab w:val="left" w:pos="-720"/>
        </w:tabs>
        <w:suppressAutoHyphens/>
        <w:jc w:val="center"/>
        <w:rPr>
          <w:b/>
          <w:szCs w:val="18"/>
        </w:rPr>
      </w:pPr>
    </w:p>
    <w:p w14:paraId="7A20E77A" w14:textId="1E151D9A" w:rsidR="009D3004" w:rsidRDefault="00163F31" w:rsidP="009D3004">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4660652" w:history="1">
        <w:r w:rsidR="009D3004" w:rsidRPr="0076795A">
          <w:rPr>
            <w:rStyle w:val="Hyperlink"/>
            <w:noProof/>
          </w:rPr>
          <w:t>1</w:t>
        </w:r>
        <w:r w:rsidR="0013743A" w:rsidRPr="0076795A">
          <w:rPr>
            <w:rStyle w:val="Hyperlink"/>
            <w:noProof/>
          </w:rPr>
          <w:t> </w:t>
        </w:r>
        <w:r w:rsidR="009D3004" w:rsidRPr="0076795A">
          <w:rPr>
            <w:rStyle w:val="Hyperlink"/>
            <w:noProof/>
          </w:rPr>
          <w:t xml:space="preserve"> Paragraph 32 of the Doha Ministerial Declaration</w:t>
        </w:r>
        <w:r w:rsidR="009D3004">
          <w:rPr>
            <w:noProof/>
            <w:webHidden/>
          </w:rPr>
          <w:tab/>
        </w:r>
        <w:r w:rsidR="009D3004">
          <w:rPr>
            <w:noProof/>
            <w:webHidden/>
          </w:rPr>
          <w:fldChar w:fldCharType="begin"/>
        </w:r>
        <w:r w:rsidR="009D3004">
          <w:rPr>
            <w:noProof/>
            <w:webHidden/>
          </w:rPr>
          <w:instrText xml:space="preserve"> PAGEREF _Toc74660652 \h </w:instrText>
        </w:r>
        <w:r w:rsidR="009D3004">
          <w:rPr>
            <w:noProof/>
            <w:webHidden/>
          </w:rPr>
        </w:r>
        <w:r w:rsidR="009D3004">
          <w:rPr>
            <w:noProof/>
            <w:webHidden/>
          </w:rPr>
          <w:fldChar w:fldCharType="separate"/>
        </w:r>
        <w:r w:rsidR="000732B4">
          <w:rPr>
            <w:noProof/>
            <w:webHidden/>
          </w:rPr>
          <w:t>4</w:t>
        </w:r>
        <w:r w:rsidR="009D3004">
          <w:rPr>
            <w:noProof/>
            <w:webHidden/>
          </w:rPr>
          <w:fldChar w:fldCharType="end"/>
        </w:r>
      </w:hyperlink>
    </w:p>
    <w:p w14:paraId="5B5D286F" w14:textId="5719EFFC" w:rsidR="009D3004" w:rsidRDefault="00A275BA" w:rsidP="009D3004">
      <w:pPr>
        <w:pStyle w:val="TOC2"/>
        <w:ind w:right="95"/>
        <w:rPr>
          <w:rFonts w:asciiTheme="minorHAnsi" w:eastAsiaTheme="minorEastAsia" w:hAnsiTheme="minorHAnsi" w:cstheme="minorBidi"/>
          <w:noProof/>
          <w:sz w:val="22"/>
          <w:szCs w:val="22"/>
        </w:rPr>
      </w:pPr>
      <w:hyperlink w:anchor="_Toc74660653" w:history="1">
        <w:r w:rsidR="009D3004" w:rsidRPr="0076795A">
          <w:rPr>
            <w:rStyle w:val="Hyperlink"/>
            <w:noProof/>
          </w:rPr>
          <w:t>1.1</w:t>
        </w:r>
        <w:r w:rsidR="0013743A" w:rsidRPr="0076795A">
          <w:rPr>
            <w:rStyle w:val="Hyperlink"/>
            <w:noProof/>
          </w:rPr>
          <w:t> </w:t>
        </w:r>
        <w:r w:rsidR="009D3004" w:rsidRPr="0076795A">
          <w:rPr>
            <w:rStyle w:val="Hyperlink"/>
            <w:noProof/>
          </w:rPr>
          <w:t xml:space="preserve"> Environmental measures and market access (Paragraph 32 (i) of the Doha Ministerial Declaration)</w:t>
        </w:r>
        <w:r w:rsidR="009D3004">
          <w:rPr>
            <w:noProof/>
            <w:webHidden/>
          </w:rPr>
          <w:tab/>
        </w:r>
        <w:r w:rsidR="009D3004">
          <w:rPr>
            <w:noProof/>
            <w:webHidden/>
          </w:rPr>
          <w:fldChar w:fldCharType="begin"/>
        </w:r>
        <w:r w:rsidR="009D3004">
          <w:rPr>
            <w:noProof/>
            <w:webHidden/>
          </w:rPr>
          <w:instrText xml:space="preserve"> PAGEREF _Toc74660653 \h </w:instrText>
        </w:r>
        <w:r w:rsidR="009D3004">
          <w:rPr>
            <w:noProof/>
            <w:webHidden/>
          </w:rPr>
        </w:r>
        <w:r w:rsidR="009D3004">
          <w:rPr>
            <w:noProof/>
            <w:webHidden/>
          </w:rPr>
          <w:fldChar w:fldCharType="separate"/>
        </w:r>
        <w:r w:rsidR="000732B4">
          <w:rPr>
            <w:noProof/>
            <w:webHidden/>
          </w:rPr>
          <w:t>4</w:t>
        </w:r>
        <w:r w:rsidR="009D3004">
          <w:rPr>
            <w:noProof/>
            <w:webHidden/>
          </w:rPr>
          <w:fldChar w:fldCharType="end"/>
        </w:r>
      </w:hyperlink>
    </w:p>
    <w:p w14:paraId="1FE50092" w14:textId="18BC5020" w:rsidR="009D3004" w:rsidRDefault="00A275BA" w:rsidP="009D3004">
      <w:pPr>
        <w:pStyle w:val="TOC3"/>
        <w:ind w:right="95"/>
        <w:rPr>
          <w:rFonts w:asciiTheme="minorHAnsi" w:eastAsiaTheme="minorEastAsia" w:hAnsiTheme="minorHAnsi" w:cstheme="minorBidi"/>
          <w:noProof/>
          <w:sz w:val="22"/>
          <w:szCs w:val="22"/>
        </w:rPr>
      </w:pPr>
      <w:hyperlink w:anchor="_Toc74660654" w:history="1">
        <w:r w:rsidR="009D3004" w:rsidRPr="0076795A">
          <w:rPr>
            <w:rStyle w:val="Hyperlink"/>
            <w:noProof/>
          </w:rPr>
          <w:t>1.1.1</w:t>
        </w:r>
        <w:r w:rsidR="0013743A" w:rsidRPr="0076795A">
          <w:rPr>
            <w:rStyle w:val="Hyperlink"/>
            <w:noProof/>
          </w:rPr>
          <w:t> </w:t>
        </w:r>
        <w:r w:rsidR="009D3004" w:rsidRPr="0076795A">
          <w:rPr>
            <w:rStyle w:val="Hyperlink"/>
            <w:noProof/>
          </w:rPr>
          <w:t xml:space="preserve"> Fossil Fuel Subsidy Reform</w:t>
        </w:r>
        <w:r w:rsidR="009D3004">
          <w:rPr>
            <w:noProof/>
            <w:webHidden/>
          </w:rPr>
          <w:tab/>
        </w:r>
        <w:r w:rsidR="009D3004">
          <w:rPr>
            <w:noProof/>
            <w:webHidden/>
          </w:rPr>
          <w:fldChar w:fldCharType="begin"/>
        </w:r>
        <w:r w:rsidR="009D3004">
          <w:rPr>
            <w:noProof/>
            <w:webHidden/>
          </w:rPr>
          <w:instrText xml:space="preserve"> PAGEREF _Toc74660654 \h </w:instrText>
        </w:r>
        <w:r w:rsidR="009D3004">
          <w:rPr>
            <w:noProof/>
            <w:webHidden/>
          </w:rPr>
        </w:r>
        <w:r w:rsidR="009D3004">
          <w:rPr>
            <w:noProof/>
            <w:webHidden/>
          </w:rPr>
          <w:fldChar w:fldCharType="separate"/>
        </w:r>
        <w:r w:rsidR="000732B4">
          <w:rPr>
            <w:noProof/>
            <w:webHidden/>
          </w:rPr>
          <w:t>4</w:t>
        </w:r>
        <w:r w:rsidR="009D3004">
          <w:rPr>
            <w:noProof/>
            <w:webHidden/>
          </w:rPr>
          <w:fldChar w:fldCharType="end"/>
        </w:r>
      </w:hyperlink>
    </w:p>
    <w:p w14:paraId="2F539723" w14:textId="43C025D5" w:rsidR="009D3004" w:rsidRDefault="00A275BA" w:rsidP="009D3004">
      <w:pPr>
        <w:pStyle w:val="TOC4"/>
        <w:ind w:right="95"/>
        <w:rPr>
          <w:rFonts w:asciiTheme="minorHAnsi" w:eastAsiaTheme="minorEastAsia" w:hAnsiTheme="minorHAnsi" w:cstheme="minorBidi"/>
          <w:noProof/>
          <w:sz w:val="22"/>
          <w:szCs w:val="22"/>
        </w:rPr>
      </w:pPr>
      <w:hyperlink w:anchor="_Toc74660655" w:history="1">
        <w:r w:rsidR="009D3004" w:rsidRPr="0076795A">
          <w:rPr>
            <w:rStyle w:val="Hyperlink"/>
            <w:noProof/>
          </w:rPr>
          <w:t>1.1.1.1</w:t>
        </w:r>
        <w:r w:rsidR="0013743A" w:rsidRPr="0076795A">
          <w:rPr>
            <w:rStyle w:val="Hyperlink"/>
            <w:noProof/>
          </w:rPr>
          <w:t> </w:t>
        </w:r>
        <w:r w:rsidR="009D3004" w:rsidRPr="0076795A">
          <w:rPr>
            <w:rStyle w:val="Hyperlink"/>
            <w:noProof/>
          </w:rPr>
          <w:t xml:space="preserve"> New Zealand's Update on Fossil Fuel Subsidy Reform (FFSR)</w:t>
        </w:r>
        <w:r w:rsidR="009D3004">
          <w:rPr>
            <w:noProof/>
            <w:webHidden/>
          </w:rPr>
          <w:tab/>
        </w:r>
        <w:r w:rsidR="009D3004">
          <w:rPr>
            <w:noProof/>
            <w:webHidden/>
          </w:rPr>
          <w:fldChar w:fldCharType="begin"/>
        </w:r>
        <w:r w:rsidR="009D3004">
          <w:rPr>
            <w:noProof/>
            <w:webHidden/>
          </w:rPr>
          <w:instrText xml:space="preserve"> PAGEREF _Toc74660655 \h </w:instrText>
        </w:r>
        <w:r w:rsidR="009D3004">
          <w:rPr>
            <w:noProof/>
            <w:webHidden/>
          </w:rPr>
        </w:r>
        <w:r w:rsidR="009D3004">
          <w:rPr>
            <w:noProof/>
            <w:webHidden/>
          </w:rPr>
          <w:fldChar w:fldCharType="separate"/>
        </w:r>
        <w:r w:rsidR="000732B4">
          <w:rPr>
            <w:noProof/>
            <w:webHidden/>
          </w:rPr>
          <w:t>4</w:t>
        </w:r>
        <w:r w:rsidR="009D3004">
          <w:rPr>
            <w:noProof/>
            <w:webHidden/>
          </w:rPr>
          <w:fldChar w:fldCharType="end"/>
        </w:r>
      </w:hyperlink>
    </w:p>
    <w:p w14:paraId="34D9F919" w14:textId="62C23B75" w:rsidR="009D3004" w:rsidRDefault="00A275BA" w:rsidP="009D3004">
      <w:pPr>
        <w:pStyle w:val="TOC4"/>
        <w:ind w:right="95"/>
        <w:rPr>
          <w:rFonts w:asciiTheme="minorHAnsi" w:eastAsiaTheme="minorEastAsia" w:hAnsiTheme="minorHAnsi" w:cstheme="minorBidi"/>
          <w:noProof/>
          <w:sz w:val="22"/>
          <w:szCs w:val="22"/>
        </w:rPr>
      </w:pPr>
      <w:hyperlink w:anchor="_Toc74660656" w:history="1">
        <w:r w:rsidR="009D3004" w:rsidRPr="0076795A">
          <w:rPr>
            <w:rStyle w:val="Hyperlink"/>
            <w:noProof/>
          </w:rPr>
          <w:t>1.1.1.2</w:t>
        </w:r>
        <w:r w:rsidR="0013743A" w:rsidRPr="0076795A">
          <w:rPr>
            <w:rStyle w:val="Hyperlink"/>
            <w:noProof/>
          </w:rPr>
          <w:t> </w:t>
        </w:r>
        <w:r w:rsidR="009D3004" w:rsidRPr="0076795A">
          <w:rPr>
            <w:rStyle w:val="Hyperlink"/>
            <w:noProof/>
          </w:rPr>
          <w:t xml:space="preserve"> Organisation for Economic Co-operation and Development (OECD)'s Briefing on </w:t>
        </w:r>
        <w:r w:rsidR="009D3004">
          <w:rPr>
            <w:rStyle w:val="Hyperlink"/>
            <w:noProof/>
          </w:rPr>
          <w:br/>
        </w:r>
        <w:r w:rsidR="009D3004" w:rsidRPr="0076795A">
          <w:rPr>
            <w:rStyle w:val="Hyperlink"/>
            <w:noProof/>
          </w:rPr>
          <w:t>Recent Work Related to FFS</w:t>
        </w:r>
        <w:r w:rsidR="009D3004">
          <w:rPr>
            <w:noProof/>
            <w:webHidden/>
          </w:rPr>
          <w:tab/>
        </w:r>
        <w:r w:rsidR="009D3004">
          <w:rPr>
            <w:noProof/>
            <w:webHidden/>
          </w:rPr>
          <w:fldChar w:fldCharType="begin"/>
        </w:r>
        <w:r w:rsidR="009D3004">
          <w:rPr>
            <w:noProof/>
            <w:webHidden/>
          </w:rPr>
          <w:instrText xml:space="preserve"> PAGEREF _Toc74660656 \h </w:instrText>
        </w:r>
        <w:r w:rsidR="009D3004">
          <w:rPr>
            <w:noProof/>
            <w:webHidden/>
          </w:rPr>
        </w:r>
        <w:r w:rsidR="009D3004">
          <w:rPr>
            <w:noProof/>
            <w:webHidden/>
          </w:rPr>
          <w:fldChar w:fldCharType="separate"/>
        </w:r>
        <w:r w:rsidR="000732B4">
          <w:rPr>
            <w:noProof/>
            <w:webHidden/>
          </w:rPr>
          <w:t>5</w:t>
        </w:r>
        <w:r w:rsidR="009D3004">
          <w:rPr>
            <w:noProof/>
            <w:webHidden/>
          </w:rPr>
          <w:fldChar w:fldCharType="end"/>
        </w:r>
      </w:hyperlink>
    </w:p>
    <w:p w14:paraId="293616B0" w14:textId="170AD4FA" w:rsidR="009D3004" w:rsidRDefault="00A275BA" w:rsidP="009D3004">
      <w:pPr>
        <w:pStyle w:val="TOC3"/>
        <w:ind w:right="95"/>
        <w:rPr>
          <w:rFonts w:asciiTheme="minorHAnsi" w:eastAsiaTheme="minorEastAsia" w:hAnsiTheme="minorHAnsi" w:cstheme="minorBidi"/>
          <w:noProof/>
          <w:sz w:val="22"/>
          <w:szCs w:val="22"/>
        </w:rPr>
      </w:pPr>
      <w:hyperlink w:anchor="_Toc74660657" w:history="1">
        <w:r w:rsidR="009D3004" w:rsidRPr="0076795A">
          <w:rPr>
            <w:rStyle w:val="Hyperlink"/>
            <w:noProof/>
          </w:rPr>
          <w:t>1.1.2</w:t>
        </w:r>
        <w:r w:rsidR="0013743A" w:rsidRPr="0076795A">
          <w:rPr>
            <w:rStyle w:val="Hyperlink"/>
            <w:noProof/>
          </w:rPr>
          <w:t> </w:t>
        </w:r>
        <w:r w:rsidR="009D3004" w:rsidRPr="0076795A">
          <w:rPr>
            <w:rStyle w:val="Hyperlink"/>
            <w:noProof/>
          </w:rPr>
          <w:t xml:space="preserve"> Circular economy and plastics pollution</w:t>
        </w:r>
        <w:r w:rsidR="009D3004">
          <w:rPr>
            <w:noProof/>
            <w:webHidden/>
          </w:rPr>
          <w:tab/>
        </w:r>
        <w:r w:rsidR="009D3004">
          <w:rPr>
            <w:noProof/>
            <w:webHidden/>
          </w:rPr>
          <w:fldChar w:fldCharType="begin"/>
        </w:r>
        <w:r w:rsidR="009D3004">
          <w:rPr>
            <w:noProof/>
            <w:webHidden/>
          </w:rPr>
          <w:instrText xml:space="preserve"> PAGEREF _Toc74660657 \h </w:instrText>
        </w:r>
        <w:r w:rsidR="009D3004">
          <w:rPr>
            <w:noProof/>
            <w:webHidden/>
          </w:rPr>
        </w:r>
        <w:r w:rsidR="009D3004">
          <w:rPr>
            <w:noProof/>
            <w:webHidden/>
          </w:rPr>
          <w:fldChar w:fldCharType="separate"/>
        </w:r>
        <w:r w:rsidR="000732B4">
          <w:rPr>
            <w:noProof/>
            <w:webHidden/>
          </w:rPr>
          <w:t>6</w:t>
        </w:r>
        <w:r w:rsidR="009D3004">
          <w:rPr>
            <w:noProof/>
            <w:webHidden/>
          </w:rPr>
          <w:fldChar w:fldCharType="end"/>
        </w:r>
      </w:hyperlink>
    </w:p>
    <w:p w14:paraId="1B113947" w14:textId="35D54164" w:rsidR="009D3004" w:rsidRDefault="00A275BA" w:rsidP="009D3004">
      <w:pPr>
        <w:pStyle w:val="TOC4"/>
        <w:ind w:right="95"/>
        <w:rPr>
          <w:rFonts w:asciiTheme="minorHAnsi" w:eastAsiaTheme="minorEastAsia" w:hAnsiTheme="minorHAnsi" w:cstheme="minorBidi"/>
          <w:noProof/>
          <w:sz w:val="22"/>
          <w:szCs w:val="22"/>
        </w:rPr>
      </w:pPr>
      <w:hyperlink w:anchor="_Toc74660658" w:history="1">
        <w:r w:rsidR="009D3004" w:rsidRPr="0076795A">
          <w:rPr>
            <w:rStyle w:val="Hyperlink"/>
            <w:noProof/>
          </w:rPr>
          <w:t>1.1.2.1</w:t>
        </w:r>
        <w:r w:rsidR="0013743A" w:rsidRPr="0076795A">
          <w:rPr>
            <w:rStyle w:val="Hyperlink"/>
            <w:noProof/>
          </w:rPr>
          <w:t> </w:t>
        </w:r>
        <w:r w:rsidR="009D3004" w:rsidRPr="0076795A">
          <w:rPr>
            <w:rStyle w:val="Hyperlink"/>
            <w:noProof/>
          </w:rPr>
          <w:t xml:space="preserve"> Briefing by Morocco on the Informal Dialogue on Plastics Pollution and </w:t>
        </w:r>
        <w:r w:rsidR="009D3004">
          <w:rPr>
            <w:rStyle w:val="Hyperlink"/>
            <w:noProof/>
          </w:rPr>
          <w:br/>
        </w:r>
        <w:r w:rsidR="009D3004" w:rsidRPr="0076795A">
          <w:rPr>
            <w:rStyle w:val="Hyperlink"/>
            <w:noProof/>
          </w:rPr>
          <w:t>Environmentally Sustainable Plastics Trade (IDP)</w:t>
        </w:r>
        <w:r w:rsidR="009D3004">
          <w:rPr>
            <w:noProof/>
            <w:webHidden/>
          </w:rPr>
          <w:tab/>
        </w:r>
        <w:r w:rsidR="009D3004">
          <w:rPr>
            <w:noProof/>
            <w:webHidden/>
          </w:rPr>
          <w:fldChar w:fldCharType="begin"/>
        </w:r>
        <w:r w:rsidR="009D3004">
          <w:rPr>
            <w:noProof/>
            <w:webHidden/>
          </w:rPr>
          <w:instrText xml:space="preserve"> PAGEREF _Toc74660658 \h </w:instrText>
        </w:r>
        <w:r w:rsidR="009D3004">
          <w:rPr>
            <w:noProof/>
            <w:webHidden/>
          </w:rPr>
        </w:r>
        <w:r w:rsidR="009D3004">
          <w:rPr>
            <w:noProof/>
            <w:webHidden/>
          </w:rPr>
          <w:fldChar w:fldCharType="separate"/>
        </w:r>
        <w:r w:rsidR="000732B4">
          <w:rPr>
            <w:noProof/>
            <w:webHidden/>
          </w:rPr>
          <w:t>6</w:t>
        </w:r>
        <w:r w:rsidR="009D3004">
          <w:rPr>
            <w:noProof/>
            <w:webHidden/>
          </w:rPr>
          <w:fldChar w:fldCharType="end"/>
        </w:r>
      </w:hyperlink>
    </w:p>
    <w:p w14:paraId="7ECF1C60" w14:textId="4370D5CC" w:rsidR="009D3004" w:rsidRDefault="00A275BA" w:rsidP="009D3004">
      <w:pPr>
        <w:pStyle w:val="TOC4"/>
        <w:ind w:right="95"/>
        <w:rPr>
          <w:rFonts w:asciiTheme="minorHAnsi" w:eastAsiaTheme="minorEastAsia" w:hAnsiTheme="minorHAnsi" w:cstheme="minorBidi"/>
          <w:noProof/>
          <w:sz w:val="22"/>
          <w:szCs w:val="22"/>
        </w:rPr>
      </w:pPr>
      <w:hyperlink w:anchor="_Toc74660659" w:history="1">
        <w:r w:rsidR="009D3004" w:rsidRPr="0076795A">
          <w:rPr>
            <w:rStyle w:val="Hyperlink"/>
            <w:noProof/>
          </w:rPr>
          <w:t>1.1.2.2</w:t>
        </w:r>
        <w:r w:rsidR="0013743A" w:rsidRPr="0076795A">
          <w:rPr>
            <w:rStyle w:val="Hyperlink"/>
            <w:noProof/>
          </w:rPr>
          <w:t> </w:t>
        </w:r>
        <w:r w:rsidR="009D3004" w:rsidRPr="0076795A">
          <w:rPr>
            <w:rStyle w:val="Hyperlink"/>
            <w:noProof/>
          </w:rPr>
          <w:t xml:space="preserve"> Presentation by the Central African Republic on</w:t>
        </w:r>
        <w:r w:rsidR="009D3004" w:rsidRPr="0076795A">
          <w:rPr>
            <w:rStyle w:val="Hyperlink"/>
            <w:noProof/>
            <w:lang w:val="en-US"/>
          </w:rPr>
          <w:t xml:space="preserve"> National Efforts related to Plastics Pollution</w:t>
        </w:r>
        <w:r w:rsidR="009D3004">
          <w:rPr>
            <w:noProof/>
            <w:webHidden/>
          </w:rPr>
          <w:tab/>
        </w:r>
        <w:r w:rsidR="009D3004">
          <w:rPr>
            <w:noProof/>
            <w:webHidden/>
          </w:rPr>
          <w:fldChar w:fldCharType="begin"/>
        </w:r>
        <w:r w:rsidR="009D3004">
          <w:rPr>
            <w:noProof/>
            <w:webHidden/>
          </w:rPr>
          <w:instrText xml:space="preserve"> PAGEREF _Toc74660659 \h </w:instrText>
        </w:r>
        <w:r w:rsidR="009D3004">
          <w:rPr>
            <w:noProof/>
            <w:webHidden/>
          </w:rPr>
        </w:r>
        <w:r w:rsidR="009D3004">
          <w:rPr>
            <w:noProof/>
            <w:webHidden/>
          </w:rPr>
          <w:fldChar w:fldCharType="separate"/>
        </w:r>
        <w:r w:rsidR="000732B4">
          <w:rPr>
            <w:noProof/>
            <w:webHidden/>
          </w:rPr>
          <w:t>10</w:t>
        </w:r>
        <w:r w:rsidR="009D3004">
          <w:rPr>
            <w:noProof/>
            <w:webHidden/>
          </w:rPr>
          <w:fldChar w:fldCharType="end"/>
        </w:r>
      </w:hyperlink>
    </w:p>
    <w:p w14:paraId="6A8088EE" w14:textId="156DAB7B" w:rsidR="009D3004" w:rsidRDefault="00A275BA" w:rsidP="009D3004">
      <w:pPr>
        <w:pStyle w:val="TOC4"/>
        <w:ind w:right="95"/>
        <w:rPr>
          <w:rFonts w:asciiTheme="minorHAnsi" w:eastAsiaTheme="minorEastAsia" w:hAnsiTheme="minorHAnsi" w:cstheme="minorBidi"/>
          <w:noProof/>
          <w:sz w:val="22"/>
          <w:szCs w:val="22"/>
        </w:rPr>
      </w:pPr>
      <w:hyperlink w:anchor="_Toc74660660" w:history="1">
        <w:r w:rsidR="009D3004" w:rsidRPr="0076795A">
          <w:rPr>
            <w:rStyle w:val="Hyperlink"/>
            <w:noProof/>
            <w:lang w:val="en-US"/>
          </w:rPr>
          <w:t>1.1.2.3</w:t>
        </w:r>
        <w:r w:rsidR="0013743A" w:rsidRPr="0076795A">
          <w:rPr>
            <w:rStyle w:val="Hyperlink"/>
            <w:noProof/>
            <w:lang w:val="en-US"/>
          </w:rPr>
          <w:t> </w:t>
        </w:r>
        <w:r w:rsidR="009D3004" w:rsidRPr="0076795A">
          <w:rPr>
            <w:rStyle w:val="Hyperlink"/>
            <w:noProof/>
            <w:lang w:val="en-US"/>
          </w:rPr>
          <w:t xml:space="preserve"> Presentation by UNEP on its report on "Trade in Used Vehicles"</w:t>
        </w:r>
        <w:r w:rsidR="009D3004">
          <w:rPr>
            <w:noProof/>
            <w:webHidden/>
          </w:rPr>
          <w:tab/>
        </w:r>
        <w:r w:rsidR="009D3004">
          <w:rPr>
            <w:noProof/>
            <w:webHidden/>
          </w:rPr>
          <w:fldChar w:fldCharType="begin"/>
        </w:r>
        <w:r w:rsidR="009D3004">
          <w:rPr>
            <w:noProof/>
            <w:webHidden/>
          </w:rPr>
          <w:instrText xml:space="preserve"> PAGEREF _Toc74660660 \h </w:instrText>
        </w:r>
        <w:r w:rsidR="009D3004">
          <w:rPr>
            <w:noProof/>
            <w:webHidden/>
          </w:rPr>
        </w:r>
        <w:r w:rsidR="009D3004">
          <w:rPr>
            <w:noProof/>
            <w:webHidden/>
          </w:rPr>
          <w:fldChar w:fldCharType="separate"/>
        </w:r>
        <w:r w:rsidR="000732B4">
          <w:rPr>
            <w:noProof/>
            <w:webHidden/>
          </w:rPr>
          <w:t>11</w:t>
        </w:r>
        <w:r w:rsidR="009D3004">
          <w:rPr>
            <w:noProof/>
            <w:webHidden/>
          </w:rPr>
          <w:fldChar w:fldCharType="end"/>
        </w:r>
      </w:hyperlink>
    </w:p>
    <w:p w14:paraId="60120E9E" w14:textId="7480A615" w:rsidR="009D3004" w:rsidRDefault="00A275BA" w:rsidP="009D3004">
      <w:pPr>
        <w:pStyle w:val="TOC4"/>
        <w:ind w:right="95"/>
        <w:rPr>
          <w:rFonts w:asciiTheme="minorHAnsi" w:eastAsiaTheme="minorEastAsia" w:hAnsiTheme="minorHAnsi" w:cstheme="minorBidi"/>
          <w:noProof/>
          <w:sz w:val="22"/>
          <w:szCs w:val="22"/>
        </w:rPr>
      </w:pPr>
      <w:hyperlink w:anchor="_Toc74660661" w:history="1">
        <w:r w:rsidR="009D3004" w:rsidRPr="0076795A">
          <w:rPr>
            <w:rStyle w:val="Hyperlink"/>
            <w:noProof/>
          </w:rPr>
          <w:t>1.1.2.4</w:t>
        </w:r>
        <w:r w:rsidR="0013743A" w:rsidRPr="0076795A">
          <w:rPr>
            <w:rStyle w:val="Hyperlink"/>
            <w:noProof/>
          </w:rPr>
          <w:t> </w:t>
        </w:r>
        <w:r w:rsidR="009D3004" w:rsidRPr="0076795A">
          <w:rPr>
            <w:rStyle w:val="Hyperlink"/>
            <w:noProof/>
          </w:rPr>
          <w:t xml:space="preserve"> OECD's Update on Recent Work related to Circular Economy</w:t>
        </w:r>
        <w:r w:rsidR="009D3004">
          <w:rPr>
            <w:noProof/>
            <w:webHidden/>
          </w:rPr>
          <w:tab/>
        </w:r>
        <w:r w:rsidR="009D3004">
          <w:rPr>
            <w:noProof/>
            <w:webHidden/>
          </w:rPr>
          <w:fldChar w:fldCharType="begin"/>
        </w:r>
        <w:r w:rsidR="009D3004">
          <w:rPr>
            <w:noProof/>
            <w:webHidden/>
          </w:rPr>
          <w:instrText xml:space="preserve"> PAGEREF _Toc74660661 \h </w:instrText>
        </w:r>
        <w:r w:rsidR="009D3004">
          <w:rPr>
            <w:noProof/>
            <w:webHidden/>
          </w:rPr>
        </w:r>
        <w:r w:rsidR="009D3004">
          <w:rPr>
            <w:noProof/>
            <w:webHidden/>
          </w:rPr>
          <w:fldChar w:fldCharType="separate"/>
        </w:r>
        <w:r w:rsidR="000732B4">
          <w:rPr>
            <w:noProof/>
            <w:webHidden/>
          </w:rPr>
          <w:t>12</w:t>
        </w:r>
        <w:r w:rsidR="009D3004">
          <w:rPr>
            <w:noProof/>
            <w:webHidden/>
          </w:rPr>
          <w:fldChar w:fldCharType="end"/>
        </w:r>
      </w:hyperlink>
    </w:p>
    <w:p w14:paraId="2FC79C6A" w14:textId="1C11E5CC" w:rsidR="009D3004" w:rsidRDefault="00A275BA" w:rsidP="009D3004">
      <w:pPr>
        <w:pStyle w:val="TOC3"/>
        <w:ind w:right="95"/>
        <w:rPr>
          <w:rFonts w:asciiTheme="minorHAnsi" w:eastAsiaTheme="minorEastAsia" w:hAnsiTheme="minorHAnsi" w:cstheme="minorBidi"/>
          <w:noProof/>
          <w:sz w:val="22"/>
          <w:szCs w:val="22"/>
        </w:rPr>
      </w:pPr>
      <w:hyperlink w:anchor="_Toc74660662" w:history="1">
        <w:r w:rsidR="009D3004" w:rsidRPr="0076795A">
          <w:rPr>
            <w:rStyle w:val="Hyperlink"/>
            <w:noProof/>
          </w:rPr>
          <w:t>1.1.3</w:t>
        </w:r>
        <w:r w:rsidR="0013743A" w:rsidRPr="0076795A">
          <w:rPr>
            <w:rStyle w:val="Hyperlink"/>
            <w:noProof/>
          </w:rPr>
          <w:t> </w:t>
        </w:r>
        <w:r w:rsidR="009D3004" w:rsidRPr="0076795A">
          <w:rPr>
            <w:rStyle w:val="Hyperlink"/>
            <w:noProof/>
          </w:rPr>
          <w:t xml:space="preserve"> Other</w:t>
        </w:r>
        <w:r w:rsidR="009D3004">
          <w:rPr>
            <w:noProof/>
            <w:webHidden/>
          </w:rPr>
          <w:tab/>
        </w:r>
        <w:r w:rsidR="009D3004">
          <w:rPr>
            <w:noProof/>
            <w:webHidden/>
          </w:rPr>
          <w:fldChar w:fldCharType="begin"/>
        </w:r>
        <w:r w:rsidR="009D3004">
          <w:rPr>
            <w:noProof/>
            <w:webHidden/>
          </w:rPr>
          <w:instrText xml:space="preserve"> PAGEREF _Toc74660662 \h </w:instrText>
        </w:r>
        <w:r w:rsidR="009D3004">
          <w:rPr>
            <w:noProof/>
            <w:webHidden/>
          </w:rPr>
        </w:r>
        <w:r w:rsidR="009D3004">
          <w:rPr>
            <w:noProof/>
            <w:webHidden/>
          </w:rPr>
          <w:fldChar w:fldCharType="separate"/>
        </w:r>
        <w:r w:rsidR="000732B4">
          <w:rPr>
            <w:noProof/>
            <w:webHidden/>
          </w:rPr>
          <w:t>13</w:t>
        </w:r>
        <w:r w:rsidR="009D3004">
          <w:rPr>
            <w:noProof/>
            <w:webHidden/>
          </w:rPr>
          <w:fldChar w:fldCharType="end"/>
        </w:r>
      </w:hyperlink>
    </w:p>
    <w:p w14:paraId="17C86042" w14:textId="66EBAEB1" w:rsidR="009D3004" w:rsidRDefault="00A275BA" w:rsidP="009D3004">
      <w:pPr>
        <w:pStyle w:val="TOC4"/>
        <w:ind w:right="95"/>
        <w:rPr>
          <w:rFonts w:asciiTheme="minorHAnsi" w:eastAsiaTheme="minorEastAsia" w:hAnsiTheme="minorHAnsi" w:cstheme="minorBidi"/>
          <w:noProof/>
          <w:sz w:val="22"/>
          <w:szCs w:val="22"/>
        </w:rPr>
      </w:pPr>
      <w:hyperlink w:anchor="_Toc74660663" w:history="1">
        <w:r w:rsidR="009D3004" w:rsidRPr="0076795A">
          <w:rPr>
            <w:rStyle w:val="Hyperlink"/>
            <w:noProof/>
          </w:rPr>
          <w:t>1.1.3.1</w:t>
        </w:r>
        <w:r w:rsidR="0013743A" w:rsidRPr="0076795A">
          <w:rPr>
            <w:rStyle w:val="Hyperlink"/>
            <w:noProof/>
          </w:rPr>
          <w:t> </w:t>
        </w:r>
        <w:r w:rsidR="009D3004" w:rsidRPr="0076795A">
          <w:rPr>
            <w:rStyle w:val="Hyperlink"/>
            <w:noProof/>
          </w:rPr>
          <w:t xml:space="preserve"> Presentation on Maldives' efforts to promote sustainable trade and green recovery</w:t>
        </w:r>
        <w:r w:rsidR="009D3004">
          <w:rPr>
            <w:noProof/>
            <w:webHidden/>
          </w:rPr>
          <w:tab/>
        </w:r>
        <w:r w:rsidR="009D3004">
          <w:rPr>
            <w:noProof/>
            <w:webHidden/>
          </w:rPr>
          <w:fldChar w:fldCharType="begin"/>
        </w:r>
        <w:r w:rsidR="009D3004">
          <w:rPr>
            <w:noProof/>
            <w:webHidden/>
          </w:rPr>
          <w:instrText xml:space="preserve"> PAGEREF _Toc74660663 \h </w:instrText>
        </w:r>
        <w:r w:rsidR="009D3004">
          <w:rPr>
            <w:noProof/>
            <w:webHidden/>
          </w:rPr>
        </w:r>
        <w:r w:rsidR="009D3004">
          <w:rPr>
            <w:noProof/>
            <w:webHidden/>
          </w:rPr>
          <w:fldChar w:fldCharType="separate"/>
        </w:r>
        <w:r w:rsidR="000732B4">
          <w:rPr>
            <w:noProof/>
            <w:webHidden/>
          </w:rPr>
          <w:t>13</w:t>
        </w:r>
        <w:r w:rsidR="009D3004">
          <w:rPr>
            <w:noProof/>
            <w:webHidden/>
          </w:rPr>
          <w:fldChar w:fldCharType="end"/>
        </w:r>
      </w:hyperlink>
    </w:p>
    <w:p w14:paraId="7D217DF8" w14:textId="1EDDF657" w:rsidR="009D3004" w:rsidRDefault="00A275BA" w:rsidP="009D3004">
      <w:pPr>
        <w:pStyle w:val="TOC4"/>
        <w:ind w:right="95"/>
        <w:rPr>
          <w:rFonts w:asciiTheme="minorHAnsi" w:eastAsiaTheme="minorEastAsia" w:hAnsiTheme="minorHAnsi" w:cstheme="minorBidi"/>
          <w:noProof/>
          <w:sz w:val="22"/>
          <w:szCs w:val="22"/>
        </w:rPr>
      </w:pPr>
      <w:hyperlink w:anchor="_Toc74660664" w:history="1">
        <w:r w:rsidR="009D3004" w:rsidRPr="0076795A">
          <w:rPr>
            <w:rStyle w:val="Hyperlink"/>
            <w:noProof/>
          </w:rPr>
          <w:t>1.1.3.2</w:t>
        </w:r>
        <w:r w:rsidR="0013743A" w:rsidRPr="0076795A">
          <w:rPr>
            <w:rStyle w:val="Hyperlink"/>
            <w:noProof/>
          </w:rPr>
          <w:t> </w:t>
        </w:r>
        <w:r w:rsidR="009D3004" w:rsidRPr="0076795A">
          <w:rPr>
            <w:rStyle w:val="Hyperlink"/>
            <w:noProof/>
          </w:rPr>
          <w:t xml:space="preserve"> Presentation on Clean Green Pakistan – A business perspective</w:t>
        </w:r>
        <w:r w:rsidR="009D3004">
          <w:rPr>
            <w:noProof/>
            <w:webHidden/>
          </w:rPr>
          <w:tab/>
        </w:r>
        <w:r w:rsidR="009D3004">
          <w:rPr>
            <w:noProof/>
            <w:webHidden/>
          </w:rPr>
          <w:fldChar w:fldCharType="begin"/>
        </w:r>
        <w:r w:rsidR="009D3004">
          <w:rPr>
            <w:noProof/>
            <w:webHidden/>
          </w:rPr>
          <w:instrText xml:space="preserve"> PAGEREF _Toc74660664 \h </w:instrText>
        </w:r>
        <w:r w:rsidR="009D3004">
          <w:rPr>
            <w:noProof/>
            <w:webHidden/>
          </w:rPr>
        </w:r>
        <w:r w:rsidR="009D3004">
          <w:rPr>
            <w:noProof/>
            <w:webHidden/>
          </w:rPr>
          <w:fldChar w:fldCharType="separate"/>
        </w:r>
        <w:r w:rsidR="000732B4">
          <w:rPr>
            <w:noProof/>
            <w:webHidden/>
          </w:rPr>
          <w:t>15</w:t>
        </w:r>
        <w:r w:rsidR="009D3004">
          <w:rPr>
            <w:noProof/>
            <w:webHidden/>
          </w:rPr>
          <w:fldChar w:fldCharType="end"/>
        </w:r>
      </w:hyperlink>
    </w:p>
    <w:p w14:paraId="08EA8391" w14:textId="01467D96" w:rsidR="009D3004" w:rsidRDefault="00A275BA" w:rsidP="009D3004">
      <w:pPr>
        <w:pStyle w:val="TOC4"/>
        <w:ind w:right="95"/>
        <w:rPr>
          <w:rFonts w:asciiTheme="minorHAnsi" w:eastAsiaTheme="minorEastAsia" w:hAnsiTheme="minorHAnsi" w:cstheme="minorBidi"/>
          <w:noProof/>
          <w:sz w:val="22"/>
          <w:szCs w:val="22"/>
        </w:rPr>
      </w:pPr>
      <w:hyperlink w:anchor="_Toc74660665" w:history="1">
        <w:r w:rsidR="009D3004" w:rsidRPr="0076795A">
          <w:rPr>
            <w:rStyle w:val="Hyperlink"/>
            <w:noProof/>
          </w:rPr>
          <w:t>1.1.3.3</w:t>
        </w:r>
        <w:r w:rsidR="0013743A" w:rsidRPr="0076795A">
          <w:rPr>
            <w:rStyle w:val="Hyperlink"/>
            <w:noProof/>
          </w:rPr>
          <w:t> </w:t>
        </w:r>
        <w:r w:rsidR="009D3004" w:rsidRPr="0076795A">
          <w:rPr>
            <w:rStyle w:val="Hyperlink"/>
            <w:noProof/>
          </w:rPr>
          <w:t xml:space="preserve"> United Kingdom's activities related to making supply chains more sustainable</w:t>
        </w:r>
        <w:r w:rsidR="009D3004">
          <w:rPr>
            <w:noProof/>
            <w:webHidden/>
          </w:rPr>
          <w:tab/>
        </w:r>
        <w:r w:rsidR="009D3004">
          <w:rPr>
            <w:noProof/>
            <w:webHidden/>
          </w:rPr>
          <w:fldChar w:fldCharType="begin"/>
        </w:r>
        <w:r w:rsidR="009D3004">
          <w:rPr>
            <w:noProof/>
            <w:webHidden/>
          </w:rPr>
          <w:instrText xml:space="preserve"> PAGEREF _Toc74660665 \h </w:instrText>
        </w:r>
        <w:r w:rsidR="009D3004">
          <w:rPr>
            <w:noProof/>
            <w:webHidden/>
          </w:rPr>
        </w:r>
        <w:r w:rsidR="009D3004">
          <w:rPr>
            <w:noProof/>
            <w:webHidden/>
          </w:rPr>
          <w:fldChar w:fldCharType="separate"/>
        </w:r>
        <w:r w:rsidR="000732B4">
          <w:rPr>
            <w:noProof/>
            <w:webHidden/>
          </w:rPr>
          <w:t>17</w:t>
        </w:r>
        <w:r w:rsidR="009D3004">
          <w:rPr>
            <w:noProof/>
            <w:webHidden/>
          </w:rPr>
          <w:fldChar w:fldCharType="end"/>
        </w:r>
      </w:hyperlink>
    </w:p>
    <w:p w14:paraId="27C5F784" w14:textId="4D11F922" w:rsidR="009D3004" w:rsidRDefault="00A275BA" w:rsidP="009D3004">
      <w:pPr>
        <w:pStyle w:val="TOC4"/>
        <w:ind w:right="95"/>
        <w:rPr>
          <w:rFonts w:asciiTheme="minorHAnsi" w:eastAsiaTheme="minorEastAsia" w:hAnsiTheme="minorHAnsi" w:cstheme="minorBidi"/>
          <w:noProof/>
          <w:sz w:val="22"/>
          <w:szCs w:val="22"/>
        </w:rPr>
      </w:pPr>
      <w:hyperlink w:anchor="_Toc74660666" w:history="1">
        <w:r w:rsidR="009D3004" w:rsidRPr="0076795A">
          <w:rPr>
            <w:rStyle w:val="Hyperlink"/>
            <w:noProof/>
          </w:rPr>
          <w:t>1.1.3.4</w:t>
        </w:r>
        <w:r w:rsidR="0013743A" w:rsidRPr="0076795A">
          <w:rPr>
            <w:rStyle w:val="Hyperlink"/>
            <w:noProof/>
          </w:rPr>
          <w:t> </w:t>
        </w:r>
        <w:r w:rsidR="009D3004" w:rsidRPr="0076795A">
          <w:rPr>
            <w:rStyle w:val="Hyperlink"/>
            <w:noProof/>
          </w:rPr>
          <w:t xml:space="preserve"> European Union's update on trade relevant aspects of the European Green Deal</w:t>
        </w:r>
        <w:r w:rsidR="009D3004">
          <w:rPr>
            <w:noProof/>
            <w:webHidden/>
          </w:rPr>
          <w:tab/>
        </w:r>
        <w:r w:rsidR="009D3004">
          <w:rPr>
            <w:noProof/>
            <w:webHidden/>
          </w:rPr>
          <w:fldChar w:fldCharType="begin"/>
        </w:r>
        <w:r w:rsidR="009D3004">
          <w:rPr>
            <w:noProof/>
            <w:webHidden/>
          </w:rPr>
          <w:instrText xml:space="preserve"> PAGEREF _Toc74660666 \h </w:instrText>
        </w:r>
        <w:r w:rsidR="009D3004">
          <w:rPr>
            <w:noProof/>
            <w:webHidden/>
          </w:rPr>
        </w:r>
        <w:r w:rsidR="009D3004">
          <w:rPr>
            <w:noProof/>
            <w:webHidden/>
          </w:rPr>
          <w:fldChar w:fldCharType="separate"/>
        </w:r>
        <w:r w:rsidR="000732B4">
          <w:rPr>
            <w:noProof/>
            <w:webHidden/>
          </w:rPr>
          <w:t>18</w:t>
        </w:r>
        <w:r w:rsidR="009D3004">
          <w:rPr>
            <w:noProof/>
            <w:webHidden/>
          </w:rPr>
          <w:fldChar w:fldCharType="end"/>
        </w:r>
      </w:hyperlink>
    </w:p>
    <w:p w14:paraId="70B55260" w14:textId="272E051C" w:rsidR="009D3004" w:rsidRDefault="00A275BA" w:rsidP="009D3004">
      <w:pPr>
        <w:pStyle w:val="TOC1"/>
        <w:rPr>
          <w:rFonts w:asciiTheme="minorHAnsi" w:eastAsiaTheme="minorEastAsia" w:hAnsiTheme="minorHAnsi" w:cstheme="minorBidi"/>
          <w:noProof/>
          <w:sz w:val="22"/>
          <w:szCs w:val="22"/>
        </w:rPr>
      </w:pPr>
      <w:hyperlink w:anchor="_Toc74660667" w:history="1">
        <w:r w:rsidR="009D3004" w:rsidRPr="0076795A">
          <w:rPr>
            <w:rStyle w:val="Hyperlink"/>
            <w:noProof/>
          </w:rPr>
          <w:t>2</w:t>
        </w:r>
        <w:r w:rsidR="0013743A" w:rsidRPr="0076795A">
          <w:rPr>
            <w:rStyle w:val="Hyperlink"/>
            <w:noProof/>
          </w:rPr>
          <w:t> </w:t>
        </w:r>
        <w:r w:rsidR="009D3004" w:rsidRPr="0076795A">
          <w:rPr>
            <w:rStyle w:val="Hyperlink"/>
            <w:noProof/>
          </w:rPr>
          <w:t xml:space="preserve"> Other Items of the CTE Work Programme</w:t>
        </w:r>
        <w:r w:rsidR="009D3004">
          <w:rPr>
            <w:noProof/>
            <w:webHidden/>
          </w:rPr>
          <w:tab/>
        </w:r>
        <w:r w:rsidR="009D3004">
          <w:rPr>
            <w:noProof/>
            <w:webHidden/>
          </w:rPr>
          <w:fldChar w:fldCharType="begin"/>
        </w:r>
        <w:r w:rsidR="009D3004">
          <w:rPr>
            <w:noProof/>
            <w:webHidden/>
          </w:rPr>
          <w:instrText xml:space="preserve"> PAGEREF _Toc74660667 \h </w:instrText>
        </w:r>
        <w:r w:rsidR="009D3004">
          <w:rPr>
            <w:noProof/>
            <w:webHidden/>
          </w:rPr>
        </w:r>
        <w:r w:rsidR="009D3004">
          <w:rPr>
            <w:noProof/>
            <w:webHidden/>
          </w:rPr>
          <w:fldChar w:fldCharType="separate"/>
        </w:r>
        <w:r w:rsidR="000732B4">
          <w:rPr>
            <w:noProof/>
            <w:webHidden/>
          </w:rPr>
          <w:t>25</w:t>
        </w:r>
        <w:r w:rsidR="009D3004">
          <w:rPr>
            <w:noProof/>
            <w:webHidden/>
          </w:rPr>
          <w:fldChar w:fldCharType="end"/>
        </w:r>
      </w:hyperlink>
    </w:p>
    <w:p w14:paraId="77261B64" w14:textId="071332EB" w:rsidR="009D3004" w:rsidRDefault="00A275BA" w:rsidP="009D3004">
      <w:pPr>
        <w:pStyle w:val="TOC2"/>
        <w:ind w:right="95"/>
        <w:rPr>
          <w:rFonts w:asciiTheme="minorHAnsi" w:eastAsiaTheme="minorEastAsia" w:hAnsiTheme="minorHAnsi" w:cstheme="minorBidi"/>
          <w:noProof/>
          <w:sz w:val="22"/>
          <w:szCs w:val="22"/>
        </w:rPr>
      </w:pPr>
      <w:hyperlink w:anchor="_Toc74660668" w:history="1">
        <w:r w:rsidR="009D3004" w:rsidRPr="0076795A">
          <w:rPr>
            <w:rStyle w:val="Hyperlink"/>
            <w:noProof/>
          </w:rPr>
          <w:t>2.1</w:t>
        </w:r>
        <w:r w:rsidR="0013743A" w:rsidRPr="0076795A">
          <w:rPr>
            <w:rStyle w:val="Hyperlink"/>
            <w:noProof/>
          </w:rPr>
          <w:t> </w:t>
        </w:r>
        <w:r w:rsidR="009D3004" w:rsidRPr="0076795A">
          <w:rPr>
            <w:rStyle w:val="Hyperlink"/>
            <w:noProof/>
          </w:rPr>
          <w:t xml:space="preserve"> Multilateral environmental agreements and WTO (Item 1 of the CTE Work Programme)</w:t>
        </w:r>
        <w:r w:rsidR="009D3004">
          <w:rPr>
            <w:noProof/>
            <w:webHidden/>
          </w:rPr>
          <w:tab/>
        </w:r>
        <w:r w:rsidR="009D3004">
          <w:rPr>
            <w:noProof/>
            <w:webHidden/>
          </w:rPr>
          <w:fldChar w:fldCharType="begin"/>
        </w:r>
        <w:r w:rsidR="009D3004">
          <w:rPr>
            <w:noProof/>
            <w:webHidden/>
          </w:rPr>
          <w:instrText xml:space="preserve"> PAGEREF _Toc74660668 \h </w:instrText>
        </w:r>
        <w:r w:rsidR="009D3004">
          <w:rPr>
            <w:noProof/>
            <w:webHidden/>
          </w:rPr>
        </w:r>
        <w:r w:rsidR="009D3004">
          <w:rPr>
            <w:noProof/>
            <w:webHidden/>
          </w:rPr>
          <w:fldChar w:fldCharType="separate"/>
        </w:r>
        <w:r w:rsidR="000732B4">
          <w:rPr>
            <w:noProof/>
            <w:webHidden/>
          </w:rPr>
          <w:t>25</w:t>
        </w:r>
        <w:r w:rsidR="009D3004">
          <w:rPr>
            <w:noProof/>
            <w:webHidden/>
          </w:rPr>
          <w:fldChar w:fldCharType="end"/>
        </w:r>
      </w:hyperlink>
    </w:p>
    <w:p w14:paraId="0BF5C889" w14:textId="526C71B8" w:rsidR="009D3004" w:rsidRDefault="00A275BA" w:rsidP="009D3004">
      <w:pPr>
        <w:pStyle w:val="TOC3"/>
        <w:ind w:right="95"/>
        <w:rPr>
          <w:rFonts w:asciiTheme="minorHAnsi" w:eastAsiaTheme="minorEastAsia" w:hAnsiTheme="minorHAnsi" w:cstheme="minorBidi"/>
          <w:noProof/>
          <w:sz w:val="22"/>
          <w:szCs w:val="22"/>
        </w:rPr>
      </w:pPr>
      <w:hyperlink w:anchor="_Toc74660669" w:history="1">
        <w:r w:rsidR="009D3004" w:rsidRPr="0076795A">
          <w:rPr>
            <w:rStyle w:val="Hyperlink"/>
            <w:noProof/>
          </w:rPr>
          <w:t>2.1.1</w:t>
        </w:r>
        <w:r w:rsidR="0013743A" w:rsidRPr="0076795A">
          <w:rPr>
            <w:rStyle w:val="Hyperlink"/>
            <w:noProof/>
          </w:rPr>
          <w:t> </w:t>
        </w:r>
        <w:r w:rsidR="009D3004" w:rsidRPr="0076795A">
          <w:rPr>
            <w:rStyle w:val="Hyperlink"/>
            <w:noProof/>
          </w:rPr>
          <w:t xml:space="preserve"> The United Nations Framework Convention on Climate Change (UNFCCC)</w:t>
        </w:r>
        <w:r w:rsidR="009D3004">
          <w:rPr>
            <w:noProof/>
            <w:webHidden/>
          </w:rPr>
          <w:tab/>
        </w:r>
        <w:r w:rsidR="009D3004">
          <w:rPr>
            <w:noProof/>
            <w:webHidden/>
          </w:rPr>
          <w:fldChar w:fldCharType="begin"/>
        </w:r>
        <w:r w:rsidR="009D3004">
          <w:rPr>
            <w:noProof/>
            <w:webHidden/>
          </w:rPr>
          <w:instrText xml:space="preserve"> PAGEREF _Toc74660669 \h </w:instrText>
        </w:r>
        <w:r w:rsidR="009D3004">
          <w:rPr>
            <w:noProof/>
            <w:webHidden/>
          </w:rPr>
        </w:r>
        <w:r w:rsidR="009D3004">
          <w:rPr>
            <w:noProof/>
            <w:webHidden/>
          </w:rPr>
          <w:fldChar w:fldCharType="separate"/>
        </w:r>
        <w:r w:rsidR="000732B4">
          <w:rPr>
            <w:noProof/>
            <w:webHidden/>
          </w:rPr>
          <w:t>25</w:t>
        </w:r>
        <w:r w:rsidR="009D3004">
          <w:rPr>
            <w:noProof/>
            <w:webHidden/>
          </w:rPr>
          <w:fldChar w:fldCharType="end"/>
        </w:r>
      </w:hyperlink>
    </w:p>
    <w:p w14:paraId="6F1AF753" w14:textId="11348C95" w:rsidR="009D3004" w:rsidRDefault="00A275BA" w:rsidP="009D3004">
      <w:pPr>
        <w:pStyle w:val="TOC4"/>
        <w:ind w:right="95"/>
        <w:rPr>
          <w:rFonts w:asciiTheme="minorHAnsi" w:eastAsiaTheme="minorEastAsia" w:hAnsiTheme="minorHAnsi" w:cstheme="minorBidi"/>
          <w:noProof/>
          <w:sz w:val="22"/>
          <w:szCs w:val="22"/>
        </w:rPr>
      </w:pPr>
      <w:hyperlink w:anchor="_Toc74660670" w:history="1">
        <w:r w:rsidR="009D3004" w:rsidRPr="0076795A">
          <w:rPr>
            <w:rStyle w:val="Hyperlink"/>
            <w:noProof/>
          </w:rPr>
          <w:t>2.1.1.1</w:t>
        </w:r>
        <w:r w:rsidR="0013743A" w:rsidRPr="0076795A">
          <w:rPr>
            <w:rStyle w:val="Hyperlink"/>
            <w:noProof/>
          </w:rPr>
          <w:t> </w:t>
        </w:r>
        <w:r w:rsidR="009D3004" w:rsidRPr="0076795A">
          <w:rPr>
            <w:rStyle w:val="Hyperlink"/>
            <w:noProof/>
          </w:rPr>
          <w:t xml:space="preserve"> Presentation by the UNFCCC</w:t>
        </w:r>
        <w:r w:rsidR="009D3004">
          <w:rPr>
            <w:noProof/>
            <w:webHidden/>
          </w:rPr>
          <w:tab/>
        </w:r>
        <w:r w:rsidR="009D3004">
          <w:rPr>
            <w:noProof/>
            <w:webHidden/>
          </w:rPr>
          <w:fldChar w:fldCharType="begin"/>
        </w:r>
        <w:r w:rsidR="009D3004">
          <w:rPr>
            <w:noProof/>
            <w:webHidden/>
          </w:rPr>
          <w:instrText xml:space="preserve"> PAGEREF _Toc74660670 \h </w:instrText>
        </w:r>
        <w:r w:rsidR="009D3004">
          <w:rPr>
            <w:noProof/>
            <w:webHidden/>
          </w:rPr>
        </w:r>
        <w:r w:rsidR="009D3004">
          <w:rPr>
            <w:noProof/>
            <w:webHidden/>
          </w:rPr>
          <w:fldChar w:fldCharType="separate"/>
        </w:r>
        <w:r w:rsidR="000732B4">
          <w:rPr>
            <w:noProof/>
            <w:webHidden/>
          </w:rPr>
          <w:t>25</w:t>
        </w:r>
        <w:r w:rsidR="009D3004">
          <w:rPr>
            <w:noProof/>
            <w:webHidden/>
          </w:rPr>
          <w:fldChar w:fldCharType="end"/>
        </w:r>
      </w:hyperlink>
    </w:p>
    <w:p w14:paraId="788F16E5" w14:textId="1FB01702" w:rsidR="009D3004" w:rsidRDefault="00A275BA" w:rsidP="009D3004">
      <w:pPr>
        <w:pStyle w:val="TOC4"/>
        <w:ind w:right="95"/>
        <w:rPr>
          <w:rFonts w:asciiTheme="minorHAnsi" w:eastAsiaTheme="minorEastAsia" w:hAnsiTheme="minorHAnsi" w:cstheme="minorBidi"/>
          <w:noProof/>
          <w:sz w:val="22"/>
          <w:szCs w:val="22"/>
        </w:rPr>
      </w:pPr>
      <w:hyperlink w:anchor="_Toc74660671" w:history="1">
        <w:r w:rsidR="009D3004" w:rsidRPr="0076795A">
          <w:rPr>
            <w:rStyle w:val="Hyperlink"/>
            <w:noProof/>
          </w:rPr>
          <w:t>2.1.1.2</w:t>
        </w:r>
        <w:r w:rsidR="0013743A" w:rsidRPr="0076795A">
          <w:rPr>
            <w:rStyle w:val="Hyperlink"/>
            <w:noProof/>
          </w:rPr>
          <w:t> </w:t>
        </w:r>
        <w:r w:rsidR="009D3004" w:rsidRPr="0076795A">
          <w:rPr>
            <w:rStyle w:val="Hyperlink"/>
            <w:noProof/>
          </w:rPr>
          <w:t xml:space="preserve"> United Kingdom's update on the 26th session of CoP26</w:t>
        </w:r>
        <w:r w:rsidR="009D3004">
          <w:rPr>
            <w:noProof/>
            <w:webHidden/>
          </w:rPr>
          <w:tab/>
        </w:r>
        <w:r w:rsidR="009D3004">
          <w:rPr>
            <w:noProof/>
            <w:webHidden/>
          </w:rPr>
          <w:fldChar w:fldCharType="begin"/>
        </w:r>
        <w:r w:rsidR="009D3004">
          <w:rPr>
            <w:noProof/>
            <w:webHidden/>
          </w:rPr>
          <w:instrText xml:space="preserve"> PAGEREF _Toc74660671 \h </w:instrText>
        </w:r>
        <w:r w:rsidR="009D3004">
          <w:rPr>
            <w:noProof/>
            <w:webHidden/>
          </w:rPr>
        </w:r>
        <w:r w:rsidR="009D3004">
          <w:rPr>
            <w:noProof/>
            <w:webHidden/>
          </w:rPr>
          <w:fldChar w:fldCharType="separate"/>
        </w:r>
        <w:r w:rsidR="000732B4">
          <w:rPr>
            <w:noProof/>
            <w:webHidden/>
          </w:rPr>
          <w:t>27</w:t>
        </w:r>
        <w:r w:rsidR="009D3004">
          <w:rPr>
            <w:noProof/>
            <w:webHidden/>
          </w:rPr>
          <w:fldChar w:fldCharType="end"/>
        </w:r>
      </w:hyperlink>
    </w:p>
    <w:p w14:paraId="246E5730" w14:textId="03E0FFDB" w:rsidR="009D3004" w:rsidRDefault="00A275BA" w:rsidP="009D3004">
      <w:pPr>
        <w:pStyle w:val="TOC4"/>
        <w:ind w:right="95"/>
        <w:rPr>
          <w:rFonts w:asciiTheme="minorHAnsi" w:eastAsiaTheme="minorEastAsia" w:hAnsiTheme="minorHAnsi" w:cstheme="minorBidi"/>
          <w:noProof/>
          <w:sz w:val="22"/>
          <w:szCs w:val="22"/>
        </w:rPr>
      </w:pPr>
      <w:hyperlink w:anchor="_Toc74660672" w:history="1">
        <w:r w:rsidR="009D3004" w:rsidRPr="0076795A">
          <w:rPr>
            <w:rStyle w:val="Hyperlink"/>
            <w:noProof/>
          </w:rPr>
          <w:t>2.1.1.3</w:t>
        </w:r>
        <w:r w:rsidR="0013743A" w:rsidRPr="0076795A">
          <w:rPr>
            <w:rStyle w:val="Hyperlink"/>
            <w:noProof/>
          </w:rPr>
          <w:t> </w:t>
        </w:r>
        <w:r w:rsidR="009D3004" w:rsidRPr="0076795A">
          <w:rPr>
            <w:rStyle w:val="Hyperlink"/>
            <w:noProof/>
          </w:rPr>
          <w:t xml:space="preserve"> New Zealand's update on the negotiation under the "Agreement on Climate Change, Trade and Sustainability" (ACCTS) initiative</w:t>
        </w:r>
        <w:r w:rsidR="009D3004">
          <w:rPr>
            <w:noProof/>
            <w:webHidden/>
          </w:rPr>
          <w:tab/>
        </w:r>
        <w:r w:rsidR="009D3004">
          <w:rPr>
            <w:noProof/>
            <w:webHidden/>
          </w:rPr>
          <w:fldChar w:fldCharType="begin"/>
        </w:r>
        <w:r w:rsidR="009D3004">
          <w:rPr>
            <w:noProof/>
            <w:webHidden/>
          </w:rPr>
          <w:instrText xml:space="preserve"> PAGEREF _Toc74660672 \h </w:instrText>
        </w:r>
        <w:r w:rsidR="009D3004">
          <w:rPr>
            <w:noProof/>
            <w:webHidden/>
          </w:rPr>
        </w:r>
        <w:r w:rsidR="009D3004">
          <w:rPr>
            <w:noProof/>
            <w:webHidden/>
          </w:rPr>
          <w:fldChar w:fldCharType="separate"/>
        </w:r>
        <w:r w:rsidR="000732B4">
          <w:rPr>
            <w:noProof/>
            <w:webHidden/>
          </w:rPr>
          <w:t>28</w:t>
        </w:r>
        <w:r w:rsidR="009D3004">
          <w:rPr>
            <w:noProof/>
            <w:webHidden/>
          </w:rPr>
          <w:fldChar w:fldCharType="end"/>
        </w:r>
      </w:hyperlink>
    </w:p>
    <w:p w14:paraId="381399FD" w14:textId="05423398" w:rsidR="009D3004" w:rsidRDefault="00A275BA" w:rsidP="009D3004">
      <w:pPr>
        <w:pStyle w:val="TOC4"/>
        <w:ind w:right="95"/>
        <w:rPr>
          <w:rFonts w:asciiTheme="minorHAnsi" w:eastAsiaTheme="minorEastAsia" w:hAnsiTheme="minorHAnsi" w:cstheme="minorBidi"/>
          <w:noProof/>
          <w:sz w:val="22"/>
          <w:szCs w:val="22"/>
        </w:rPr>
      </w:pPr>
      <w:hyperlink w:anchor="_Toc74660673" w:history="1">
        <w:r w:rsidR="009D3004" w:rsidRPr="0076795A">
          <w:rPr>
            <w:rStyle w:val="Hyperlink"/>
            <w:noProof/>
          </w:rPr>
          <w:t>2.1.1.4</w:t>
        </w:r>
        <w:r w:rsidR="0013743A" w:rsidRPr="0076795A">
          <w:rPr>
            <w:rStyle w:val="Hyperlink"/>
            <w:noProof/>
          </w:rPr>
          <w:t> </w:t>
        </w:r>
        <w:r w:rsidR="009D3004" w:rsidRPr="0076795A">
          <w:rPr>
            <w:rStyle w:val="Hyperlink"/>
            <w:noProof/>
          </w:rPr>
          <w:t xml:space="preserve"> Canada's report on webinar on Border Carbon Adjustments (BCAs): Issues, Options </w:t>
        </w:r>
        <w:r w:rsidR="009D3004">
          <w:rPr>
            <w:rStyle w:val="Hyperlink"/>
            <w:noProof/>
          </w:rPr>
          <w:br/>
        </w:r>
        <w:r w:rsidR="009D3004" w:rsidRPr="0076795A">
          <w:rPr>
            <w:rStyle w:val="Hyperlink"/>
            <w:noProof/>
          </w:rPr>
          <w:t>and Impacts</w:t>
        </w:r>
        <w:r w:rsidR="009D3004">
          <w:rPr>
            <w:noProof/>
            <w:webHidden/>
          </w:rPr>
          <w:tab/>
        </w:r>
        <w:r w:rsidR="009D3004">
          <w:rPr>
            <w:noProof/>
            <w:webHidden/>
          </w:rPr>
          <w:fldChar w:fldCharType="begin"/>
        </w:r>
        <w:r w:rsidR="009D3004">
          <w:rPr>
            <w:noProof/>
            <w:webHidden/>
          </w:rPr>
          <w:instrText xml:space="preserve"> PAGEREF _Toc74660673 \h </w:instrText>
        </w:r>
        <w:r w:rsidR="009D3004">
          <w:rPr>
            <w:noProof/>
            <w:webHidden/>
          </w:rPr>
        </w:r>
        <w:r w:rsidR="009D3004">
          <w:rPr>
            <w:noProof/>
            <w:webHidden/>
          </w:rPr>
          <w:fldChar w:fldCharType="separate"/>
        </w:r>
        <w:r w:rsidR="000732B4">
          <w:rPr>
            <w:noProof/>
            <w:webHidden/>
          </w:rPr>
          <w:t>28</w:t>
        </w:r>
        <w:r w:rsidR="009D3004">
          <w:rPr>
            <w:noProof/>
            <w:webHidden/>
          </w:rPr>
          <w:fldChar w:fldCharType="end"/>
        </w:r>
      </w:hyperlink>
    </w:p>
    <w:p w14:paraId="630758AC" w14:textId="6EF29BDF" w:rsidR="009D3004" w:rsidRDefault="00A275BA" w:rsidP="009D3004">
      <w:pPr>
        <w:pStyle w:val="TOC3"/>
        <w:ind w:right="95"/>
        <w:rPr>
          <w:rFonts w:asciiTheme="minorHAnsi" w:eastAsiaTheme="minorEastAsia" w:hAnsiTheme="minorHAnsi" w:cstheme="minorBidi"/>
          <w:noProof/>
          <w:sz w:val="22"/>
          <w:szCs w:val="22"/>
        </w:rPr>
      </w:pPr>
      <w:hyperlink w:anchor="_Toc74660674" w:history="1">
        <w:r w:rsidR="009D3004" w:rsidRPr="0076795A">
          <w:rPr>
            <w:rStyle w:val="Hyperlink"/>
            <w:noProof/>
          </w:rPr>
          <w:t>2.1.2</w:t>
        </w:r>
        <w:r w:rsidR="0013743A" w:rsidRPr="0076795A">
          <w:rPr>
            <w:rStyle w:val="Hyperlink"/>
            <w:noProof/>
          </w:rPr>
          <w:t> </w:t>
        </w:r>
        <w:r w:rsidR="009D3004" w:rsidRPr="0076795A">
          <w:rPr>
            <w:rStyle w:val="Hyperlink"/>
            <w:noProof/>
          </w:rPr>
          <w:t xml:space="preserve"> MEAs dealing with chemicals and wastes (the Basel, Rotterdam and Stockholm (BRS) Conventions)</w:t>
        </w:r>
        <w:r w:rsidR="009D3004">
          <w:rPr>
            <w:noProof/>
            <w:webHidden/>
          </w:rPr>
          <w:tab/>
        </w:r>
        <w:r w:rsidR="009D3004">
          <w:rPr>
            <w:noProof/>
            <w:webHidden/>
          </w:rPr>
          <w:fldChar w:fldCharType="begin"/>
        </w:r>
        <w:r w:rsidR="009D3004">
          <w:rPr>
            <w:noProof/>
            <w:webHidden/>
          </w:rPr>
          <w:instrText xml:space="preserve"> PAGEREF _Toc74660674 \h </w:instrText>
        </w:r>
        <w:r w:rsidR="009D3004">
          <w:rPr>
            <w:noProof/>
            <w:webHidden/>
          </w:rPr>
        </w:r>
        <w:r w:rsidR="009D3004">
          <w:rPr>
            <w:noProof/>
            <w:webHidden/>
          </w:rPr>
          <w:fldChar w:fldCharType="separate"/>
        </w:r>
        <w:r w:rsidR="000732B4">
          <w:rPr>
            <w:noProof/>
            <w:webHidden/>
          </w:rPr>
          <w:t>29</w:t>
        </w:r>
        <w:r w:rsidR="009D3004">
          <w:rPr>
            <w:noProof/>
            <w:webHidden/>
          </w:rPr>
          <w:fldChar w:fldCharType="end"/>
        </w:r>
      </w:hyperlink>
    </w:p>
    <w:p w14:paraId="2BE1AF8D" w14:textId="35B3211F" w:rsidR="009D3004" w:rsidRDefault="00A275BA" w:rsidP="009D3004">
      <w:pPr>
        <w:pStyle w:val="TOC4"/>
        <w:ind w:right="95"/>
        <w:rPr>
          <w:rFonts w:asciiTheme="minorHAnsi" w:eastAsiaTheme="minorEastAsia" w:hAnsiTheme="minorHAnsi" w:cstheme="minorBidi"/>
          <w:noProof/>
          <w:sz w:val="22"/>
          <w:szCs w:val="22"/>
        </w:rPr>
      </w:pPr>
      <w:hyperlink w:anchor="_Toc74660675" w:history="1">
        <w:r w:rsidR="009D3004" w:rsidRPr="0076795A">
          <w:rPr>
            <w:rStyle w:val="Hyperlink"/>
            <w:noProof/>
          </w:rPr>
          <w:t>2.1.2.1</w:t>
        </w:r>
        <w:r w:rsidR="0013743A" w:rsidRPr="0076795A">
          <w:rPr>
            <w:rStyle w:val="Hyperlink"/>
            <w:noProof/>
          </w:rPr>
          <w:t> </w:t>
        </w:r>
        <w:r w:rsidR="009D3004" w:rsidRPr="0076795A">
          <w:rPr>
            <w:rStyle w:val="Hyperlink"/>
            <w:noProof/>
          </w:rPr>
          <w:t xml:space="preserve"> BRS' briefing on recent activities</w:t>
        </w:r>
        <w:r w:rsidR="009D3004">
          <w:rPr>
            <w:noProof/>
            <w:webHidden/>
          </w:rPr>
          <w:tab/>
        </w:r>
        <w:r w:rsidR="009D3004">
          <w:rPr>
            <w:noProof/>
            <w:webHidden/>
          </w:rPr>
          <w:fldChar w:fldCharType="begin"/>
        </w:r>
        <w:r w:rsidR="009D3004">
          <w:rPr>
            <w:noProof/>
            <w:webHidden/>
          </w:rPr>
          <w:instrText xml:space="preserve"> PAGEREF _Toc74660675 \h </w:instrText>
        </w:r>
        <w:r w:rsidR="009D3004">
          <w:rPr>
            <w:noProof/>
            <w:webHidden/>
          </w:rPr>
        </w:r>
        <w:r w:rsidR="009D3004">
          <w:rPr>
            <w:noProof/>
            <w:webHidden/>
          </w:rPr>
          <w:fldChar w:fldCharType="separate"/>
        </w:r>
        <w:r w:rsidR="000732B4">
          <w:rPr>
            <w:noProof/>
            <w:webHidden/>
          </w:rPr>
          <w:t>29</w:t>
        </w:r>
        <w:r w:rsidR="009D3004">
          <w:rPr>
            <w:noProof/>
            <w:webHidden/>
          </w:rPr>
          <w:fldChar w:fldCharType="end"/>
        </w:r>
      </w:hyperlink>
    </w:p>
    <w:p w14:paraId="0C1891BD" w14:textId="6F81CEB5" w:rsidR="009D3004" w:rsidRDefault="00A275BA" w:rsidP="009D3004">
      <w:pPr>
        <w:pStyle w:val="TOC2"/>
        <w:ind w:right="95"/>
        <w:rPr>
          <w:rFonts w:asciiTheme="minorHAnsi" w:eastAsiaTheme="minorEastAsia" w:hAnsiTheme="minorHAnsi" w:cstheme="minorBidi"/>
          <w:noProof/>
          <w:sz w:val="22"/>
          <w:szCs w:val="22"/>
        </w:rPr>
      </w:pPr>
      <w:hyperlink w:anchor="_Toc74660676" w:history="1">
        <w:r w:rsidR="009D3004" w:rsidRPr="0076795A">
          <w:rPr>
            <w:rStyle w:val="Hyperlink"/>
            <w:noProof/>
          </w:rPr>
          <w:t>2.2</w:t>
        </w:r>
        <w:r w:rsidR="0013743A" w:rsidRPr="0076795A">
          <w:rPr>
            <w:rStyle w:val="Hyperlink"/>
            <w:noProof/>
          </w:rPr>
          <w:t> </w:t>
        </w:r>
        <w:r w:rsidR="009D3004" w:rsidRPr="0076795A">
          <w:rPr>
            <w:rStyle w:val="Hyperlink"/>
            <w:noProof/>
          </w:rPr>
          <w:t xml:space="preserve"> Other</w:t>
        </w:r>
        <w:r w:rsidR="009D3004">
          <w:rPr>
            <w:noProof/>
            <w:webHidden/>
          </w:rPr>
          <w:tab/>
        </w:r>
        <w:r w:rsidR="009D3004">
          <w:rPr>
            <w:noProof/>
            <w:webHidden/>
          </w:rPr>
          <w:fldChar w:fldCharType="begin"/>
        </w:r>
        <w:r w:rsidR="009D3004">
          <w:rPr>
            <w:noProof/>
            <w:webHidden/>
          </w:rPr>
          <w:instrText xml:space="preserve"> PAGEREF _Toc74660676 \h </w:instrText>
        </w:r>
        <w:r w:rsidR="009D3004">
          <w:rPr>
            <w:noProof/>
            <w:webHidden/>
          </w:rPr>
        </w:r>
        <w:r w:rsidR="009D3004">
          <w:rPr>
            <w:noProof/>
            <w:webHidden/>
          </w:rPr>
          <w:fldChar w:fldCharType="separate"/>
        </w:r>
        <w:r w:rsidR="000732B4">
          <w:rPr>
            <w:noProof/>
            <w:webHidden/>
          </w:rPr>
          <w:t>31</w:t>
        </w:r>
        <w:r w:rsidR="009D3004">
          <w:rPr>
            <w:noProof/>
            <w:webHidden/>
          </w:rPr>
          <w:fldChar w:fldCharType="end"/>
        </w:r>
      </w:hyperlink>
    </w:p>
    <w:p w14:paraId="259BA726" w14:textId="04B16B2A" w:rsidR="009D3004" w:rsidRDefault="00A275BA" w:rsidP="009D3004">
      <w:pPr>
        <w:pStyle w:val="TOC3"/>
        <w:ind w:right="95"/>
        <w:rPr>
          <w:rFonts w:asciiTheme="minorHAnsi" w:eastAsiaTheme="minorEastAsia" w:hAnsiTheme="minorHAnsi" w:cstheme="minorBidi"/>
          <w:noProof/>
          <w:sz w:val="22"/>
          <w:szCs w:val="22"/>
        </w:rPr>
      </w:pPr>
      <w:hyperlink w:anchor="_Toc74660677" w:history="1">
        <w:r w:rsidR="009D3004" w:rsidRPr="0076795A">
          <w:rPr>
            <w:rStyle w:val="Hyperlink"/>
            <w:noProof/>
          </w:rPr>
          <w:t>2.2.1</w:t>
        </w:r>
        <w:r w:rsidR="0013743A" w:rsidRPr="0076795A">
          <w:rPr>
            <w:rStyle w:val="Hyperlink"/>
            <w:noProof/>
          </w:rPr>
          <w:t> </w:t>
        </w:r>
        <w:r w:rsidR="009D3004" w:rsidRPr="0076795A">
          <w:rPr>
            <w:rStyle w:val="Hyperlink"/>
            <w:noProof/>
          </w:rPr>
          <w:t xml:space="preserve"> Presentation on the Updated WTO Matrix on Trade</w:t>
        </w:r>
        <w:r w:rsidR="009D3004" w:rsidRPr="0076795A">
          <w:rPr>
            <w:rStyle w:val="Hyperlink"/>
            <w:noProof/>
          </w:rPr>
          <w:noBreakHyphen/>
          <w:t xml:space="preserve">related Measures Pursuant to </w:t>
        </w:r>
        <w:r w:rsidR="009D3004">
          <w:rPr>
            <w:rStyle w:val="Hyperlink"/>
            <w:noProof/>
          </w:rPr>
          <w:br/>
        </w:r>
        <w:r w:rsidR="009D3004" w:rsidRPr="0076795A">
          <w:rPr>
            <w:rStyle w:val="Hyperlink"/>
            <w:noProof/>
          </w:rPr>
          <w:t>Selected MEAs</w:t>
        </w:r>
        <w:r w:rsidR="009D3004">
          <w:rPr>
            <w:noProof/>
            <w:webHidden/>
          </w:rPr>
          <w:tab/>
        </w:r>
        <w:r w:rsidR="009D3004">
          <w:rPr>
            <w:noProof/>
            <w:webHidden/>
          </w:rPr>
          <w:fldChar w:fldCharType="begin"/>
        </w:r>
        <w:r w:rsidR="009D3004">
          <w:rPr>
            <w:noProof/>
            <w:webHidden/>
          </w:rPr>
          <w:instrText xml:space="preserve"> PAGEREF _Toc74660677 \h </w:instrText>
        </w:r>
        <w:r w:rsidR="009D3004">
          <w:rPr>
            <w:noProof/>
            <w:webHidden/>
          </w:rPr>
        </w:r>
        <w:r w:rsidR="009D3004">
          <w:rPr>
            <w:noProof/>
            <w:webHidden/>
          </w:rPr>
          <w:fldChar w:fldCharType="separate"/>
        </w:r>
        <w:r w:rsidR="000732B4">
          <w:rPr>
            <w:noProof/>
            <w:webHidden/>
          </w:rPr>
          <w:t>31</w:t>
        </w:r>
        <w:r w:rsidR="009D3004">
          <w:rPr>
            <w:noProof/>
            <w:webHidden/>
          </w:rPr>
          <w:fldChar w:fldCharType="end"/>
        </w:r>
      </w:hyperlink>
    </w:p>
    <w:p w14:paraId="5F682C14" w14:textId="72D8C08D" w:rsidR="009D3004" w:rsidRDefault="00A275BA" w:rsidP="009D3004">
      <w:pPr>
        <w:pStyle w:val="TOC3"/>
        <w:ind w:right="95"/>
        <w:rPr>
          <w:rFonts w:asciiTheme="minorHAnsi" w:eastAsiaTheme="minorEastAsia" w:hAnsiTheme="minorHAnsi" w:cstheme="minorBidi"/>
          <w:noProof/>
          <w:sz w:val="22"/>
          <w:szCs w:val="22"/>
        </w:rPr>
      </w:pPr>
      <w:hyperlink w:anchor="_Toc74660678" w:history="1">
        <w:r w:rsidR="009D3004" w:rsidRPr="0076795A">
          <w:rPr>
            <w:rStyle w:val="Hyperlink"/>
            <w:noProof/>
          </w:rPr>
          <w:t>2.2.2</w:t>
        </w:r>
        <w:r w:rsidR="0013743A" w:rsidRPr="0076795A">
          <w:rPr>
            <w:rStyle w:val="Hyperlink"/>
            <w:noProof/>
          </w:rPr>
          <w:t> </w:t>
        </w:r>
        <w:r w:rsidR="009D3004" w:rsidRPr="0076795A">
          <w:rPr>
            <w:rStyle w:val="Hyperlink"/>
            <w:noProof/>
          </w:rPr>
          <w:t xml:space="preserve"> Presentation by UNEP on the InforMEA Initiative</w:t>
        </w:r>
        <w:r w:rsidR="009D3004">
          <w:rPr>
            <w:noProof/>
            <w:webHidden/>
          </w:rPr>
          <w:tab/>
        </w:r>
        <w:r w:rsidR="009D3004">
          <w:rPr>
            <w:noProof/>
            <w:webHidden/>
          </w:rPr>
          <w:fldChar w:fldCharType="begin"/>
        </w:r>
        <w:r w:rsidR="009D3004">
          <w:rPr>
            <w:noProof/>
            <w:webHidden/>
          </w:rPr>
          <w:instrText xml:space="preserve"> PAGEREF _Toc74660678 \h </w:instrText>
        </w:r>
        <w:r w:rsidR="009D3004">
          <w:rPr>
            <w:noProof/>
            <w:webHidden/>
          </w:rPr>
        </w:r>
        <w:r w:rsidR="009D3004">
          <w:rPr>
            <w:noProof/>
            <w:webHidden/>
          </w:rPr>
          <w:fldChar w:fldCharType="separate"/>
        </w:r>
        <w:r w:rsidR="000732B4">
          <w:rPr>
            <w:noProof/>
            <w:webHidden/>
          </w:rPr>
          <w:t>31</w:t>
        </w:r>
        <w:r w:rsidR="009D3004">
          <w:rPr>
            <w:noProof/>
            <w:webHidden/>
          </w:rPr>
          <w:fldChar w:fldCharType="end"/>
        </w:r>
      </w:hyperlink>
    </w:p>
    <w:p w14:paraId="3A6FDBD9" w14:textId="6F22E2B8" w:rsidR="009D3004" w:rsidRDefault="00A275BA" w:rsidP="009D3004">
      <w:pPr>
        <w:pStyle w:val="TOC2"/>
        <w:ind w:right="95"/>
        <w:rPr>
          <w:rFonts w:asciiTheme="minorHAnsi" w:eastAsiaTheme="minorEastAsia" w:hAnsiTheme="minorHAnsi" w:cstheme="minorBidi"/>
          <w:noProof/>
          <w:sz w:val="22"/>
          <w:szCs w:val="22"/>
        </w:rPr>
      </w:pPr>
      <w:hyperlink w:anchor="_Toc74660679" w:history="1">
        <w:r w:rsidR="009D3004" w:rsidRPr="0076795A">
          <w:rPr>
            <w:rStyle w:val="Hyperlink"/>
            <w:noProof/>
          </w:rPr>
          <w:t>2.3</w:t>
        </w:r>
        <w:r w:rsidR="0013743A" w:rsidRPr="0076795A">
          <w:rPr>
            <w:rStyle w:val="Hyperlink"/>
            <w:noProof/>
          </w:rPr>
          <w:t> </w:t>
        </w:r>
        <w:r w:rsidR="009D3004" w:rsidRPr="0076795A">
          <w:rPr>
            <w:rStyle w:val="Hyperlink"/>
            <w:noProof/>
          </w:rPr>
          <w:t xml:space="preserve"> Transparency of environment-related trade measures (Item 4 of the CTE Work </w:t>
        </w:r>
        <w:r w:rsidR="009D3004">
          <w:rPr>
            <w:rStyle w:val="Hyperlink"/>
            <w:noProof/>
          </w:rPr>
          <w:br/>
        </w:r>
        <w:r w:rsidR="009D3004" w:rsidRPr="0076795A">
          <w:rPr>
            <w:rStyle w:val="Hyperlink"/>
            <w:noProof/>
          </w:rPr>
          <w:t>Programme)</w:t>
        </w:r>
        <w:r w:rsidR="009D3004">
          <w:rPr>
            <w:noProof/>
            <w:webHidden/>
          </w:rPr>
          <w:tab/>
        </w:r>
        <w:r w:rsidR="009D3004">
          <w:rPr>
            <w:noProof/>
            <w:webHidden/>
          </w:rPr>
          <w:fldChar w:fldCharType="begin"/>
        </w:r>
        <w:r w:rsidR="009D3004">
          <w:rPr>
            <w:noProof/>
            <w:webHidden/>
          </w:rPr>
          <w:instrText xml:space="preserve"> PAGEREF _Toc74660679 \h </w:instrText>
        </w:r>
        <w:r w:rsidR="009D3004">
          <w:rPr>
            <w:noProof/>
            <w:webHidden/>
          </w:rPr>
        </w:r>
        <w:r w:rsidR="009D3004">
          <w:rPr>
            <w:noProof/>
            <w:webHidden/>
          </w:rPr>
          <w:fldChar w:fldCharType="separate"/>
        </w:r>
        <w:r w:rsidR="000732B4">
          <w:rPr>
            <w:noProof/>
            <w:webHidden/>
          </w:rPr>
          <w:t>32</w:t>
        </w:r>
        <w:r w:rsidR="009D3004">
          <w:rPr>
            <w:noProof/>
            <w:webHidden/>
          </w:rPr>
          <w:fldChar w:fldCharType="end"/>
        </w:r>
      </w:hyperlink>
    </w:p>
    <w:p w14:paraId="7051F2D7" w14:textId="31FFCC71" w:rsidR="009D3004" w:rsidRDefault="00A275BA" w:rsidP="009D3004">
      <w:pPr>
        <w:pStyle w:val="TOC3"/>
        <w:ind w:right="95"/>
        <w:rPr>
          <w:rFonts w:asciiTheme="minorHAnsi" w:eastAsiaTheme="minorEastAsia" w:hAnsiTheme="minorHAnsi" w:cstheme="minorBidi"/>
          <w:noProof/>
          <w:sz w:val="22"/>
          <w:szCs w:val="22"/>
        </w:rPr>
      </w:pPr>
      <w:hyperlink w:anchor="_Toc74660680" w:history="1">
        <w:r w:rsidR="009D3004" w:rsidRPr="0076795A">
          <w:rPr>
            <w:rStyle w:val="Hyperlink"/>
            <w:noProof/>
          </w:rPr>
          <w:t>2.3.1</w:t>
        </w:r>
        <w:r w:rsidR="0013743A" w:rsidRPr="0076795A">
          <w:rPr>
            <w:rStyle w:val="Hyperlink"/>
            <w:noProof/>
          </w:rPr>
          <w:t> </w:t>
        </w:r>
        <w:r w:rsidR="009D3004" w:rsidRPr="0076795A">
          <w:rPr>
            <w:rStyle w:val="Hyperlink"/>
            <w:noProof/>
          </w:rPr>
          <w:t xml:space="preserve"> WTO Environmental Database</w:t>
        </w:r>
        <w:r w:rsidR="009D3004">
          <w:rPr>
            <w:noProof/>
            <w:webHidden/>
          </w:rPr>
          <w:tab/>
        </w:r>
        <w:r w:rsidR="009D3004">
          <w:rPr>
            <w:noProof/>
            <w:webHidden/>
          </w:rPr>
          <w:fldChar w:fldCharType="begin"/>
        </w:r>
        <w:r w:rsidR="009D3004">
          <w:rPr>
            <w:noProof/>
            <w:webHidden/>
          </w:rPr>
          <w:instrText xml:space="preserve"> PAGEREF _Toc74660680 \h </w:instrText>
        </w:r>
        <w:r w:rsidR="009D3004">
          <w:rPr>
            <w:noProof/>
            <w:webHidden/>
          </w:rPr>
        </w:r>
        <w:r w:rsidR="009D3004">
          <w:rPr>
            <w:noProof/>
            <w:webHidden/>
          </w:rPr>
          <w:fldChar w:fldCharType="separate"/>
        </w:r>
        <w:r w:rsidR="000732B4">
          <w:rPr>
            <w:noProof/>
            <w:webHidden/>
          </w:rPr>
          <w:t>32</w:t>
        </w:r>
        <w:r w:rsidR="009D3004">
          <w:rPr>
            <w:noProof/>
            <w:webHidden/>
          </w:rPr>
          <w:fldChar w:fldCharType="end"/>
        </w:r>
      </w:hyperlink>
    </w:p>
    <w:p w14:paraId="12DE083C" w14:textId="3F9C8544" w:rsidR="009D3004" w:rsidRDefault="00A275BA" w:rsidP="009D3004">
      <w:pPr>
        <w:pStyle w:val="TOC1"/>
        <w:rPr>
          <w:rFonts w:asciiTheme="minorHAnsi" w:eastAsiaTheme="minorEastAsia" w:hAnsiTheme="minorHAnsi" w:cstheme="minorBidi"/>
          <w:noProof/>
          <w:sz w:val="22"/>
          <w:szCs w:val="22"/>
        </w:rPr>
      </w:pPr>
      <w:hyperlink w:anchor="_Toc74660681" w:history="1">
        <w:r w:rsidR="009D3004" w:rsidRPr="0076795A">
          <w:rPr>
            <w:rStyle w:val="Hyperlink"/>
            <w:noProof/>
          </w:rPr>
          <w:t>3</w:t>
        </w:r>
        <w:r w:rsidR="0013743A" w:rsidRPr="0076795A">
          <w:rPr>
            <w:rStyle w:val="Hyperlink"/>
            <w:noProof/>
          </w:rPr>
          <w:t> </w:t>
        </w:r>
        <w:r w:rsidR="009D3004" w:rsidRPr="0076795A">
          <w:rPr>
            <w:rStyle w:val="Hyperlink"/>
            <w:noProof/>
          </w:rPr>
          <w:t xml:space="preserve"> Other business</w:t>
        </w:r>
        <w:r w:rsidR="009D3004">
          <w:rPr>
            <w:noProof/>
            <w:webHidden/>
          </w:rPr>
          <w:tab/>
        </w:r>
        <w:r w:rsidR="009D3004">
          <w:rPr>
            <w:noProof/>
            <w:webHidden/>
          </w:rPr>
          <w:fldChar w:fldCharType="begin"/>
        </w:r>
        <w:r w:rsidR="009D3004">
          <w:rPr>
            <w:noProof/>
            <w:webHidden/>
          </w:rPr>
          <w:instrText xml:space="preserve"> PAGEREF _Toc74660681 \h </w:instrText>
        </w:r>
        <w:r w:rsidR="009D3004">
          <w:rPr>
            <w:noProof/>
            <w:webHidden/>
          </w:rPr>
        </w:r>
        <w:r w:rsidR="009D3004">
          <w:rPr>
            <w:noProof/>
            <w:webHidden/>
          </w:rPr>
          <w:fldChar w:fldCharType="separate"/>
        </w:r>
        <w:r w:rsidR="000732B4">
          <w:rPr>
            <w:noProof/>
            <w:webHidden/>
          </w:rPr>
          <w:t>33</w:t>
        </w:r>
        <w:r w:rsidR="009D3004">
          <w:rPr>
            <w:noProof/>
            <w:webHidden/>
          </w:rPr>
          <w:fldChar w:fldCharType="end"/>
        </w:r>
      </w:hyperlink>
    </w:p>
    <w:p w14:paraId="6AEEAF73" w14:textId="43BF91EA" w:rsidR="009D3004" w:rsidRDefault="00A275BA" w:rsidP="009D3004">
      <w:pPr>
        <w:pStyle w:val="TOC2"/>
        <w:ind w:right="95"/>
        <w:rPr>
          <w:rFonts w:asciiTheme="minorHAnsi" w:eastAsiaTheme="minorEastAsia" w:hAnsiTheme="minorHAnsi" w:cstheme="minorBidi"/>
          <w:noProof/>
          <w:sz w:val="22"/>
          <w:szCs w:val="22"/>
        </w:rPr>
      </w:pPr>
      <w:hyperlink w:anchor="_Toc74660682" w:history="1">
        <w:r w:rsidR="009D3004" w:rsidRPr="0076795A">
          <w:rPr>
            <w:rStyle w:val="Hyperlink"/>
            <w:noProof/>
          </w:rPr>
          <w:t>3.1</w:t>
        </w:r>
        <w:r w:rsidR="0013743A" w:rsidRPr="0076795A">
          <w:rPr>
            <w:rStyle w:val="Hyperlink"/>
            <w:noProof/>
          </w:rPr>
          <w:t> </w:t>
        </w:r>
        <w:r w:rsidR="009D3004" w:rsidRPr="0076795A">
          <w:rPr>
            <w:rStyle w:val="Hyperlink"/>
            <w:noProof/>
          </w:rPr>
          <w:t xml:space="preserve"> Canada's briefing on the Trade and Environmental Sustainability Structured Discussions (TESSD)</w:t>
        </w:r>
        <w:r w:rsidR="009D3004">
          <w:rPr>
            <w:noProof/>
            <w:webHidden/>
          </w:rPr>
          <w:tab/>
        </w:r>
        <w:r w:rsidR="009D3004">
          <w:rPr>
            <w:noProof/>
            <w:webHidden/>
          </w:rPr>
          <w:fldChar w:fldCharType="begin"/>
        </w:r>
        <w:r w:rsidR="009D3004">
          <w:rPr>
            <w:noProof/>
            <w:webHidden/>
          </w:rPr>
          <w:instrText xml:space="preserve"> PAGEREF _Toc74660682 \h </w:instrText>
        </w:r>
        <w:r w:rsidR="009D3004">
          <w:rPr>
            <w:noProof/>
            <w:webHidden/>
          </w:rPr>
        </w:r>
        <w:r w:rsidR="009D3004">
          <w:rPr>
            <w:noProof/>
            <w:webHidden/>
          </w:rPr>
          <w:fldChar w:fldCharType="separate"/>
        </w:r>
        <w:r w:rsidR="000732B4">
          <w:rPr>
            <w:noProof/>
            <w:webHidden/>
          </w:rPr>
          <w:t>33</w:t>
        </w:r>
        <w:r w:rsidR="009D3004">
          <w:rPr>
            <w:noProof/>
            <w:webHidden/>
          </w:rPr>
          <w:fldChar w:fldCharType="end"/>
        </w:r>
      </w:hyperlink>
    </w:p>
    <w:p w14:paraId="61CDBDD2" w14:textId="6B92F32A" w:rsidR="009D3004" w:rsidRDefault="00A275BA" w:rsidP="009D3004">
      <w:pPr>
        <w:pStyle w:val="TOC2"/>
        <w:ind w:right="95"/>
        <w:rPr>
          <w:rFonts w:asciiTheme="minorHAnsi" w:eastAsiaTheme="minorEastAsia" w:hAnsiTheme="minorHAnsi" w:cstheme="minorBidi"/>
          <w:noProof/>
          <w:sz w:val="22"/>
          <w:szCs w:val="22"/>
        </w:rPr>
      </w:pPr>
      <w:hyperlink w:anchor="_Toc74660683" w:history="1">
        <w:r w:rsidR="009D3004" w:rsidRPr="0076795A">
          <w:rPr>
            <w:rStyle w:val="Hyperlink"/>
            <w:noProof/>
          </w:rPr>
          <w:t>3.2</w:t>
        </w:r>
        <w:r w:rsidR="0013743A" w:rsidRPr="0076795A">
          <w:rPr>
            <w:rStyle w:val="Hyperlink"/>
            <w:noProof/>
          </w:rPr>
          <w:t> </w:t>
        </w:r>
        <w:r w:rsidR="009D3004" w:rsidRPr="0076795A">
          <w:rPr>
            <w:rStyle w:val="Hyperlink"/>
            <w:noProof/>
          </w:rPr>
          <w:t xml:space="preserve"> Barbados' report on the High-Level Panel Discussion on "Trade, the Environment and Sustainability: A Focus on Green Recovery in a COVID-19 Era"</w:t>
        </w:r>
        <w:r w:rsidR="009D3004">
          <w:rPr>
            <w:noProof/>
            <w:webHidden/>
          </w:rPr>
          <w:tab/>
        </w:r>
        <w:r w:rsidR="009D3004">
          <w:rPr>
            <w:noProof/>
            <w:webHidden/>
          </w:rPr>
          <w:fldChar w:fldCharType="begin"/>
        </w:r>
        <w:r w:rsidR="009D3004">
          <w:rPr>
            <w:noProof/>
            <w:webHidden/>
          </w:rPr>
          <w:instrText xml:space="preserve"> PAGEREF _Toc74660683 \h </w:instrText>
        </w:r>
        <w:r w:rsidR="009D3004">
          <w:rPr>
            <w:noProof/>
            <w:webHidden/>
          </w:rPr>
        </w:r>
        <w:r w:rsidR="009D3004">
          <w:rPr>
            <w:noProof/>
            <w:webHidden/>
          </w:rPr>
          <w:fldChar w:fldCharType="separate"/>
        </w:r>
        <w:r w:rsidR="000732B4">
          <w:rPr>
            <w:noProof/>
            <w:webHidden/>
          </w:rPr>
          <w:t>34</w:t>
        </w:r>
        <w:r w:rsidR="009D3004">
          <w:rPr>
            <w:noProof/>
            <w:webHidden/>
          </w:rPr>
          <w:fldChar w:fldCharType="end"/>
        </w:r>
      </w:hyperlink>
    </w:p>
    <w:p w14:paraId="2CF8029F" w14:textId="0389D406" w:rsidR="009D3004" w:rsidRDefault="00A275BA" w:rsidP="009D3004">
      <w:pPr>
        <w:pStyle w:val="TOC2"/>
        <w:ind w:right="95"/>
        <w:rPr>
          <w:rFonts w:asciiTheme="minorHAnsi" w:eastAsiaTheme="minorEastAsia" w:hAnsiTheme="minorHAnsi" w:cstheme="minorBidi"/>
          <w:noProof/>
          <w:sz w:val="22"/>
          <w:szCs w:val="22"/>
        </w:rPr>
      </w:pPr>
      <w:hyperlink w:anchor="_Toc74660684" w:history="1">
        <w:r w:rsidR="009D3004" w:rsidRPr="0076795A">
          <w:rPr>
            <w:rStyle w:val="Hyperlink"/>
            <w:noProof/>
          </w:rPr>
          <w:t>3.3</w:t>
        </w:r>
        <w:r w:rsidR="0013743A" w:rsidRPr="0076795A">
          <w:rPr>
            <w:rStyle w:val="Hyperlink"/>
            <w:noProof/>
          </w:rPr>
          <w:t> </w:t>
        </w:r>
        <w:r w:rsidR="009D3004" w:rsidRPr="0076795A">
          <w:rPr>
            <w:rStyle w:val="Hyperlink"/>
            <w:noProof/>
          </w:rPr>
          <w:t xml:space="preserve"> Guatemala's report on event </w:t>
        </w:r>
        <w:r w:rsidR="009D3004" w:rsidRPr="0076795A">
          <w:rPr>
            <w:rStyle w:val="Hyperlink"/>
            <w:rFonts w:eastAsia="Times New Roman"/>
            <w:noProof/>
          </w:rPr>
          <w:t xml:space="preserve">co-hosted with Finland on "Sustainable business and </w:t>
        </w:r>
        <w:r w:rsidR="009D3004">
          <w:rPr>
            <w:rStyle w:val="Hyperlink"/>
            <w:rFonts w:eastAsia="Times New Roman"/>
            <w:noProof/>
          </w:rPr>
          <w:br/>
        </w:r>
        <w:r w:rsidR="009D3004" w:rsidRPr="0076795A">
          <w:rPr>
            <w:rStyle w:val="Hyperlink"/>
            <w:rFonts w:eastAsia="Times New Roman"/>
            <w:noProof/>
          </w:rPr>
          <w:t>circularity – why does sustainability make business sense"</w:t>
        </w:r>
        <w:r w:rsidR="009D3004">
          <w:rPr>
            <w:noProof/>
            <w:webHidden/>
          </w:rPr>
          <w:tab/>
        </w:r>
        <w:r w:rsidR="009D3004">
          <w:rPr>
            <w:noProof/>
            <w:webHidden/>
          </w:rPr>
          <w:fldChar w:fldCharType="begin"/>
        </w:r>
        <w:r w:rsidR="009D3004">
          <w:rPr>
            <w:noProof/>
            <w:webHidden/>
          </w:rPr>
          <w:instrText xml:space="preserve"> PAGEREF _Toc74660684 \h </w:instrText>
        </w:r>
        <w:r w:rsidR="009D3004">
          <w:rPr>
            <w:noProof/>
            <w:webHidden/>
          </w:rPr>
        </w:r>
        <w:r w:rsidR="009D3004">
          <w:rPr>
            <w:noProof/>
            <w:webHidden/>
          </w:rPr>
          <w:fldChar w:fldCharType="separate"/>
        </w:r>
        <w:r w:rsidR="000732B4">
          <w:rPr>
            <w:noProof/>
            <w:webHidden/>
          </w:rPr>
          <w:t>35</w:t>
        </w:r>
        <w:r w:rsidR="009D3004">
          <w:rPr>
            <w:noProof/>
            <w:webHidden/>
          </w:rPr>
          <w:fldChar w:fldCharType="end"/>
        </w:r>
      </w:hyperlink>
    </w:p>
    <w:p w14:paraId="418965BA" w14:textId="2B53C563" w:rsidR="009D3004" w:rsidRDefault="00A275BA" w:rsidP="009D3004">
      <w:pPr>
        <w:pStyle w:val="TOC2"/>
        <w:ind w:right="95"/>
        <w:rPr>
          <w:rFonts w:asciiTheme="minorHAnsi" w:eastAsiaTheme="minorEastAsia" w:hAnsiTheme="minorHAnsi" w:cstheme="minorBidi"/>
          <w:noProof/>
          <w:sz w:val="22"/>
          <w:szCs w:val="22"/>
        </w:rPr>
      </w:pPr>
      <w:hyperlink w:anchor="_Toc74660685" w:history="1">
        <w:r w:rsidR="009D3004" w:rsidRPr="0076795A">
          <w:rPr>
            <w:rStyle w:val="Hyperlink"/>
            <w:noProof/>
          </w:rPr>
          <w:t>3.4</w:t>
        </w:r>
        <w:r w:rsidR="0013743A" w:rsidRPr="0076795A">
          <w:rPr>
            <w:rStyle w:val="Hyperlink"/>
            <w:noProof/>
          </w:rPr>
          <w:t> </w:t>
        </w:r>
        <w:r w:rsidR="009D3004" w:rsidRPr="0076795A">
          <w:rPr>
            <w:rStyle w:val="Hyperlink"/>
            <w:noProof/>
          </w:rPr>
          <w:t xml:space="preserve"> Briefings by other observer organizations</w:t>
        </w:r>
        <w:r w:rsidR="009D3004">
          <w:rPr>
            <w:noProof/>
            <w:webHidden/>
          </w:rPr>
          <w:tab/>
        </w:r>
        <w:r w:rsidR="009D3004">
          <w:rPr>
            <w:noProof/>
            <w:webHidden/>
          </w:rPr>
          <w:fldChar w:fldCharType="begin"/>
        </w:r>
        <w:r w:rsidR="009D3004">
          <w:rPr>
            <w:noProof/>
            <w:webHidden/>
          </w:rPr>
          <w:instrText xml:space="preserve"> PAGEREF _Toc74660685 \h </w:instrText>
        </w:r>
        <w:r w:rsidR="009D3004">
          <w:rPr>
            <w:noProof/>
            <w:webHidden/>
          </w:rPr>
        </w:r>
        <w:r w:rsidR="009D3004">
          <w:rPr>
            <w:noProof/>
            <w:webHidden/>
          </w:rPr>
          <w:fldChar w:fldCharType="separate"/>
        </w:r>
        <w:r w:rsidR="000732B4">
          <w:rPr>
            <w:noProof/>
            <w:webHidden/>
          </w:rPr>
          <w:t>36</w:t>
        </w:r>
        <w:r w:rsidR="009D3004">
          <w:rPr>
            <w:noProof/>
            <w:webHidden/>
          </w:rPr>
          <w:fldChar w:fldCharType="end"/>
        </w:r>
      </w:hyperlink>
    </w:p>
    <w:p w14:paraId="4F1073DA" w14:textId="6E603599" w:rsidR="009D3004" w:rsidRDefault="00A275BA" w:rsidP="009D3004">
      <w:pPr>
        <w:pStyle w:val="TOC3"/>
        <w:ind w:right="95"/>
        <w:rPr>
          <w:rFonts w:asciiTheme="minorHAnsi" w:eastAsiaTheme="minorEastAsia" w:hAnsiTheme="minorHAnsi" w:cstheme="minorBidi"/>
          <w:noProof/>
          <w:sz w:val="22"/>
          <w:szCs w:val="22"/>
        </w:rPr>
      </w:pPr>
      <w:hyperlink w:anchor="_Toc74660686" w:history="1">
        <w:r w:rsidR="009D3004" w:rsidRPr="0076795A">
          <w:rPr>
            <w:rStyle w:val="Hyperlink"/>
            <w:noProof/>
            <w:lang w:val="en-US"/>
          </w:rPr>
          <w:t>3.4.1</w:t>
        </w:r>
        <w:r w:rsidR="0013743A" w:rsidRPr="0076795A">
          <w:rPr>
            <w:rStyle w:val="Hyperlink"/>
            <w:noProof/>
            <w:lang w:val="en-US"/>
          </w:rPr>
          <w:t> </w:t>
        </w:r>
        <w:r w:rsidR="009D3004" w:rsidRPr="0076795A">
          <w:rPr>
            <w:rStyle w:val="Hyperlink"/>
            <w:noProof/>
            <w:lang w:val="en-US"/>
          </w:rPr>
          <w:t xml:space="preserve"> World Customs Organization (</w:t>
        </w:r>
        <w:r w:rsidR="009D3004" w:rsidRPr="0076795A">
          <w:rPr>
            <w:rStyle w:val="Hyperlink"/>
            <w:noProof/>
          </w:rPr>
          <w:t>WCO)</w:t>
        </w:r>
        <w:r w:rsidR="009D3004">
          <w:rPr>
            <w:noProof/>
            <w:webHidden/>
          </w:rPr>
          <w:tab/>
        </w:r>
        <w:r w:rsidR="009D3004">
          <w:rPr>
            <w:noProof/>
            <w:webHidden/>
          </w:rPr>
          <w:fldChar w:fldCharType="begin"/>
        </w:r>
        <w:r w:rsidR="009D3004">
          <w:rPr>
            <w:noProof/>
            <w:webHidden/>
          </w:rPr>
          <w:instrText xml:space="preserve"> PAGEREF _Toc74660686 \h </w:instrText>
        </w:r>
        <w:r w:rsidR="009D3004">
          <w:rPr>
            <w:noProof/>
            <w:webHidden/>
          </w:rPr>
        </w:r>
        <w:r w:rsidR="009D3004">
          <w:rPr>
            <w:noProof/>
            <w:webHidden/>
          </w:rPr>
          <w:fldChar w:fldCharType="separate"/>
        </w:r>
        <w:r w:rsidR="000732B4">
          <w:rPr>
            <w:noProof/>
            <w:webHidden/>
          </w:rPr>
          <w:t>36</w:t>
        </w:r>
        <w:r w:rsidR="009D3004">
          <w:rPr>
            <w:noProof/>
            <w:webHidden/>
          </w:rPr>
          <w:fldChar w:fldCharType="end"/>
        </w:r>
      </w:hyperlink>
    </w:p>
    <w:p w14:paraId="45393F85" w14:textId="086625B5" w:rsidR="009D3004" w:rsidRDefault="00A275BA" w:rsidP="009D3004">
      <w:pPr>
        <w:pStyle w:val="TOC3"/>
        <w:ind w:right="95"/>
        <w:rPr>
          <w:rFonts w:asciiTheme="minorHAnsi" w:eastAsiaTheme="minorEastAsia" w:hAnsiTheme="minorHAnsi" w:cstheme="minorBidi"/>
          <w:noProof/>
          <w:sz w:val="22"/>
          <w:szCs w:val="22"/>
        </w:rPr>
      </w:pPr>
      <w:hyperlink w:anchor="_Toc74660687" w:history="1">
        <w:r w:rsidR="009D3004" w:rsidRPr="0076795A">
          <w:rPr>
            <w:rStyle w:val="Hyperlink"/>
            <w:noProof/>
          </w:rPr>
          <w:t>3.4.2</w:t>
        </w:r>
        <w:r w:rsidR="0013743A" w:rsidRPr="0076795A">
          <w:rPr>
            <w:rStyle w:val="Hyperlink"/>
            <w:noProof/>
          </w:rPr>
          <w:t> </w:t>
        </w:r>
        <w:r w:rsidR="009D3004" w:rsidRPr="0076795A">
          <w:rPr>
            <w:rStyle w:val="Hyperlink"/>
            <w:noProof/>
          </w:rPr>
          <w:t xml:space="preserve"> United Nations Conference on Trade and Development (UNCTAD)</w:t>
        </w:r>
        <w:r w:rsidR="009D3004">
          <w:rPr>
            <w:noProof/>
            <w:webHidden/>
          </w:rPr>
          <w:tab/>
        </w:r>
        <w:r w:rsidR="009D3004">
          <w:rPr>
            <w:noProof/>
            <w:webHidden/>
          </w:rPr>
          <w:fldChar w:fldCharType="begin"/>
        </w:r>
        <w:r w:rsidR="009D3004">
          <w:rPr>
            <w:noProof/>
            <w:webHidden/>
          </w:rPr>
          <w:instrText xml:space="preserve"> PAGEREF _Toc74660687 \h </w:instrText>
        </w:r>
        <w:r w:rsidR="009D3004">
          <w:rPr>
            <w:noProof/>
            <w:webHidden/>
          </w:rPr>
        </w:r>
        <w:r w:rsidR="009D3004">
          <w:rPr>
            <w:noProof/>
            <w:webHidden/>
          </w:rPr>
          <w:fldChar w:fldCharType="separate"/>
        </w:r>
        <w:r w:rsidR="000732B4">
          <w:rPr>
            <w:noProof/>
            <w:webHidden/>
          </w:rPr>
          <w:t>37</w:t>
        </w:r>
        <w:r w:rsidR="009D3004">
          <w:rPr>
            <w:noProof/>
            <w:webHidden/>
          </w:rPr>
          <w:fldChar w:fldCharType="end"/>
        </w:r>
      </w:hyperlink>
    </w:p>
    <w:p w14:paraId="4046BC8A" w14:textId="640180C1" w:rsidR="009D3004" w:rsidRDefault="00A275BA" w:rsidP="009D3004">
      <w:pPr>
        <w:pStyle w:val="TOC2"/>
        <w:ind w:right="95"/>
        <w:rPr>
          <w:rFonts w:asciiTheme="minorHAnsi" w:eastAsiaTheme="minorEastAsia" w:hAnsiTheme="minorHAnsi" w:cstheme="minorBidi"/>
          <w:noProof/>
          <w:sz w:val="22"/>
          <w:szCs w:val="22"/>
        </w:rPr>
      </w:pPr>
      <w:hyperlink w:anchor="_Toc74660688" w:history="1">
        <w:r w:rsidR="009D3004" w:rsidRPr="0076795A">
          <w:rPr>
            <w:rStyle w:val="Hyperlink"/>
            <w:noProof/>
          </w:rPr>
          <w:t>3.5</w:t>
        </w:r>
        <w:r w:rsidR="0013743A" w:rsidRPr="0076795A">
          <w:rPr>
            <w:rStyle w:val="Hyperlink"/>
            <w:noProof/>
          </w:rPr>
          <w:t> </w:t>
        </w:r>
        <w:r w:rsidR="009D3004" w:rsidRPr="0076795A">
          <w:rPr>
            <w:rStyle w:val="Hyperlink"/>
            <w:noProof/>
          </w:rPr>
          <w:t xml:space="preserve"> Other matters</w:t>
        </w:r>
        <w:r w:rsidR="009D3004">
          <w:rPr>
            <w:noProof/>
            <w:webHidden/>
          </w:rPr>
          <w:tab/>
        </w:r>
        <w:r w:rsidR="009D3004">
          <w:rPr>
            <w:noProof/>
            <w:webHidden/>
          </w:rPr>
          <w:fldChar w:fldCharType="begin"/>
        </w:r>
        <w:r w:rsidR="009D3004">
          <w:rPr>
            <w:noProof/>
            <w:webHidden/>
          </w:rPr>
          <w:instrText xml:space="preserve"> PAGEREF _Toc74660688 \h </w:instrText>
        </w:r>
        <w:r w:rsidR="009D3004">
          <w:rPr>
            <w:noProof/>
            <w:webHidden/>
          </w:rPr>
        </w:r>
        <w:r w:rsidR="009D3004">
          <w:rPr>
            <w:noProof/>
            <w:webHidden/>
          </w:rPr>
          <w:fldChar w:fldCharType="separate"/>
        </w:r>
        <w:r w:rsidR="000732B4">
          <w:rPr>
            <w:noProof/>
            <w:webHidden/>
          </w:rPr>
          <w:t>38</w:t>
        </w:r>
        <w:r w:rsidR="009D3004">
          <w:rPr>
            <w:noProof/>
            <w:webHidden/>
          </w:rPr>
          <w:fldChar w:fldCharType="end"/>
        </w:r>
      </w:hyperlink>
    </w:p>
    <w:p w14:paraId="77C62270" w14:textId="74BBD132" w:rsidR="00163F31" w:rsidRDefault="00163F31">
      <w:pPr>
        <w:spacing w:after="200" w:line="276" w:lineRule="auto"/>
        <w:jc w:val="left"/>
        <w:rPr>
          <w:b/>
          <w:szCs w:val="18"/>
        </w:rPr>
      </w:pPr>
      <w:r>
        <w:rPr>
          <w:b/>
          <w:szCs w:val="18"/>
        </w:rPr>
        <w:fldChar w:fldCharType="end"/>
      </w:r>
    </w:p>
    <w:p w14:paraId="47E1FB04" w14:textId="34AEAA86" w:rsidR="003E78DE" w:rsidRDefault="003E78DE">
      <w:pPr>
        <w:spacing w:after="200" w:line="276" w:lineRule="auto"/>
        <w:jc w:val="left"/>
        <w:rPr>
          <w:b/>
          <w:szCs w:val="18"/>
        </w:rPr>
      </w:pPr>
      <w:r>
        <w:rPr>
          <w:b/>
          <w:szCs w:val="18"/>
        </w:rPr>
        <w:br w:type="page"/>
      </w:r>
    </w:p>
    <w:p w14:paraId="362EE3CF" w14:textId="77777777" w:rsidR="003E78DE" w:rsidRPr="004C1878" w:rsidRDefault="003E78DE" w:rsidP="003E78DE">
      <w:pPr>
        <w:pStyle w:val="Title"/>
      </w:pPr>
      <w:r w:rsidRPr="001D12D7">
        <w:lastRenderedPageBreak/>
        <w:t xml:space="preserve">ACRONYMS </w:t>
      </w:r>
    </w:p>
    <w:tbl>
      <w:tblPr>
        <w:tblW w:w="9525" w:type="dxa"/>
        <w:tblLook w:val="04A0" w:firstRow="1" w:lastRow="0" w:firstColumn="1" w:lastColumn="0" w:noHBand="0" w:noVBand="1"/>
      </w:tblPr>
      <w:tblGrid>
        <w:gridCol w:w="222"/>
        <w:gridCol w:w="14"/>
        <w:gridCol w:w="9275"/>
        <w:gridCol w:w="14"/>
      </w:tblGrid>
      <w:tr w:rsidR="003E78DE" w:rsidRPr="006E376E" w14:paraId="222192DD" w14:textId="77777777" w:rsidTr="002F14A0">
        <w:trPr>
          <w:gridAfter w:val="1"/>
          <w:wAfter w:w="14" w:type="dxa"/>
        </w:trPr>
        <w:tc>
          <w:tcPr>
            <w:tcW w:w="222" w:type="dxa"/>
            <w:shd w:val="clear" w:color="auto" w:fill="auto"/>
          </w:tcPr>
          <w:p w14:paraId="3FE64DB9" w14:textId="77777777" w:rsidR="003E78DE" w:rsidRPr="006E376E" w:rsidRDefault="003E78DE" w:rsidP="002F14A0">
            <w:pPr>
              <w:rPr>
                <w:highlight w:val="yellow"/>
              </w:rPr>
            </w:pPr>
          </w:p>
        </w:tc>
        <w:tc>
          <w:tcPr>
            <w:tcW w:w="9289" w:type="dxa"/>
            <w:gridSpan w:val="2"/>
            <w:shd w:val="clear" w:color="auto" w:fill="auto"/>
          </w:tcPr>
          <w:p w14:paraId="01407DAA" w14:textId="77777777" w:rsidR="003E78DE" w:rsidRPr="006E376E" w:rsidRDefault="003E78DE" w:rsidP="002F14A0">
            <w:pPr>
              <w:rPr>
                <w:highlight w:val="yellow"/>
              </w:rPr>
            </w:pPr>
          </w:p>
        </w:tc>
      </w:tr>
      <w:tr w:rsidR="003E78DE" w:rsidRPr="006E376E" w14:paraId="54ED55D0" w14:textId="77777777" w:rsidTr="002F14A0">
        <w:tc>
          <w:tcPr>
            <w:tcW w:w="236" w:type="dxa"/>
            <w:gridSpan w:val="2"/>
            <w:shd w:val="clear" w:color="auto" w:fill="auto"/>
          </w:tcPr>
          <w:p w14:paraId="7D0BF349" w14:textId="77777777" w:rsidR="003E78DE" w:rsidRPr="006E376E" w:rsidRDefault="003E78DE" w:rsidP="002F14A0">
            <w:pPr>
              <w:rPr>
                <w:highlight w:val="yellow"/>
              </w:rPr>
            </w:pPr>
          </w:p>
        </w:tc>
        <w:tc>
          <w:tcPr>
            <w:tcW w:w="9289" w:type="dxa"/>
            <w:gridSpan w:val="2"/>
            <w:shd w:val="clear" w:color="auto" w:fill="auto"/>
          </w:tcPr>
          <w:tbl>
            <w:tblPr>
              <w:tblW w:w="9073" w:type="dxa"/>
              <w:tblLook w:val="04A0" w:firstRow="1" w:lastRow="0" w:firstColumn="1" w:lastColumn="0" w:noHBand="0" w:noVBand="1"/>
            </w:tblPr>
            <w:tblGrid>
              <w:gridCol w:w="2376"/>
              <w:gridCol w:w="6697"/>
            </w:tblGrid>
            <w:tr w:rsidR="003E78DE" w:rsidRPr="00677E17" w14:paraId="7BA62C3A" w14:textId="77777777" w:rsidTr="002F14A0">
              <w:tc>
                <w:tcPr>
                  <w:tcW w:w="2376" w:type="dxa"/>
                  <w:shd w:val="clear" w:color="auto" w:fill="auto"/>
                </w:tcPr>
                <w:p w14:paraId="4E813C67" w14:textId="77777777" w:rsidR="003E78DE" w:rsidRPr="00677E17" w:rsidRDefault="003E78DE" w:rsidP="002F14A0">
                  <w:r w:rsidRPr="00677E17">
                    <w:t>ACCTS</w:t>
                  </w:r>
                </w:p>
              </w:tc>
              <w:tc>
                <w:tcPr>
                  <w:tcW w:w="6697" w:type="dxa"/>
                  <w:shd w:val="clear" w:color="auto" w:fill="auto"/>
                </w:tcPr>
                <w:p w14:paraId="4EF72DD5" w14:textId="77777777" w:rsidR="003E78DE" w:rsidRPr="00677E17" w:rsidRDefault="003E78DE" w:rsidP="002F14A0">
                  <w:r w:rsidRPr="00677E17">
                    <w:t>Agreement on Climate Change, Trade and Sustainability</w:t>
                  </w:r>
                </w:p>
              </w:tc>
            </w:tr>
            <w:tr w:rsidR="002F14A0" w:rsidRPr="00677E17" w14:paraId="1A741E4B" w14:textId="77777777" w:rsidTr="002F14A0">
              <w:tc>
                <w:tcPr>
                  <w:tcW w:w="2376" w:type="dxa"/>
                  <w:shd w:val="clear" w:color="auto" w:fill="auto"/>
                </w:tcPr>
                <w:p w14:paraId="4B1114BF" w14:textId="78D6F3CA" w:rsidR="002F14A0" w:rsidRPr="00677E17" w:rsidRDefault="002F14A0" w:rsidP="002F14A0">
                  <w:r>
                    <w:t>APEC</w:t>
                  </w:r>
                </w:p>
              </w:tc>
              <w:tc>
                <w:tcPr>
                  <w:tcW w:w="6697" w:type="dxa"/>
                  <w:shd w:val="clear" w:color="auto" w:fill="auto"/>
                </w:tcPr>
                <w:p w14:paraId="6955C504" w14:textId="67F97B8D" w:rsidR="002F14A0" w:rsidRPr="00677E17" w:rsidRDefault="002F14A0" w:rsidP="002F14A0">
                  <w:r>
                    <w:t>Asia-Pacific Economic Cooperation</w:t>
                  </w:r>
                </w:p>
              </w:tc>
            </w:tr>
            <w:tr w:rsidR="003E78DE" w:rsidRPr="00677E17" w14:paraId="78F1087B" w14:textId="77777777" w:rsidTr="002F14A0">
              <w:tc>
                <w:tcPr>
                  <w:tcW w:w="2376" w:type="dxa"/>
                  <w:shd w:val="clear" w:color="auto" w:fill="auto"/>
                </w:tcPr>
                <w:p w14:paraId="30FBA3D5" w14:textId="77777777" w:rsidR="003E78DE" w:rsidRPr="00677E17" w:rsidRDefault="003E78DE" w:rsidP="002F14A0">
                  <w:r w:rsidRPr="00677E17">
                    <w:t>BRS Conventions</w:t>
                  </w:r>
                </w:p>
              </w:tc>
              <w:tc>
                <w:tcPr>
                  <w:tcW w:w="6697" w:type="dxa"/>
                  <w:shd w:val="clear" w:color="auto" w:fill="auto"/>
                </w:tcPr>
                <w:p w14:paraId="40C8F879" w14:textId="77777777" w:rsidR="003E78DE" w:rsidRPr="00677E17" w:rsidRDefault="003E78DE" w:rsidP="002F14A0">
                  <w:r w:rsidRPr="00677E17">
                    <w:t>Basel, Rotterdam and Stockholm Conventions</w:t>
                  </w:r>
                </w:p>
              </w:tc>
            </w:tr>
            <w:tr w:rsidR="003E78DE" w:rsidRPr="00677E17" w:rsidDel="004D4E29" w14:paraId="797D8FD6" w14:textId="77777777" w:rsidTr="002F14A0">
              <w:tc>
                <w:tcPr>
                  <w:tcW w:w="2376" w:type="dxa"/>
                  <w:shd w:val="clear" w:color="auto" w:fill="auto"/>
                </w:tcPr>
                <w:p w14:paraId="51DF3E4F" w14:textId="77777777" w:rsidR="003E78DE" w:rsidRDefault="003E78DE" w:rsidP="002F14A0">
                  <w:r>
                    <w:t>CBAM</w:t>
                  </w:r>
                </w:p>
              </w:tc>
              <w:tc>
                <w:tcPr>
                  <w:tcW w:w="6697" w:type="dxa"/>
                  <w:shd w:val="clear" w:color="auto" w:fill="auto"/>
                </w:tcPr>
                <w:p w14:paraId="7C663EA1" w14:textId="77777777" w:rsidR="003E78DE" w:rsidRDefault="003E78DE" w:rsidP="002F14A0">
                  <w:r>
                    <w:t>C</w:t>
                  </w:r>
                  <w:r w:rsidRPr="00423869">
                    <w:t xml:space="preserve">arbon </w:t>
                  </w:r>
                  <w:r>
                    <w:t>B</w:t>
                  </w:r>
                  <w:r w:rsidRPr="00423869">
                    <w:t xml:space="preserve">order </w:t>
                  </w:r>
                  <w:r>
                    <w:t>A</w:t>
                  </w:r>
                  <w:r w:rsidRPr="00423869">
                    <w:t xml:space="preserve">djustment </w:t>
                  </w:r>
                  <w:r>
                    <w:t>M</w:t>
                  </w:r>
                  <w:r w:rsidRPr="00423869">
                    <w:t xml:space="preserve">echanism </w:t>
                  </w:r>
                </w:p>
              </w:tc>
            </w:tr>
            <w:tr w:rsidR="003E78DE" w:rsidRPr="00677E17" w:rsidDel="004D4E29" w14:paraId="7E62EADD" w14:textId="77777777" w:rsidTr="002F14A0">
              <w:tc>
                <w:tcPr>
                  <w:tcW w:w="2376" w:type="dxa"/>
                  <w:shd w:val="clear" w:color="auto" w:fill="auto"/>
                </w:tcPr>
                <w:p w14:paraId="6103ED91" w14:textId="77777777" w:rsidR="003E78DE" w:rsidRPr="00677E17" w:rsidDel="004D4E29" w:rsidRDefault="003E78DE" w:rsidP="002F14A0">
                  <w:r>
                    <w:t>CBD</w:t>
                  </w:r>
                </w:p>
              </w:tc>
              <w:tc>
                <w:tcPr>
                  <w:tcW w:w="6697" w:type="dxa"/>
                  <w:shd w:val="clear" w:color="auto" w:fill="auto"/>
                </w:tcPr>
                <w:p w14:paraId="6EBDB202" w14:textId="77777777" w:rsidR="003E78DE" w:rsidRPr="00677E17" w:rsidDel="004D4E29" w:rsidRDefault="003E78DE" w:rsidP="002F14A0">
                  <w:r>
                    <w:t>Convention on Biological Diversity</w:t>
                  </w:r>
                </w:p>
              </w:tc>
            </w:tr>
            <w:tr w:rsidR="003E78DE" w:rsidRPr="00677E17" w:rsidDel="004D4E29" w14:paraId="16C14142" w14:textId="77777777" w:rsidTr="002F14A0">
              <w:tc>
                <w:tcPr>
                  <w:tcW w:w="2376" w:type="dxa"/>
                  <w:shd w:val="clear" w:color="auto" w:fill="auto"/>
                </w:tcPr>
                <w:p w14:paraId="33D90F1B" w14:textId="77777777" w:rsidR="003E78DE" w:rsidRPr="00677E17" w:rsidDel="004D4E29" w:rsidRDefault="003E78DE" w:rsidP="002F14A0">
                  <w:r w:rsidRPr="00677E17" w:rsidDel="004D4E29">
                    <w:t>CoP</w:t>
                  </w:r>
                </w:p>
              </w:tc>
              <w:tc>
                <w:tcPr>
                  <w:tcW w:w="6697" w:type="dxa"/>
                  <w:shd w:val="clear" w:color="auto" w:fill="auto"/>
                </w:tcPr>
                <w:p w14:paraId="29254B2A" w14:textId="77777777" w:rsidR="003E78DE" w:rsidRPr="00677E17" w:rsidDel="004D4E29" w:rsidRDefault="003E78DE" w:rsidP="002F14A0">
                  <w:r w:rsidRPr="00677E17" w:rsidDel="004D4E29">
                    <w:t>Conference of the Parties</w:t>
                  </w:r>
                </w:p>
              </w:tc>
            </w:tr>
            <w:tr w:rsidR="003E78DE" w:rsidRPr="00677E17" w:rsidDel="004D4E29" w14:paraId="0D2509CE" w14:textId="77777777" w:rsidTr="002F14A0">
              <w:tc>
                <w:tcPr>
                  <w:tcW w:w="2376" w:type="dxa"/>
                  <w:shd w:val="clear" w:color="auto" w:fill="auto"/>
                </w:tcPr>
                <w:p w14:paraId="0EF140E5" w14:textId="77777777" w:rsidR="003E78DE" w:rsidRPr="00677E17" w:rsidDel="004D4E29" w:rsidRDefault="003E78DE" w:rsidP="002F14A0">
                  <w:r w:rsidRPr="00677E17" w:rsidDel="004D4E29">
                    <w:t>CTE</w:t>
                  </w:r>
                </w:p>
              </w:tc>
              <w:tc>
                <w:tcPr>
                  <w:tcW w:w="6697" w:type="dxa"/>
                  <w:shd w:val="clear" w:color="auto" w:fill="auto"/>
                </w:tcPr>
                <w:p w14:paraId="58534258" w14:textId="77777777" w:rsidR="003E78DE" w:rsidRPr="00677E17" w:rsidDel="004D4E29" w:rsidRDefault="003E78DE" w:rsidP="002F14A0">
                  <w:r w:rsidRPr="00677E17" w:rsidDel="004D4E29">
                    <w:t>Committee on Trade and Environment</w:t>
                  </w:r>
                </w:p>
              </w:tc>
            </w:tr>
            <w:tr w:rsidR="003E78DE" w:rsidRPr="00677E17" w:rsidDel="004D4E29" w14:paraId="625616DD" w14:textId="77777777" w:rsidTr="002F14A0">
              <w:tc>
                <w:tcPr>
                  <w:tcW w:w="2376" w:type="dxa"/>
                  <w:shd w:val="clear" w:color="auto" w:fill="auto"/>
                </w:tcPr>
                <w:p w14:paraId="60F5E386" w14:textId="77777777" w:rsidR="003E78DE" w:rsidRDefault="003E78DE" w:rsidP="002F14A0">
                  <w:r>
                    <w:t>DEAL</w:t>
                  </w:r>
                </w:p>
              </w:tc>
              <w:tc>
                <w:tcPr>
                  <w:tcW w:w="6697" w:type="dxa"/>
                  <w:shd w:val="clear" w:color="auto" w:fill="auto"/>
                </w:tcPr>
                <w:p w14:paraId="542674A7" w14:textId="77777777" w:rsidR="003E78DE" w:rsidRPr="0043488D" w:rsidRDefault="003E78DE" w:rsidP="002F14A0">
                  <w:r w:rsidRPr="00EB0431">
                    <w:t>Data for Environment Alliance</w:t>
                  </w:r>
                </w:p>
              </w:tc>
            </w:tr>
            <w:tr w:rsidR="003E78DE" w:rsidRPr="00677E17" w:rsidDel="004D4E29" w14:paraId="5292488B" w14:textId="77777777" w:rsidTr="002F14A0">
              <w:tc>
                <w:tcPr>
                  <w:tcW w:w="2376" w:type="dxa"/>
                  <w:shd w:val="clear" w:color="auto" w:fill="auto"/>
                </w:tcPr>
                <w:p w14:paraId="5D8C684F" w14:textId="77777777" w:rsidR="003E78DE" w:rsidRDefault="003E78DE" w:rsidP="002F14A0">
                  <w:r>
                    <w:t>EDB</w:t>
                  </w:r>
                </w:p>
              </w:tc>
              <w:tc>
                <w:tcPr>
                  <w:tcW w:w="6697" w:type="dxa"/>
                  <w:shd w:val="clear" w:color="auto" w:fill="auto"/>
                </w:tcPr>
                <w:p w14:paraId="6E8A8161" w14:textId="77777777" w:rsidR="003E78DE" w:rsidRPr="0043488D" w:rsidRDefault="003E78DE" w:rsidP="002F14A0">
                  <w:r w:rsidRPr="00EB365F">
                    <w:t>WTO Environmental Database</w:t>
                  </w:r>
                </w:p>
              </w:tc>
            </w:tr>
            <w:tr w:rsidR="003E78DE" w:rsidRPr="00677E17" w:rsidDel="004D4E29" w14:paraId="6A4382E7" w14:textId="77777777" w:rsidTr="002F14A0">
              <w:tc>
                <w:tcPr>
                  <w:tcW w:w="2376" w:type="dxa"/>
                  <w:shd w:val="clear" w:color="auto" w:fill="auto"/>
                </w:tcPr>
                <w:p w14:paraId="50F5E253" w14:textId="77777777" w:rsidR="003E78DE" w:rsidRPr="00677E17" w:rsidRDefault="003E78DE" w:rsidP="002F14A0">
                  <w:r>
                    <w:t>EPA</w:t>
                  </w:r>
                </w:p>
              </w:tc>
              <w:tc>
                <w:tcPr>
                  <w:tcW w:w="6697" w:type="dxa"/>
                  <w:shd w:val="clear" w:color="auto" w:fill="auto"/>
                </w:tcPr>
                <w:p w14:paraId="03F85E3A" w14:textId="77777777" w:rsidR="003E78DE" w:rsidRPr="00677E17" w:rsidRDefault="003E78DE" w:rsidP="002F14A0">
                  <w:r w:rsidRPr="0043488D">
                    <w:t>Environmental Protection Agency</w:t>
                  </w:r>
                </w:p>
              </w:tc>
            </w:tr>
            <w:tr w:rsidR="003E78DE" w:rsidRPr="00677E17" w:rsidDel="004D4E29" w14:paraId="1EB85BA8" w14:textId="77777777" w:rsidTr="002F14A0">
              <w:tc>
                <w:tcPr>
                  <w:tcW w:w="2376" w:type="dxa"/>
                  <w:shd w:val="clear" w:color="auto" w:fill="auto"/>
                </w:tcPr>
                <w:p w14:paraId="3B01BBB9" w14:textId="77777777" w:rsidR="003E78DE" w:rsidRDefault="003E78DE" w:rsidP="002F14A0">
                  <w:r>
                    <w:t>EU</w:t>
                  </w:r>
                </w:p>
              </w:tc>
              <w:tc>
                <w:tcPr>
                  <w:tcW w:w="6697" w:type="dxa"/>
                  <w:shd w:val="clear" w:color="auto" w:fill="auto"/>
                </w:tcPr>
                <w:p w14:paraId="4C8B7FF3" w14:textId="4A049DC3" w:rsidR="003E78DE" w:rsidRPr="0043488D" w:rsidRDefault="003E78DE" w:rsidP="002F14A0">
                  <w:r>
                    <w:t>European</w:t>
                  </w:r>
                  <w:r w:rsidR="00025E1C">
                    <w:t> Union</w:t>
                  </w:r>
                </w:p>
              </w:tc>
            </w:tr>
            <w:tr w:rsidR="00A72A1D" w:rsidRPr="00677E17" w14:paraId="08FCFAD0" w14:textId="77777777" w:rsidTr="002F14A0">
              <w:tc>
                <w:tcPr>
                  <w:tcW w:w="2376" w:type="dxa"/>
                  <w:shd w:val="clear" w:color="auto" w:fill="auto"/>
                </w:tcPr>
                <w:p w14:paraId="5AF305FB" w14:textId="4FE63051" w:rsidR="00A72A1D" w:rsidRPr="00677E17" w:rsidRDefault="00A72A1D" w:rsidP="002F14A0">
                  <w:r w:rsidRPr="005B144C">
                    <w:t>FACT</w:t>
                  </w:r>
                </w:p>
              </w:tc>
              <w:tc>
                <w:tcPr>
                  <w:tcW w:w="6697" w:type="dxa"/>
                  <w:shd w:val="clear" w:color="auto" w:fill="auto"/>
                </w:tcPr>
                <w:p w14:paraId="38394AF2" w14:textId="01ADA3BF" w:rsidR="00A72A1D" w:rsidRPr="00677E17" w:rsidRDefault="00A72A1D" w:rsidP="002F14A0">
                  <w:r w:rsidRPr="005B144C">
                    <w:t>Forest, Agriculture and Commodity Trade dialogue</w:t>
                  </w:r>
                </w:p>
              </w:tc>
            </w:tr>
            <w:tr w:rsidR="003E78DE" w:rsidRPr="00677E17" w14:paraId="6D74C029" w14:textId="77777777" w:rsidTr="002F14A0">
              <w:tc>
                <w:tcPr>
                  <w:tcW w:w="2376" w:type="dxa"/>
                  <w:shd w:val="clear" w:color="auto" w:fill="auto"/>
                </w:tcPr>
                <w:p w14:paraId="21A0EF5C" w14:textId="77777777" w:rsidR="003E78DE" w:rsidRPr="00677E17" w:rsidRDefault="003E78DE" w:rsidP="002F14A0">
                  <w:r w:rsidRPr="00677E17">
                    <w:t>FAO</w:t>
                  </w:r>
                </w:p>
              </w:tc>
              <w:tc>
                <w:tcPr>
                  <w:tcW w:w="6697" w:type="dxa"/>
                  <w:shd w:val="clear" w:color="auto" w:fill="auto"/>
                </w:tcPr>
                <w:p w14:paraId="360B6028" w14:textId="77777777" w:rsidR="003E78DE" w:rsidRPr="00677E17" w:rsidRDefault="003E78DE" w:rsidP="002F14A0">
                  <w:r w:rsidRPr="00677E17">
                    <w:t>Food and Agriculture Organization of the United Nations</w:t>
                  </w:r>
                </w:p>
              </w:tc>
            </w:tr>
            <w:tr w:rsidR="003E78DE" w:rsidRPr="00677E17" w:rsidDel="004D4E29" w14:paraId="47E30F42" w14:textId="77777777" w:rsidTr="002F14A0">
              <w:tc>
                <w:tcPr>
                  <w:tcW w:w="2376" w:type="dxa"/>
                  <w:shd w:val="clear" w:color="auto" w:fill="auto"/>
                </w:tcPr>
                <w:p w14:paraId="0CC82A93" w14:textId="2E1F13B0" w:rsidR="003E78DE" w:rsidRPr="00677E17" w:rsidDel="004D4E29" w:rsidRDefault="003E78DE" w:rsidP="002F14A0">
                  <w:r w:rsidRPr="00677E17" w:rsidDel="004D4E29">
                    <w:t>FFS</w:t>
                  </w:r>
                </w:p>
              </w:tc>
              <w:tc>
                <w:tcPr>
                  <w:tcW w:w="6697" w:type="dxa"/>
                  <w:shd w:val="clear" w:color="auto" w:fill="auto"/>
                </w:tcPr>
                <w:p w14:paraId="761612FB" w14:textId="6BD20CE1" w:rsidR="003E78DE" w:rsidRPr="00677E17" w:rsidDel="004D4E29" w:rsidRDefault="003E78DE" w:rsidP="002F14A0">
                  <w:r w:rsidRPr="00677E17" w:rsidDel="004D4E29">
                    <w:t>Fossil Fuel Subsid</w:t>
                  </w:r>
                  <w:r>
                    <w:t>ies</w:t>
                  </w:r>
                </w:p>
              </w:tc>
            </w:tr>
            <w:tr w:rsidR="003E78DE" w:rsidRPr="00677E17" w:rsidDel="004D4E29" w14:paraId="3D13D832" w14:textId="77777777" w:rsidTr="002F14A0">
              <w:tc>
                <w:tcPr>
                  <w:tcW w:w="2376" w:type="dxa"/>
                  <w:shd w:val="clear" w:color="auto" w:fill="auto"/>
                </w:tcPr>
                <w:p w14:paraId="24115F6A" w14:textId="77777777" w:rsidR="003E78DE" w:rsidRPr="00677E17" w:rsidDel="004D4E29" w:rsidRDefault="003E78DE" w:rsidP="002F14A0">
                  <w:r w:rsidRPr="00677E17" w:rsidDel="004D4E29">
                    <w:t>FFSR</w:t>
                  </w:r>
                </w:p>
              </w:tc>
              <w:tc>
                <w:tcPr>
                  <w:tcW w:w="6697" w:type="dxa"/>
                  <w:shd w:val="clear" w:color="auto" w:fill="auto"/>
                </w:tcPr>
                <w:p w14:paraId="498637B4" w14:textId="77777777" w:rsidR="003E78DE" w:rsidRPr="00677E17" w:rsidDel="004D4E29" w:rsidRDefault="003E78DE" w:rsidP="002F14A0">
                  <w:r w:rsidRPr="00677E17" w:rsidDel="004D4E29">
                    <w:t>Fossil Fuel Subsidy Reform</w:t>
                  </w:r>
                </w:p>
              </w:tc>
            </w:tr>
            <w:tr w:rsidR="003E78DE" w:rsidRPr="00677E17" w:rsidDel="004D4E29" w14:paraId="54C0F08D" w14:textId="77777777" w:rsidTr="002F14A0">
              <w:tc>
                <w:tcPr>
                  <w:tcW w:w="2376" w:type="dxa"/>
                  <w:shd w:val="clear" w:color="auto" w:fill="auto"/>
                </w:tcPr>
                <w:p w14:paraId="53E94DF1" w14:textId="77777777" w:rsidR="003E78DE" w:rsidRDefault="003E78DE" w:rsidP="002F14A0">
                  <w:r>
                    <w:t>GHGs</w:t>
                  </w:r>
                </w:p>
              </w:tc>
              <w:tc>
                <w:tcPr>
                  <w:tcW w:w="6697" w:type="dxa"/>
                  <w:shd w:val="clear" w:color="auto" w:fill="auto"/>
                </w:tcPr>
                <w:p w14:paraId="385FF82F" w14:textId="77777777" w:rsidR="003E78DE" w:rsidRPr="00F25AC1" w:rsidRDefault="003E78DE" w:rsidP="002F14A0">
                  <w:pPr>
                    <w:rPr>
                      <w:lang w:val="en-NZ"/>
                    </w:rPr>
                  </w:pPr>
                  <w:r>
                    <w:rPr>
                      <w:lang w:val="en-NZ"/>
                    </w:rPr>
                    <w:t>G</w:t>
                  </w:r>
                  <w:r w:rsidRPr="00484019">
                    <w:rPr>
                      <w:lang w:val="en-NZ"/>
                    </w:rPr>
                    <w:t xml:space="preserve">reenhouse </w:t>
                  </w:r>
                  <w:r>
                    <w:rPr>
                      <w:lang w:val="en-NZ"/>
                    </w:rPr>
                    <w:t>G</w:t>
                  </w:r>
                  <w:r w:rsidRPr="00484019">
                    <w:rPr>
                      <w:lang w:val="en-NZ"/>
                    </w:rPr>
                    <w:t>ases</w:t>
                  </w:r>
                </w:p>
              </w:tc>
            </w:tr>
            <w:tr w:rsidR="003E78DE" w:rsidRPr="00677E17" w:rsidDel="004D4E29" w14:paraId="495C019D" w14:textId="77777777" w:rsidTr="002F14A0">
              <w:tc>
                <w:tcPr>
                  <w:tcW w:w="2376" w:type="dxa"/>
                  <w:shd w:val="clear" w:color="auto" w:fill="auto"/>
                </w:tcPr>
                <w:p w14:paraId="343A1FDB" w14:textId="77777777" w:rsidR="003E78DE" w:rsidRDefault="003E78DE" w:rsidP="002F14A0">
                  <w:r>
                    <w:t>HS</w:t>
                  </w:r>
                </w:p>
              </w:tc>
              <w:tc>
                <w:tcPr>
                  <w:tcW w:w="6697" w:type="dxa"/>
                  <w:shd w:val="clear" w:color="auto" w:fill="auto"/>
                </w:tcPr>
                <w:p w14:paraId="34E4D213" w14:textId="77777777" w:rsidR="003E78DE" w:rsidRPr="00F25AC1" w:rsidRDefault="003E78DE" w:rsidP="002F14A0">
                  <w:pPr>
                    <w:rPr>
                      <w:lang w:val="en-NZ"/>
                    </w:rPr>
                  </w:pPr>
                  <w:r>
                    <w:rPr>
                      <w:lang w:val="en-NZ"/>
                    </w:rPr>
                    <w:t>Harmonized System</w:t>
                  </w:r>
                </w:p>
              </w:tc>
            </w:tr>
            <w:tr w:rsidR="003E78DE" w:rsidRPr="00677E17" w:rsidDel="004D4E29" w14:paraId="3167F87E" w14:textId="77777777" w:rsidTr="002F14A0">
              <w:tc>
                <w:tcPr>
                  <w:tcW w:w="2376" w:type="dxa"/>
                  <w:shd w:val="clear" w:color="auto" w:fill="auto"/>
                </w:tcPr>
                <w:p w14:paraId="69B6AE49" w14:textId="77777777" w:rsidR="003E78DE" w:rsidRPr="00677E17" w:rsidRDefault="003E78DE" w:rsidP="002F14A0">
                  <w:r>
                    <w:t>IDP</w:t>
                  </w:r>
                </w:p>
              </w:tc>
              <w:tc>
                <w:tcPr>
                  <w:tcW w:w="6697" w:type="dxa"/>
                  <w:shd w:val="clear" w:color="auto" w:fill="auto"/>
                </w:tcPr>
                <w:p w14:paraId="204926F3" w14:textId="77777777" w:rsidR="003E78DE" w:rsidRPr="00677E17" w:rsidRDefault="003E78DE" w:rsidP="002F14A0">
                  <w:pPr>
                    <w:rPr>
                      <w:lang w:val="en-NZ"/>
                    </w:rPr>
                  </w:pPr>
                  <w:r w:rsidRPr="00317691">
                    <w:rPr>
                      <w:lang w:val="fr-CH"/>
                    </w:rPr>
                    <w:t>Informal Dialogue on Plastics P</w:t>
                  </w:r>
                  <w:r>
                    <w:rPr>
                      <w:lang w:val="fr-CH"/>
                    </w:rPr>
                    <w:t>ollution and Environmentally Sustainable Plastics Trade</w:t>
                  </w:r>
                </w:p>
              </w:tc>
            </w:tr>
            <w:tr w:rsidR="003E78DE" w:rsidRPr="00677E17" w:rsidDel="004D4E29" w14:paraId="0A23E0EB" w14:textId="77777777" w:rsidTr="002F14A0">
              <w:tc>
                <w:tcPr>
                  <w:tcW w:w="2376" w:type="dxa"/>
                  <w:shd w:val="clear" w:color="auto" w:fill="auto"/>
                </w:tcPr>
                <w:p w14:paraId="7CB4C6CC" w14:textId="77777777" w:rsidR="003E78DE" w:rsidRPr="00677E17" w:rsidDel="004D4E29" w:rsidRDefault="003E78DE" w:rsidP="002F14A0">
                  <w:r w:rsidRPr="00677E17">
                    <w:t>IISD</w:t>
                  </w:r>
                </w:p>
              </w:tc>
              <w:tc>
                <w:tcPr>
                  <w:tcW w:w="6697" w:type="dxa"/>
                  <w:shd w:val="clear" w:color="auto" w:fill="auto"/>
                </w:tcPr>
                <w:p w14:paraId="3E3B75D2" w14:textId="77777777" w:rsidR="003E78DE" w:rsidRPr="00677E17" w:rsidDel="004D4E29" w:rsidRDefault="003E78DE" w:rsidP="002F14A0">
                  <w:r w:rsidRPr="00677E17">
                    <w:rPr>
                      <w:lang w:val="en-NZ"/>
                    </w:rPr>
                    <w:t>International Institute for Sustainable Development</w:t>
                  </w:r>
                </w:p>
              </w:tc>
            </w:tr>
            <w:tr w:rsidR="002F14A0" w:rsidRPr="00677E17" w14:paraId="0139469A" w14:textId="77777777" w:rsidTr="002F14A0">
              <w:tc>
                <w:tcPr>
                  <w:tcW w:w="2376" w:type="dxa"/>
                  <w:shd w:val="clear" w:color="auto" w:fill="auto"/>
                </w:tcPr>
                <w:p w14:paraId="5F63464E" w14:textId="00B547D3" w:rsidR="002F14A0" w:rsidRDefault="002F14A0" w:rsidP="002F14A0">
                  <w:r>
                    <w:t>IPCC</w:t>
                  </w:r>
                </w:p>
              </w:tc>
              <w:tc>
                <w:tcPr>
                  <w:tcW w:w="6697" w:type="dxa"/>
                  <w:shd w:val="clear" w:color="auto" w:fill="auto"/>
                </w:tcPr>
                <w:p w14:paraId="7E8CF8FF" w14:textId="2A4FA30D" w:rsidR="002F14A0" w:rsidRPr="007B7BAD" w:rsidRDefault="002F14A0" w:rsidP="002F14A0">
                  <w:r w:rsidRPr="002F14A0">
                    <w:t>Intergovernmental Panel on Climate Change</w:t>
                  </w:r>
                </w:p>
              </w:tc>
            </w:tr>
            <w:tr w:rsidR="003E78DE" w:rsidRPr="00677E17" w14:paraId="37EF72C3" w14:textId="77777777" w:rsidTr="002F14A0">
              <w:tc>
                <w:tcPr>
                  <w:tcW w:w="2376" w:type="dxa"/>
                  <w:shd w:val="clear" w:color="auto" w:fill="auto"/>
                </w:tcPr>
                <w:p w14:paraId="21C0BF89" w14:textId="77777777" w:rsidR="003E78DE" w:rsidRPr="00677E17" w:rsidRDefault="003E78DE" w:rsidP="002F14A0">
                  <w:r>
                    <w:t>ISO</w:t>
                  </w:r>
                </w:p>
              </w:tc>
              <w:tc>
                <w:tcPr>
                  <w:tcW w:w="6697" w:type="dxa"/>
                  <w:shd w:val="clear" w:color="auto" w:fill="auto"/>
                </w:tcPr>
                <w:p w14:paraId="7A80BD6A" w14:textId="77777777" w:rsidR="003E78DE" w:rsidRPr="00677E17" w:rsidRDefault="003E78DE" w:rsidP="002F14A0">
                  <w:r w:rsidRPr="002811DC">
                    <w:t>International Organization for Standardization</w:t>
                  </w:r>
                </w:p>
              </w:tc>
            </w:tr>
            <w:tr w:rsidR="003E78DE" w:rsidRPr="00677E17" w14:paraId="4CF729D8" w14:textId="77777777" w:rsidTr="002F14A0">
              <w:tc>
                <w:tcPr>
                  <w:tcW w:w="2376" w:type="dxa"/>
                  <w:shd w:val="clear" w:color="auto" w:fill="auto"/>
                </w:tcPr>
                <w:p w14:paraId="7541D2A1" w14:textId="77777777" w:rsidR="003E78DE" w:rsidRPr="00677E17" w:rsidRDefault="003E78DE" w:rsidP="002F14A0">
                  <w:r w:rsidRPr="00677E17">
                    <w:t>MC</w:t>
                  </w:r>
                </w:p>
              </w:tc>
              <w:tc>
                <w:tcPr>
                  <w:tcW w:w="6697" w:type="dxa"/>
                  <w:shd w:val="clear" w:color="auto" w:fill="auto"/>
                </w:tcPr>
                <w:p w14:paraId="793A4F0A" w14:textId="77777777" w:rsidR="003E78DE" w:rsidRPr="00677E17" w:rsidRDefault="003E78DE" w:rsidP="002F14A0">
                  <w:r w:rsidRPr="00677E17">
                    <w:t>Ministerial Conference</w:t>
                  </w:r>
                </w:p>
              </w:tc>
            </w:tr>
            <w:tr w:rsidR="003E78DE" w:rsidRPr="00677E17" w14:paraId="479B3B57" w14:textId="77777777" w:rsidTr="002F14A0">
              <w:tc>
                <w:tcPr>
                  <w:tcW w:w="2376" w:type="dxa"/>
                  <w:shd w:val="clear" w:color="auto" w:fill="auto"/>
                </w:tcPr>
                <w:p w14:paraId="410D1D02" w14:textId="77777777" w:rsidR="003E78DE" w:rsidRPr="00677E17" w:rsidRDefault="003E78DE" w:rsidP="002F14A0">
                  <w:r w:rsidRPr="00677E17">
                    <w:t>MEAs</w:t>
                  </w:r>
                </w:p>
              </w:tc>
              <w:tc>
                <w:tcPr>
                  <w:tcW w:w="6697" w:type="dxa"/>
                  <w:shd w:val="clear" w:color="auto" w:fill="auto"/>
                </w:tcPr>
                <w:p w14:paraId="2F1EB1E4" w14:textId="77777777" w:rsidR="003E78DE" w:rsidRPr="00677E17" w:rsidRDefault="003E78DE" w:rsidP="002F14A0">
                  <w:r w:rsidRPr="00677E17">
                    <w:t>Multilateral Environmental Agreements</w:t>
                  </w:r>
                </w:p>
              </w:tc>
            </w:tr>
            <w:tr w:rsidR="003E78DE" w:rsidRPr="00677E17" w14:paraId="111F0F85" w14:textId="77777777" w:rsidTr="002F14A0">
              <w:tc>
                <w:tcPr>
                  <w:tcW w:w="2376" w:type="dxa"/>
                  <w:shd w:val="clear" w:color="auto" w:fill="auto"/>
                </w:tcPr>
                <w:p w14:paraId="29404555" w14:textId="77777777" w:rsidR="003E78DE" w:rsidRPr="00677E17" w:rsidRDefault="003E78DE" w:rsidP="002F14A0">
                  <w:r>
                    <w:t>MSMEs</w:t>
                  </w:r>
                </w:p>
              </w:tc>
              <w:tc>
                <w:tcPr>
                  <w:tcW w:w="6697" w:type="dxa"/>
                  <w:shd w:val="clear" w:color="auto" w:fill="auto"/>
                </w:tcPr>
                <w:p w14:paraId="21B0A7B8" w14:textId="77777777" w:rsidR="003E78DE" w:rsidRPr="00677E17" w:rsidRDefault="003E78DE" w:rsidP="002F14A0">
                  <w:r w:rsidRPr="00ED0830">
                    <w:t>Micro, Small and Medium-sized Enterprises</w:t>
                  </w:r>
                </w:p>
              </w:tc>
            </w:tr>
            <w:tr w:rsidR="002F14A0" w:rsidRPr="00677E17" w14:paraId="72C0C9DC" w14:textId="77777777" w:rsidTr="002F14A0">
              <w:tc>
                <w:tcPr>
                  <w:tcW w:w="2376" w:type="dxa"/>
                  <w:shd w:val="clear" w:color="auto" w:fill="auto"/>
                </w:tcPr>
                <w:p w14:paraId="17EA1248" w14:textId="511ECD09" w:rsidR="002F14A0" w:rsidRDefault="002F14A0" w:rsidP="002F14A0">
                  <w:r w:rsidRPr="002F14A0">
                    <w:t>MTS</w:t>
                  </w:r>
                </w:p>
              </w:tc>
              <w:tc>
                <w:tcPr>
                  <w:tcW w:w="6697" w:type="dxa"/>
                  <w:shd w:val="clear" w:color="auto" w:fill="auto"/>
                </w:tcPr>
                <w:p w14:paraId="09CC03F7" w14:textId="35DC0725" w:rsidR="002F14A0" w:rsidRDefault="002F14A0" w:rsidP="002F14A0">
                  <w:r>
                    <w:t>M</w:t>
                  </w:r>
                  <w:r w:rsidRPr="002F14A0">
                    <w:t>ultilateral Trading System</w:t>
                  </w:r>
                </w:p>
              </w:tc>
            </w:tr>
            <w:tr w:rsidR="003E78DE" w:rsidRPr="00677E17" w14:paraId="480843EB" w14:textId="77777777" w:rsidTr="002F14A0">
              <w:tc>
                <w:tcPr>
                  <w:tcW w:w="2376" w:type="dxa"/>
                  <w:shd w:val="clear" w:color="auto" w:fill="auto"/>
                </w:tcPr>
                <w:p w14:paraId="6FA31457" w14:textId="77777777" w:rsidR="003E78DE" w:rsidRPr="00677E17" w:rsidRDefault="003E78DE" w:rsidP="002F14A0">
                  <w:r>
                    <w:t>NDCs</w:t>
                  </w:r>
                </w:p>
              </w:tc>
              <w:tc>
                <w:tcPr>
                  <w:tcW w:w="6697" w:type="dxa"/>
                  <w:shd w:val="clear" w:color="auto" w:fill="auto"/>
                </w:tcPr>
                <w:p w14:paraId="5E504231" w14:textId="77777777" w:rsidR="003E78DE" w:rsidRPr="00677E17" w:rsidRDefault="003E78DE" w:rsidP="002F14A0">
                  <w:r>
                    <w:t>N</w:t>
                  </w:r>
                  <w:r w:rsidRPr="00122C3D">
                    <w:t xml:space="preserve">ationally </w:t>
                  </w:r>
                  <w:r>
                    <w:t>D</w:t>
                  </w:r>
                  <w:r w:rsidRPr="00122C3D">
                    <w:t xml:space="preserve">etermined </w:t>
                  </w:r>
                  <w:r>
                    <w:t>C</w:t>
                  </w:r>
                  <w:r w:rsidRPr="00122C3D">
                    <w:t>ontributions</w:t>
                  </w:r>
                </w:p>
              </w:tc>
            </w:tr>
            <w:tr w:rsidR="003E78DE" w:rsidRPr="00677E17" w14:paraId="752FB780" w14:textId="77777777" w:rsidTr="002F14A0">
              <w:tc>
                <w:tcPr>
                  <w:tcW w:w="2376" w:type="dxa"/>
                  <w:shd w:val="clear" w:color="auto" w:fill="auto"/>
                </w:tcPr>
                <w:p w14:paraId="00225A5A" w14:textId="77777777" w:rsidR="003E78DE" w:rsidRPr="00677E17" w:rsidRDefault="003E78DE" w:rsidP="002F14A0">
                  <w:r w:rsidRPr="00677E17">
                    <w:t>OECD</w:t>
                  </w:r>
                </w:p>
              </w:tc>
              <w:tc>
                <w:tcPr>
                  <w:tcW w:w="6697" w:type="dxa"/>
                  <w:shd w:val="clear" w:color="auto" w:fill="auto"/>
                </w:tcPr>
                <w:p w14:paraId="40F0E937" w14:textId="77777777" w:rsidR="003E78DE" w:rsidRPr="00677E17" w:rsidRDefault="003E78DE" w:rsidP="002F14A0">
                  <w:r w:rsidRPr="00677E17">
                    <w:t>Organisation for Economic Co-operation and Development</w:t>
                  </w:r>
                </w:p>
              </w:tc>
            </w:tr>
            <w:tr w:rsidR="003E78DE" w:rsidRPr="00677E17" w:rsidDel="003E5246" w14:paraId="71996E94" w14:textId="77777777" w:rsidTr="002F14A0">
              <w:tc>
                <w:tcPr>
                  <w:tcW w:w="2376" w:type="dxa"/>
                  <w:shd w:val="clear" w:color="auto" w:fill="auto"/>
                </w:tcPr>
                <w:p w14:paraId="0F917520" w14:textId="77777777" w:rsidR="003E78DE" w:rsidRPr="00677E17" w:rsidDel="003E5246" w:rsidRDefault="003E78DE" w:rsidP="002F14A0">
                  <w:r w:rsidRPr="00677E17" w:rsidDel="004D4E29">
                    <w:t>SDG</w:t>
                  </w:r>
                </w:p>
              </w:tc>
              <w:tc>
                <w:tcPr>
                  <w:tcW w:w="6697" w:type="dxa"/>
                  <w:shd w:val="clear" w:color="auto" w:fill="auto"/>
                </w:tcPr>
                <w:p w14:paraId="5A47050B" w14:textId="77777777" w:rsidR="003E78DE" w:rsidRPr="00677E17" w:rsidDel="003E5246" w:rsidRDefault="003E78DE" w:rsidP="002F14A0">
                  <w:r w:rsidRPr="00677E17" w:rsidDel="004D4E29">
                    <w:t>Sustainable Development Goal</w:t>
                  </w:r>
                </w:p>
              </w:tc>
            </w:tr>
            <w:tr w:rsidR="003E78DE" w:rsidRPr="00677E17" w14:paraId="1B104027" w14:textId="77777777" w:rsidTr="002F14A0">
              <w:tc>
                <w:tcPr>
                  <w:tcW w:w="2376" w:type="dxa"/>
                  <w:shd w:val="clear" w:color="auto" w:fill="auto"/>
                </w:tcPr>
                <w:p w14:paraId="26342013" w14:textId="77777777" w:rsidR="003E78DE" w:rsidRPr="00677E17" w:rsidRDefault="003E78DE" w:rsidP="002F14A0">
                  <w:r>
                    <w:t>SIDS</w:t>
                  </w:r>
                </w:p>
              </w:tc>
              <w:tc>
                <w:tcPr>
                  <w:tcW w:w="6697" w:type="dxa"/>
                  <w:shd w:val="clear" w:color="auto" w:fill="auto"/>
                </w:tcPr>
                <w:p w14:paraId="38BF3991" w14:textId="77777777" w:rsidR="003E78DE" w:rsidRPr="00677E17" w:rsidRDefault="003E78DE" w:rsidP="002F14A0">
                  <w:r w:rsidRPr="00E124F8">
                    <w:t>Small Island Developing States</w:t>
                  </w:r>
                </w:p>
              </w:tc>
            </w:tr>
            <w:tr w:rsidR="003E78DE" w:rsidRPr="00677E17" w14:paraId="4276A1D5" w14:textId="77777777" w:rsidTr="002F14A0">
              <w:tc>
                <w:tcPr>
                  <w:tcW w:w="2376" w:type="dxa"/>
                  <w:shd w:val="clear" w:color="auto" w:fill="auto"/>
                </w:tcPr>
                <w:p w14:paraId="5979CECA" w14:textId="77777777" w:rsidR="003E78DE" w:rsidRPr="00677E17" w:rsidRDefault="003E78DE" w:rsidP="002F14A0">
                  <w:r>
                    <w:t>TPR</w:t>
                  </w:r>
                </w:p>
              </w:tc>
              <w:tc>
                <w:tcPr>
                  <w:tcW w:w="6697" w:type="dxa"/>
                  <w:shd w:val="clear" w:color="auto" w:fill="auto"/>
                </w:tcPr>
                <w:p w14:paraId="30FF052F" w14:textId="77777777" w:rsidR="003E78DE" w:rsidRPr="00677E17" w:rsidRDefault="003E78DE" w:rsidP="002F14A0">
                  <w:r w:rsidRPr="00EB365F">
                    <w:t>Trade Policy Review</w:t>
                  </w:r>
                </w:p>
              </w:tc>
            </w:tr>
            <w:tr w:rsidR="003E78DE" w:rsidRPr="00677E17" w14:paraId="5497A2D4" w14:textId="77777777" w:rsidTr="002F14A0">
              <w:tc>
                <w:tcPr>
                  <w:tcW w:w="2376" w:type="dxa"/>
                  <w:shd w:val="clear" w:color="auto" w:fill="auto"/>
                </w:tcPr>
                <w:p w14:paraId="5C2B4656" w14:textId="77777777" w:rsidR="003E78DE" w:rsidRPr="00677E17" w:rsidRDefault="003E78DE" w:rsidP="002F14A0">
                  <w:r>
                    <w:t>TESSD</w:t>
                  </w:r>
                </w:p>
              </w:tc>
              <w:tc>
                <w:tcPr>
                  <w:tcW w:w="6697" w:type="dxa"/>
                  <w:shd w:val="clear" w:color="auto" w:fill="auto"/>
                </w:tcPr>
                <w:p w14:paraId="033648E8" w14:textId="77777777" w:rsidR="003E78DE" w:rsidRPr="00677E17" w:rsidRDefault="003E78DE" w:rsidP="002F14A0">
                  <w:r>
                    <w:t xml:space="preserve">Structured Discussions on Trade and Environmental Sustainability </w:t>
                  </w:r>
                </w:p>
              </w:tc>
            </w:tr>
            <w:tr w:rsidR="003E78DE" w:rsidRPr="00677E17" w:rsidDel="004D4E29" w14:paraId="41843B00" w14:textId="77777777" w:rsidTr="002F14A0">
              <w:tc>
                <w:tcPr>
                  <w:tcW w:w="2376" w:type="dxa"/>
                  <w:shd w:val="clear" w:color="auto" w:fill="auto"/>
                </w:tcPr>
                <w:p w14:paraId="584E81D9" w14:textId="77777777" w:rsidR="003E78DE" w:rsidRPr="00677E17" w:rsidDel="004D4E29" w:rsidRDefault="003E78DE" w:rsidP="002F14A0">
                  <w:pPr>
                    <w:jc w:val="left"/>
                  </w:pPr>
                  <w:r w:rsidRPr="00677E17">
                    <w:t>UNEA</w:t>
                  </w:r>
                </w:p>
              </w:tc>
              <w:tc>
                <w:tcPr>
                  <w:tcW w:w="6697" w:type="dxa"/>
                  <w:shd w:val="clear" w:color="auto" w:fill="auto"/>
                </w:tcPr>
                <w:p w14:paraId="56D842B7" w14:textId="77777777" w:rsidR="003E78DE" w:rsidRPr="00677E17" w:rsidDel="004D4E29" w:rsidRDefault="003E78DE" w:rsidP="002F14A0">
                  <w:r w:rsidRPr="00677E17">
                    <w:t>United Nations Environment Assembly</w:t>
                  </w:r>
                </w:p>
              </w:tc>
            </w:tr>
            <w:tr w:rsidR="003E78DE" w:rsidRPr="00677E17" w14:paraId="141F0F2E" w14:textId="77777777" w:rsidTr="002F14A0">
              <w:tc>
                <w:tcPr>
                  <w:tcW w:w="2376" w:type="dxa"/>
                  <w:shd w:val="clear" w:color="auto" w:fill="auto"/>
                </w:tcPr>
                <w:p w14:paraId="5FD21485" w14:textId="77777777" w:rsidR="003E78DE" w:rsidRPr="00677E17" w:rsidRDefault="003E78DE" w:rsidP="002F14A0">
                  <w:r w:rsidRPr="00677E17">
                    <w:t>UNEP</w:t>
                  </w:r>
                </w:p>
              </w:tc>
              <w:tc>
                <w:tcPr>
                  <w:tcW w:w="6697" w:type="dxa"/>
                  <w:shd w:val="clear" w:color="auto" w:fill="auto"/>
                </w:tcPr>
                <w:p w14:paraId="196A0A6F" w14:textId="77777777" w:rsidR="003E78DE" w:rsidRPr="00677E17" w:rsidRDefault="003E78DE" w:rsidP="002F14A0">
                  <w:r w:rsidRPr="00677E17">
                    <w:t>United Nations Environment Programme</w:t>
                  </w:r>
                </w:p>
              </w:tc>
            </w:tr>
            <w:tr w:rsidR="003E78DE" w:rsidRPr="00677E17" w14:paraId="4B58F9DE" w14:textId="77777777" w:rsidTr="002F14A0">
              <w:tc>
                <w:tcPr>
                  <w:tcW w:w="2376" w:type="dxa"/>
                  <w:shd w:val="clear" w:color="auto" w:fill="auto"/>
                </w:tcPr>
                <w:p w14:paraId="06961CCC" w14:textId="77777777" w:rsidR="003E78DE" w:rsidRPr="00677E17" w:rsidRDefault="003E78DE" w:rsidP="002F14A0">
                  <w:r w:rsidRPr="00677E17">
                    <w:t>UNFCCC</w:t>
                  </w:r>
                </w:p>
              </w:tc>
              <w:tc>
                <w:tcPr>
                  <w:tcW w:w="6697" w:type="dxa"/>
                  <w:shd w:val="clear" w:color="auto" w:fill="auto"/>
                </w:tcPr>
                <w:p w14:paraId="47DB83B8" w14:textId="77777777" w:rsidR="003E78DE" w:rsidRPr="00677E17" w:rsidRDefault="003E78DE" w:rsidP="002F14A0">
                  <w:r w:rsidRPr="00677E17">
                    <w:rPr>
                      <w:lang w:val="en-NZ"/>
                    </w:rPr>
                    <w:t>United Nations Framework Convention on Climate Change</w:t>
                  </w:r>
                  <w:r w:rsidRPr="00677E17">
                    <w:t xml:space="preserve"> </w:t>
                  </w:r>
                </w:p>
              </w:tc>
            </w:tr>
            <w:tr w:rsidR="003E78DE" w:rsidRPr="00677E17" w14:paraId="2B15A9FE" w14:textId="77777777" w:rsidTr="002F14A0">
              <w:tc>
                <w:tcPr>
                  <w:tcW w:w="2376" w:type="dxa"/>
                  <w:shd w:val="clear" w:color="auto" w:fill="auto"/>
                </w:tcPr>
                <w:p w14:paraId="458D844E" w14:textId="77777777" w:rsidR="003E78DE" w:rsidRPr="00677E17" w:rsidRDefault="003E78DE" w:rsidP="002F14A0">
                  <w:r w:rsidRPr="00677E17">
                    <w:rPr>
                      <w:rFonts w:eastAsia="Times New Roman"/>
                    </w:rPr>
                    <w:t>WCEF</w:t>
                  </w:r>
                </w:p>
              </w:tc>
              <w:tc>
                <w:tcPr>
                  <w:tcW w:w="6697" w:type="dxa"/>
                  <w:shd w:val="clear" w:color="auto" w:fill="auto"/>
                </w:tcPr>
                <w:p w14:paraId="61198524" w14:textId="77777777" w:rsidR="003E78DE" w:rsidRPr="00677E17" w:rsidRDefault="003E78DE" w:rsidP="002F14A0">
                  <w:pPr>
                    <w:rPr>
                      <w:lang w:val="en-NZ"/>
                    </w:rPr>
                  </w:pPr>
                  <w:r w:rsidRPr="00677E17">
                    <w:rPr>
                      <w:rFonts w:eastAsia="Times New Roman"/>
                    </w:rPr>
                    <w:t>World Circular Economy Forum</w:t>
                  </w:r>
                </w:p>
              </w:tc>
            </w:tr>
            <w:tr w:rsidR="003E78DE" w:rsidRPr="00677E17" w14:paraId="2476A9D4" w14:textId="77777777" w:rsidTr="002F14A0">
              <w:tc>
                <w:tcPr>
                  <w:tcW w:w="2376" w:type="dxa"/>
                  <w:shd w:val="clear" w:color="auto" w:fill="auto"/>
                </w:tcPr>
                <w:p w14:paraId="79274F09" w14:textId="77777777" w:rsidR="003E78DE" w:rsidRPr="00677E17" w:rsidRDefault="003E78DE" w:rsidP="002F14A0">
                  <w:pPr>
                    <w:rPr>
                      <w:rFonts w:eastAsia="Times New Roman"/>
                    </w:rPr>
                  </w:pPr>
                  <w:r w:rsidRPr="00677E17">
                    <w:t>WCO</w:t>
                  </w:r>
                </w:p>
              </w:tc>
              <w:tc>
                <w:tcPr>
                  <w:tcW w:w="6697" w:type="dxa"/>
                  <w:shd w:val="clear" w:color="auto" w:fill="auto"/>
                </w:tcPr>
                <w:p w14:paraId="740FFD55" w14:textId="77777777" w:rsidR="003E78DE" w:rsidRPr="00677E17" w:rsidRDefault="003E78DE" w:rsidP="002F14A0">
                  <w:pPr>
                    <w:rPr>
                      <w:rFonts w:eastAsia="Times New Roman"/>
                    </w:rPr>
                  </w:pPr>
                  <w:r w:rsidRPr="00677E17">
                    <w:t>World Customs Organization</w:t>
                  </w:r>
                </w:p>
              </w:tc>
            </w:tr>
            <w:tr w:rsidR="003E78DE" w:rsidRPr="00380831" w14:paraId="67FD84D0" w14:textId="77777777" w:rsidTr="002F14A0">
              <w:tc>
                <w:tcPr>
                  <w:tcW w:w="2376" w:type="dxa"/>
                  <w:shd w:val="clear" w:color="auto" w:fill="auto"/>
                </w:tcPr>
                <w:p w14:paraId="35DAB992" w14:textId="77777777" w:rsidR="003E78DE" w:rsidRPr="00677E17" w:rsidRDefault="003E78DE" w:rsidP="002F14A0"/>
              </w:tc>
              <w:tc>
                <w:tcPr>
                  <w:tcW w:w="6697" w:type="dxa"/>
                  <w:shd w:val="clear" w:color="auto" w:fill="auto"/>
                </w:tcPr>
                <w:p w14:paraId="230DEB03" w14:textId="77777777" w:rsidR="003E78DE" w:rsidRPr="00380831" w:rsidRDefault="003E78DE" w:rsidP="002F14A0">
                  <w:pPr>
                    <w:rPr>
                      <w:lang w:val="en-NZ"/>
                    </w:rPr>
                  </w:pPr>
                </w:p>
              </w:tc>
            </w:tr>
          </w:tbl>
          <w:p w14:paraId="03DD1EA5" w14:textId="77777777" w:rsidR="003E78DE" w:rsidRPr="006E376E" w:rsidRDefault="003E78DE" w:rsidP="002F14A0">
            <w:pPr>
              <w:rPr>
                <w:highlight w:val="yellow"/>
              </w:rPr>
            </w:pPr>
          </w:p>
        </w:tc>
      </w:tr>
    </w:tbl>
    <w:p w14:paraId="3ED2C07A" w14:textId="0B202795" w:rsidR="00163F31" w:rsidRDefault="00163F31">
      <w:pPr>
        <w:spacing w:after="200" w:line="276" w:lineRule="auto"/>
        <w:jc w:val="left"/>
        <w:rPr>
          <w:b/>
          <w:szCs w:val="18"/>
        </w:rPr>
      </w:pPr>
    </w:p>
    <w:p w14:paraId="038CFDA9" w14:textId="423E1A16" w:rsidR="00F6527C" w:rsidRDefault="00F6527C" w:rsidP="00F6527C">
      <w:pPr>
        <w:spacing w:after="200"/>
        <w:jc w:val="center"/>
        <w:rPr>
          <w:b/>
          <w:szCs w:val="18"/>
        </w:rPr>
      </w:pPr>
      <w:r>
        <w:rPr>
          <w:b/>
          <w:szCs w:val="18"/>
        </w:rPr>
        <w:t>_______________</w:t>
      </w:r>
    </w:p>
    <w:p w14:paraId="637B99B4" w14:textId="17C474D2" w:rsidR="00F6527C" w:rsidRDefault="00F6527C" w:rsidP="00F6527C">
      <w:pPr>
        <w:spacing w:after="200"/>
        <w:rPr>
          <w:szCs w:val="18"/>
        </w:rPr>
      </w:pPr>
    </w:p>
    <w:p w14:paraId="66C25B60" w14:textId="77777777" w:rsidR="00F6527C" w:rsidRPr="00F6527C" w:rsidRDefault="00F6527C" w:rsidP="00F6527C">
      <w:pPr>
        <w:spacing w:after="200"/>
        <w:rPr>
          <w:szCs w:val="18"/>
        </w:rPr>
      </w:pPr>
    </w:p>
    <w:p w14:paraId="402B4EB8" w14:textId="5B82A0F9" w:rsidR="002F14A0" w:rsidRDefault="002F14A0">
      <w:pPr>
        <w:spacing w:after="200" w:line="276" w:lineRule="auto"/>
        <w:jc w:val="left"/>
        <w:rPr>
          <w:b/>
          <w:szCs w:val="18"/>
        </w:rPr>
      </w:pPr>
      <w:r>
        <w:rPr>
          <w:b/>
          <w:szCs w:val="18"/>
        </w:rPr>
        <w:br w:type="page"/>
      </w:r>
    </w:p>
    <w:p w14:paraId="440213A0" w14:textId="77777777" w:rsidR="00AE56D3" w:rsidRPr="001759E3" w:rsidRDefault="00AE56D3" w:rsidP="00E21F03">
      <w:pPr>
        <w:tabs>
          <w:tab w:val="left" w:pos="-720"/>
        </w:tabs>
        <w:suppressAutoHyphens/>
        <w:jc w:val="center"/>
        <w:rPr>
          <w:b/>
          <w:szCs w:val="18"/>
        </w:rPr>
      </w:pPr>
    </w:p>
    <w:p w14:paraId="11783FDC" w14:textId="77777777" w:rsidR="00E21F03" w:rsidRDefault="00E21F03" w:rsidP="006C4688">
      <w:pPr>
        <w:pStyle w:val="Heading1"/>
      </w:pPr>
      <w:bookmarkStart w:id="11" w:name="_Toc74660652"/>
      <w:r>
        <w:t>Paragraph 32 of the Doha Ministerial Declaration</w:t>
      </w:r>
      <w:bookmarkEnd w:id="11"/>
    </w:p>
    <w:p w14:paraId="4D369A03" w14:textId="77777777" w:rsidR="00E21F03" w:rsidRPr="00E075C6" w:rsidRDefault="00E21F03" w:rsidP="006C4688">
      <w:pPr>
        <w:pStyle w:val="Heading2"/>
      </w:pPr>
      <w:bookmarkStart w:id="12" w:name="_Toc74660653"/>
      <w:r>
        <w:t>Environmental measures and market access (Paragraph 32 (i) of the Doha Ministerial Declaration)</w:t>
      </w:r>
      <w:bookmarkEnd w:id="12"/>
    </w:p>
    <w:p w14:paraId="42BF3CAE" w14:textId="77777777" w:rsidR="00E21F03" w:rsidRDefault="00E21F03" w:rsidP="00E21F03">
      <w:pPr>
        <w:pStyle w:val="Quotation"/>
        <w:rPr>
          <w:i/>
        </w:rPr>
      </w:pPr>
      <w:r w:rsidRPr="007925DF">
        <w:rPr>
          <w:i/>
        </w:rPr>
        <w:t>"The effect of environmental measures on market access, especially in relation to developing countries, in particular the least-developed among them, and those situations in which the elimination or reduction of trade restrictions and distortions would benefit trade, the environment and development."</w:t>
      </w:r>
    </w:p>
    <w:p w14:paraId="3D87C603" w14:textId="77CC294C" w:rsidR="00E21F03" w:rsidRDefault="00E21F03" w:rsidP="006C4688">
      <w:pPr>
        <w:pStyle w:val="Heading3"/>
      </w:pPr>
      <w:bookmarkStart w:id="13" w:name="_Toc74660654"/>
      <w:r w:rsidRPr="007373DB">
        <w:t xml:space="preserve">Fossil </w:t>
      </w:r>
      <w:r w:rsidR="0070742E" w:rsidRPr="007373DB">
        <w:t>Fuel Subsidy Reform</w:t>
      </w:r>
      <w:bookmarkEnd w:id="13"/>
    </w:p>
    <w:p w14:paraId="1CC68847" w14:textId="79301A67" w:rsidR="00143375" w:rsidRPr="00143375" w:rsidRDefault="00143375" w:rsidP="00143375">
      <w:pPr>
        <w:pStyle w:val="Heading4"/>
      </w:pPr>
      <w:bookmarkStart w:id="14" w:name="_Toc74660655"/>
      <w:r>
        <w:t xml:space="preserve">New Zealand's Update on </w:t>
      </w:r>
      <w:r w:rsidRPr="00FF7721">
        <w:rPr>
          <w:szCs w:val="18"/>
        </w:rPr>
        <w:t>Fossil Fuel Subsidy Reform (FFSR)</w:t>
      </w:r>
      <w:bookmarkEnd w:id="14"/>
    </w:p>
    <w:p w14:paraId="39F837DD" w14:textId="6BFFE6C6" w:rsidR="007F219A" w:rsidRPr="00F6527C" w:rsidRDefault="006D21F1" w:rsidP="00723009">
      <w:pPr>
        <w:pStyle w:val="BodyText"/>
      </w:pPr>
      <w:r w:rsidRPr="00F6527C">
        <w:t xml:space="preserve">The representative of </w:t>
      </w:r>
      <w:r w:rsidR="00E21F03" w:rsidRPr="00F6527C">
        <w:rPr>
          <w:u w:val="single"/>
        </w:rPr>
        <w:t>New Zealand</w:t>
      </w:r>
      <w:r w:rsidR="00E21F03" w:rsidRPr="00F6527C">
        <w:t xml:space="preserve"> </w:t>
      </w:r>
      <w:r w:rsidR="00FF7721" w:rsidRPr="00F6527C">
        <w:t xml:space="preserve">provided </w:t>
      </w:r>
      <w:r w:rsidR="007F219A" w:rsidRPr="00F6527C">
        <w:rPr>
          <w:szCs w:val="18"/>
        </w:rPr>
        <w:t xml:space="preserve">an update on the topic of fossil fuel subsidy reform </w:t>
      </w:r>
      <w:r w:rsidR="00FF7721" w:rsidRPr="00F6527C">
        <w:rPr>
          <w:szCs w:val="18"/>
        </w:rPr>
        <w:t>(FFSR) and</w:t>
      </w:r>
      <w:r w:rsidR="007F219A" w:rsidRPr="00F6527C">
        <w:rPr>
          <w:szCs w:val="18"/>
        </w:rPr>
        <w:t xml:space="preserve"> announc</w:t>
      </w:r>
      <w:r w:rsidR="00FF7721" w:rsidRPr="00F6527C">
        <w:rPr>
          <w:szCs w:val="18"/>
        </w:rPr>
        <w:t>ed the</w:t>
      </w:r>
      <w:r w:rsidR="007F219A" w:rsidRPr="00F6527C">
        <w:rPr>
          <w:szCs w:val="18"/>
        </w:rPr>
        <w:t xml:space="preserve"> renewed efforts to present a Joint Ministerial Statement on </w:t>
      </w:r>
      <w:r w:rsidR="00FF7721" w:rsidRPr="00F6527C">
        <w:rPr>
          <w:szCs w:val="18"/>
        </w:rPr>
        <w:t>FFSR</w:t>
      </w:r>
      <w:r w:rsidR="007F219A" w:rsidRPr="00F6527C">
        <w:rPr>
          <w:szCs w:val="18"/>
        </w:rPr>
        <w:t xml:space="preserve"> at the </w:t>
      </w:r>
      <w:r w:rsidR="00FF7721" w:rsidRPr="00F6527C">
        <w:rPr>
          <w:szCs w:val="18"/>
        </w:rPr>
        <w:t>12</w:t>
      </w:r>
      <w:r w:rsidR="00FF7721" w:rsidRPr="00F6527C">
        <w:rPr>
          <w:szCs w:val="18"/>
          <w:vertAlign w:val="superscript"/>
        </w:rPr>
        <w:t>th</w:t>
      </w:r>
      <w:r w:rsidR="00FF7721" w:rsidRPr="00F6527C">
        <w:rPr>
          <w:szCs w:val="18"/>
        </w:rPr>
        <w:t xml:space="preserve"> </w:t>
      </w:r>
      <w:r w:rsidR="007F219A" w:rsidRPr="00F6527C">
        <w:rPr>
          <w:szCs w:val="18"/>
        </w:rPr>
        <w:t xml:space="preserve">Ministerial Conference </w:t>
      </w:r>
      <w:r w:rsidR="00FF7721" w:rsidRPr="00F6527C">
        <w:rPr>
          <w:szCs w:val="18"/>
        </w:rPr>
        <w:t xml:space="preserve">(MC12) </w:t>
      </w:r>
      <w:r w:rsidR="007F219A" w:rsidRPr="00F6527C">
        <w:rPr>
          <w:szCs w:val="18"/>
        </w:rPr>
        <w:t xml:space="preserve">in November 2021. </w:t>
      </w:r>
      <w:r w:rsidR="007F219A" w:rsidRPr="00F6527C">
        <w:t xml:space="preserve">This renewed Statement </w:t>
      </w:r>
      <w:r w:rsidR="00FF7721" w:rsidRPr="00F6527C">
        <w:t>was building</w:t>
      </w:r>
      <w:r w:rsidR="007F219A" w:rsidRPr="00F6527C">
        <w:t xml:space="preserve"> on the Statement presented at the </w:t>
      </w:r>
      <w:r w:rsidR="00FF7721" w:rsidRPr="00F6527C">
        <w:t>11</w:t>
      </w:r>
      <w:r w:rsidR="00FF7721" w:rsidRPr="00F6527C">
        <w:rPr>
          <w:vertAlign w:val="superscript"/>
        </w:rPr>
        <w:t>th</w:t>
      </w:r>
      <w:r w:rsidR="00FF7721" w:rsidRPr="00F6527C">
        <w:t xml:space="preserve"> </w:t>
      </w:r>
      <w:r w:rsidR="007F219A" w:rsidRPr="00F6527C">
        <w:t>Ministerial Conference</w:t>
      </w:r>
      <w:r w:rsidR="00FF7721" w:rsidRPr="00F6527C">
        <w:t xml:space="preserve"> (MC11)</w:t>
      </w:r>
      <w:r w:rsidR="007F219A" w:rsidRPr="00F6527C">
        <w:t xml:space="preserve"> in Buenos Aires by a group of 12</w:t>
      </w:r>
      <w:r w:rsidR="003E78DE" w:rsidRPr="00F6527C">
        <w:t> </w:t>
      </w:r>
      <w:r w:rsidR="007F219A" w:rsidRPr="00F6527C">
        <w:t>developing and developed Members from many regions.</w:t>
      </w:r>
      <w:r w:rsidR="0035369C" w:rsidRPr="00F6527C">
        <w:t xml:space="preserve"> </w:t>
      </w:r>
      <w:r w:rsidR="007F219A" w:rsidRPr="00F6527C">
        <w:t xml:space="preserve">In the MC11 Statement, signatories </w:t>
      </w:r>
      <w:r w:rsidR="00FF7721" w:rsidRPr="00F6527C">
        <w:t xml:space="preserve">had </w:t>
      </w:r>
      <w:r w:rsidR="007F219A" w:rsidRPr="00F6527C">
        <w:t>confirmed their intention to seek the rationalisation and phase out of inefficient fossil fuel subsidies</w:t>
      </w:r>
      <w:r w:rsidR="003E78DE" w:rsidRPr="00F6527C">
        <w:t xml:space="preserve"> (FFS)</w:t>
      </w:r>
      <w:r w:rsidR="007F219A" w:rsidRPr="00F6527C">
        <w:t xml:space="preserve"> that encourage</w:t>
      </w:r>
      <w:r w:rsidR="00FF7721" w:rsidRPr="00F6527C">
        <w:t>d</w:t>
      </w:r>
      <w:r w:rsidR="007F219A" w:rsidRPr="00F6527C">
        <w:t xml:space="preserve"> wasteful consumption, while recognising that reform need</w:t>
      </w:r>
      <w:r w:rsidR="00FF7721" w:rsidRPr="00F6527C">
        <w:t>ed</w:t>
      </w:r>
      <w:r w:rsidR="007F219A" w:rsidRPr="00F6527C">
        <w:t xml:space="preserve"> to take into account the specific needs and conditions of developing countries and to minimize the possible adverse impacts on their vulnerable communities.</w:t>
      </w:r>
      <w:r w:rsidR="00FF7721" w:rsidRPr="00F6527C">
        <w:t xml:space="preserve"> </w:t>
      </w:r>
      <w:r w:rsidR="007F219A" w:rsidRPr="00F6527C">
        <w:t xml:space="preserve">That Statement </w:t>
      </w:r>
      <w:r w:rsidR="00FF7721" w:rsidRPr="00F6527C">
        <w:t xml:space="preserve">had </w:t>
      </w:r>
      <w:r w:rsidR="007F219A" w:rsidRPr="00F6527C">
        <w:t>recognised the importance of the WTO as a useful forum to advance discussions to achieve ambitious and effective disciplines given the breadth of its membership, and its legal and transparency frameworks, the latter of which enable</w:t>
      </w:r>
      <w:r w:rsidR="00FF7721" w:rsidRPr="00F6527C">
        <w:t>d</w:t>
      </w:r>
      <w:r w:rsidR="007F219A" w:rsidRPr="00F6527C">
        <w:t xml:space="preserve"> the evaluation of the trade and resource effects of </w:t>
      </w:r>
      <w:r w:rsidR="00FF7721" w:rsidRPr="00F6527C">
        <w:t>FFS</w:t>
      </w:r>
      <w:r w:rsidR="007F219A" w:rsidRPr="00F6527C">
        <w:t xml:space="preserve"> programmes.</w:t>
      </w:r>
      <w:r w:rsidR="0035369C" w:rsidRPr="00F6527C">
        <w:t xml:space="preserve"> </w:t>
      </w:r>
    </w:p>
    <w:p w14:paraId="1BE1DAFD" w14:textId="18675E4E" w:rsidR="007F219A" w:rsidRPr="005B144C" w:rsidRDefault="007F219A" w:rsidP="00E50ED2">
      <w:pPr>
        <w:pStyle w:val="BodyText"/>
      </w:pPr>
      <w:r w:rsidRPr="005B144C">
        <w:t>The recently established Trade and Environmental Sustainability Structured Dialogue (TESSD) discussions show</w:t>
      </w:r>
      <w:r w:rsidR="00FF7721">
        <w:t>ed</w:t>
      </w:r>
      <w:r w:rsidRPr="005B144C">
        <w:t xml:space="preserve"> that Members recognise</w:t>
      </w:r>
      <w:r w:rsidR="00FF7721">
        <w:t>d</w:t>
      </w:r>
      <w:r w:rsidRPr="005B144C">
        <w:t xml:space="preserve"> the significance of this issue, its linkages to trade, and the role of the WTO in achieving meaningful and equitable reform of such subsidies. New Zealand </w:t>
      </w:r>
      <w:r w:rsidR="00FF7721">
        <w:t>was</w:t>
      </w:r>
      <w:r w:rsidRPr="005B144C">
        <w:t xml:space="preserve"> also encouraged by the increased momentum and leadership building in fora such as G20 and </w:t>
      </w:r>
      <w:r w:rsidR="00FF7721">
        <w:t>the Asia-Pacific Economic Cooperation (APEC)</w:t>
      </w:r>
      <w:r w:rsidRPr="005B144C">
        <w:t xml:space="preserve"> in 2021 on FFSR, as well as active discussions on the broader trade and environment agenda.</w:t>
      </w:r>
      <w:r w:rsidR="0035369C" w:rsidRPr="005B144C">
        <w:t xml:space="preserve"> </w:t>
      </w:r>
    </w:p>
    <w:p w14:paraId="13035754" w14:textId="3535D69C" w:rsidR="007F219A" w:rsidRPr="005B144C" w:rsidRDefault="00FF7721" w:rsidP="00723009">
      <w:pPr>
        <w:pStyle w:val="BodyText"/>
      </w:pPr>
      <w:r>
        <w:t>New Zealand</w:t>
      </w:r>
      <w:r w:rsidR="007F219A" w:rsidRPr="005B144C">
        <w:t>, alongside the Friends of FFSR, continue</w:t>
      </w:r>
      <w:r>
        <w:t>d</w:t>
      </w:r>
      <w:r w:rsidR="007F219A" w:rsidRPr="005B144C">
        <w:t xml:space="preserve"> to highlight benefits and opportunities of </w:t>
      </w:r>
      <w:r>
        <w:t>FFSR</w:t>
      </w:r>
      <w:r w:rsidR="007F219A" w:rsidRPr="005B144C">
        <w:t xml:space="preserve"> in a range of fora. </w:t>
      </w:r>
      <w:r>
        <w:t>E</w:t>
      </w:r>
      <w:r w:rsidR="007F219A" w:rsidRPr="005B144C">
        <w:t>fforts continue</w:t>
      </w:r>
      <w:r>
        <w:t>d</w:t>
      </w:r>
      <w:r w:rsidR="007F219A" w:rsidRPr="005B144C">
        <w:t xml:space="preserve"> to focus on the role of the international trade community in identifying and addressing trade-distorting, environmentally harmful, and socially regressive </w:t>
      </w:r>
      <w:r>
        <w:t>FFS</w:t>
      </w:r>
      <w:r w:rsidR="007F219A" w:rsidRPr="005B144C">
        <w:t xml:space="preserve"> programmes. </w:t>
      </w:r>
      <w:r w:rsidR="003E78DE">
        <w:t>FFS</w:t>
      </w:r>
      <w:r w:rsidR="007F219A" w:rsidRPr="005B144C">
        <w:t xml:space="preserve"> impact</w:t>
      </w:r>
      <w:r>
        <w:t>ed</w:t>
      </w:r>
      <w:r w:rsidR="007F219A" w:rsidRPr="005B144C">
        <w:t xml:space="preserve"> trade both directly and indirectly. By distorting prices, </w:t>
      </w:r>
      <w:r>
        <w:t>FFS</w:t>
      </w:r>
      <w:r w:rsidR="007F219A" w:rsidRPr="005B144C">
        <w:t xml:space="preserve"> affect</w:t>
      </w:r>
      <w:r>
        <w:t>ed</w:t>
      </w:r>
      <w:r w:rsidR="007F219A" w:rsidRPr="005B144C">
        <w:t xml:space="preserve"> trade both input and outputs, affect</w:t>
      </w:r>
      <w:r>
        <w:t>ed</w:t>
      </w:r>
      <w:r w:rsidR="007F219A" w:rsidRPr="005B144C">
        <w:t xml:space="preserve"> the competi</w:t>
      </w:r>
      <w:r>
        <w:t>ti</w:t>
      </w:r>
      <w:r w:rsidR="007F219A" w:rsidRPr="005B144C">
        <w:t>veness of industries across product value chains, disadvantage</w:t>
      </w:r>
      <w:r>
        <w:t>d</w:t>
      </w:r>
      <w:r w:rsidR="007F219A" w:rsidRPr="005B144C">
        <w:t xml:space="preserve"> clean and alternative energy technologies, and drain</w:t>
      </w:r>
      <w:r>
        <w:t>ed</w:t>
      </w:r>
      <w:r w:rsidR="007F219A" w:rsidRPr="005B144C">
        <w:t xml:space="preserve"> scarce public funding. Reform of these subsidies </w:t>
      </w:r>
      <w:r>
        <w:t>could</w:t>
      </w:r>
      <w:r w:rsidR="007F219A" w:rsidRPr="005B144C">
        <w:t xml:space="preserve"> also free up fiscal resources to support those who need</w:t>
      </w:r>
      <w:r>
        <w:t>ed</w:t>
      </w:r>
      <w:r w:rsidR="007F219A" w:rsidRPr="005B144C">
        <w:t xml:space="preserve"> the greatest support throughout an effective COVID-19 recovery. </w:t>
      </w:r>
    </w:p>
    <w:p w14:paraId="3B0BA4BD" w14:textId="1CE17364" w:rsidR="007F219A" w:rsidRPr="005B144C" w:rsidRDefault="007F219A" w:rsidP="00723009">
      <w:pPr>
        <w:pStyle w:val="BodyText"/>
      </w:pPr>
      <w:r w:rsidRPr="005B144C">
        <w:t>At a time of uncertainty about the WTO</w:t>
      </w:r>
      <w:r w:rsidR="00FF7721">
        <w:t>'</w:t>
      </w:r>
      <w:r w:rsidRPr="005B144C">
        <w:t xml:space="preserve">s role and relevance, action on </w:t>
      </w:r>
      <w:r w:rsidR="00FF7721">
        <w:t xml:space="preserve">FFS </w:t>
      </w:r>
      <w:r w:rsidRPr="005B144C">
        <w:t>could help build public confidence in the multilateral trading system</w:t>
      </w:r>
      <w:r w:rsidR="00FF7721">
        <w:t>'</w:t>
      </w:r>
      <w:r w:rsidRPr="005B144C">
        <w:t>s</w:t>
      </w:r>
      <w:r w:rsidR="002F14A0">
        <w:t xml:space="preserve"> (MTS)</w:t>
      </w:r>
      <w:r w:rsidRPr="005B144C">
        <w:t xml:space="preserve"> ability to deliver on its core objective of sustainable development and make a trade-related contribution to the very real and urgent challenge of climate change. The Joint Ministerial Statement at </w:t>
      </w:r>
      <w:r w:rsidR="00FF7721">
        <w:t>MC12 would make</w:t>
      </w:r>
      <w:r w:rsidRPr="005B144C">
        <w:t xml:space="preserve"> explicit what </w:t>
      </w:r>
      <w:r w:rsidR="00FF7721">
        <w:t xml:space="preserve">was </w:t>
      </w:r>
      <w:r w:rsidRPr="005B144C">
        <w:t xml:space="preserve">the key next step: sharing information and experiences at the WTO, in order to develop a supportive international setting for addressing these subsidies and to assist domestic reform. </w:t>
      </w:r>
      <w:r w:rsidR="00FF7721">
        <w:t>New Zealand</w:t>
      </w:r>
      <w:r w:rsidRPr="005B144C">
        <w:t xml:space="preserve"> encourage</w:t>
      </w:r>
      <w:r w:rsidR="00FF7721">
        <w:t>d</w:t>
      </w:r>
      <w:r w:rsidRPr="005B144C">
        <w:t xml:space="preserve"> WTO </w:t>
      </w:r>
      <w:r w:rsidR="00FF7721">
        <w:t>M</w:t>
      </w:r>
      <w:r w:rsidRPr="005B144C">
        <w:t xml:space="preserve">embers to support </w:t>
      </w:r>
      <w:r w:rsidR="00FF7721">
        <w:t>the Friends of FFSR</w:t>
      </w:r>
      <w:r w:rsidRPr="005B144C">
        <w:t xml:space="preserve"> in embedding this conversation in the WTO and </w:t>
      </w:r>
      <w:r w:rsidR="00FF7721">
        <w:t xml:space="preserve">to </w:t>
      </w:r>
      <w:r w:rsidRPr="005B144C">
        <w:t xml:space="preserve">support the Joint Ministerial Statement on FFSR at </w:t>
      </w:r>
      <w:r w:rsidR="00FF7721">
        <w:t>MC12</w:t>
      </w:r>
      <w:r w:rsidRPr="005B144C">
        <w:t>.</w:t>
      </w:r>
    </w:p>
    <w:p w14:paraId="296E1E8B" w14:textId="6D76EBEC" w:rsidR="007F219A" w:rsidRPr="005B144C" w:rsidRDefault="00E50ED2" w:rsidP="00E50ED2">
      <w:pPr>
        <w:pStyle w:val="BodyText"/>
      </w:pPr>
      <w:r>
        <w:t xml:space="preserve">The representative of </w:t>
      </w:r>
      <w:r w:rsidR="007F219A" w:rsidRPr="00E50ED2">
        <w:rPr>
          <w:u w:val="single"/>
        </w:rPr>
        <w:t>Norway</w:t>
      </w:r>
      <w:r w:rsidR="007F219A" w:rsidRPr="00671195">
        <w:t xml:space="preserve"> support</w:t>
      </w:r>
      <w:r w:rsidR="00FF7721">
        <w:t>ed</w:t>
      </w:r>
      <w:r w:rsidR="007F219A" w:rsidRPr="00671195">
        <w:t xml:space="preserve"> the strong effort</w:t>
      </w:r>
      <w:r w:rsidR="003E78DE">
        <w:t>s</w:t>
      </w:r>
      <w:r w:rsidR="007F219A" w:rsidRPr="00671195">
        <w:t xml:space="preserve"> carried </w:t>
      </w:r>
      <w:r w:rsidR="00C11897">
        <w:t>out</w:t>
      </w:r>
      <w:r w:rsidR="007F219A" w:rsidRPr="00671195">
        <w:t xml:space="preserve"> by New Zealand and the friends of </w:t>
      </w:r>
      <w:r w:rsidR="00C11897">
        <w:t>FFSR</w:t>
      </w:r>
      <w:r w:rsidR="007F219A" w:rsidRPr="00671195">
        <w:t>. Norway welcome</w:t>
      </w:r>
      <w:r w:rsidR="00C11897">
        <w:t>d</w:t>
      </w:r>
      <w:r w:rsidR="007F219A" w:rsidRPr="00671195">
        <w:t xml:space="preserve"> work on FFSR and a Ministerial Declaration </w:t>
      </w:r>
      <w:r w:rsidR="00C11897">
        <w:t>at</w:t>
      </w:r>
      <w:r w:rsidR="007F219A" w:rsidRPr="00671195">
        <w:t xml:space="preserve"> MC12.</w:t>
      </w:r>
    </w:p>
    <w:p w14:paraId="6B8A971A" w14:textId="23255187" w:rsidR="007F219A" w:rsidRPr="00E50ED2" w:rsidRDefault="00E50ED2" w:rsidP="00E50ED2">
      <w:pPr>
        <w:pStyle w:val="BodyText"/>
        <w:rPr>
          <w:lang w:eastAsia="zh-CN"/>
        </w:rPr>
      </w:pPr>
      <w:r>
        <w:t xml:space="preserve">The representative of the </w:t>
      </w:r>
      <w:r w:rsidRPr="00E50ED2">
        <w:rPr>
          <w:u w:val="single"/>
        </w:rPr>
        <w:t>European</w:t>
      </w:r>
      <w:r w:rsidR="00025E1C">
        <w:rPr>
          <w:u w:val="single"/>
        </w:rPr>
        <w:t> Union</w:t>
      </w:r>
      <w:r w:rsidR="007F219A" w:rsidRPr="00E50ED2">
        <w:rPr>
          <w:szCs w:val="18"/>
        </w:rPr>
        <w:t xml:space="preserve"> look</w:t>
      </w:r>
      <w:r w:rsidR="00C11897">
        <w:rPr>
          <w:szCs w:val="18"/>
        </w:rPr>
        <w:t>ed</w:t>
      </w:r>
      <w:r w:rsidR="007F219A" w:rsidRPr="00E50ED2">
        <w:rPr>
          <w:szCs w:val="18"/>
        </w:rPr>
        <w:t xml:space="preserve"> forward to engaging with like-minded countries to pursue a strong environmental agenda at the WTO. In </w:t>
      </w:r>
      <w:r w:rsidR="00C11897">
        <w:rPr>
          <w:szCs w:val="18"/>
        </w:rPr>
        <w:t>the European</w:t>
      </w:r>
      <w:r w:rsidR="00025E1C">
        <w:rPr>
          <w:szCs w:val="18"/>
        </w:rPr>
        <w:t> Union</w:t>
      </w:r>
      <w:r w:rsidR="00C11897">
        <w:rPr>
          <w:szCs w:val="18"/>
        </w:rPr>
        <w:t>'s</w:t>
      </w:r>
      <w:r w:rsidR="007F219A" w:rsidRPr="00E50ED2">
        <w:rPr>
          <w:szCs w:val="18"/>
        </w:rPr>
        <w:t xml:space="preserve"> view, this </w:t>
      </w:r>
      <w:r w:rsidR="00C11897">
        <w:rPr>
          <w:szCs w:val="18"/>
        </w:rPr>
        <w:t>needed</w:t>
      </w:r>
      <w:r w:rsidR="007F219A" w:rsidRPr="00E50ED2">
        <w:rPr>
          <w:szCs w:val="18"/>
        </w:rPr>
        <w:t xml:space="preserve"> also</w:t>
      </w:r>
      <w:r w:rsidR="00C11897">
        <w:rPr>
          <w:szCs w:val="18"/>
        </w:rPr>
        <w:t xml:space="preserve"> to</w:t>
      </w:r>
      <w:r w:rsidR="007F219A" w:rsidRPr="00E50ED2">
        <w:rPr>
          <w:szCs w:val="18"/>
        </w:rPr>
        <w:t xml:space="preserve"> include trade-related aspects of </w:t>
      </w:r>
      <w:r w:rsidR="00C11897">
        <w:rPr>
          <w:szCs w:val="18"/>
        </w:rPr>
        <w:t>FFS</w:t>
      </w:r>
      <w:r w:rsidR="007F219A" w:rsidRPr="00E50ED2">
        <w:rPr>
          <w:szCs w:val="18"/>
        </w:rPr>
        <w:t xml:space="preserve">. </w:t>
      </w:r>
      <w:r w:rsidR="00C11897">
        <w:rPr>
          <w:szCs w:val="18"/>
        </w:rPr>
        <w:t>The European</w:t>
      </w:r>
      <w:r w:rsidR="00025E1C">
        <w:rPr>
          <w:szCs w:val="18"/>
        </w:rPr>
        <w:t> Union</w:t>
      </w:r>
      <w:r w:rsidR="007F219A" w:rsidRPr="00E50ED2">
        <w:rPr>
          <w:szCs w:val="18"/>
        </w:rPr>
        <w:t xml:space="preserve"> would welcome exchanges </w:t>
      </w:r>
      <w:r w:rsidR="00C11897">
        <w:rPr>
          <w:szCs w:val="18"/>
        </w:rPr>
        <w:t xml:space="preserve">on </w:t>
      </w:r>
      <w:r w:rsidR="007F219A" w:rsidRPr="00E50ED2">
        <w:rPr>
          <w:szCs w:val="18"/>
        </w:rPr>
        <w:t xml:space="preserve">how the WTO could contribute to the goals set out in </w:t>
      </w:r>
      <w:r w:rsidR="00720F1F" w:rsidRPr="002F14A0">
        <w:rPr>
          <w:rFonts w:cs="Arial"/>
          <w:szCs w:val="18"/>
          <w:lang w:val="en-US"/>
        </w:rPr>
        <w:t>the Sustainable Development Goal</w:t>
      </w:r>
      <w:r w:rsidR="00720F1F">
        <w:rPr>
          <w:rFonts w:cs="Arial"/>
          <w:szCs w:val="18"/>
          <w:lang w:val="en-US"/>
        </w:rPr>
        <w:t xml:space="preserve"> </w:t>
      </w:r>
      <w:r w:rsidR="007F219A" w:rsidRPr="00E50ED2">
        <w:rPr>
          <w:szCs w:val="18"/>
        </w:rPr>
        <w:t>12.</w:t>
      </w:r>
      <w:r w:rsidR="00C11897">
        <w:rPr>
          <w:szCs w:val="18"/>
        </w:rPr>
        <w:t>c</w:t>
      </w:r>
      <w:r w:rsidR="00720F1F">
        <w:rPr>
          <w:szCs w:val="18"/>
        </w:rPr>
        <w:t xml:space="preserve"> </w:t>
      </w:r>
      <w:r w:rsidR="00720F1F">
        <w:rPr>
          <w:szCs w:val="18"/>
        </w:rPr>
        <w:lastRenderedPageBreak/>
        <w:t>(SDG 12.c)</w:t>
      </w:r>
      <w:r w:rsidR="007F219A" w:rsidRPr="00E50ED2">
        <w:rPr>
          <w:szCs w:val="18"/>
        </w:rPr>
        <w:t xml:space="preserve"> to rationalise inefficient </w:t>
      </w:r>
      <w:r w:rsidR="00C11897">
        <w:rPr>
          <w:szCs w:val="18"/>
        </w:rPr>
        <w:t xml:space="preserve">FFS </w:t>
      </w:r>
      <w:r w:rsidR="007F219A" w:rsidRPr="00E50ED2">
        <w:rPr>
          <w:szCs w:val="18"/>
        </w:rPr>
        <w:t>that encourage</w:t>
      </w:r>
      <w:r w:rsidR="00C11897">
        <w:rPr>
          <w:szCs w:val="18"/>
        </w:rPr>
        <w:t>d</w:t>
      </w:r>
      <w:r w:rsidR="007F219A" w:rsidRPr="00E50ED2">
        <w:rPr>
          <w:szCs w:val="18"/>
        </w:rPr>
        <w:t xml:space="preserve"> wasteful consumption, while taking fully into account the specific needs and conditions of developing countries.</w:t>
      </w:r>
    </w:p>
    <w:p w14:paraId="3B1AF06C" w14:textId="24E3EF69" w:rsidR="00CE1989" w:rsidRPr="002F14A0" w:rsidRDefault="00E50ED2" w:rsidP="002F14A0">
      <w:pPr>
        <w:pStyle w:val="BodyText"/>
        <w:rPr>
          <w:lang w:val="en-US"/>
        </w:rPr>
      </w:pPr>
      <w:r w:rsidRPr="002F14A0">
        <w:rPr>
          <w:lang w:val="en-US"/>
        </w:rPr>
        <w:t xml:space="preserve">The representative of </w:t>
      </w:r>
      <w:r w:rsidR="007F219A" w:rsidRPr="002F14A0">
        <w:rPr>
          <w:u w:val="single"/>
          <w:lang w:val="en-US"/>
        </w:rPr>
        <w:t>Switzerland</w:t>
      </w:r>
      <w:r w:rsidRPr="002F14A0">
        <w:rPr>
          <w:rFonts w:cs="Arial"/>
          <w:szCs w:val="18"/>
          <w:lang w:val="en-US"/>
        </w:rPr>
        <w:t xml:space="preserve"> </w:t>
      </w:r>
      <w:r w:rsidR="00C11897" w:rsidRPr="002F14A0">
        <w:rPr>
          <w:rFonts w:cs="Arial"/>
          <w:szCs w:val="18"/>
          <w:lang w:val="en-US"/>
        </w:rPr>
        <w:t>reiterated his delegation's</w:t>
      </w:r>
      <w:r w:rsidRPr="002F14A0">
        <w:rPr>
          <w:rFonts w:cs="Arial"/>
          <w:szCs w:val="18"/>
          <w:lang w:val="en-US"/>
        </w:rPr>
        <w:t xml:space="preserve"> supports</w:t>
      </w:r>
      <w:r w:rsidR="00C11897" w:rsidRPr="002F14A0">
        <w:rPr>
          <w:rFonts w:cs="Arial"/>
          <w:szCs w:val="18"/>
          <w:lang w:val="en-US"/>
        </w:rPr>
        <w:t xml:space="preserve"> to</w:t>
      </w:r>
      <w:r w:rsidRPr="002F14A0">
        <w:rPr>
          <w:rFonts w:cs="Arial"/>
          <w:szCs w:val="18"/>
          <w:lang w:val="en-US"/>
        </w:rPr>
        <w:t xml:space="preserve"> the intention </w:t>
      </w:r>
      <w:r w:rsidR="00C11897" w:rsidRPr="002F14A0">
        <w:rPr>
          <w:rFonts w:cs="Arial"/>
          <w:szCs w:val="18"/>
          <w:lang w:val="en-US"/>
        </w:rPr>
        <w:t>of</w:t>
      </w:r>
      <w:r w:rsidRPr="002F14A0">
        <w:rPr>
          <w:rFonts w:cs="Arial"/>
          <w:szCs w:val="18"/>
          <w:lang w:val="en-US"/>
        </w:rPr>
        <w:t xml:space="preserve"> </w:t>
      </w:r>
      <w:r w:rsidR="0035369C" w:rsidRPr="002F14A0">
        <w:rPr>
          <w:rFonts w:cs="Arial"/>
          <w:szCs w:val="18"/>
          <w:lang w:val="en-US"/>
        </w:rPr>
        <w:t>rationali</w:t>
      </w:r>
      <w:r w:rsidR="0035369C">
        <w:rPr>
          <w:rFonts w:cs="Arial"/>
          <w:szCs w:val="18"/>
          <w:lang w:val="en-US"/>
        </w:rPr>
        <w:t>z</w:t>
      </w:r>
      <w:r w:rsidR="0035369C" w:rsidRPr="002F14A0">
        <w:rPr>
          <w:rFonts w:cs="Arial"/>
          <w:szCs w:val="18"/>
          <w:lang w:val="en-US"/>
        </w:rPr>
        <w:t>ing</w:t>
      </w:r>
      <w:r w:rsidRPr="002F14A0">
        <w:rPr>
          <w:rFonts w:cs="Arial"/>
          <w:szCs w:val="18"/>
          <w:lang w:val="en-US"/>
        </w:rPr>
        <w:t xml:space="preserve"> and phas</w:t>
      </w:r>
      <w:r w:rsidR="00C11897" w:rsidRPr="002F14A0">
        <w:rPr>
          <w:rFonts w:cs="Arial"/>
          <w:szCs w:val="18"/>
          <w:lang w:val="en-US"/>
        </w:rPr>
        <w:t>ing</w:t>
      </w:r>
      <w:r w:rsidRPr="002F14A0">
        <w:rPr>
          <w:rFonts w:cs="Arial"/>
          <w:szCs w:val="18"/>
          <w:lang w:val="en-US"/>
        </w:rPr>
        <w:t xml:space="preserve"> out </w:t>
      </w:r>
      <w:r w:rsidR="00C11897" w:rsidRPr="002F14A0">
        <w:rPr>
          <w:rFonts w:cs="Arial"/>
          <w:szCs w:val="18"/>
          <w:lang w:val="en-US"/>
        </w:rPr>
        <w:t>FFS that</w:t>
      </w:r>
      <w:r w:rsidRPr="002F14A0">
        <w:rPr>
          <w:rFonts w:cs="Arial"/>
          <w:szCs w:val="18"/>
          <w:lang w:val="en-US"/>
        </w:rPr>
        <w:t xml:space="preserve"> encourage</w:t>
      </w:r>
      <w:r w:rsidR="00C11897" w:rsidRPr="002F14A0">
        <w:rPr>
          <w:rFonts w:cs="Arial"/>
          <w:szCs w:val="18"/>
          <w:lang w:val="en-US"/>
        </w:rPr>
        <w:t>d</w:t>
      </w:r>
      <w:r w:rsidRPr="002F14A0">
        <w:rPr>
          <w:rFonts w:cs="Arial"/>
          <w:szCs w:val="18"/>
          <w:lang w:val="en-US"/>
        </w:rPr>
        <w:t xml:space="preserve"> </w:t>
      </w:r>
      <w:r w:rsidR="00C11897" w:rsidRPr="002F14A0">
        <w:rPr>
          <w:szCs w:val="18"/>
        </w:rPr>
        <w:t>wasteful consumption</w:t>
      </w:r>
      <w:r w:rsidRPr="002F14A0">
        <w:rPr>
          <w:rFonts w:cs="Arial"/>
          <w:szCs w:val="18"/>
          <w:lang w:val="en-US"/>
        </w:rPr>
        <w:t xml:space="preserve">. </w:t>
      </w:r>
      <w:r w:rsidR="00C11897" w:rsidRPr="002F14A0">
        <w:rPr>
          <w:rFonts w:cs="Arial"/>
          <w:szCs w:val="18"/>
          <w:lang w:val="en-US"/>
        </w:rPr>
        <w:t>T</w:t>
      </w:r>
      <w:r w:rsidRPr="002F14A0">
        <w:rPr>
          <w:rFonts w:cs="Arial"/>
          <w:szCs w:val="18"/>
          <w:lang w:val="en-US"/>
        </w:rPr>
        <w:t xml:space="preserve">o achieve the </w:t>
      </w:r>
      <w:r w:rsidR="00C11897" w:rsidRPr="002F14A0">
        <w:rPr>
          <w:rFonts w:cs="Arial"/>
          <w:szCs w:val="18"/>
          <w:lang w:val="en-US"/>
        </w:rPr>
        <w:t>goals,</w:t>
      </w:r>
      <w:r w:rsidRPr="002F14A0">
        <w:rPr>
          <w:rFonts w:cs="Arial"/>
          <w:szCs w:val="18"/>
          <w:lang w:val="en-US"/>
        </w:rPr>
        <w:t xml:space="preserve"> set in the Paris Agreement or in the </w:t>
      </w:r>
      <w:r w:rsidR="003E78DE" w:rsidRPr="002F14A0">
        <w:rPr>
          <w:rFonts w:cs="Arial"/>
          <w:szCs w:val="18"/>
          <w:lang w:val="en-US"/>
        </w:rPr>
        <w:t>Sustainable Development Goals (</w:t>
      </w:r>
      <w:r w:rsidRPr="002F14A0">
        <w:rPr>
          <w:rFonts w:cs="Arial"/>
          <w:szCs w:val="18"/>
          <w:lang w:val="en-US"/>
        </w:rPr>
        <w:t>SDGs</w:t>
      </w:r>
      <w:r w:rsidR="003E78DE" w:rsidRPr="002F14A0">
        <w:rPr>
          <w:rFonts w:cs="Arial"/>
          <w:szCs w:val="18"/>
          <w:lang w:val="en-US"/>
        </w:rPr>
        <w:t>)</w:t>
      </w:r>
      <w:r w:rsidRPr="002F14A0">
        <w:rPr>
          <w:rFonts w:cs="Arial"/>
          <w:szCs w:val="18"/>
          <w:lang w:val="en-US"/>
        </w:rPr>
        <w:t>, act</w:t>
      </w:r>
      <w:r w:rsidR="00C11897" w:rsidRPr="002F14A0">
        <w:rPr>
          <w:rFonts w:cs="Arial"/>
          <w:szCs w:val="18"/>
          <w:lang w:val="en-US"/>
        </w:rPr>
        <w:t>ion was needed</w:t>
      </w:r>
      <w:r w:rsidRPr="002F14A0">
        <w:rPr>
          <w:rFonts w:cs="Arial"/>
          <w:szCs w:val="18"/>
          <w:lang w:val="en-US"/>
        </w:rPr>
        <w:t xml:space="preserve"> now. </w:t>
      </w:r>
      <w:r w:rsidR="00C11897" w:rsidRPr="002F14A0">
        <w:rPr>
          <w:rFonts w:cs="Arial"/>
          <w:szCs w:val="18"/>
          <w:lang w:val="en-US"/>
        </w:rPr>
        <w:t>Switzerland was</w:t>
      </w:r>
      <w:r w:rsidRPr="002F14A0">
        <w:rPr>
          <w:rFonts w:cs="Arial"/>
          <w:szCs w:val="18"/>
          <w:lang w:val="en-US"/>
        </w:rPr>
        <w:t xml:space="preserve"> engaged on this very important issue with New Zealand and </w:t>
      </w:r>
      <w:r w:rsidR="00C11897" w:rsidRPr="002F14A0">
        <w:rPr>
          <w:rFonts w:cs="Arial"/>
          <w:szCs w:val="18"/>
          <w:lang w:val="en-US"/>
        </w:rPr>
        <w:t>four</w:t>
      </w:r>
      <w:r w:rsidRPr="002F14A0">
        <w:rPr>
          <w:rFonts w:cs="Arial"/>
          <w:szCs w:val="18"/>
          <w:lang w:val="en-US"/>
        </w:rPr>
        <w:t xml:space="preserve"> other WTO</w:t>
      </w:r>
      <w:r w:rsidR="002F14A0" w:rsidRPr="002F14A0">
        <w:rPr>
          <w:rFonts w:cs="Arial"/>
          <w:szCs w:val="18"/>
          <w:lang w:val="en-US"/>
        </w:rPr>
        <w:t> </w:t>
      </w:r>
      <w:r w:rsidR="00C11897" w:rsidRPr="002F14A0">
        <w:rPr>
          <w:rFonts w:cs="Arial"/>
          <w:szCs w:val="18"/>
          <w:lang w:val="en-US"/>
        </w:rPr>
        <w:t>M</w:t>
      </w:r>
      <w:r w:rsidRPr="002F14A0">
        <w:rPr>
          <w:rFonts w:cs="Arial"/>
          <w:szCs w:val="18"/>
          <w:lang w:val="en-US"/>
        </w:rPr>
        <w:t xml:space="preserve">embers in </w:t>
      </w:r>
      <w:r w:rsidR="00C11897" w:rsidRPr="002F14A0">
        <w:rPr>
          <w:rFonts w:cs="Arial"/>
          <w:szCs w:val="18"/>
          <w:lang w:val="en-US"/>
        </w:rPr>
        <w:t xml:space="preserve">the </w:t>
      </w:r>
      <w:r w:rsidRPr="002F14A0">
        <w:rPr>
          <w:rFonts w:cs="Arial"/>
          <w:szCs w:val="18"/>
          <w:lang w:val="en-US"/>
        </w:rPr>
        <w:t xml:space="preserve">negotiations on the </w:t>
      </w:r>
      <w:r w:rsidR="003E78DE" w:rsidRPr="002F14A0">
        <w:rPr>
          <w:rFonts w:cs="Arial"/>
          <w:szCs w:val="18"/>
          <w:lang w:val="en-US"/>
        </w:rPr>
        <w:t>Agreement on Climate Change, Trade and Sustainability (</w:t>
      </w:r>
      <w:r w:rsidRPr="002F14A0">
        <w:rPr>
          <w:rFonts w:cs="Arial"/>
          <w:szCs w:val="18"/>
          <w:lang w:val="en-US"/>
        </w:rPr>
        <w:t>ACCTS</w:t>
      </w:r>
      <w:r w:rsidR="003E78DE" w:rsidRPr="002F14A0">
        <w:rPr>
          <w:rFonts w:cs="Arial"/>
          <w:szCs w:val="18"/>
          <w:lang w:val="en-US"/>
        </w:rPr>
        <w:t>)</w:t>
      </w:r>
      <w:r w:rsidRPr="002F14A0">
        <w:rPr>
          <w:rFonts w:cs="Arial"/>
          <w:szCs w:val="18"/>
          <w:lang w:val="en-US"/>
        </w:rPr>
        <w:t xml:space="preserve"> initiative which aim</w:t>
      </w:r>
      <w:r w:rsidR="00C11897" w:rsidRPr="002F14A0">
        <w:rPr>
          <w:rFonts w:cs="Arial"/>
          <w:szCs w:val="18"/>
          <w:lang w:val="en-US"/>
        </w:rPr>
        <w:t>ed</w:t>
      </w:r>
      <w:r w:rsidRPr="002F14A0">
        <w:rPr>
          <w:rFonts w:cs="Arial"/>
          <w:szCs w:val="18"/>
          <w:lang w:val="en-US"/>
        </w:rPr>
        <w:t xml:space="preserve">, among other things, to establish binding trade rules </w:t>
      </w:r>
      <w:r w:rsidR="00C11897" w:rsidRPr="002F14A0">
        <w:rPr>
          <w:rFonts w:cs="Arial"/>
          <w:szCs w:val="18"/>
          <w:lang w:val="en-US"/>
        </w:rPr>
        <w:t>to</w:t>
      </w:r>
      <w:r w:rsidRPr="002F14A0">
        <w:rPr>
          <w:rFonts w:cs="Arial"/>
          <w:szCs w:val="18"/>
          <w:lang w:val="en-US"/>
        </w:rPr>
        <w:t xml:space="preserve"> eliminate</w:t>
      </w:r>
      <w:r w:rsidR="00C11897" w:rsidRPr="002F14A0">
        <w:rPr>
          <w:rFonts w:cs="Arial"/>
          <w:szCs w:val="18"/>
          <w:lang w:val="en-US"/>
        </w:rPr>
        <w:t xml:space="preserve"> FFS </w:t>
      </w:r>
      <w:r w:rsidRPr="002F14A0">
        <w:rPr>
          <w:rFonts w:cs="Arial"/>
          <w:szCs w:val="18"/>
          <w:lang w:val="en-US"/>
        </w:rPr>
        <w:t>harmful to the environment.</w:t>
      </w:r>
      <w:r w:rsidR="00C11897" w:rsidRPr="002F14A0">
        <w:rPr>
          <w:rFonts w:cs="Arial"/>
          <w:szCs w:val="18"/>
          <w:lang w:val="en-US"/>
        </w:rPr>
        <w:t xml:space="preserve"> FFS</w:t>
      </w:r>
      <w:r w:rsidRPr="002F14A0">
        <w:rPr>
          <w:rFonts w:cs="Arial"/>
          <w:szCs w:val="18"/>
          <w:lang w:val="en-US"/>
        </w:rPr>
        <w:t xml:space="preserve"> not only have a negative impact on societies, economies, and the environment, </w:t>
      </w:r>
      <w:r w:rsidR="00C11897" w:rsidRPr="002F14A0">
        <w:rPr>
          <w:rFonts w:cs="Arial"/>
          <w:szCs w:val="18"/>
          <w:lang w:val="en-US"/>
        </w:rPr>
        <w:t>but</w:t>
      </w:r>
      <w:r w:rsidRPr="002F14A0">
        <w:rPr>
          <w:rFonts w:cs="Arial"/>
          <w:szCs w:val="18"/>
          <w:lang w:val="en-US"/>
        </w:rPr>
        <w:t xml:space="preserve"> also trade-distorting effects, especially on </w:t>
      </w:r>
      <w:r w:rsidR="00C11897" w:rsidRPr="002F14A0">
        <w:rPr>
          <w:rFonts w:cs="Arial"/>
          <w:szCs w:val="18"/>
          <w:lang w:val="en-US"/>
        </w:rPr>
        <w:t xml:space="preserve">low emission </w:t>
      </w:r>
      <w:r w:rsidRPr="002F14A0">
        <w:rPr>
          <w:rFonts w:cs="Arial"/>
          <w:szCs w:val="18"/>
          <w:lang w:val="en-US"/>
        </w:rPr>
        <w:t xml:space="preserve">technologies. The WTO </w:t>
      </w:r>
      <w:r w:rsidR="002F14A0">
        <w:rPr>
          <w:rFonts w:cs="Arial"/>
          <w:szCs w:val="18"/>
          <w:lang w:val="en-US"/>
        </w:rPr>
        <w:t>was</w:t>
      </w:r>
      <w:r w:rsidRPr="002F14A0">
        <w:rPr>
          <w:rFonts w:cs="Arial"/>
          <w:szCs w:val="18"/>
          <w:lang w:val="en-US"/>
        </w:rPr>
        <w:t xml:space="preserve"> the appropriate place to discuss this issue.</w:t>
      </w:r>
      <w:r w:rsidR="00CE1989" w:rsidRPr="002F14A0">
        <w:rPr>
          <w:rFonts w:cs="Arial"/>
          <w:szCs w:val="18"/>
          <w:lang w:val="en-US"/>
        </w:rPr>
        <w:t xml:space="preserve"> </w:t>
      </w:r>
      <w:r w:rsidR="00C11897" w:rsidRPr="002F14A0">
        <w:rPr>
          <w:rFonts w:cs="Arial"/>
          <w:szCs w:val="18"/>
          <w:lang w:val="en-US"/>
        </w:rPr>
        <w:t>Switzerland</w:t>
      </w:r>
      <w:r w:rsidRPr="002F14A0">
        <w:rPr>
          <w:rFonts w:cs="Arial"/>
          <w:szCs w:val="18"/>
          <w:lang w:val="en-US"/>
        </w:rPr>
        <w:t xml:space="preserve"> therefore invite</w:t>
      </w:r>
      <w:r w:rsidR="00C11897" w:rsidRPr="002F14A0">
        <w:rPr>
          <w:rFonts w:cs="Arial"/>
          <w:szCs w:val="18"/>
          <w:lang w:val="en-US"/>
        </w:rPr>
        <w:t>d</w:t>
      </w:r>
      <w:r w:rsidRPr="002F14A0">
        <w:rPr>
          <w:rFonts w:cs="Arial"/>
          <w:szCs w:val="18"/>
          <w:lang w:val="en-US"/>
        </w:rPr>
        <w:t xml:space="preserve"> all WTO </w:t>
      </w:r>
      <w:r w:rsidR="00C11897" w:rsidRPr="002F14A0">
        <w:rPr>
          <w:rFonts w:cs="Arial"/>
          <w:szCs w:val="18"/>
          <w:lang w:val="en-US"/>
        </w:rPr>
        <w:t>M</w:t>
      </w:r>
      <w:r w:rsidRPr="002F14A0">
        <w:rPr>
          <w:rFonts w:cs="Arial"/>
          <w:szCs w:val="18"/>
          <w:lang w:val="en-US"/>
        </w:rPr>
        <w:t xml:space="preserve">embers to join this important initiative. </w:t>
      </w:r>
      <w:r w:rsidR="00C11897" w:rsidRPr="002F14A0">
        <w:rPr>
          <w:rFonts w:cs="Arial"/>
          <w:szCs w:val="18"/>
          <w:lang w:val="en-US"/>
        </w:rPr>
        <w:t>Switzerland</w:t>
      </w:r>
      <w:r w:rsidRPr="002F14A0">
        <w:rPr>
          <w:rFonts w:cs="Arial"/>
          <w:szCs w:val="18"/>
          <w:lang w:val="en-US"/>
        </w:rPr>
        <w:t xml:space="preserve"> support</w:t>
      </w:r>
      <w:r w:rsidR="00C11897" w:rsidRPr="002F14A0">
        <w:rPr>
          <w:rFonts w:cs="Arial"/>
          <w:szCs w:val="18"/>
          <w:lang w:val="en-US"/>
        </w:rPr>
        <w:t>ed</w:t>
      </w:r>
      <w:r w:rsidRPr="002F14A0">
        <w:rPr>
          <w:rFonts w:cs="Arial"/>
          <w:szCs w:val="18"/>
          <w:lang w:val="en-US"/>
        </w:rPr>
        <w:t xml:space="preserve"> New Zealand's communication contained in document TE/SSD/W/1 and hope</w:t>
      </w:r>
      <w:r w:rsidR="00C11897" w:rsidRPr="002F14A0">
        <w:rPr>
          <w:rFonts w:cs="Arial"/>
          <w:szCs w:val="18"/>
          <w:lang w:val="en-US"/>
        </w:rPr>
        <w:t>d</w:t>
      </w:r>
      <w:r w:rsidRPr="002F14A0">
        <w:rPr>
          <w:rFonts w:cs="Arial"/>
          <w:szCs w:val="18"/>
          <w:lang w:val="en-US"/>
        </w:rPr>
        <w:t xml:space="preserve"> to have concrete results for the next Ministerial Conference. </w:t>
      </w:r>
      <w:r w:rsidR="00C11897" w:rsidRPr="002F14A0">
        <w:rPr>
          <w:rFonts w:cs="Arial"/>
          <w:szCs w:val="18"/>
          <w:lang w:val="en-US"/>
        </w:rPr>
        <w:t>Switzerland</w:t>
      </w:r>
      <w:r w:rsidRPr="002F14A0">
        <w:rPr>
          <w:rFonts w:cs="Arial"/>
          <w:szCs w:val="18"/>
          <w:lang w:val="en-US"/>
        </w:rPr>
        <w:t xml:space="preserve"> believe</w:t>
      </w:r>
      <w:r w:rsidR="00C11897" w:rsidRPr="002F14A0">
        <w:rPr>
          <w:rFonts w:cs="Arial"/>
          <w:szCs w:val="18"/>
          <w:lang w:val="en-US"/>
        </w:rPr>
        <w:t>d</w:t>
      </w:r>
      <w:r w:rsidRPr="002F14A0">
        <w:rPr>
          <w:rFonts w:cs="Arial"/>
          <w:szCs w:val="18"/>
          <w:lang w:val="en-US"/>
        </w:rPr>
        <w:t xml:space="preserve"> that the TESSD</w:t>
      </w:r>
      <w:r w:rsidR="00C11897" w:rsidRPr="002F14A0">
        <w:rPr>
          <w:rFonts w:cs="Arial"/>
          <w:szCs w:val="18"/>
          <w:lang w:val="en-US"/>
        </w:rPr>
        <w:t xml:space="preserve"> could</w:t>
      </w:r>
      <w:r w:rsidRPr="002F14A0">
        <w:rPr>
          <w:rFonts w:cs="Arial"/>
          <w:szCs w:val="18"/>
          <w:lang w:val="en-US"/>
        </w:rPr>
        <w:t xml:space="preserve"> go a long way in moving this initiative forward.</w:t>
      </w:r>
    </w:p>
    <w:p w14:paraId="3E1223E4" w14:textId="120A30DE" w:rsidR="007F219A" w:rsidRPr="00CE1989" w:rsidRDefault="00CE1989" w:rsidP="00CE1989">
      <w:pPr>
        <w:pStyle w:val="BodyText"/>
        <w:rPr>
          <w:szCs w:val="18"/>
        </w:rPr>
      </w:pPr>
      <w:r w:rsidRPr="00E50ED2">
        <w:rPr>
          <w:lang w:val="en-US"/>
        </w:rPr>
        <w:t xml:space="preserve">The </w:t>
      </w:r>
      <w:r w:rsidRPr="0070149D">
        <w:rPr>
          <w:lang w:val="en-US"/>
        </w:rPr>
        <w:t xml:space="preserve">representative of </w:t>
      </w:r>
      <w:r w:rsidR="00FD6ED7" w:rsidRPr="00AC691F">
        <w:rPr>
          <w:szCs w:val="18"/>
          <w:u w:val="single"/>
        </w:rPr>
        <w:t>Ukraine</w:t>
      </w:r>
      <w:r w:rsidR="007F219A" w:rsidRPr="00CE1989">
        <w:rPr>
          <w:szCs w:val="18"/>
          <w:lang w:val="en-US"/>
        </w:rPr>
        <w:t xml:space="preserve"> </w:t>
      </w:r>
      <w:r w:rsidR="0070149D">
        <w:rPr>
          <w:szCs w:val="18"/>
          <w:lang w:val="en-US"/>
        </w:rPr>
        <w:t>noted t</w:t>
      </w:r>
      <w:r w:rsidR="00AC691F">
        <w:rPr>
          <w:szCs w:val="18"/>
          <w:lang w:val="en-US"/>
        </w:rPr>
        <w:t>he well-</w:t>
      </w:r>
      <w:r w:rsidR="007F219A" w:rsidRPr="00CE1989">
        <w:rPr>
          <w:szCs w:val="18"/>
          <w:lang w:val="en-US"/>
        </w:rPr>
        <w:t>known</w:t>
      </w:r>
      <w:r w:rsidR="00AC691F">
        <w:rPr>
          <w:szCs w:val="18"/>
          <w:lang w:val="en-US"/>
        </w:rPr>
        <w:t xml:space="preserve"> fact that</w:t>
      </w:r>
      <w:r w:rsidR="007F219A" w:rsidRPr="00CE1989">
        <w:rPr>
          <w:szCs w:val="18"/>
          <w:lang w:val="en-US"/>
        </w:rPr>
        <w:t xml:space="preserve"> subsidies to both the production and consumption of fossil fuels at different stages of the value chain </w:t>
      </w:r>
      <w:r w:rsidR="00AC691F">
        <w:rPr>
          <w:szCs w:val="18"/>
          <w:lang w:val="en-US"/>
        </w:rPr>
        <w:t>could</w:t>
      </w:r>
      <w:r w:rsidR="007F219A" w:rsidRPr="00CE1989">
        <w:rPr>
          <w:szCs w:val="18"/>
          <w:lang w:val="en-US"/>
        </w:rPr>
        <w:t xml:space="preserve"> have an impact on international trade. Therefore, </w:t>
      </w:r>
      <w:r w:rsidR="00AC691F">
        <w:rPr>
          <w:szCs w:val="18"/>
          <w:lang w:val="en-US"/>
        </w:rPr>
        <w:t>there was a</w:t>
      </w:r>
      <w:r w:rsidR="007F219A" w:rsidRPr="00CE1989">
        <w:rPr>
          <w:szCs w:val="18"/>
          <w:lang w:val="en-US"/>
        </w:rPr>
        <w:t xml:space="preserve"> need to discuss this issue in the CTE to avoid inconsistencies in the future.</w:t>
      </w:r>
      <w:r>
        <w:rPr>
          <w:szCs w:val="18"/>
          <w:lang w:val="en-US"/>
        </w:rPr>
        <w:t xml:space="preserve"> </w:t>
      </w:r>
      <w:r w:rsidR="007F219A" w:rsidRPr="00CE1989">
        <w:rPr>
          <w:szCs w:val="18"/>
          <w:lang w:val="en-US"/>
        </w:rPr>
        <w:t xml:space="preserve">In Ukraine, </w:t>
      </w:r>
      <w:r w:rsidR="00AC691F">
        <w:rPr>
          <w:szCs w:val="18"/>
          <w:lang w:val="en-US"/>
        </w:rPr>
        <w:t>the</w:t>
      </w:r>
      <w:r w:rsidR="007F219A" w:rsidRPr="00CE1989">
        <w:rPr>
          <w:szCs w:val="18"/>
          <w:lang w:val="en-US"/>
        </w:rPr>
        <w:t xml:space="preserve"> coal industry still constitute</w:t>
      </w:r>
      <w:r w:rsidR="00AC691F">
        <w:rPr>
          <w:szCs w:val="18"/>
          <w:lang w:val="en-US"/>
        </w:rPr>
        <w:t>d</w:t>
      </w:r>
      <w:r w:rsidR="007F219A" w:rsidRPr="00CE1989">
        <w:rPr>
          <w:szCs w:val="18"/>
          <w:lang w:val="en-US"/>
        </w:rPr>
        <w:t xml:space="preserve"> a significant part in the structure of electricity and heat generation. Therefore, the "green" transition </w:t>
      </w:r>
      <w:r w:rsidR="00AC691F">
        <w:rPr>
          <w:szCs w:val="18"/>
          <w:lang w:val="en-US"/>
        </w:rPr>
        <w:t>needed to be</w:t>
      </w:r>
      <w:r w:rsidR="007F219A" w:rsidRPr="00CE1989">
        <w:rPr>
          <w:szCs w:val="18"/>
          <w:lang w:val="en-US"/>
        </w:rPr>
        <w:t xml:space="preserve"> carefully prepared and manage</w:t>
      </w:r>
      <w:r w:rsidR="00AC691F">
        <w:rPr>
          <w:szCs w:val="18"/>
          <w:lang w:val="en-US"/>
        </w:rPr>
        <w:t>d</w:t>
      </w:r>
      <w:r w:rsidR="007F219A" w:rsidRPr="00CE1989">
        <w:rPr>
          <w:szCs w:val="18"/>
          <w:lang w:val="en-US"/>
        </w:rPr>
        <w:t>.</w:t>
      </w:r>
      <w:r>
        <w:rPr>
          <w:szCs w:val="18"/>
          <w:lang w:val="en-US"/>
        </w:rPr>
        <w:t xml:space="preserve"> </w:t>
      </w:r>
      <w:r w:rsidR="007F219A" w:rsidRPr="00CE1989">
        <w:rPr>
          <w:szCs w:val="18"/>
          <w:lang w:val="en-US"/>
        </w:rPr>
        <w:t xml:space="preserve">The Ministry of Energy of Ukraine </w:t>
      </w:r>
      <w:r w:rsidR="00AC691F">
        <w:rPr>
          <w:szCs w:val="18"/>
          <w:lang w:val="en-US"/>
        </w:rPr>
        <w:t>was</w:t>
      </w:r>
      <w:r w:rsidR="007F219A" w:rsidRPr="00CE1989">
        <w:rPr>
          <w:szCs w:val="18"/>
          <w:lang w:val="en-US"/>
        </w:rPr>
        <w:t xml:space="preserve"> elaborating an Integrated National Energy and Climate Plan until 2030 and already</w:t>
      </w:r>
      <w:r w:rsidR="007F219A" w:rsidRPr="00CE1989">
        <w:rPr>
          <w:szCs w:val="18"/>
          <w:lang w:val="uk-UA"/>
        </w:rPr>
        <w:t xml:space="preserve"> </w:t>
      </w:r>
      <w:r w:rsidR="002F14A0">
        <w:rPr>
          <w:szCs w:val="18"/>
        </w:rPr>
        <w:t xml:space="preserve">had </w:t>
      </w:r>
      <w:r w:rsidR="007F219A" w:rsidRPr="00CE1989">
        <w:rPr>
          <w:szCs w:val="18"/>
          <w:lang w:val="en-US"/>
        </w:rPr>
        <w:t xml:space="preserve">developed the Concept </w:t>
      </w:r>
      <w:r w:rsidR="00AC691F">
        <w:rPr>
          <w:szCs w:val="18"/>
          <w:lang w:val="en-US"/>
        </w:rPr>
        <w:t>for</w:t>
      </w:r>
      <w:r w:rsidR="007F219A" w:rsidRPr="00CE1989">
        <w:rPr>
          <w:szCs w:val="18"/>
          <w:lang w:val="en-US"/>
        </w:rPr>
        <w:t xml:space="preserve"> reforming the coal industry </w:t>
      </w:r>
      <w:r w:rsidR="00AC691F">
        <w:rPr>
          <w:szCs w:val="18"/>
          <w:lang w:val="en-US"/>
        </w:rPr>
        <w:t>until</w:t>
      </w:r>
      <w:r w:rsidR="007F219A" w:rsidRPr="00CE1989">
        <w:rPr>
          <w:szCs w:val="18"/>
          <w:lang w:val="en-US"/>
        </w:rPr>
        <w:t xml:space="preserve"> 2024. In addition, the Ministry for Communities and Territories Development of Ukraine </w:t>
      </w:r>
      <w:r w:rsidR="00AC691F">
        <w:rPr>
          <w:szCs w:val="18"/>
          <w:lang w:val="en-US"/>
        </w:rPr>
        <w:t>was</w:t>
      </w:r>
      <w:r w:rsidR="007F219A" w:rsidRPr="00CE1989">
        <w:rPr>
          <w:szCs w:val="18"/>
          <w:lang w:val="en-US"/>
        </w:rPr>
        <w:t xml:space="preserve"> preparing a program for the transformation of </w:t>
      </w:r>
      <w:r w:rsidR="00AC691F">
        <w:rPr>
          <w:szCs w:val="18"/>
          <w:lang w:val="en-US"/>
        </w:rPr>
        <w:t>Ukraine's</w:t>
      </w:r>
      <w:r w:rsidR="007F219A" w:rsidRPr="00CE1989">
        <w:rPr>
          <w:szCs w:val="18"/>
          <w:lang w:val="en-US"/>
        </w:rPr>
        <w:t xml:space="preserve"> coal regions.</w:t>
      </w:r>
      <w:r>
        <w:rPr>
          <w:szCs w:val="18"/>
          <w:lang w:val="en-US"/>
        </w:rPr>
        <w:t xml:space="preserve"> </w:t>
      </w:r>
      <w:r w:rsidR="007F219A" w:rsidRPr="00CE1989">
        <w:rPr>
          <w:szCs w:val="18"/>
          <w:lang w:val="en-US"/>
        </w:rPr>
        <w:t xml:space="preserve">Therefore, Ukraine </w:t>
      </w:r>
      <w:r w:rsidR="00AC691F">
        <w:rPr>
          <w:szCs w:val="18"/>
          <w:lang w:val="en-US"/>
        </w:rPr>
        <w:t>was</w:t>
      </w:r>
      <w:r w:rsidR="007F219A" w:rsidRPr="00CE1989">
        <w:rPr>
          <w:szCs w:val="18"/>
          <w:lang w:val="en-US"/>
        </w:rPr>
        <w:t xml:space="preserve"> ready to constructively </w:t>
      </w:r>
      <w:bookmarkStart w:id="15" w:name="_Hlk67309861"/>
      <w:r w:rsidR="007F219A" w:rsidRPr="00CE1989">
        <w:rPr>
          <w:szCs w:val="18"/>
          <w:lang w:val="en-US"/>
        </w:rPr>
        <w:t xml:space="preserve">engage in discussions on the topic of </w:t>
      </w:r>
      <w:r w:rsidR="00AC691F">
        <w:rPr>
          <w:szCs w:val="18"/>
          <w:lang w:val="en-US"/>
        </w:rPr>
        <w:t>FFSR</w:t>
      </w:r>
      <w:r w:rsidR="007F219A" w:rsidRPr="00CE1989">
        <w:rPr>
          <w:szCs w:val="18"/>
          <w:lang w:val="en-US"/>
        </w:rPr>
        <w:t xml:space="preserve"> within the framework of WTO to reach positive results for MC12.</w:t>
      </w:r>
      <w:bookmarkEnd w:id="15"/>
    </w:p>
    <w:p w14:paraId="5FDC160C" w14:textId="069D6D81" w:rsidR="007F219A" w:rsidRPr="00A256C2" w:rsidRDefault="00CE1989" w:rsidP="00913076">
      <w:pPr>
        <w:pStyle w:val="BodyText"/>
      </w:pPr>
      <w:r w:rsidRPr="00A256C2">
        <w:rPr>
          <w:lang w:val="en-US"/>
        </w:rPr>
        <w:t xml:space="preserve">The representative of </w:t>
      </w:r>
      <w:r w:rsidR="005B7C75" w:rsidRPr="00A256C2">
        <w:rPr>
          <w:u w:val="single"/>
          <w:lang w:val="en-US"/>
        </w:rPr>
        <w:t>Japan</w:t>
      </w:r>
      <w:r w:rsidR="005B7C75" w:rsidRPr="00A256C2">
        <w:rPr>
          <w:lang w:val="en-US"/>
        </w:rPr>
        <w:t xml:space="preserve"> underlined</w:t>
      </w:r>
      <w:r w:rsidR="007F219A" w:rsidRPr="00A256C2">
        <w:t xml:space="preserve"> the importance of </w:t>
      </w:r>
      <w:r w:rsidR="00A256C2">
        <w:t xml:space="preserve">reforming </w:t>
      </w:r>
      <w:r w:rsidR="007F219A" w:rsidRPr="00A256C2">
        <w:t xml:space="preserve">inefficient </w:t>
      </w:r>
      <w:r w:rsidR="005B7C75" w:rsidRPr="00A256C2">
        <w:t>FFS</w:t>
      </w:r>
      <w:r w:rsidR="007F219A" w:rsidRPr="00A256C2">
        <w:t xml:space="preserve">. </w:t>
      </w:r>
      <w:r w:rsidR="005B7C75" w:rsidRPr="00A256C2">
        <w:t>Japan</w:t>
      </w:r>
      <w:r w:rsidR="007F219A" w:rsidRPr="00A256C2">
        <w:t xml:space="preserve"> support</w:t>
      </w:r>
      <w:r w:rsidR="005B7C75" w:rsidRPr="00A256C2">
        <w:t>ed</w:t>
      </w:r>
      <w:r w:rsidR="007F219A" w:rsidRPr="00A256C2">
        <w:t xml:space="preserve"> the G20 initiative, which aim</w:t>
      </w:r>
      <w:r w:rsidR="005B7C75" w:rsidRPr="00A256C2">
        <w:t xml:space="preserve">ed at </w:t>
      </w:r>
      <w:r w:rsidR="007F219A" w:rsidRPr="00A256C2">
        <w:t>streamlin</w:t>
      </w:r>
      <w:r w:rsidR="005B7C75" w:rsidRPr="00A256C2">
        <w:t>ing</w:t>
      </w:r>
      <w:r w:rsidR="007F219A" w:rsidRPr="00A256C2">
        <w:t xml:space="preserve"> inefficient </w:t>
      </w:r>
      <w:r w:rsidR="00A256C2">
        <w:t>FFS</w:t>
      </w:r>
      <w:r w:rsidR="007F219A" w:rsidRPr="00A256C2">
        <w:t xml:space="preserve"> that contribute</w:t>
      </w:r>
      <w:r w:rsidR="00A256C2">
        <w:t>d</w:t>
      </w:r>
      <w:r w:rsidR="007F219A" w:rsidRPr="00A256C2">
        <w:t xml:space="preserve"> to wasteful consumption in the medium term and to abolish them gradually. </w:t>
      </w:r>
      <w:r w:rsidR="005B7C75" w:rsidRPr="00A256C2">
        <w:t>Japan</w:t>
      </w:r>
      <w:r w:rsidR="007F219A" w:rsidRPr="00A256C2">
        <w:t xml:space="preserve"> also support</w:t>
      </w:r>
      <w:r w:rsidR="002C614C" w:rsidRPr="00A256C2">
        <w:t>ed</w:t>
      </w:r>
      <w:r w:rsidR="007F219A" w:rsidRPr="00A256C2">
        <w:t xml:space="preserve"> the G20 voluntary peer reviews. </w:t>
      </w:r>
      <w:r w:rsidR="007F219A" w:rsidRPr="00A256C2">
        <w:rPr>
          <w:szCs w:val="18"/>
        </w:rPr>
        <w:t>Japan d</w:t>
      </w:r>
      <w:r w:rsidR="00A256C2">
        <w:rPr>
          <w:szCs w:val="18"/>
        </w:rPr>
        <w:t>id</w:t>
      </w:r>
      <w:r w:rsidR="007F219A" w:rsidRPr="00A256C2">
        <w:rPr>
          <w:szCs w:val="18"/>
        </w:rPr>
        <w:t xml:space="preserve"> not </w:t>
      </w:r>
      <w:r w:rsidR="00A256C2">
        <w:rPr>
          <w:szCs w:val="18"/>
        </w:rPr>
        <w:t>have</w:t>
      </w:r>
      <w:r w:rsidR="007F219A" w:rsidRPr="00A256C2">
        <w:rPr>
          <w:szCs w:val="18"/>
        </w:rPr>
        <w:t xml:space="preserve"> any inefficient </w:t>
      </w:r>
      <w:r w:rsidR="00A256C2">
        <w:rPr>
          <w:szCs w:val="18"/>
        </w:rPr>
        <w:t>FFS</w:t>
      </w:r>
      <w:r w:rsidR="007F219A" w:rsidRPr="00A256C2">
        <w:rPr>
          <w:szCs w:val="18"/>
        </w:rPr>
        <w:t xml:space="preserve"> that stimulate</w:t>
      </w:r>
      <w:r w:rsidR="00A256C2">
        <w:rPr>
          <w:szCs w:val="18"/>
        </w:rPr>
        <w:t>d</w:t>
      </w:r>
      <w:r w:rsidR="007F219A" w:rsidRPr="00A256C2">
        <w:rPr>
          <w:szCs w:val="18"/>
        </w:rPr>
        <w:t xml:space="preserve"> wasteful consumption. Japan believe</w:t>
      </w:r>
      <w:r w:rsidR="00A256C2">
        <w:rPr>
          <w:szCs w:val="18"/>
        </w:rPr>
        <w:t>d</w:t>
      </w:r>
      <w:r w:rsidR="007F219A" w:rsidRPr="00A256C2">
        <w:rPr>
          <w:szCs w:val="18"/>
        </w:rPr>
        <w:t xml:space="preserve"> that the subsidies targeted for streamlining and gradual abolition should be limited to the subsidies that stimulate</w:t>
      </w:r>
      <w:r w:rsidR="00A256C2">
        <w:rPr>
          <w:szCs w:val="18"/>
        </w:rPr>
        <w:t>d</w:t>
      </w:r>
      <w:r w:rsidR="007F219A" w:rsidRPr="00A256C2">
        <w:rPr>
          <w:szCs w:val="18"/>
        </w:rPr>
        <w:t xml:space="preserve"> wasteful consumption. </w:t>
      </w:r>
      <w:r w:rsidR="00A256C2">
        <w:rPr>
          <w:szCs w:val="18"/>
        </w:rPr>
        <w:t>Japan'</w:t>
      </w:r>
      <w:r w:rsidR="007F219A" w:rsidRPr="00A256C2">
        <w:rPr>
          <w:szCs w:val="18"/>
        </w:rPr>
        <w:t xml:space="preserve">s </w:t>
      </w:r>
      <w:r w:rsidR="00A256C2">
        <w:rPr>
          <w:szCs w:val="18"/>
        </w:rPr>
        <w:t>could not</w:t>
      </w:r>
      <w:r w:rsidR="007F219A" w:rsidRPr="00A256C2">
        <w:rPr>
          <w:szCs w:val="18"/>
        </w:rPr>
        <w:t xml:space="preserve"> support the broadening of the definition or the characteristics of the subsidies beyond the original purpose of the initiative.</w:t>
      </w:r>
    </w:p>
    <w:p w14:paraId="1EFB8597" w14:textId="166102E4" w:rsidR="007F219A" w:rsidRPr="006E0458" w:rsidRDefault="006C4688" w:rsidP="006E0458">
      <w:pPr>
        <w:pStyle w:val="BodyText"/>
        <w:rPr>
          <w:lang w:val="en-US"/>
        </w:rPr>
      </w:pPr>
      <w:r w:rsidRPr="006E0458">
        <w:rPr>
          <w:lang w:val="en-US"/>
        </w:rPr>
        <w:t xml:space="preserve">The representative of </w:t>
      </w:r>
      <w:r w:rsidR="007F219A" w:rsidRPr="006E0458">
        <w:rPr>
          <w:szCs w:val="18"/>
          <w:u w:val="single"/>
        </w:rPr>
        <w:t>Saudi Arabia</w:t>
      </w:r>
      <w:r w:rsidR="007F219A" w:rsidRPr="006E0458">
        <w:rPr>
          <w:szCs w:val="18"/>
        </w:rPr>
        <w:t xml:space="preserve"> </w:t>
      </w:r>
      <w:r w:rsidR="007F219A" w:rsidRPr="006E0458">
        <w:rPr>
          <w:rFonts w:cstheme="majorBidi"/>
          <w:szCs w:val="18"/>
          <w:lang w:val="en-US"/>
        </w:rPr>
        <w:t>recall</w:t>
      </w:r>
      <w:r w:rsidR="00A256C2" w:rsidRPr="006E0458">
        <w:rPr>
          <w:rFonts w:cstheme="majorBidi"/>
          <w:szCs w:val="18"/>
          <w:lang w:val="en-US"/>
        </w:rPr>
        <w:t>ed that the issue of FFS was</w:t>
      </w:r>
      <w:r w:rsidR="007F219A" w:rsidRPr="006E0458">
        <w:rPr>
          <w:rFonts w:cstheme="majorBidi"/>
          <w:szCs w:val="18"/>
          <w:lang w:val="en-US"/>
        </w:rPr>
        <w:t xml:space="preserve"> dealt with under G20 forum whereby a voluntary phasing out of </w:t>
      </w:r>
      <w:r w:rsidR="00A256C2" w:rsidRPr="006E0458">
        <w:rPr>
          <w:rFonts w:cstheme="majorBidi"/>
          <w:szCs w:val="18"/>
          <w:lang w:val="en-US"/>
        </w:rPr>
        <w:t xml:space="preserve">inefficient FFS </w:t>
      </w:r>
      <w:r w:rsidR="007F219A" w:rsidRPr="006E0458">
        <w:rPr>
          <w:rFonts w:cstheme="majorBidi"/>
          <w:szCs w:val="18"/>
          <w:lang w:val="en-US"/>
        </w:rPr>
        <w:t>that encourage</w:t>
      </w:r>
      <w:r w:rsidR="00A256C2" w:rsidRPr="006E0458">
        <w:rPr>
          <w:rFonts w:cstheme="majorBidi"/>
          <w:szCs w:val="18"/>
          <w:lang w:val="en-US"/>
        </w:rPr>
        <w:t>d</w:t>
      </w:r>
      <w:r w:rsidR="007F219A" w:rsidRPr="006E0458">
        <w:rPr>
          <w:rFonts w:cstheme="majorBidi"/>
          <w:szCs w:val="18"/>
          <w:lang w:val="en-US"/>
        </w:rPr>
        <w:t xml:space="preserve"> wasteful consumption, </w:t>
      </w:r>
      <w:r w:rsidR="006E0458" w:rsidRPr="00E83976">
        <w:rPr>
          <w:rFonts w:cstheme="majorBidi"/>
          <w:szCs w:val="18"/>
          <w:lang w:val="en-US"/>
        </w:rPr>
        <w:t xml:space="preserve">was </w:t>
      </w:r>
      <w:r w:rsidR="00E83976">
        <w:rPr>
          <w:rFonts w:cstheme="majorBidi"/>
          <w:szCs w:val="18"/>
          <w:lang w:val="en-US"/>
        </w:rPr>
        <w:t>done</w:t>
      </w:r>
      <w:r w:rsidR="006E0458" w:rsidRPr="006E0458">
        <w:rPr>
          <w:rFonts w:cstheme="majorBidi"/>
          <w:szCs w:val="18"/>
          <w:lang w:val="en-US"/>
        </w:rPr>
        <w:t xml:space="preserve"> </w:t>
      </w:r>
      <w:r w:rsidR="007F219A" w:rsidRPr="006E0458">
        <w:rPr>
          <w:rFonts w:cstheme="majorBidi"/>
          <w:szCs w:val="18"/>
          <w:lang w:val="en-US"/>
        </w:rPr>
        <w:t xml:space="preserve">with two clear qualifiers: voluntary and in accordance with </w:t>
      </w:r>
      <w:r w:rsidR="006E0458" w:rsidRPr="006E0458">
        <w:rPr>
          <w:rFonts w:cstheme="majorBidi"/>
          <w:szCs w:val="18"/>
          <w:lang w:val="en-US"/>
        </w:rPr>
        <w:t>c</w:t>
      </w:r>
      <w:r w:rsidR="007F219A" w:rsidRPr="006E0458">
        <w:rPr>
          <w:rFonts w:cstheme="majorBidi"/>
          <w:szCs w:val="18"/>
          <w:lang w:val="en-US"/>
        </w:rPr>
        <w:t>ountries</w:t>
      </w:r>
      <w:r w:rsidR="006E0458" w:rsidRPr="006E0458">
        <w:rPr>
          <w:rFonts w:cstheme="majorBidi"/>
          <w:szCs w:val="18"/>
          <w:lang w:val="en-US"/>
        </w:rPr>
        <w:t>'</w:t>
      </w:r>
      <w:r w:rsidR="007F219A" w:rsidRPr="006E0458">
        <w:rPr>
          <w:rFonts w:cstheme="majorBidi"/>
          <w:szCs w:val="18"/>
          <w:lang w:val="en-US"/>
        </w:rPr>
        <w:t xml:space="preserve"> national circumstances, priorities and needs. </w:t>
      </w:r>
      <w:r w:rsidR="006E0458">
        <w:rPr>
          <w:rFonts w:cstheme="majorBidi"/>
          <w:szCs w:val="18"/>
          <w:lang w:val="en-US"/>
        </w:rPr>
        <w:t>It was not clear why such d</w:t>
      </w:r>
      <w:r w:rsidR="006E0458">
        <w:rPr>
          <w:lang w:val="en-US"/>
        </w:rPr>
        <w:t>iscussions on FFS did not include all inefficient subsidies</w:t>
      </w:r>
      <w:r w:rsidR="007F219A" w:rsidRPr="006E0458">
        <w:rPr>
          <w:lang w:val="en-US"/>
        </w:rPr>
        <w:t xml:space="preserve"> that encourage</w:t>
      </w:r>
      <w:r w:rsidR="006E0458">
        <w:rPr>
          <w:lang w:val="en-US"/>
        </w:rPr>
        <w:t>d</w:t>
      </w:r>
      <w:r w:rsidR="007F219A" w:rsidRPr="006E0458">
        <w:rPr>
          <w:lang w:val="en-US"/>
        </w:rPr>
        <w:t xml:space="preserve"> wasteful consumption including agriculture and others</w:t>
      </w:r>
      <w:r w:rsidR="006E0458">
        <w:rPr>
          <w:lang w:val="en-US"/>
        </w:rPr>
        <w:t>. This would take the Committee t</w:t>
      </w:r>
      <w:r w:rsidR="007F219A" w:rsidRPr="006E0458">
        <w:rPr>
          <w:lang w:val="en-US"/>
        </w:rPr>
        <w:t xml:space="preserve">o areas not related to </w:t>
      </w:r>
      <w:r w:rsidR="006E0458">
        <w:rPr>
          <w:lang w:val="en-US"/>
        </w:rPr>
        <w:t>the CTE's</w:t>
      </w:r>
      <w:r w:rsidR="007F219A" w:rsidRPr="006E0458">
        <w:rPr>
          <w:lang w:val="en-US"/>
        </w:rPr>
        <w:t xml:space="preserve"> agenda. Thus, such topics </w:t>
      </w:r>
      <w:r w:rsidR="006E0458">
        <w:rPr>
          <w:lang w:val="en-US"/>
        </w:rPr>
        <w:t>should</w:t>
      </w:r>
      <w:r w:rsidR="007F219A" w:rsidRPr="006E0458">
        <w:rPr>
          <w:lang w:val="en-US"/>
        </w:rPr>
        <w:t xml:space="preserve"> be discussed under </w:t>
      </w:r>
      <w:r w:rsidR="006E0458">
        <w:rPr>
          <w:lang w:val="en-US"/>
        </w:rPr>
        <w:t>their</w:t>
      </w:r>
      <w:r w:rsidR="007F219A" w:rsidRPr="006E0458">
        <w:rPr>
          <w:lang w:val="en-US"/>
        </w:rPr>
        <w:t xml:space="preserve"> correct and dedicated forum.</w:t>
      </w:r>
    </w:p>
    <w:p w14:paraId="4B116391" w14:textId="5BAF3CB7" w:rsidR="0076374D" w:rsidRDefault="006C4688" w:rsidP="00723009">
      <w:pPr>
        <w:pStyle w:val="BodyText"/>
        <w:rPr>
          <w:szCs w:val="18"/>
        </w:rPr>
      </w:pPr>
      <w:r w:rsidRPr="006E0458">
        <w:rPr>
          <w:lang w:val="en-US"/>
        </w:rPr>
        <w:t xml:space="preserve">The representative of </w:t>
      </w:r>
      <w:r w:rsidR="006E0458">
        <w:rPr>
          <w:szCs w:val="18"/>
          <w:u w:val="single"/>
        </w:rPr>
        <w:t>B</w:t>
      </w:r>
      <w:r w:rsidR="006E0458" w:rsidRPr="006E0458">
        <w:rPr>
          <w:szCs w:val="18"/>
          <w:u w:val="single"/>
        </w:rPr>
        <w:t>olivarian Republic of Venezuela</w:t>
      </w:r>
      <w:r w:rsidR="0076374D" w:rsidRPr="006E0458">
        <w:rPr>
          <w:szCs w:val="18"/>
        </w:rPr>
        <w:t xml:space="preserve"> </w:t>
      </w:r>
      <w:r w:rsidR="006E0458">
        <w:rPr>
          <w:szCs w:val="18"/>
        </w:rPr>
        <w:t>pointed out that New Zealand's and other countries' initiative had</w:t>
      </w:r>
      <w:r w:rsidR="0076374D" w:rsidRPr="006E0458">
        <w:rPr>
          <w:szCs w:val="18"/>
        </w:rPr>
        <w:t xml:space="preserve"> to do only with the G20 member countries and </w:t>
      </w:r>
      <w:r w:rsidR="006E0458">
        <w:rPr>
          <w:szCs w:val="18"/>
        </w:rPr>
        <w:t>was</w:t>
      </w:r>
      <w:r w:rsidR="0076374D" w:rsidRPr="006E0458">
        <w:rPr>
          <w:szCs w:val="18"/>
        </w:rPr>
        <w:t xml:space="preserve"> alien to the work of the WTO. </w:t>
      </w:r>
      <w:r w:rsidR="006E0458">
        <w:rPr>
          <w:szCs w:val="18"/>
        </w:rPr>
        <w:t>Venezuela reiterated their</w:t>
      </w:r>
      <w:r w:rsidR="0076374D" w:rsidRPr="006E0458">
        <w:rPr>
          <w:szCs w:val="18"/>
        </w:rPr>
        <w:t xml:space="preserve"> position</w:t>
      </w:r>
      <w:r w:rsidR="006E0458">
        <w:rPr>
          <w:szCs w:val="18"/>
        </w:rPr>
        <w:t xml:space="preserve"> that </w:t>
      </w:r>
      <w:r w:rsidR="006E0458" w:rsidRPr="006E0458">
        <w:rPr>
          <w:szCs w:val="18"/>
        </w:rPr>
        <w:t xml:space="preserve">this </w:t>
      </w:r>
      <w:r w:rsidR="006E0458">
        <w:rPr>
          <w:szCs w:val="18"/>
        </w:rPr>
        <w:t>was</w:t>
      </w:r>
      <w:r w:rsidR="006E0458" w:rsidRPr="006E0458">
        <w:rPr>
          <w:szCs w:val="18"/>
        </w:rPr>
        <w:t xml:space="preserve"> not an issue to be addressed here in the WTO</w:t>
      </w:r>
      <w:r w:rsidR="006E0458">
        <w:rPr>
          <w:szCs w:val="18"/>
        </w:rPr>
        <w:t xml:space="preserve">. Venezuela also </w:t>
      </w:r>
      <w:r w:rsidR="006E0458" w:rsidRPr="006E0458">
        <w:rPr>
          <w:szCs w:val="18"/>
        </w:rPr>
        <w:t>share</w:t>
      </w:r>
      <w:r w:rsidR="006E0458">
        <w:rPr>
          <w:szCs w:val="18"/>
        </w:rPr>
        <w:t>d</w:t>
      </w:r>
      <w:r w:rsidR="006E0458" w:rsidRPr="006E0458">
        <w:rPr>
          <w:szCs w:val="18"/>
        </w:rPr>
        <w:t xml:space="preserve"> the </w:t>
      </w:r>
      <w:r w:rsidR="006E0458">
        <w:rPr>
          <w:szCs w:val="18"/>
        </w:rPr>
        <w:t>view that</w:t>
      </w:r>
      <w:r w:rsidR="006E0458" w:rsidRPr="006E0458">
        <w:rPr>
          <w:szCs w:val="18"/>
        </w:rPr>
        <w:t xml:space="preserve"> there </w:t>
      </w:r>
      <w:r w:rsidR="006E0458">
        <w:rPr>
          <w:szCs w:val="18"/>
        </w:rPr>
        <w:t>were</w:t>
      </w:r>
      <w:r w:rsidR="006E0458" w:rsidRPr="006E0458">
        <w:rPr>
          <w:szCs w:val="18"/>
        </w:rPr>
        <w:t xml:space="preserve"> other types of subsidies that should be </w:t>
      </w:r>
      <w:r w:rsidR="00E83976" w:rsidRPr="006E0458">
        <w:rPr>
          <w:szCs w:val="18"/>
        </w:rPr>
        <w:t xml:space="preserve">first </w:t>
      </w:r>
      <w:r w:rsidR="006E0458" w:rsidRPr="006E0458">
        <w:rPr>
          <w:szCs w:val="18"/>
        </w:rPr>
        <w:t>addressed in this institution</w:t>
      </w:r>
      <w:r w:rsidR="0076374D" w:rsidRPr="006E0458">
        <w:rPr>
          <w:szCs w:val="18"/>
        </w:rPr>
        <w:t>.</w:t>
      </w:r>
    </w:p>
    <w:p w14:paraId="5F92B82D" w14:textId="017D96C8" w:rsidR="00143375" w:rsidRDefault="00143375" w:rsidP="00143375">
      <w:pPr>
        <w:pStyle w:val="Heading4"/>
      </w:pPr>
      <w:bookmarkStart w:id="16" w:name="_Toc74660656"/>
      <w:r w:rsidRPr="00143375">
        <w:t>Organisation for Economic Co-operation and Development (OECD)</w:t>
      </w:r>
      <w:r>
        <w:t>'s Briefing on Recent Work Related to FFS</w:t>
      </w:r>
      <w:bookmarkEnd w:id="16"/>
    </w:p>
    <w:p w14:paraId="10F29981" w14:textId="2A1C4F45" w:rsidR="00920EC6" w:rsidRPr="000E3FDA" w:rsidRDefault="00920EC6" w:rsidP="004A7C21">
      <w:pPr>
        <w:pStyle w:val="BodyText"/>
      </w:pPr>
      <w:r w:rsidRPr="00E83976">
        <w:rPr>
          <w:color w:val="000000"/>
        </w:rPr>
        <w:t xml:space="preserve">The representative of the </w:t>
      </w:r>
      <w:r w:rsidRPr="00E83976">
        <w:rPr>
          <w:color w:val="000000"/>
          <w:u w:val="single"/>
        </w:rPr>
        <w:t>Organisation for Economic Co-operation and Development (OECD)</w:t>
      </w:r>
      <w:r w:rsidRPr="00E83976">
        <w:rPr>
          <w:color w:val="000000"/>
        </w:rPr>
        <w:t xml:space="preserve"> briefed the Committee on</w:t>
      </w:r>
      <w:r>
        <w:t xml:space="preserve"> its recently finalized work on FFS. At the last CTE meeting in November, the OECD </w:t>
      </w:r>
      <w:r w:rsidR="00E83976">
        <w:t xml:space="preserve">had </w:t>
      </w:r>
      <w:r>
        <w:t xml:space="preserve">reported on its 2020 update of the OECD Inventory of Support Measures for FFS. Since then, it had made publicly available the Inventory's Companion analysis, which </w:t>
      </w:r>
      <w:r w:rsidR="00E83976">
        <w:t>was</w:t>
      </w:r>
      <w:r>
        <w:t xml:space="preserve"> issued each time that the FFS Inventory </w:t>
      </w:r>
      <w:r w:rsidR="00E83976">
        <w:t>was</w:t>
      </w:r>
      <w:r>
        <w:t xml:space="preserve"> published. </w:t>
      </w:r>
      <w:r w:rsidRPr="00E83976">
        <w:rPr>
          <w:szCs w:val="18"/>
        </w:rPr>
        <w:t>The FFS Inventory (and its Companion analysis) document</w:t>
      </w:r>
      <w:r w:rsidR="00E83976">
        <w:rPr>
          <w:szCs w:val="18"/>
        </w:rPr>
        <w:t>ed</w:t>
      </w:r>
      <w:r w:rsidRPr="00E83976">
        <w:rPr>
          <w:szCs w:val="18"/>
        </w:rPr>
        <w:t xml:space="preserve"> over 1,300 government budgetary transfers and tax expenditures providing a benefit or preference for the production or consumption of fossil fuels </w:t>
      </w:r>
      <w:r w:rsidRPr="00E83976">
        <w:rPr>
          <w:color w:val="000000"/>
        </w:rPr>
        <w:t>relative</w:t>
      </w:r>
      <w:r w:rsidRPr="00E83976">
        <w:rPr>
          <w:szCs w:val="18"/>
        </w:rPr>
        <w:t xml:space="preserve"> to alternatives in 50 OECD, G20 and </w:t>
      </w:r>
      <w:r w:rsidRPr="00E83976">
        <w:rPr>
          <w:szCs w:val="18"/>
          <w:lang w:val="en-US"/>
        </w:rPr>
        <w:t>European</w:t>
      </w:r>
      <w:r w:rsidR="00025E1C">
        <w:rPr>
          <w:szCs w:val="18"/>
          <w:lang w:val="en-US"/>
        </w:rPr>
        <w:t> Union</w:t>
      </w:r>
      <w:r w:rsidRPr="00E83976">
        <w:rPr>
          <w:szCs w:val="18"/>
          <w:lang w:val="en-US"/>
        </w:rPr>
        <w:t xml:space="preserve"> Eastern Partnership (EaP) countries</w:t>
      </w:r>
      <w:r w:rsidRPr="00E83976">
        <w:rPr>
          <w:szCs w:val="18"/>
        </w:rPr>
        <w:t>.</w:t>
      </w:r>
    </w:p>
    <w:p w14:paraId="472266DD" w14:textId="2AA398EA" w:rsidR="00920EC6" w:rsidRPr="000E3FDA" w:rsidRDefault="00920EC6" w:rsidP="004A7C21">
      <w:pPr>
        <w:pStyle w:val="BodyText"/>
      </w:pPr>
      <w:r w:rsidRPr="009D3B8F">
        <w:rPr>
          <w:szCs w:val="18"/>
        </w:rPr>
        <w:lastRenderedPageBreak/>
        <w:t xml:space="preserve">One of the main messages of the 2020 Inventory and its 2021 Companion was that rising OECD support to producing countries had reversed a five-year downward trend in overall support figures. Total fossil fuel support had risen by 5% year on year to USD 178 billion in 2019, reversing the previous downward trend. The increase in support had been driven by a 30% rise in direct and indirect support for the production of fossil fuels. In 2019, oil and gas sectors in several countries received additional benefits, mostly through direct budgetary support, to alleviate corporate debt and help finance fossil fuel infrastructure investments and tax provisions, providing preferential treatment for capital expenditures for fossil fuel production. </w:t>
      </w:r>
    </w:p>
    <w:p w14:paraId="5998F058" w14:textId="08616AA7" w:rsidR="00920EC6" w:rsidRDefault="00920EC6" w:rsidP="004A7C21">
      <w:pPr>
        <w:pStyle w:val="BodyText"/>
      </w:pPr>
      <w:r w:rsidRPr="009D3B8F">
        <w:rPr>
          <w:szCs w:val="18"/>
        </w:rPr>
        <w:t>Producers support estimates (PSE) across Inventory countries increased by 9% compared to 2017 levels, while general services support estimates (GSSE), which the Inventory methodology attributed in majority share to production, doubled. Together, these estimates amounted to some USD 53 billion in 2019, sufficient to drive the overall increase in support levels documented, despite the fact that the majority of support measures (70%), which went on consumption, did not go up.</w:t>
      </w:r>
      <w:r w:rsidR="009D3B8F" w:rsidRPr="009D3B8F">
        <w:rPr>
          <w:szCs w:val="18"/>
        </w:rPr>
        <w:t xml:space="preserve"> </w:t>
      </w:r>
      <w:r>
        <w:t xml:space="preserve">Combined OECD estimates showed an 18% decline in overall support from 2019 levels driven by the impact of plunging oil prices and user subsidies. Consumption support had </w:t>
      </w:r>
      <w:r w:rsidR="009D3B8F">
        <w:t>decreased,</w:t>
      </w:r>
      <w:r>
        <w:t xml:space="preserve"> and this had driven the overall level of support down, especially in non-OECD countries.</w:t>
      </w:r>
      <w:r w:rsidR="009D3B8F">
        <w:t xml:space="preserve"> </w:t>
      </w:r>
      <w:r>
        <w:t>The dominant sectors that received support this year were the transport sector and the fossil fuel production sector. Support in the transport sector was predominantly awarded through tax expenditures in OECD countries, while other economies favoured direct budgetary transfers.</w:t>
      </w:r>
    </w:p>
    <w:p w14:paraId="5B49486B" w14:textId="28437C0E" w:rsidR="00920EC6" w:rsidRDefault="00920EC6" w:rsidP="00920EC6">
      <w:pPr>
        <w:pStyle w:val="BodyText"/>
      </w:pPr>
      <w:r>
        <w:t xml:space="preserve">Based on the Companion report, the COVID-19 crisis and the resulting oil price crash had presented both a threat and a potential opportunity, both in terms of fuel prices and consumption. The low fossil fuel prices had helped deepen reductions without government interventions to keep end-user prices artificially low, as had previously been the case, and those lower prices had minimized the impact of reform on consumers in net importing countries, thereby providing opportunities for further reform. In producer economies, declining government revenues could also add impetus to reform as pressure on public finances mounted. At the same time, the OECD had seen immediate recovery support programmes go in both directions – on the one hand, phasing out some subsidies to save funds for recovery and, on the other hand, giving price support for electricity consumers and shoring up </w:t>
      </w:r>
      <w:r w:rsidR="009D3B8F">
        <w:t xml:space="preserve">fossil fuel </w:t>
      </w:r>
      <w:r>
        <w:t xml:space="preserve">and related industries. </w:t>
      </w:r>
    </w:p>
    <w:p w14:paraId="256C12A8" w14:textId="381E34CF" w:rsidR="00920EC6" w:rsidRDefault="00920EC6" w:rsidP="00920EC6">
      <w:pPr>
        <w:pStyle w:val="BodyText"/>
      </w:pPr>
      <w:r>
        <w:t>Finally, the Companion report documented the efforts by the OECD and its members to prepare for reporting on UN S</w:t>
      </w:r>
      <w:r w:rsidR="009D3B8F">
        <w:t>D</w:t>
      </w:r>
      <w:r>
        <w:t>G indicator 12.c.1, making sure that the FFS Inventory was properly coordinated with national data sources to ensure coherence in the reporting process to the S</w:t>
      </w:r>
      <w:r w:rsidR="009D3B8F">
        <w:t>D</w:t>
      </w:r>
      <w:r>
        <w:t>G hub. For that reason, an informal task team had been set up to discuss and ensure coherent measuring of FFS.</w:t>
      </w:r>
    </w:p>
    <w:p w14:paraId="304C002B" w14:textId="596D4B22" w:rsidR="00E21F03" w:rsidRDefault="00825274" w:rsidP="006C4688">
      <w:pPr>
        <w:pStyle w:val="Heading3"/>
      </w:pPr>
      <w:bookmarkStart w:id="17" w:name="_Toc74660657"/>
      <w:r>
        <w:t>Circular economy and p</w:t>
      </w:r>
      <w:r w:rsidR="00E21F03" w:rsidRPr="00FB1A29">
        <w:t>lastics</w:t>
      </w:r>
      <w:r w:rsidR="00E93CDB">
        <w:t xml:space="preserve"> </w:t>
      </w:r>
      <w:r>
        <w:t>p</w:t>
      </w:r>
      <w:r w:rsidR="00E93CDB">
        <w:t>ollution</w:t>
      </w:r>
      <w:bookmarkEnd w:id="17"/>
    </w:p>
    <w:p w14:paraId="50E84E90" w14:textId="34D0A64E" w:rsidR="00515BE6" w:rsidRPr="00515BE6" w:rsidRDefault="00515BE6" w:rsidP="00515BE6">
      <w:pPr>
        <w:pStyle w:val="Heading4"/>
      </w:pPr>
      <w:bookmarkStart w:id="18" w:name="_Toc74660658"/>
      <w:r>
        <w:t xml:space="preserve">Briefing by Morocco on the </w:t>
      </w:r>
      <w:r w:rsidRPr="00FB1A29">
        <w:t>Informal Dialogue on Plastics Pollution and Environmentally Sustainable Plastics Trade (IDP)</w:t>
      </w:r>
      <w:bookmarkEnd w:id="18"/>
    </w:p>
    <w:p w14:paraId="472424E0" w14:textId="15A8BFC7" w:rsidR="000D4B6F" w:rsidRPr="006C4688" w:rsidRDefault="000D4B6F" w:rsidP="000D4B6F">
      <w:pPr>
        <w:pStyle w:val="BodyText"/>
      </w:pPr>
      <w:r w:rsidRPr="00E50ED2">
        <w:rPr>
          <w:lang w:val="en-US"/>
        </w:rPr>
        <w:t xml:space="preserve">The representative of </w:t>
      </w:r>
      <w:r w:rsidRPr="006C4688">
        <w:rPr>
          <w:u w:val="single"/>
          <w:lang w:val="en-US"/>
        </w:rPr>
        <w:t>Morocco</w:t>
      </w:r>
      <w:r>
        <w:rPr>
          <w:lang w:val="en-US"/>
        </w:rPr>
        <w:t xml:space="preserve"> </w:t>
      </w:r>
      <w:r w:rsidRPr="00523195">
        <w:t>briefed the Committee on the</w:t>
      </w:r>
      <w:r>
        <w:t xml:space="preserve"> </w:t>
      </w:r>
      <w:r w:rsidRPr="00FB1A29">
        <w:t xml:space="preserve">meeting of the Informal Dialogue on Plastics Pollution and Environmentally Sustainable Plastics Trade (IDP) </w:t>
      </w:r>
      <w:r>
        <w:t>held</w:t>
      </w:r>
      <w:r w:rsidRPr="00FB1A29">
        <w:t xml:space="preserve"> </w:t>
      </w:r>
      <w:r>
        <w:t xml:space="preserve">on </w:t>
      </w:r>
      <w:r w:rsidRPr="00FB1A29">
        <w:t xml:space="preserve">29 March </w:t>
      </w:r>
      <w:r>
        <w:t>20</w:t>
      </w:r>
      <w:r w:rsidRPr="00FB1A29">
        <w:t>21</w:t>
      </w:r>
      <w:r>
        <w:t>. The IDP had been</w:t>
      </w:r>
      <w:r w:rsidRPr="006C4688">
        <w:rPr>
          <w:rFonts w:eastAsia="DengXian"/>
          <w:szCs w:val="18"/>
          <w:lang w:val="en-US"/>
        </w:rPr>
        <w:t xml:space="preserve"> launched </w:t>
      </w:r>
      <w:r>
        <w:rPr>
          <w:color w:val="000000" w:themeColor="text1"/>
          <w:lang w:val="en-US"/>
        </w:rPr>
        <w:t>on the margins of the November 2020 WTO Trade and Environment Week</w:t>
      </w:r>
      <w:r w:rsidRPr="006C4688">
        <w:rPr>
          <w:rFonts w:eastAsia="DengXian"/>
          <w:szCs w:val="18"/>
          <w:lang w:val="en-US"/>
        </w:rPr>
        <w:t xml:space="preserve">. Its goal </w:t>
      </w:r>
      <w:r>
        <w:rPr>
          <w:rFonts w:eastAsia="DengXian"/>
          <w:szCs w:val="18"/>
          <w:lang w:val="en-US"/>
        </w:rPr>
        <w:t>was</w:t>
      </w:r>
      <w:r w:rsidRPr="006C4688">
        <w:rPr>
          <w:rFonts w:eastAsia="DengXian"/>
          <w:szCs w:val="18"/>
          <w:lang w:val="en-US"/>
        </w:rPr>
        <w:t xml:space="preserve"> to provide a dedicated platform where Members </w:t>
      </w:r>
      <w:r>
        <w:rPr>
          <w:rFonts w:eastAsia="DengXian"/>
          <w:szCs w:val="18"/>
          <w:lang w:val="en-US"/>
        </w:rPr>
        <w:t>could</w:t>
      </w:r>
      <w:r w:rsidRPr="006C4688">
        <w:rPr>
          <w:rFonts w:eastAsia="DengXian"/>
          <w:szCs w:val="18"/>
          <w:lang w:val="en-US"/>
        </w:rPr>
        <w:t xml:space="preserve"> explore – through the exchange of ideas, information, and insights </w:t>
      </w:r>
      <w:r w:rsidR="00025E1C">
        <w:rPr>
          <w:rFonts w:eastAsia="DengXian"/>
          <w:szCs w:val="18"/>
          <w:lang w:val="en-US"/>
        </w:rPr>
        <w:t>–</w:t>
      </w:r>
      <w:r w:rsidRPr="006C4688">
        <w:rPr>
          <w:rFonts w:eastAsia="DengXian"/>
          <w:szCs w:val="18"/>
          <w:lang w:val="en-US"/>
        </w:rPr>
        <w:t xml:space="preserve"> how the WTO could contribute to domestic and global effort to tackle plastics pollution and transition to more </w:t>
      </w:r>
      <w:r w:rsidRPr="006C4688">
        <w:rPr>
          <w:rFonts w:eastAsia="DengXian"/>
          <w:szCs w:val="18"/>
          <w:lang w:val="en-US" w:eastAsia="zh-CN"/>
        </w:rPr>
        <w:t>c</w:t>
      </w:r>
      <w:r w:rsidRPr="006C4688">
        <w:rPr>
          <w:rFonts w:eastAsia="DengXian"/>
          <w:szCs w:val="18"/>
          <w:lang w:val="en-US"/>
        </w:rPr>
        <w:t>ircular and sustainable plastics trade.</w:t>
      </w:r>
    </w:p>
    <w:p w14:paraId="50A77181" w14:textId="4370E04B" w:rsidR="000D4B6F" w:rsidRPr="005B144C" w:rsidRDefault="000D4B6F" w:rsidP="000D4B6F">
      <w:pPr>
        <w:pStyle w:val="BodyText"/>
        <w:rPr>
          <w:lang w:val="en-US"/>
        </w:rPr>
      </w:pPr>
      <w:r w:rsidRPr="005B144C">
        <w:rPr>
          <w:lang w:val="en-US"/>
        </w:rPr>
        <w:t xml:space="preserve">The </w:t>
      </w:r>
      <w:r>
        <w:rPr>
          <w:lang w:val="en-US"/>
        </w:rPr>
        <w:t xml:space="preserve">second </w:t>
      </w:r>
      <w:r w:rsidRPr="005B144C">
        <w:rPr>
          <w:lang w:val="en-US"/>
        </w:rPr>
        <w:t>IDP meeting</w:t>
      </w:r>
      <w:r>
        <w:rPr>
          <w:lang w:val="en-US"/>
        </w:rPr>
        <w:t xml:space="preserve"> had</w:t>
      </w:r>
      <w:r w:rsidRPr="005B144C">
        <w:rPr>
          <w:lang w:val="en-US"/>
        </w:rPr>
        <w:t xml:space="preserve"> focus</w:t>
      </w:r>
      <w:r>
        <w:rPr>
          <w:lang w:val="en-US"/>
        </w:rPr>
        <w:t>ed</w:t>
      </w:r>
      <w:r w:rsidRPr="005B144C">
        <w:rPr>
          <w:lang w:val="en-US"/>
        </w:rPr>
        <w:t xml:space="preserve"> on the topics of transparency and international cooperation.</w:t>
      </w:r>
      <w:r>
        <w:rPr>
          <w:lang w:val="en-US"/>
        </w:rPr>
        <w:t xml:space="preserve"> Introductory remarks had been provided by China, Fiji and WTO Director</w:t>
      </w:r>
      <w:r w:rsidR="009F1F9A">
        <w:rPr>
          <w:lang w:val="en-US"/>
        </w:rPr>
        <w:t>-</w:t>
      </w:r>
      <w:r>
        <w:rPr>
          <w:lang w:val="en-US"/>
        </w:rPr>
        <w:t xml:space="preserve">General </w:t>
      </w:r>
      <w:r w:rsidR="00025E1C">
        <w:rPr>
          <w:lang w:val="en-US"/>
        </w:rPr>
        <w:t>Dr</w:t>
      </w:r>
      <w:r w:rsidR="000C29EB">
        <w:rPr>
          <w:lang w:val="en-US"/>
        </w:rPr>
        <w:t> </w:t>
      </w:r>
      <w:r w:rsidRPr="005B144C">
        <w:rPr>
          <w:lang w:val="en-US"/>
        </w:rPr>
        <w:t>Ngozi Okonjo-Iweala</w:t>
      </w:r>
      <w:r>
        <w:rPr>
          <w:lang w:val="en-US"/>
        </w:rPr>
        <w:t xml:space="preserve"> who had reminded participants </w:t>
      </w:r>
      <w:r w:rsidRPr="005B144C">
        <w:rPr>
          <w:lang w:val="en-US"/>
        </w:rPr>
        <w:t xml:space="preserve">of the urgency of addressing the growing plastics pollution challenge. </w:t>
      </w:r>
      <w:r w:rsidR="00025E1C">
        <w:rPr>
          <w:lang w:val="en-US"/>
        </w:rPr>
        <w:t>Dr</w:t>
      </w:r>
      <w:r w:rsidRPr="005B144C">
        <w:rPr>
          <w:lang w:val="en-US"/>
        </w:rPr>
        <w:t xml:space="preserve"> Ngozi </w:t>
      </w:r>
      <w:r>
        <w:rPr>
          <w:lang w:val="en-US"/>
        </w:rPr>
        <w:t xml:space="preserve">had </w:t>
      </w:r>
      <w:r w:rsidRPr="005B144C">
        <w:rPr>
          <w:lang w:val="en-US"/>
        </w:rPr>
        <w:t xml:space="preserve">noted how the problem was negatively affecting not only </w:t>
      </w:r>
      <w:r>
        <w:rPr>
          <w:lang w:val="en-US"/>
        </w:rPr>
        <w:t>national</w:t>
      </w:r>
      <w:r w:rsidRPr="005B144C">
        <w:rPr>
          <w:lang w:val="en-US"/>
        </w:rPr>
        <w:t xml:space="preserve"> economies and the ability to reach collective sustainable development goals set in Agenda 2030, but also </w:t>
      </w:r>
      <w:r>
        <w:rPr>
          <w:lang w:val="en-US"/>
        </w:rPr>
        <w:t>its c</w:t>
      </w:r>
      <w:r w:rsidRPr="005B144C">
        <w:rPr>
          <w:lang w:val="en-US"/>
        </w:rPr>
        <w:t xml:space="preserve">oncrete detrimental effects to the daily lives of </w:t>
      </w:r>
      <w:r>
        <w:rPr>
          <w:lang w:val="en-US"/>
        </w:rPr>
        <w:t>multiple</w:t>
      </w:r>
      <w:r w:rsidRPr="005B144C">
        <w:rPr>
          <w:lang w:val="en-US"/>
        </w:rPr>
        <w:t xml:space="preserve"> communities who depend</w:t>
      </w:r>
      <w:r>
        <w:rPr>
          <w:lang w:val="en-US"/>
        </w:rPr>
        <w:t>ed</w:t>
      </w:r>
      <w:r w:rsidRPr="005B144C">
        <w:rPr>
          <w:lang w:val="en-US"/>
        </w:rPr>
        <w:t xml:space="preserve"> on increasingly polluted land and water resources for their livelihood</w:t>
      </w:r>
      <w:r>
        <w:rPr>
          <w:lang w:val="en-US"/>
        </w:rPr>
        <w:t>s</w:t>
      </w:r>
      <w:r w:rsidRPr="005B144C">
        <w:rPr>
          <w:lang w:val="en-US"/>
        </w:rPr>
        <w:t xml:space="preserve">. </w:t>
      </w:r>
    </w:p>
    <w:p w14:paraId="42BA4152" w14:textId="1C64C562" w:rsidR="000D4B6F" w:rsidRPr="005832E8" w:rsidRDefault="000D4B6F" w:rsidP="000D4B6F">
      <w:pPr>
        <w:pStyle w:val="BodyText"/>
        <w:rPr>
          <w:lang w:val="en-US"/>
        </w:rPr>
      </w:pPr>
      <w:r w:rsidRPr="005832E8">
        <w:rPr>
          <w:lang w:val="en-US"/>
        </w:rPr>
        <w:t xml:space="preserve">Similarly, several participating ambassadors noted how identifying the role of trade, trade policy and the WTO in contributing to national and international efforts to tackle plastic pollution offered a concrete way to demonstrate that the WTO could still be a positive force in addressing </w:t>
      </w:r>
      <w:r w:rsidRPr="005832E8">
        <w:rPr>
          <w:lang w:val="en-US"/>
        </w:rPr>
        <w:lastRenderedPageBreak/>
        <w:t>21</w:t>
      </w:r>
      <w:r w:rsidRPr="005832E8">
        <w:rPr>
          <w:vertAlign w:val="superscript"/>
          <w:lang w:val="en-US"/>
        </w:rPr>
        <w:t>st</w:t>
      </w:r>
      <w:r w:rsidR="000C29EB">
        <w:rPr>
          <w:lang w:val="en-US"/>
        </w:rPr>
        <w:t> </w:t>
      </w:r>
      <w:r w:rsidRPr="005832E8">
        <w:rPr>
          <w:lang w:val="en-US"/>
        </w:rPr>
        <w:t>century challenges of widespread public interest. As a topic that "knew no borders" and affected all communities, in developed and developing countries, it had the potential to galvanize positive action. Other delegations also agreed that the transparency and international cooperation exercises provided an indispensable first step to identifying key constructive entry points where action on trade would be most effective, avoiding duplication and amplifying action in other fora. Some delegations noted the importance of marrying enhanced transparency with technical cooperation and capacity building, in particular for developing country Members that often struggle</w:t>
      </w:r>
      <w:r w:rsidR="000C29EB">
        <w:rPr>
          <w:lang w:val="en-US"/>
        </w:rPr>
        <w:t>d</w:t>
      </w:r>
      <w:r w:rsidRPr="005832E8">
        <w:rPr>
          <w:lang w:val="en-US"/>
        </w:rPr>
        <w:t xml:space="preserve"> to correctly identify inflows and outflows of plastics. </w:t>
      </w:r>
      <w:r>
        <w:rPr>
          <w:lang w:val="en-US"/>
        </w:rPr>
        <w:t>S</w:t>
      </w:r>
      <w:r w:rsidRPr="005832E8">
        <w:rPr>
          <w:lang w:val="en-US"/>
        </w:rPr>
        <w:t>ome ambassadors and stakeholders also took the opportunity to share their views and suggestions on the Concept Note on the topic IDP co-sponsors had shared with Members before the meeting</w:t>
      </w:r>
      <w:r>
        <w:rPr>
          <w:lang w:val="en-US"/>
        </w:rPr>
        <w:t xml:space="preserve"> (</w:t>
      </w:r>
      <w:r w:rsidRPr="005832E8">
        <w:rPr>
          <w:lang w:val="en-US"/>
        </w:rPr>
        <w:t>INF/TE/IDP/W/1</w:t>
      </w:r>
      <w:r>
        <w:rPr>
          <w:lang w:val="en-US"/>
        </w:rPr>
        <w:t>)</w:t>
      </w:r>
      <w:r w:rsidRPr="005832E8">
        <w:rPr>
          <w:lang w:val="en-US"/>
        </w:rPr>
        <w:t xml:space="preserve">. </w:t>
      </w:r>
      <w:r>
        <w:rPr>
          <w:lang w:val="en-US"/>
        </w:rPr>
        <w:t>Co-sponsors urged</w:t>
      </w:r>
      <w:r w:rsidRPr="005832E8">
        <w:rPr>
          <w:lang w:val="en-US"/>
        </w:rPr>
        <w:t xml:space="preserve"> other</w:t>
      </w:r>
      <w:r>
        <w:rPr>
          <w:lang w:val="en-US"/>
        </w:rPr>
        <w:t xml:space="preserve"> delegations</w:t>
      </w:r>
      <w:r w:rsidRPr="005832E8">
        <w:rPr>
          <w:lang w:val="en-US"/>
        </w:rPr>
        <w:t xml:space="preserve"> to do the same</w:t>
      </w:r>
      <w:r>
        <w:rPr>
          <w:lang w:val="en-US"/>
        </w:rPr>
        <w:t>, stressing WTO Members could c</w:t>
      </w:r>
      <w:r w:rsidRPr="005832E8">
        <w:rPr>
          <w:lang w:val="en-US"/>
        </w:rPr>
        <w:t>ollectively build on those ideas and take the most from the exercises.</w:t>
      </w:r>
    </w:p>
    <w:p w14:paraId="7E68D05C" w14:textId="5832B531" w:rsidR="000D4B6F" w:rsidRPr="005832E8" w:rsidRDefault="000D4B6F" w:rsidP="000D4B6F">
      <w:pPr>
        <w:pStyle w:val="BodyText"/>
        <w:rPr>
          <w:lang w:val="en-US"/>
        </w:rPr>
      </w:pPr>
      <w:r w:rsidRPr="005832E8">
        <w:rPr>
          <w:lang w:val="en-US"/>
        </w:rPr>
        <w:t xml:space="preserve">The meeting further offered an opportunity for delegations to be briefed by relevant institutions on their ongoing and projected work on the topic. In a "technical segment", </w:t>
      </w:r>
      <w:r w:rsidR="000C29EB" w:rsidRPr="000C29EB">
        <w:rPr>
          <w:lang w:val="en-US"/>
        </w:rPr>
        <w:t>United</w:t>
      </w:r>
      <w:r w:rsidR="000C29EB">
        <w:rPr>
          <w:lang w:val="en-US"/>
        </w:rPr>
        <w:t> </w:t>
      </w:r>
      <w:r w:rsidR="000C29EB" w:rsidRPr="000C29EB">
        <w:rPr>
          <w:lang w:val="en-US"/>
        </w:rPr>
        <w:t>Nations Conference on Trade and Development</w:t>
      </w:r>
      <w:r w:rsidR="000C29EB">
        <w:rPr>
          <w:lang w:val="en-US"/>
        </w:rPr>
        <w:t xml:space="preserve"> (</w:t>
      </w:r>
      <w:r w:rsidRPr="005832E8">
        <w:rPr>
          <w:lang w:val="en-US"/>
        </w:rPr>
        <w:t>UNCTAD</w:t>
      </w:r>
      <w:r w:rsidR="000C29EB">
        <w:rPr>
          <w:lang w:val="en-US"/>
        </w:rPr>
        <w:t>)</w:t>
      </w:r>
      <w:r w:rsidRPr="005832E8">
        <w:rPr>
          <w:lang w:val="en-US"/>
        </w:rPr>
        <w:t xml:space="preserve"> (</w:t>
      </w:r>
      <w:r w:rsidR="00025E1C">
        <w:rPr>
          <w:lang w:val="en-US"/>
        </w:rPr>
        <w:t>Dr</w:t>
      </w:r>
      <w:r w:rsidRPr="005832E8">
        <w:rPr>
          <w:lang w:val="en-US"/>
        </w:rPr>
        <w:t xml:space="preserve"> Diana Barrowclough) and the Graduate Institute (</w:t>
      </w:r>
      <w:r w:rsidR="00025E1C">
        <w:rPr>
          <w:lang w:val="en-US"/>
        </w:rPr>
        <w:t>Dr</w:t>
      </w:r>
      <w:r w:rsidRPr="005832E8">
        <w:rPr>
          <w:lang w:val="en-US"/>
        </w:rPr>
        <w:t xml:space="preserve"> Carolyn Deere Birkbeck), presented on their groundbreaking project to build a </w:t>
      </w:r>
      <w:r w:rsidR="000C29EB">
        <w:rPr>
          <w:lang w:val="en-US"/>
        </w:rPr>
        <w:t>"</w:t>
      </w:r>
      <w:r w:rsidRPr="005832E8">
        <w:rPr>
          <w:lang w:val="en-US"/>
        </w:rPr>
        <w:t>plastics life</w:t>
      </w:r>
      <w:r w:rsidR="009F1F9A">
        <w:rPr>
          <w:lang w:val="en-US"/>
        </w:rPr>
        <w:t xml:space="preserve"> </w:t>
      </w:r>
      <w:r w:rsidRPr="005832E8">
        <w:rPr>
          <w:lang w:val="en-US"/>
        </w:rPr>
        <w:t>cycle trade database</w:t>
      </w:r>
      <w:r w:rsidR="000C29EB">
        <w:rPr>
          <w:lang w:val="en-US"/>
        </w:rPr>
        <w:t>"</w:t>
      </w:r>
      <w:r w:rsidRPr="005832E8">
        <w:rPr>
          <w:lang w:val="en-US"/>
        </w:rPr>
        <w:t xml:space="preserve"> (INF/TE/IDP/RD/1). In highlighting the challenges in collecting data on trade flows in plastics – in their different forms and stages of the value chain – the experts offered some constructive ideas and pointers on where further work to improve transparency could take place. </w:t>
      </w:r>
      <w:r w:rsidR="00025E1C">
        <w:rPr>
          <w:lang w:val="en-US"/>
        </w:rPr>
        <w:t>Mr</w:t>
      </w:r>
      <w:r w:rsidRPr="005832E8">
        <w:rPr>
          <w:lang w:val="en-US"/>
        </w:rPr>
        <w:t xml:space="preserve"> Aik Hoe Lim, Director</w:t>
      </w:r>
      <w:r>
        <w:rPr>
          <w:lang w:val="en-US"/>
        </w:rPr>
        <w:t xml:space="preserve"> of the WTO</w:t>
      </w:r>
      <w:r w:rsidRPr="005832E8">
        <w:rPr>
          <w:lang w:val="en-US"/>
        </w:rPr>
        <w:t xml:space="preserve"> Trade and Environment Division</w:t>
      </w:r>
      <w:r>
        <w:rPr>
          <w:lang w:val="en-US"/>
        </w:rPr>
        <w:t>,</w:t>
      </w:r>
      <w:r w:rsidRPr="005832E8">
        <w:rPr>
          <w:lang w:val="en-US"/>
        </w:rPr>
        <w:t xml:space="preserve"> shared information from the WTO Environmental Database on environment-related measures affecting trade in plastics notified to the WTO</w:t>
      </w:r>
      <w:r>
        <w:rPr>
          <w:lang w:val="en-US"/>
        </w:rPr>
        <w:t xml:space="preserve"> (</w:t>
      </w:r>
      <w:r w:rsidRPr="005832E8">
        <w:rPr>
          <w:lang w:val="en-US"/>
        </w:rPr>
        <w:t>INF/TE/IDP/RD/</w:t>
      </w:r>
      <w:r>
        <w:rPr>
          <w:lang w:val="en-US"/>
        </w:rPr>
        <w:t>2)</w:t>
      </w:r>
      <w:r w:rsidRPr="005832E8">
        <w:rPr>
          <w:lang w:val="en-US"/>
        </w:rPr>
        <w:t xml:space="preserve">. In particular, the varied nature of these measures </w:t>
      </w:r>
      <w:r w:rsidR="000C29EB">
        <w:rPr>
          <w:lang w:val="en-US"/>
        </w:rPr>
        <w:t>(</w:t>
      </w:r>
      <w:r w:rsidRPr="005832E8">
        <w:rPr>
          <w:lang w:val="en-US"/>
        </w:rPr>
        <w:t>notified under almost all WTO</w:t>
      </w:r>
      <w:r w:rsidR="00025E1C">
        <w:rPr>
          <w:lang w:val="en-US"/>
        </w:rPr>
        <w:t> Agreement</w:t>
      </w:r>
      <w:r w:rsidRPr="005832E8">
        <w:rPr>
          <w:lang w:val="en-US"/>
        </w:rPr>
        <w:t>s</w:t>
      </w:r>
      <w:r w:rsidR="000C29EB">
        <w:rPr>
          <w:lang w:val="en-US"/>
        </w:rPr>
        <w:t>)</w:t>
      </w:r>
      <w:r w:rsidRPr="005832E8">
        <w:rPr>
          <w:lang w:val="en-US"/>
        </w:rPr>
        <w:t>, the stage in plastic products' life-cycles in which the</w:t>
      </w:r>
      <w:r>
        <w:rPr>
          <w:lang w:val="en-US"/>
        </w:rPr>
        <w:t>y</w:t>
      </w:r>
      <w:r w:rsidRPr="005832E8">
        <w:rPr>
          <w:lang w:val="en-US"/>
        </w:rPr>
        <w:t xml:space="preserve"> appl</w:t>
      </w:r>
      <w:r>
        <w:rPr>
          <w:lang w:val="en-US"/>
        </w:rPr>
        <w:t>ied</w:t>
      </w:r>
      <w:r w:rsidRPr="005832E8">
        <w:rPr>
          <w:lang w:val="en-US"/>
        </w:rPr>
        <w:t xml:space="preserve"> and </w:t>
      </w:r>
      <w:r>
        <w:rPr>
          <w:lang w:val="en-US"/>
        </w:rPr>
        <w:t>the share</w:t>
      </w:r>
      <w:r w:rsidRPr="005832E8">
        <w:rPr>
          <w:lang w:val="en-US"/>
        </w:rPr>
        <w:t xml:space="preserve"> of those </w:t>
      </w:r>
      <w:r>
        <w:rPr>
          <w:lang w:val="en-US"/>
        </w:rPr>
        <w:t xml:space="preserve">which </w:t>
      </w:r>
      <w:r w:rsidRPr="005832E8">
        <w:rPr>
          <w:lang w:val="en-US"/>
        </w:rPr>
        <w:t>were notified in draft format, offer</w:t>
      </w:r>
      <w:r>
        <w:rPr>
          <w:lang w:val="en-US"/>
        </w:rPr>
        <w:t>ed</w:t>
      </w:r>
      <w:r w:rsidRPr="005832E8">
        <w:rPr>
          <w:lang w:val="en-US"/>
        </w:rPr>
        <w:t xml:space="preserve"> useful information on </w:t>
      </w:r>
      <w:r>
        <w:rPr>
          <w:lang w:val="en-US"/>
        </w:rPr>
        <w:t>delegations'</w:t>
      </w:r>
      <w:r w:rsidRPr="005832E8">
        <w:rPr>
          <w:lang w:val="en-US"/>
        </w:rPr>
        <w:t xml:space="preserve"> own regular work at the WTO and on potential avenues for enhanced, voluntary experience sharing and peer-learning. </w:t>
      </w:r>
    </w:p>
    <w:p w14:paraId="160E5701" w14:textId="756A6E48" w:rsidR="000D4B6F" w:rsidRPr="005B144C" w:rsidRDefault="000D4B6F" w:rsidP="000D4B6F">
      <w:pPr>
        <w:pStyle w:val="BodyText"/>
        <w:rPr>
          <w:lang w:val="en-US"/>
        </w:rPr>
      </w:pPr>
      <w:r w:rsidRPr="005B144C">
        <w:rPr>
          <w:lang w:val="en-US"/>
        </w:rPr>
        <w:t xml:space="preserve">Other relevant institutions invited also took the floor to provide </w:t>
      </w:r>
      <w:r w:rsidR="000C29EB">
        <w:rPr>
          <w:lang w:val="en-US"/>
        </w:rPr>
        <w:t>relevant</w:t>
      </w:r>
      <w:r w:rsidRPr="005B144C">
        <w:rPr>
          <w:lang w:val="en-US"/>
        </w:rPr>
        <w:t xml:space="preserve"> information and their perspectives on IDP's work, including the World Economic Forum, the OECD, the Basel Convention and </w:t>
      </w:r>
      <w:r w:rsidR="000C29EB">
        <w:rPr>
          <w:lang w:val="en-US"/>
        </w:rPr>
        <w:t xml:space="preserve">the </w:t>
      </w:r>
      <w:r w:rsidR="000C29EB" w:rsidRPr="000C29EB">
        <w:rPr>
          <w:lang w:val="en-US"/>
        </w:rPr>
        <w:t>International Institute for Sustainable Development</w:t>
      </w:r>
      <w:r w:rsidR="000C29EB">
        <w:rPr>
          <w:lang w:val="en-US"/>
        </w:rPr>
        <w:t xml:space="preserve"> (</w:t>
      </w:r>
      <w:r w:rsidRPr="005B144C">
        <w:rPr>
          <w:lang w:val="en-US"/>
        </w:rPr>
        <w:t>IISD</w:t>
      </w:r>
      <w:r w:rsidR="000C29EB">
        <w:rPr>
          <w:lang w:val="en-US"/>
        </w:rPr>
        <w:t>)</w:t>
      </w:r>
      <w:r w:rsidRPr="005B144C">
        <w:rPr>
          <w:lang w:val="en-US"/>
        </w:rPr>
        <w:t xml:space="preserve">. An unofficial summary of these interventions </w:t>
      </w:r>
      <w:r w:rsidR="000C29EB">
        <w:rPr>
          <w:lang w:val="en-US"/>
        </w:rPr>
        <w:t>had been</w:t>
      </w:r>
      <w:r w:rsidRPr="005B144C">
        <w:rPr>
          <w:lang w:val="en-US"/>
        </w:rPr>
        <w:t xml:space="preserve"> prepared by IDP coordinators </w:t>
      </w:r>
      <w:r>
        <w:rPr>
          <w:lang w:val="en-US"/>
        </w:rPr>
        <w:t>(</w:t>
      </w:r>
      <w:r w:rsidRPr="00CF7C9D">
        <w:rPr>
          <w:lang w:val="en-US"/>
        </w:rPr>
        <w:t>INF/TE/IDP/R/1</w:t>
      </w:r>
      <w:r>
        <w:rPr>
          <w:lang w:val="en-US"/>
        </w:rPr>
        <w:t>)</w:t>
      </w:r>
      <w:r w:rsidRPr="005B144C">
        <w:rPr>
          <w:lang w:val="en-US"/>
        </w:rPr>
        <w:t xml:space="preserve">. All </w:t>
      </w:r>
      <w:r>
        <w:rPr>
          <w:lang w:val="en-US"/>
        </w:rPr>
        <w:t>such</w:t>
      </w:r>
      <w:r w:rsidRPr="005B144C">
        <w:rPr>
          <w:lang w:val="en-US"/>
        </w:rPr>
        <w:t xml:space="preserve"> inputs </w:t>
      </w:r>
      <w:r>
        <w:rPr>
          <w:lang w:val="en-US"/>
        </w:rPr>
        <w:t>would</w:t>
      </w:r>
      <w:r w:rsidRPr="005B144C">
        <w:rPr>
          <w:lang w:val="en-US"/>
        </w:rPr>
        <w:t xml:space="preserve"> prove invaluable as </w:t>
      </w:r>
      <w:r>
        <w:rPr>
          <w:lang w:val="en-US"/>
        </w:rPr>
        <w:t>IDP</w:t>
      </w:r>
      <w:r w:rsidRPr="005B144C">
        <w:rPr>
          <w:lang w:val="en-US"/>
        </w:rPr>
        <w:t xml:space="preserve"> work </w:t>
      </w:r>
      <w:r>
        <w:rPr>
          <w:lang w:val="en-US"/>
        </w:rPr>
        <w:t>would be intensified in 2021</w:t>
      </w:r>
      <w:r w:rsidRPr="005B144C">
        <w:rPr>
          <w:lang w:val="en-US"/>
        </w:rPr>
        <w:t>. As noted</w:t>
      </w:r>
      <w:r>
        <w:rPr>
          <w:lang w:val="en-US"/>
        </w:rPr>
        <w:t xml:space="preserve"> by many delegations in the meeting</w:t>
      </w:r>
      <w:r w:rsidRPr="005B144C">
        <w:rPr>
          <w:lang w:val="en-US"/>
        </w:rPr>
        <w:t>, MC12 offer</w:t>
      </w:r>
      <w:r>
        <w:rPr>
          <w:lang w:val="en-US"/>
        </w:rPr>
        <w:t>ed</w:t>
      </w:r>
      <w:r w:rsidRPr="005B144C">
        <w:rPr>
          <w:lang w:val="en-US"/>
        </w:rPr>
        <w:t xml:space="preserve"> a unique opportunity to demonstrate the important work developed on the topic since at least 2019 in the CTE and through the IDP. To that effect, co-sponsors </w:t>
      </w:r>
      <w:r>
        <w:rPr>
          <w:lang w:val="en-US"/>
        </w:rPr>
        <w:t xml:space="preserve">had </w:t>
      </w:r>
      <w:r w:rsidRPr="005B144C">
        <w:rPr>
          <w:lang w:val="en-US"/>
        </w:rPr>
        <w:t>shared with Members a draft "Roadmap and possible outcomes by MC12"</w:t>
      </w:r>
      <w:r>
        <w:rPr>
          <w:lang w:val="en-US"/>
        </w:rPr>
        <w:t xml:space="preserve"> (</w:t>
      </w:r>
      <w:r w:rsidRPr="005832E8">
        <w:rPr>
          <w:lang w:val="en-US"/>
        </w:rPr>
        <w:t>INF/TE/IDP/W/</w:t>
      </w:r>
      <w:r>
        <w:rPr>
          <w:lang w:val="en-US"/>
        </w:rPr>
        <w:t>2). It suggested that</w:t>
      </w:r>
      <w:r w:rsidRPr="005B144C">
        <w:rPr>
          <w:lang w:val="en-US"/>
        </w:rPr>
        <w:t xml:space="preserve"> </w:t>
      </w:r>
      <w:r>
        <w:rPr>
          <w:lang w:val="en-US"/>
        </w:rPr>
        <w:t>t</w:t>
      </w:r>
      <w:r w:rsidRPr="005B144C">
        <w:rPr>
          <w:lang w:val="en-US"/>
        </w:rPr>
        <w:t xml:space="preserve">he </w:t>
      </w:r>
      <w:r>
        <w:rPr>
          <w:lang w:val="en-US"/>
        </w:rPr>
        <w:t>following</w:t>
      </w:r>
      <w:r w:rsidRPr="005B144C">
        <w:rPr>
          <w:lang w:val="en-US"/>
        </w:rPr>
        <w:t xml:space="preserve"> meeting, co-chaired and coordinated by Barbados and Ecuador</w:t>
      </w:r>
      <w:r>
        <w:rPr>
          <w:lang w:val="en-US"/>
        </w:rPr>
        <w:t xml:space="preserve"> in June, would</w:t>
      </w:r>
      <w:r w:rsidRPr="005B144C">
        <w:rPr>
          <w:lang w:val="en-US"/>
        </w:rPr>
        <w:t xml:space="preserve"> focus on strengthening policy coherence, assessing capacity and technical assistance needs and identifying the scope for collective approaches. </w:t>
      </w:r>
      <w:r>
        <w:rPr>
          <w:lang w:val="en-US"/>
        </w:rPr>
        <w:t>Co-sponsors also</w:t>
      </w:r>
      <w:r w:rsidRPr="005B144C">
        <w:rPr>
          <w:lang w:val="en-US"/>
        </w:rPr>
        <w:t xml:space="preserve"> plan</w:t>
      </w:r>
      <w:r>
        <w:rPr>
          <w:lang w:val="en-US"/>
        </w:rPr>
        <w:t>ned</w:t>
      </w:r>
      <w:r w:rsidRPr="005B144C">
        <w:rPr>
          <w:lang w:val="en-US"/>
        </w:rPr>
        <w:t xml:space="preserve"> on working towards a MC12 Ministerial declaration, based on a factual report to be developed throughout the year. Several delegations ha</w:t>
      </w:r>
      <w:r>
        <w:rPr>
          <w:lang w:val="en-US"/>
        </w:rPr>
        <w:t>d</w:t>
      </w:r>
      <w:r w:rsidRPr="005B144C">
        <w:rPr>
          <w:lang w:val="en-US"/>
        </w:rPr>
        <w:t xml:space="preserve"> already positively commented on the roadmap and </w:t>
      </w:r>
      <w:r>
        <w:rPr>
          <w:lang w:val="en-US"/>
        </w:rPr>
        <w:t>co-sponsors</w:t>
      </w:r>
      <w:r w:rsidRPr="005B144C">
        <w:rPr>
          <w:lang w:val="en-US"/>
        </w:rPr>
        <w:t xml:space="preserve"> strongly encourage</w:t>
      </w:r>
      <w:r>
        <w:rPr>
          <w:lang w:val="en-US"/>
        </w:rPr>
        <w:t>d</w:t>
      </w:r>
      <w:r w:rsidRPr="005B144C">
        <w:rPr>
          <w:lang w:val="en-US"/>
        </w:rPr>
        <w:t xml:space="preserve"> all Members to provide their views. </w:t>
      </w:r>
    </w:p>
    <w:p w14:paraId="3F2C8553" w14:textId="6B6C5A7C" w:rsidR="000D4B6F" w:rsidRPr="00CF7C9D" w:rsidRDefault="000D4B6F" w:rsidP="000D4B6F">
      <w:pPr>
        <w:pStyle w:val="BodyText"/>
        <w:rPr>
          <w:lang w:val="en-US"/>
        </w:rPr>
      </w:pPr>
      <w:r w:rsidRPr="00CF7C9D">
        <w:rPr>
          <w:lang w:val="en-US"/>
        </w:rPr>
        <w:t>Morocco considered the meeting had been a great launchpad for intensified work in 2021 and towards MC12</w:t>
      </w:r>
      <w:r>
        <w:rPr>
          <w:lang w:val="en-US"/>
        </w:rPr>
        <w:t>, but much more work was ahead to ensure a successful outcome</w:t>
      </w:r>
      <w:r w:rsidRPr="00CF7C9D">
        <w:rPr>
          <w:lang w:val="en-US"/>
        </w:rPr>
        <w:t xml:space="preserve">. </w:t>
      </w:r>
      <w:r>
        <w:rPr>
          <w:lang w:val="en-US"/>
        </w:rPr>
        <w:t>Collectively WTO</w:t>
      </w:r>
      <w:r w:rsidR="000C29EB">
        <w:rPr>
          <w:lang w:val="en-US"/>
        </w:rPr>
        <w:t> </w:t>
      </w:r>
      <w:r>
        <w:rPr>
          <w:lang w:val="en-US"/>
        </w:rPr>
        <w:t>Members could</w:t>
      </w:r>
      <w:r w:rsidRPr="00CF7C9D">
        <w:rPr>
          <w:lang w:val="en-US"/>
        </w:rPr>
        <w:t xml:space="preserve">, and </w:t>
      </w:r>
      <w:r>
        <w:rPr>
          <w:lang w:val="en-US"/>
        </w:rPr>
        <w:t>should</w:t>
      </w:r>
      <w:r w:rsidRPr="00CF7C9D">
        <w:rPr>
          <w:lang w:val="en-US"/>
        </w:rPr>
        <w:t xml:space="preserve">, do </w:t>
      </w:r>
      <w:r>
        <w:rPr>
          <w:lang w:val="en-US"/>
        </w:rPr>
        <w:t>their</w:t>
      </w:r>
      <w:r w:rsidRPr="00CF7C9D">
        <w:rPr>
          <w:lang w:val="en-US"/>
        </w:rPr>
        <w:t xml:space="preserve"> part in helping address this growing challenge.</w:t>
      </w:r>
      <w:r>
        <w:rPr>
          <w:lang w:val="en-US"/>
        </w:rPr>
        <w:t xml:space="preserve"> </w:t>
      </w:r>
      <w:r w:rsidRPr="00CF7C9D">
        <w:rPr>
          <w:lang w:val="en-US"/>
        </w:rPr>
        <w:t>IDP had formally 14 co-sponsors at that point and many other delegations had indicated their positive views o</w:t>
      </w:r>
      <w:r w:rsidR="000C29EB">
        <w:rPr>
          <w:lang w:val="en-US"/>
        </w:rPr>
        <w:t>n</w:t>
      </w:r>
      <w:r w:rsidRPr="00CF7C9D">
        <w:rPr>
          <w:lang w:val="en-US"/>
        </w:rPr>
        <w:t xml:space="preserve"> the initiative and/or were currently carrying internal discussions about joining the group. The IDP was open to all interested WTO Members and co-sponsors urged all delegations to </w:t>
      </w:r>
      <w:r>
        <w:rPr>
          <w:lang w:val="en-US"/>
        </w:rPr>
        <w:t xml:space="preserve">continue to </w:t>
      </w:r>
      <w:r w:rsidRPr="00CF7C9D">
        <w:rPr>
          <w:lang w:val="en-US"/>
        </w:rPr>
        <w:t xml:space="preserve">actively engage in the work in 2021. </w:t>
      </w:r>
    </w:p>
    <w:p w14:paraId="2A039154" w14:textId="11A64CA0" w:rsidR="000D4B6F" w:rsidRPr="005B144C" w:rsidRDefault="000D4B6F" w:rsidP="000D4B6F">
      <w:pPr>
        <w:pStyle w:val="BodyText"/>
      </w:pPr>
      <w:r w:rsidRPr="00C546A0">
        <w:rPr>
          <w:lang w:val="en-US"/>
        </w:rPr>
        <w:t xml:space="preserve">The representative of </w:t>
      </w:r>
      <w:r w:rsidRPr="00C546A0">
        <w:rPr>
          <w:u w:val="single"/>
        </w:rPr>
        <w:t>European</w:t>
      </w:r>
      <w:r w:rsidR="00025E1C">
        <w:rPr>
          <w:u w:val="single"/>
        </w:rPr>
        <w:t> Union</w:t>
      </w:r>
      <w:r w:rsidRPr="006C4688">
        <w:t xml:space="preserve"> </w:t>
      </w:r>
      <w:r>
        <w:t xml:space="preserve">noted that </w:t>
      </w:r>
      <w:r w:rsidRPr="006C4688">
        <w:t xml:space="preserve">action on plastics </w:t>
      </w:r>
      <w:r>
        <w:t>had been</w:t>
      </w:r>
      <w:r w:rsidRPr="006C4688">
        <w:t xml:space="preserve"> set as priority in the EU Circular Economy Action Plan. Th</w:t>
      </w:r>
      <w:r>
        <w:t>e</w:t>
      </w:r>
      <w:r w:rsidRPr="006C4688">
        <w:t xml:space="preserve"> plan contain</w:t>
      </w:r>
      <w:r>
        <w:t>ed</w:t>
      </w:r>
      <w:r w:rsidRPr="006C4688">
        <w:t xml:space="preserve"> a coherent set of actions to support the global transition towards a carbon-neutral, resource-efficient and circular economy, including moving forward towards a global agreement on plastics.</w:t>
      </w:r>
      <w:r>
        <w:t xml:space="preserve"> The </w:t>
      </w:r>
      <w:r w:rsidR="0011709E">
        <w:t>European</w:t>
      </w:r>
      <w:r w:rsidR="00025E1C">
        <w:t> Union</w:t>
      </w:r>
      <w:r w:rsidRPr="005B144C">
        <w:t xml:space="preserve"> welcome</w:t>
      </w:r>
      <w:r>
        <w:t>d</w:t>
      </w:r>
      <w:r w:rsidRPr="005B144C">
        <w:t xml:space="preserve"> the work led by China and Fiji on plastics pollution and environmentally sustainable plastics trade</w:t>
      </w:r>
      <w:r>
        <w:t xml:space="preserve"> and recogni</w:t>
      </w:r>
      <w:r w:rsidR="00025E1C">
        <w:t>s</w:t>
      </w:r>
      <w:r>
        <w:t>ed</w:t>
      </w:r>
      <w:r w:rsidRPr="005B144C">
        <w:t xml:space="preserve"> the need for transparency and synergies at the international level to promote a global circular economy on plastic</w:t>
      </w:r>
      <w:r w:rsidR="0011709E">
        <w:t>s</w:t>
      </w:r>
      <w:r w:rsidRPr="005B144C">
        <w:t xml:space="preserve"> supported by trade policies. Action on trade should take into account efforts through plastics</w:t>
      </w:r>
      <w:r>
        <w:t>'</w:t>
      </w:r>
      <w:r w:rsidRPr="005B144C">
        <w:t xml:space="preserve"> whole value chain</w:t>
      </w:r>
      <w:r>
        <w:t xml:space="preserve"> and</w:t>
      </w:r>
      <w:r w:rsidRPr="005B144C">
        <w:t xml:space="preserve"> lifecycle and </w:t>
      </w:r>
      <w:r>
        <w:t xml:space="preserve">adopt a </w:t>
      </w:r>
      <w:r w:rsidRPr="005B144C">
        <w:t>circular economy approach.</w:t>
      </w:r>
      <w:r>
        <w:t xml:space="preserve"> </w:t>
      </w:r>
      <w:r w:rsidRPr="005B144C">
        <w:t>More importantly, the WTO</w:t>
      </w:r>
      <w:r w:rsidR="0011709E">
        <w:t>'s</w:t>
      </w:r>
      <w:r w:rsidRPr="005B144C">
        <w:t xml:space="preserve"> work on plastics should create positive synergies with the ongoing international processes to launch the global agreement on plastics. For the </w:t>
      </w:r>
      <w:r w:rsidR="0011709E">
        <w:t>European</w:t>
      </w:r>
      <w:r w:rsidR="00025E1C">
        <w:t> Union</w:t>
      </w:r>
      <w:r w:rsidR="0011709E">
        <w:t>, the</w:t>
      </w:r>
      <w:r w:rsidRPr="005B144C">
        <w:t xml:space="preserve"> launch of the global agreement on plastics remain</w:t>
      </w:r>
      <w:r>
        <w:t>ed the</w:t>
      </w:r>
      <w:r w:rsidRPr="005B144C">
        <w:t xml:space="preserve"> key focus</w:t>
      </w:r>
      <w:r>
        <w:t>, with</w:t>
      </w:r>
      <w:r w:rsidRPr="005B144C">
        <w:t xml:space="preserve"> </w:t>
      </w:r>
      <w:r>
        <w:t xml:space="preserve">the second part of the </w:t>
      </w:r>
      <w:r w:rsidRPr="005B144C">
        <w:t xml:space="preserve">fifth </w:t>
      </w:r>
      <w:r w:rsidRPr="005B144C">
        <w:lastRenderedPageBreak/>
        <w:t xml:space="preserve">session of the United Nations Environment Assembly </w:t>
      </w:r>
      <w:r>
        <w:t>(</w:t>
      </w:r>
      <w:r w:rsidRPr="005B144C">
        <w:t>UNEA</w:t>
      </w:r>
      <w:r>
        <w:t xml:space="preserve"> </w:t>
      </w:r>
      <w:r w:rsidRPr="005B144C">
        <w:t>5</w:t>
      </w:r>
      <w:r>
        <w:t>)</w:t>
      </w:r>
      <w:r w:rsidRPr="005B144C">
        <w:t xml:space="preserve"> </w:t>
      </w:r>
      <w:r>
        <w:t xml:space="preserve">in </w:t>
      </w:r>
      <w:r w:rsidRPr="005B144C">
        <w:t>February 2022</w:t>
      </w:r>
      <w:r>
        <w:t xml:space="preserve"> as the n</w:t>
      </w:r>
      <w:r w:rsidRPr="005B144C">
        <w:t xml:space="preserve">ext milestone where </w:t>
      </w:r>
      <w:r>
        <w:t xml:space="preserve">the </w:t>
      </w:r>
      <w:r w:rsidR="0011709E">
        <w:t>European</w:t>
      </w:r>
      <w:r w:rsidR="00025E1C">
        <w:t> Union</w:t>
      </w:r>
      <w:r w:rsidR="0011709E">
        <w:t xml:space="preserve"> </w:t>
      </w:r>
      <w:r>
        <w:t>would</w:t>
      </w:r>
      <w:r w:rsidRPr="005B144C">
        <w:t xml:space="preserve"> seek to ensure that the negotiation process officially start</w:t>
      </w:r>
      <w:r>
        <w:t>ed</w:t>
      </w:r>
      <w:r w:rsidRPr="005B144C">
        <w:t>.</w:t>
      </w:r>
    </w:p>
    <w:p w14:paraId="65EB04A0" w14:textId="7B65C7F0" w:rsidR="000D4B6F" w:rsidRPr="005B144C" w:rsidRDefault="000D4B6F" w:rsidP="000D4B6F">
      <w:pPr>
        <w:pStyle w:val="BodyText"/>
      </w:pPr>
      <w:r>
        <w:t>I</w:t>
      </w:r>
      <w:r w:rsidRPr="005B144C">
        <w:t>n the margins of the</w:t>
      </w:r>
      <w:r>
        <w:t xml:space="preserve"> first part of UNEA 5, </w:t>
      </w:r>
      <w:r w:rsidRPr="005B144C">
        <w:t>on 22 February 2021</w:t>
      </w:r>
      <w:r>
        <w:t xml:space="preserve">, the </w:t>
      </w:r>
      <w:r w:rsidR="0011709E">
        <w:t>European</w:t>
      </w:r>
      <w:r w:rsidR="00025E1C">
        <w:t> Union</w:t>
      </w:r>
      <w:r w:rsidR="0011709E" w:rsidRPr="005B144C">
        <w:t xml:space="preserve"> </w:t>
      </w:r>
      <w:r w:rsidRPr="005B144C">
        <w:t>ha</w:t>
      </w:r>
      <w:r>
        <w:t>d</w:t>
      </w:r>
      <w:r w:rsidRPr="005B144C">
        <w:t xml:space="preserve"> launched</w:t>
      </w:r>
      <w:r>
        <w:t xml:space="preserve"> the</w:t>
      </w:r>
      <w:r w:rsidRPr="005B144C">
        <w:t xml:space="preserve"> </w:t>
      </w:r>
      <w:r w:rsidR="0011709E">
        <w:t>"</w:t>
      </w:r>
      <w:r w:rsidRPr="005B144C">
        <w:t>Global Alliance for Circular Economy and Resource Efficiency</w:t>
      </w:r>
      <w:r w:rsidR="0011709E">
        <w:t>"</w:t>
      </w:r>
      <w:r w:rsidRPr="005B144C">
        <w:t xml:space="preserve"> (GACERE)</w:t>
      </w:r>
      <w:r>
        <w:t xml:space="preserve"> jointly with</w:t>
      </w:r>
      <w:r w:rsidRPr="005B144C">
        <w:t xml:space="preserve"> the United Nations Environment Programme (UNEP)</w:t>
      </w:r>
      <w:r>
        <w:t xml:space="preserve"> and</w:t>
      </w:r>
      <w:r w:rsidRPr="005B144C">
        <w:t xml:space="preserve"> in coordination with the United Nations Industrial Development Organization (UNIDO).</w:t>
      </w:r>
      <w:r>
        <w:t xml:space="preserve"> </w:t>
      </w:r>
      <w:r w:rsidRPr="005B144C">
        <w:t>The Alliance gather</w:t>
      </w:r>
      <w:r>
        <w:t>ed</w:t>
      </w:r>
      <w:r w:rsidRPr="005B144C">
        <w:t xml:space="preserve"> </w:t>
      </w:r>
      <w:r>
        <w:t xml:space="preserve">– at that point – </w:t>
      </w:r>
      <w:r w:rsidRPr="005B144C">
        <w:t>12 countries and three strategic partners to advocate at the political level and in multilateral for</w:t>
      </w:r>
      <w:r>
        <w:t>ums</w:t>
      </w:r>
      <w:r w:rsidRPr="005B144C">
        <w:t xml:space="preserve"> for a global just transition to a resource</w:t>
      </w:r>
      <w:r w:rsidR="009F1F9A">
        <w:t>-</w:t>
      </w:r>
      <w:r w:rsidRPr="005B144C">
        <w:t>efficient and circular economy.</w:t>
      </w:r>
      <w:r>
        <w:t xml:space="preserve"> </w:t>
      </w:r>
      <w:r w:rsidRPr="005B144C">
        <w:t xml:space="preserve">It </w:t>
      </w:r>
      <w:r>
        <w:t>sought to</w:t>
      </w:r>
      <w:r w:rsidRPr="005B144C">
        <w:t xml:space="preserve"> do so</w:t>
      </w:r>
      <w:r>
        <w:t xml:space="preserve"> by</w:t>
      </w:r>
      <w:r w:rsidRPr="005B144C">
        <w:t xml:space="preserve"> building on regional partnerships, </w:t>
      </w:r>
      <w:r>
        <w:t>such as</w:t>
      </w:r>
      <w:r w:rsidRPr="005B144C">
        <w:t xml:space="preserve"> the African Circular Economy Alliance and the </w:t>
      </w:r>
      <w:r w:rsidRPr="00BF6BAA">
        <w:t>Latin-American and the Caribbean Circular Economy Coalition</w:t>
      </w:r>
      <w:r w:rsidRPr="005B144C">
        <w:t>, and cooperation with strategic partners – the Ellen MacArthur Foundation (EMF), the Platform for Accelerating the Circular Economy (PACE), and the World Circular Economy Forum (WCEF).</w:t>
      </w:r>
      <w:r>
        <w:t xml:space="preserve"> The </w:t>
      </w:r>
      <w:r w:rsidR="0011709E">
        <w:t>European</w:t>
      </w:r>
      <w:r w:rsidR="00025E1C">
        <w:t> Union</w:t>
      </w:r>
      <w:r w:rsidR="0011709E" w:rsidRPr="005B144C">
        <w:t xml:space="preserve"> </w:t>
      </w:r>
      <w:r w:rsidRPr="005B144C">
        <w:t>welcome</w:t>
      </w:r>
      <w:r>
        <w:t>d</w:t>
      </w:r>
      <w:r w:rsidRPr="005B144C">
        <w:t xml:space="preserve"> WTO Members to join th</w:t>
      </w:r>
      <w:r>
        <w:t>e</w:t>
      </w:r>
      <w:r w:rsidRPr="005B144C">
        <w:t xml:space="preserve"> platform. </w:t>
      </w:r>
    </w:p>
    <w:p w14:paraId="041D6869" w14:textId="6FBA4776" w:rsidR="000D4B6F" w:rsidRPr="005B144C" w:rsidRDefault="000D4B6F" w:rsidP="000D4B6F">
      <w:pPr>
        <w:pStyle w:val="BodyText"/>
      </w:pPr>
      <w:bookmarkStart w:id="19" w:name="_Hlk68111599"/>
      <w:r w:rsidRPr="00E50ED2">
        <w:rPr>
          <w:lang w:val="en-US"/>
        </w:rPr>
        <w:t xml:space="preserve">The representative of </w:t>
      </w:r>
      <w:r>
        <w:rPr>
          <w:lang w:val="en-US"/>
        </w:rPr>
        <w:t xml:space="preserve">the </w:t>
      </w:r>
      <w:r w:rsidRPr="006C4688">
        <w:rPr>
          <w:u w:val="single"/>
          <w:lang w:val="en-US"/>
        </w:rPr>
        <w:t>United Kingdom</w:t>
      </w:r>
      <w:r>
        <w:rPr>
          <w:lang w:val="en-US"/>
        </w:rPr>
        <w:t xml:space="preserve"> </w:t>
      </w:r>
      <w:r>
        <w:t xml:space="preserve">noted her delegation was </w:t>
      </w:r>
      <w:r w:rsidRPr="005B144C">
        <w:t xml:space="preserve">very gratified to see the participation of so many Members and the active discussion of transparency and international cooperation </w:t>
      </w:r>
      <w:r>
        <w:t>in the IDP meeting</w:t>
      </w:r>
      <w:r w:rsidRPr="005B144C">
        <w:t xml:space="preserve">. </w:t>
      </w:r>
      <w:r>
        <w:t xml:space="preserve">The </w:t>
      </w:r>
      <w:r w:rsidR="0011709E" w:rsidRPr="0011709E">
        <w:rPr>
          <w:lang w:val="en-US"/>
        </w:rPr>
        <w:t>United Kingdom</w:t>
      </w:r>
      <w:r w:rsidR="0011709E">
        <w:rPr>
          <w:lang w:val="en-US"/>
        </w:rPr>
        <w:t xml:space="preserve"> </w:t>
      </w:r>
      <w:r>
        <w:t>looked</w:t>
      </w:r>
      <w:r w:rsidRPr="005B144C">
        <w:t xml:space="preserve"> forward to discussions in the Informal Dialogue progressing as </w:t>
      </w:r>
      <w:r>
        <w:t>Members</w:t>
      </w:r>
      <w:r w:rsidRPr="005B144C">
        <w:t xml:space="preserve"> work</w:t>
      </w:r>
      <w:r>
        <w:t>ed</w:t>
      </w:r>
      <w:r w:rsidRPr="005B144C">
        <w:t xml:space="preserve"> together to combat plastic pollution and its detrimental effects on </w:t>
      </w:r>
      <w:r>
        <w:t>the</w:t>
      </w:r>
      <w:r w:rsidRPr="005B144C">
        <w:t xml:space="preserve"> environment, biodiversity, food and climate.</w:t>
      </w:r>
      <w:r w:rsidR="0035369C" w:rsidRPr="005B144C">
        <w:t xml:space="preserve"> </w:t>
      </w:r>
    </w:p>
    <w:p w14:paraId="773B4867" w14:textId="6BD61A72" w:rsidR="000D4B6F" w:rsidRDefault="000D4B6F" w:rsidP="000D4B6F">
      <w:pPr>
        <w:pStyle w:val="BodyText"/>
        <w:rPr>
          <w:lang w:val="en-US"/>
        </w:rPr>
      </w:pPr>
      <w:r w:rsidRPr="006C4688">
        <w:rPr>
          <w:lang w:val="en-US"/>
        </w:rPr>
        <w:t xml:space="preserve">The representative of </w:t>
      </w:r>
      <w:r w:rsidRPr="006C4688">
        <w:rPr>
          <w:u w:val="single"/>
          <w:lang w:val="en-US"/>
        </w:rPr>
        <w:t>Ecuador</w:t>
      </w:r>
      <w:r w:rsidRPr="006C4688">
        <w:rPr>
          <w:lang w:val="en-US"/>
        </w:rPr>
        <w:t xml:space="preserve"> </w:t>
      </w:r>
      <w:bookmarkEnd w:id="19"/>
      <w:r w:rsidRPr="006C4688">
        <w:rPr>
          <w:lang w:val="en-US"/>
        </w:rPr>
        <w:t>congratulate</w:t>
      </w:r>
      <w:r>
        <w:rPr>
          <w:lang w:val="en-US"/>
        </w:rPr>
        <w:t>d</w:t>
      </w:r>
      <w:r w:rsidRPr="006C4688">
        <w:rPr>
          <w:lang w:val="en-US"/>
        </w:rPr>
        <w:t xml:space="preserve"> </w:t>
      </w:r>
      <w:r>
        <w:rPr>
          <w:lang w:val="en-US"/>
        </w:rPr>
        <w:t>fellow co-</w:t>
      </w:r>
      <w:r w:rsidRPr="006C4688">
        <w:rPr>
          <w:lang w:val="en-US"/>
        </w:rPr>
        <w:t>sponsors o</w:t>
      </w:r>
      <w:r w:rsidR="0011709E">
        <w:rPr>
          <w:lang w:val="en-US"/>
        </w:rPr>
        <w:t>n</w:t>
      </w:r>
      <w:r w:rsidRPr="006C4688">
        <w:rPr>
          <w:lang w:val="en-US"/>
        </w:rPr>
        <w:t xml:space="preserve"> this important </w:t>
      </w:r>
      <w:r>
        <w:rPr>
          <w:lang w:val="en-US"/>
        </w:rPr>
        <w:t>i</w:t>
      </w:r>
      <w:r w:rsidRPr="006C4688">
        <w:rPr>
          <w:lang w:val="en-US"/>
        </w:rPr>
        <w:t xml:space="preserve">nitiative, </w:t>
      </w:r>
      <w:r>
        <w:rPr>
          <w:lang w:val="en-US"/>
        </w:rPr>
        <w:t>whose debate was</w:t>
      </w:r>
      <w:r w:rsidRPr="006C4688">
        <w:rPr>
          <w:lang w:val="en-US"/>
        </w:rPr>
        <w:t xml:space="preserve"> positive and timely and </w:t>
      </w:r>
      <w:r>
        <w:rPr>
          <w:lang w:val="en-US"/>
        </w:rPr>
        <w:t>t</w:t>
      </w:r>
      <w:r w:rsidRPr="006C4688">
        <w:rPr>
          <w:lang w:val="en-US"/>
        </w:rPr>
        <w:t xml:space="preserve">hrough </w:t>
      </w:r>
      <w:r>
        <w:rPr>
          <w:lang w:val="en-US"/>
        </w:rPr>
        <w:t xml:space="preserve">which WTO Members could </w:t>
      </w:r>
      <w:r w:rsidRPr="006C4688">
        <w:rPr>
          <w:lang w:val="en-US"/>
        </w:rPr>
        <w:t xml:space="preserve">discuss what concrete actions </w:t>
      </w:r>
      <w:r>
        <w:rPr>
          <w:lang w:val="en-US"/>
        </w:rPr>
        <w:t>could be</w:t>
      </w:r>
      <w:r w:rsidRPr="006C4688">
        <w:rPr>
          <w:lang w:val="en-US"/>
        </w:rPr>
        <w:t xml:space="preserve"> take</w:t>
      </w:r>
      <w:r>
        <w:rPr>
          <w:lang w:val="en-US"/>
        </w:rPr>
        <w:t>n</w:t>
      </w:r>
      <w:r w:rsidRPr="006C4688">
        <w:rPr>
          <w:lang w:val="en-US"/>
        </w:rPr>
        <w:t xml:space="preserve"> </w:t>
      </w:r>
      <w:r>
        <w:rPr>
          <w:lang w:val="en-US"/>
        </w:rPr>
        <w:t>by</w:t>
      </w:r>
      <w:r w:rsidRPr="006C4688">
        <w:rPr>
          <w:lang w:val="en-US"/>
        </w:rPr>
        <w:t xml:space="preserve"> the </w:t>
      </w:r>
      <w:r w:rsidR="0011709E">
        <w:rPr>
          <w:lang w:val="en-US"/>
        </w:rPr>
        <w:t>MTS</w:t>
      </w:r>
      <w:r w:rsidRPr="006C4688">
        <w:rPr>
          <w:lang w:val="en-US"/>
        </w:rPr>
        <w:t xml:space="preserve"> to face this </w:t>
      </w:r>
      <w:r>
        <w:rPr>
          <w:lang w:val="en-US"/>
        </w:rPr>
        <w:t>challenge</w:t>
      </w:r>
      <w:r w:rsidRPr="006C4688">
        <w:rPr>
          <w:lang w:val="en-US"/>
        </w:rPr>
        <w:t xml:space="preserve">. </w:t>
      </w:r>
      <w:r>
        <w:rPr>
          <w:lang w:val="en-US"/>
        </w:rPr>
        <w:t>Ecuador</w:t>
      </w:r>
      <w:r w:rsidRPr="006C4688">
        <w:rPr>
          <w:lang w:val="en-US"/>
        </w:rPr>
        <w:t xml:space="preserve"> consider</w:t>
      </w:r>
      <w:r>
        <w:rPr>
          <w:lang w:val="en-US"/>
        </w:rPr>
        <w:t>ed</w:t>
      </w:r>
      <w:r w:rsidRPr="006C4688">
        <w:rPr>
          <w:lang w:val="en-US"/>
        </w:rPr>
        <w:t xml:space="preserve"> it </w:t>
      </w:r>
      <w:r>
        <w:rPr>
          <w:lang w:val="en-US"/>
        </w:rPr>
        <w:t xml:space="preserve">was </w:t>
      </w:r>
      <w:r w:rsidRPr="006C4688">
        <w:rPr>
          <w:lang w:val="en-US"/>
        </w:rPr>
        <w:t>urgent to address</w:t>
      </w:r>
      <w:r>
        <w:rPr>
          <w:lang w:val="en-US"/>
        </w:rPr>
        <w:t xml:space="preserve"> issues such as </w:t>
      </w:r>
      <w:r w:rsidRPr="006C4688">
        <w:rPr>
          <w:lang w:val="en-US"/>
        </w:rPr>
        <w:t>the conservation of the ocean and the sustainable management of its ecosystems</w:t>
      </w:r>
      <w:r>
        <w:rPr>
          <w:lang w:val="en-US"/>
        </w:rPr>
        <w:t xml:space="preserve"> and </w:t>
      </w:r>
      <w:r w:rsidRPr="006C4688">
        <w:rPr>
          <w:lang w:val="en-US"/>
        </w:rPr>
        <w:t xml:space="preserve">what </w:t>
      </w:r>
      <w:r>
        <w:rPr>
          <w:lang w:val="en-US"/>
        </w:rPr>
        <w:t>could be done by delegations</w:t>
      </w:r>
      <w:r w:rsidRPr="006C4688">
        <w:rPr>
          <w:lang w:val="en-US"/>
        </w:rPr>
        <w:t xml:space="preserve"> to combat pollution by marine plastic debris. Ecuador addresse</w:t>
      </w:r>
      <w:r>
        <w:rPr>
          <w:lang w:val="en-US"/>
        </w:rPr>
        <w:t>d</w:t>
      </w:r>
      <w:r w:rsidRPr="006C4688">
        <w:rPr>
          <w:lang w:val="en-US"/>
        </w:rPr>
        <w:t xml:space="preserve"> </w:t>
      </w:r>
      <w:r>
        <w:rPr>
          <w:lang w:val="en-US"/>
        </w:rPr>
        <w:t>the</w:t>
      </w:r>
      <w:r w:rsidRPr="006C4688">
        <w:rPr>
          <w:lang w:val="en-US"/>
        </w:rPr>
        <w:t xml:space="preserve"> issue in other forums, </w:t>
      </w:r>
      <w:r>
        <w:rPr>
          <w:lang w:val="en-US"/>
        </w:rPr>
        <w:t>such as</w:t>
      </w:r>
      <w:r w:rsidRPr="006C4688">
        <w:rPr>
          <w:lang w:val="en-US"/>
        </w:rPr>
        <w:t xml:space="preserve"> within the UNEA framework and </w:t>
      </w:r>
      <w:r>
        <w:rPr>
          <w:lang w:val="en-US"/>
        </w:rPr>
        <w:t>was</w:t>
      </w:r>
      <w:r w:rsidRPr="006C4688">
        <w:rPr>
          <w:lang w:val="en-US"/>
        </w:rPr>
        <w:t xml:space="preserve"> a founding member of the United Nations Group of Friends to Combat Marine Plastic Pollution. </w:t>
      </w:r>
    </w:p>
    <w:p w14:paraId="38558377" w14:textId="0617F910" w:rsidR="000D4B6F" w:rsidRPr="006C4688" w:rsidRDefault="000D4B6F" w:rsidP="000D4B6F">
      <w:pPr>
        <w:pStyle w:val="BodyText"/>
        <w:rPr>
          <w:lang w:val="en-US"/>
        </w:rPr>
      </w:pPr>
      <w:r w:rsidRPr="006C4688">
        <w:rPr>
          <w:lang w:val="en-US"/>
        </w:rPr>
        <w:t>Ecuador ha</w:t>
      </w:r>
      <w:r>
        <w:rPr>
          <w:lang w:val="en-US"/>
        </w:rPr>
        <w:t>d</w:t>
      </w:r>
      <w:r w:rsidRPr="006C4688">
        <w:rPr>
          <w:lang w:val="en-US"/>
        </w:rPr>
        <w:t xml:space="preserve"> joined as </w:t>
      </w:r>
      <w:r>
        <w:rPr>
          <w:lang w:val="en-US"/>
        </w:rPr>
        <w:t>a co-</w:t>
      </w:r>
      <w:r w:rsidRPr="006C4688">
        <w:rPr>
          <w:lang w:val="en-US"/>
        </w:rPr>
        <w:t xml:space="preserve">sponsor and co-coordinator of </w:t>
      </w:r>
      <w:r>
        <w:rPr>
          <w:lang w:val="en-US"/>
        </w:rPr>
        <w:t>the IDP and</w:t>
      </w:r>
      <w:r w:rsidRPr="006C4688">
        <w:rPr>
          <w:lang w:val="en-US"/>
        </w:rPr>
        <w:t xml:space="preserve"> hope</w:t>
      </w:r>
      <w:r>
        <w:rPr>
          <w:lang w:val="en-US"/>
        </w:rPr>
        <w:t>d</w:t>
      </w:r>
      <w:r w:rsidRPr="006C4688">
        <w:rPr>
          <w:lang w:val="en-US"/>
        </w:rPr>
        <w:t xml:space="preserve"> to contribute constructively and actively to these discussions. </w:t>
      </w:r>
      <w:r>
        <w:rPr>
          <w:lang w:val="en-US"/>
        </w:rPr>
        <w:t xml:space="preserve">Ecuador congratulated </w:t>
      </w:r>
      <w:r w:rsidRPr="006C4688">
        <w:rPr>
          <w:lang w:val="en-US"/>
        </w:rPr>
        <w:t xml:space="preserve">Morocco </w:t>
      </w:r>
      <w:r>
        <w:rPr>
          <w:lang w:val="en-US"/>
        </w:rPr>
        <w:t>for its coordination of the IDP meeting</w:t>
      </w:r>
      <w:r w:rsidRPr="006C4688">
        <w:rPr>
          <w:lang w:val="en-US"/>
        </w:rPr>
        <w:t xml:space="preserve"> on </w:t>
      </w:r>
      <w:r>
        <w:rPr>
          <w:lang w:val="en-US"/>
        </w:rPr>
        <w:t>t</w:t>
      </w:r>
      <w:r w:rsidRPr="006C4688">
        <w:rPr>
          <w:lang w:val="en-US"/>
        </w:rPr>
        <w:t xml:space="preserve">ransparency, </w:t>
      </w:r>
      <w:r>
        <w:rPr>
          <w:lang w:val="en-US"/>
        </w:rPr>
        <w:t xml:space="preserve">noting how it had </w:t>
      </w:r>
      <w:r w:rsidRPr="006C4688">
        <w:rPr>
          <w:lang w:val="en-US"/>
        </w:rPr>
        <w:t xml:space="preserve">generated great interest </w:t>
      </w:r>
      <w:r>
        <w:rPr>
          <w:lang w:val="en-US"/>
        </w:rPr>
        <w:t>not only among</w:t>
      </w:r>
      <w:r w:rsidRPr="006C4688">
        <w:rPr>
          <w:lang w:val="en-US"/>
        </w:rPr>
        <w:t xml:space="preserve"> WTO Members, </w:t>
      </w:r>
      <w:r>
        <w:rPr>
          <w:lang w:val="en-US"/>
        </w:rPr>
        <w:t xml:space="preserve">but also involving </w:t>
      </w:r>
      <w:r w:rsidRPr="006C4688">
        <w:rPr>
          <w:lang w:val="en-US"/>
        </w:rPr>
        <w:t>experts from international organizations and academia.</w:t>
      </w:r>
      <w:r w:rsidR="0035369C" w:rsidRPr="006C4688">
        <w:rPr>
          <w:lang w:val="en-US"/>
        </w:rPr>
        <w:t xml:space="preserve"> </w:t>
      </w:r>
      <w:r w:rsidRPr="006C4688">
        <w:rPr>
          <w:lang w:val="en-US"/>
        </w:rPr>
        <w:t>The issues constructively addressed in the dialogue demonstrate</w:t>
      </w:r>
      <w:r>
        <w:rPr>
          <w:lang w:val="en-US"/>
        </w:rPr>
        <w:t>d</w:t>
      </w:r>
      <w:r w:rsidRPr="006C4688">
        <w:rPr>
          <w:lang w:val="en-US"/>
        </w:rPr>
        <w:t xml:space="preserve"> the importance of synergies and international cooperation to achieve a common goal. Th</w:t>
      </w:r>
      <w:r>
        <w:rPr>
          <w:lang w:val="en-US"/>
        </w:rPr>
        <w:t>at</w:t>
      </w:r>
      <w:r w:rsidRPr="006C4688">
        <w:rPr>
          <w:lang w:val="en-US"/>
        </w:rPr>
        <w:t xml:space="preserve"> dialogue w</w:t>
      </w:r>
      <w:r>
        <w:rPr>
          <w:lang w:val="en-US"/>
        </w:rPr>
        <w:t>ould</w:t>
      </w:r>
      <w:r w:rsidRPr="006C4688">
        <w:rPr>
          <w:lang w:val="en-US"/>
        </w:rPr>
        <w:t xml:space="preserve"> certainly feed into the next one </w:t>
      </w:r>
      <w:r>
        <w:rPr>
          <w:lang w:val="en-US"/>
        </w:rPr>
        <w:t>taking place</w:t>
      </w:r>
      <w:r w:rsidRPr="006C4688">
        <w:rPr>
          <w:lang w:val="en-US"/>
        </w:rPr>
        <w:t xml:space="preserve"> in June 2021 and </w:t>
      </w:r>
      <w:r>
        <w:rPr>
          <w:lang w:val="en-US"/>
        </w:rPr>
        <w:t xml:space="preserve">which </w:t>
      </w:r>
      <w:r w:rsidRPr="006C4688">
        <w:rPr>
          <w:lang w:val="en-US"/>
        </w:rPr>
        <w:t>w</w:t>
      </w:r>
      <w:r>
        <w:rPr>
          <w:lang w:val="en-US"/>
        </w:rPr>
        <w:t>ould</w:t>
      </w:r>
      <w:r w:rsidRPr="006C4688">
        <w:rPr>
          <w:lang w:val="en-US"/>
        </w:rPr>
        <w:t xml:space="preserve"> be co-chaired and coordinated by Barbados and Ecuador</w:t>
      </w:r>
      <w:r>
        <w:rPr>
          <w:lang w:val="en-US"/>
        </w:rPr>
        <w:t>, focusing o</w:t>
      </w:r>
      <w:r w:rsidRPr="006C4688">
        <w:rPr>
          <w:lang w:val="en-US"/>
        </w:rPr>
        <w:t xml:space="preserve">n strengthening policy coherence, assessing capacity and technical assistance needs, and identifying the scope of collective approaches. </w:t>
      </w:r>
      <w:r>
        <w:rPr>
          <w:lang w:val="en-US"/>
        </w:rPr>
        <w:t>L</w:t>
      </w:r>
      <w:r w:rsidRPr="006C4688">
        <w:rPr>
          <w:lang w:val="en-US"/>
        </w:rPr>
        <w:t xml:space="preserve">ike Morocco, </w:t>
      </w:r>
      <w:r>
        <w:rPr>
          <w:lang w:val="en-US"/>
        </w:rPr>
        <w:t>Ecuador</w:t>
      </w:r>
      <w:r w:rsidRPr="006C4688">
        <w:rPr>
          <w:lang w:val="en-US"/>
        </w:rPr>
        <w:t xml:space="preserve"> invite</w:t>
      </w:r>
      <w:r>
        <w:rPr>
          <w:lang w:val="en-US"/>
        </w:rPr>
        <w:t>d</w:t>
      </w:r>
      <w:r w:rsidRPr="006C4688">
        <w:rPr>
          <w:lang w:val="en-US"/>
        </w:rPr>
        <w:t xml:space="preserve"> Members to participate in </w:t>
      </w:r>
      <w:r>
        <w:rPr>
          <w:lang w:val="en-US"/>
        </w:rPr>
        <w:t>the dialogue</w:t>
      </w:r>
      <w:r w:rsidRPr="006C4688">
        <w:rPr>
          <w:lang w:val="en-US"/>
        </w:rPr>
        <w:t xml:space="preserve"> given the relevance </w:t>
      </w:r>
      <w:r>
        <w:rPr>
          <w:lang w:val="en-US"/>
        </w:rPr>
        <w:t>of the</w:t>
      </w:r>
      <w:r w:rsidRPr="006C4688">
        <w:rPr>
          <w:lang w:val="en-US"/>
        </w:rPr>
        <w:t xml:space="preserve"> </w:t>
      </w:r>
      <w:r>
        <w:rPr>
          <w:lang w:val="en-US"/>
        </w:rPr>
        <w:t>issue to all delegations.</w:t>
      </w:r>
    </w:p>
    <w:p w14:paraId="43A1435F" w14:textId="0CA23F90" w:rsidR="000D4B6F" w:rsidRDefault="000D4B6F" w:rsidP="000D4B6F">
      <w:pPr>
        <w:pStyle w:val="BodyText"/>
      </w:pPr>
      <w:r w:rsidRPr="002F04E2">
        <w:rPr>
          <w:lang w:val="en-US"/>
        </w:rPr>
        <w:t xml:space="preserve">The representative of </w:t>
      </w:r>
      <w:r w:rsidRPr="002F04E2">
        <w:rPr>
          <w:u w:val="single"/>
        </w:rPr>
        <w:t>Canada</w:t>
      </w:r>
      <w:r w:rsidRPr="002F04E2">
        <w:rPr>
          <w:b/>
          <w:bCs/>
        </w:rPr>
        <w:t xml:space="preserve"> </w:t>
      </w:r>
      <w:r>
        <w:t>noted her delegations</w:t>
      </w:r>
      <w:r w:rsidRPr="005B144C">
        <w:t xml:space="preserve"> strongly believe</w:t>
      </w:r>
      <w:r>
        <w:t>d</w:t>
      </w:r>
      <w:r w:rsidRPr="005B144C">
        <w:t xml:space="preserve"> that trade and environmental sustainability issues </w:t>
      </w:r>
      <w:r>
        <w:t>were</w:t>
      </w:r>
      <w:r w:rsidRPr="005B144C">
        <w:t xml:space="preserve"> a global imperative and addressing plastics pollution </w:t>
      </w:r>
      <w:r>
        <w:t>had to</w:t>
      </w:r>
      <w:r w:rsidRPr="005B144C">
        <w:t xml:space="preserve"> be a priority. In that regard, work undertaken at the WTO in this area should be complementary to the initiatives currently underway in other international fora, such as </w:t>
      </w:r>
      <w:r>
        <w:t xml:space="preserve">at UNEP </w:t>
      </w:r>
      <w:r w:rsidRPr="005B144C">
        <w:t xml:space="preserve">and </w:t>
      </w:r>
      <w:r>
        <w:t xml:space="preserve">at </w:t>
      </w:r>
      <w:r w:rsidRPr="005B144C">
        <w:t xml:space="preserve">the </w:t>
      </w:r>
      <w:r w:rsidRPr="00606881">
        <w:t>OECD</w:t>
      </w:r>
      <w:r w:rsidRPr="005B144C">
        <w:t>.</w:t>
      </w:r>
      <w:r>
        <w:t xml:space="preserve"> </w:t>
      </w:r>
      <w:r w:rsidRPr="005B144C">
        <w:t xml:space="preserve">In that regard, </w:t>
      </w:r>
      <w:r>
        <w:t>delegations should</w:t>
      </w:r>
      <w:r w:rsidRPr="005B144C">
        <w:t xml:space="preserve"> identify concrete areas where the WTO </w:t>
      </w:r>
      <w:r>
        <w:t>could</w:t>
      </w:r>
      <w:r w:rsidRPr="005B144C">
        <w:t xml:space="preserve"> build synergies with efforts already underway.</w:t>
      </w:r>
      <w:r>
        <w:t xml:space="preserve"> </w:t>
      </w:r>
    </w:p>
    <w:p w14:paraId="1CA276DE" w14:textId="52FC8C93" w:rsidR="000D4B6F" w:rsidRPr="005B144C" w:rsidRDefault="000D4B6F" w:rsidP="000D4B6F">
      <w:pPr>
        <w:pStyle w:val="BodyText"/>
      </w:pPr>
      <w:r w:rsidRPr="005B144C">
        <w:t>One area where discussions at the WTO could have a value</w:t>
      </w:r>
      <w:r w:rsidR="009F1F9A">
        <w:t xml:space="preserve"> </w:t>
      </w:r>
      <w:r w:rsidRPr="005B144C">
        <w:t xml:space="preserve">added </w:t>
      </w:r>
      <w:r>
        <w:t>was</w:t>
      </w:r>
      <w:r w:rsidRPr="005B144C">
        <w:t xml:space="preserve"> to consider the way trade policy could support the responsible trade of recycled plastics. The lack of an internationally recogni</w:t>
      </w:r>
      <w:r w:rsidR="00025E1C">
        <w:t>s</w:t>
      </w:r>
      <w:r w:rsidRPr="005B144C">
        <w:t>ed standard to classify waste types and define contamination level</w:t>
      </w:r>
      <w:r>
        <w:t>s</w:t>
      </w:r>
      <w:r w:rsidRPr="005B144C">
        <w:t xml:space="preserve"> for recyclable waste </w:t>
      </w:r>
      <w:r>
        <w:t>was</w:t>
      </w:r>
      <w:r w:rsidRPr="005B144C">
        <w:t xml:space="preserve"> an important technical barrier to trade that WTO Members could examine.</w:t>
      </w:r>
      <w:r w:rsidR="0035369C" w:rsidRPr="005B144C">
        <w:t xml:space="preserve"> </w:t>
      </w:r>
      <w:r w:rsidRPr="005B144C">
        <w:t>The lack of an internationally recogni</w:t>
      </w:r>
      <w:r w:rsidR="00025E1C">
        <w:t>s</w:t>
      </w:r>
      <w:r w:rsidRPr="005B144C">
        <w:t>ed standard ha</w:t>
      </w:r>
      <w:r>
        <w:t>d</w:t>
      </w:r>
      <w:r w:rsidRPr="005B144C">
        <w:t xml:space="preserve"> caused many countries to unilaterally define contamination levels, which ma</w:t>
      </w:r>
      <w:r>
        <w:t xml:space="preserve">de </w:t>
      </w:r>
      <w:r w:rsidRPr="005B144C">
        <w:t>reliable enforcement at the port of exit almost impossible.</w:t>
      </w:r>
      <w:r>
        <w:t xml:space="preserve"> </w:t>
      </w:r>
      <w:r w:rsidRPr="005B144C">
        <w:t xml:space="preserve">There </w:t>
      </w:r>
      <w:r>
        <w:t>was</w:t>
      </w:r>
      <w:r w:rsidRPr="005B144C">
        <w:t xml:space="preserve"> potential for the WTO to work with other organizations such as the I</w:t>
      </w:r>
      <w:r w:rsidRPr="002F04E2">
        <w:t xml:space="preserve">nternational Organization for Standardization </w:t>
      </w:r>
      <w:r>
        <w:t>(I</w:t>
      </w:r>
      <w:r w:rsidRPr="005B144C">
        <w:t>SO</w:t>
      </w:r>
      <w:r>
        <w:t>)</w:t>
      </w:r>
      <w:r w:rsidRPr="005B144C">
        <w:t xml:space="preserve"> and the Basel Convention to identify specific gaps in existing standards needed to facilitate trade in plastic waste in support of a more sustainable and circular economy, and enforce existing transboundary controls. The IDP could share its work with other WTO Members and </w:t>
      </w:r>
      <w:r>
        <w:t xml:space="preserve">the </w:t>
      </w:r>
      <w:r w:rsidRPr="005B144C">
        <w:t>ISO, recogni</w:t>
      </w:r>
      <w:r w:rsidR="00025E1C">
        <w:t>s</w:t>
      </w:r>
      <w:r w:rsidRPr="005B144C">
        <w:t>ing</w:t>
      </w:r>
      <w:r>
        <w:t xml:space="preserve"> its</w:t>
      </w:r>
      <w:r w:rsidRPr="005B144C">
        <w:t xml:space="preserve"> standard development expertise. </w:t>
      </w:r>
    </w:p>
    <w:p w14:paraId="1FB6F6F2" w14:textId="2B3B7B3A" w:rsidR="000D4B6F" w:rsidRPr="005B144C" w:rsidRDefault="000D4B6F" w:rsidP="000D4B6F">
      <w:pPr>
        <w:pStyle w:val="BodyText"/>
      </w:pPr>
      <w:r w:rsidRPr="005B144C">
        <w:t xml:space="preserve">Canada </w:t>
      </w:r>
      <w:r>
        <w:t>was</w:t>
      </w:r>
      <w:r w:rsidRPr="005B144C">
        <w:t xml:space="preserve"> committed to reducing plastics waste and pollution at home and internationally. </w:t>
      </w:r>
      <w:r>
        <w:t>M</w:t>
      </w:r>
      <w:r w:rsidRPr="005B144C">
        <w:t xml:space="preserve">any WTO </w:t>
      </w:r>
      <w:r w:rsidR="0011709E">
        <w:t>M</w:t>
      </w:r>
      <w:r w:rsidRPr="005B144C">
        <w:t>ember</w:t>
      </w:r>
      <w:r w:rsidR="0011709E">
        <w:t>s</w:t>
      </w:r>
      <w:r w:rsidRPr="005B144C">
        <w:t xml:space="preserve"> ha</w:t>
      </w:r>
      <w:r>
        <w:t>d</w:t>
      </w:r>
      <w:r w:rsidRPr="005B144C">
        <w:t xml:space="preserve"> already adopted the Ocean Plastics Charter launched by Canada during its </w:t>
      </w:r>
      <w:r w:rsidRPr="005B144C">
        <w:lastRenderedPageBreak/>
        <w:t>G7 Presidency in 2018.</w:t>
      </w:r>
      <w:r>
        <w:t xml:space="preserve"> </w:t>
      </w:r>
      <w:r w:rsidRPr="005B144C">
        <w:t>As Canada</w:t>
      </w:r>
      <w:r w:rsidR="0011709E">
        <w:t>'</w:t>
      </w:r>
      <w:r w:rsidRPr="005B144C">
        <w:t xml:space="preserve">s vision </w:t>
      </w:r>
      <w:r>
        <w:t>was</w:t>
      </w:r>
      <w:r w:rsidRPr="005B144C">
        <w:t xml:space="preserve"> to achieve zero plastic waste by 2030, </w:t>
      </w:r>
      <w:r>
        <w:t>it was</w:t>
      </w:r>
      <w:r w:rsidRPr="005B144C">
        <w:t xml:space="preserve"> implementing a range of measures across the plastics value chain and tackling plastic pollution. </w:t>
      </w:r>
      <w:r>
        <w:t>Canada had</w:t>
      </w:r>
      <w:r w:rsidRPr="005B144C">
        <w:t xml:space="preserve"> also committed to ban harmful single-use plastics. Canada</w:t>
      </w:r>
      <w:r>
        <w:t xml:space="preserve"> </w:t>
      </w:r>
      <w:r w:rsidRPr="005B144C">
        <w:t>support</w:t>
      </w:r>
      <w:r>
        <w:t>ed</w:t>
      </w:r>
      <w:r w:rsidRPr="005B144C">
        <w:t xml:space="preserve"> the transitioning to a global circular economy, including a circular plastics economy.</w:t>
      </w:r>
      <w:r>
        <w:t xml:space="preserve"> In </w:t>
      </w:r>
      <w:r w:rsidRPr="005B144C">
        <w:t xml:space="preserve">collaboration with the Finnish Innovation Fund </w:t>
      </w:r>
      <w:r>
        <w:t>(</w:t>
      </w:r>
      <w:r w:rsidRPr="005B144C">
        <w:t>Sitra</w:t>
      </w:r>
      <w:r>
        <w:t>)</w:t>
      </w:r>
      <w:r w:rsidRPr="005B144C">
        <w:t xml:space="preserve">, </w:t>
      </w:r>
      <w:r>
        <w:t>Canada was</w:t>
      </w:r>
      <w:r w:rsidRPr="005B144C">
        <w:t xml:space="preserve"> pleased to host the virtual World Circular Economy Forum</w:t>
      </w:r>
      <w:r>
        <w:t xml:space="preserve"> (WCEF)</w:t>
      </w:r>
      <w:r w:rsidRPr="005B144C">
        <w:t xml:space="preserve"> 2021 from </w:t>
      </w:r>
      <w:r w:rsidR="0011709E" w:rsidRPr="005B144C">
        <w:t>13</w:t>
      </w:r>
      <w:r w:rsidR="00DA62CA">
        <w:t xml:space="preserve"> to</w:t>
      </w:r>
      <w:r w:rsidR="0011709E" w:rsidRPr="005B144C">
        <w:t>15</w:t>
      </w:r>
      <w:r w:rsidR="0011709E">
        <w:t xml:space="preserve"> </w:t>
      </w:r>
      <w:r w:rsidRPr="005B144C">
        <w:t>September 2021.</w:t>
      </w:r>
      <w:r>
        <w:t xml:space="preserve"> WCEF</w:t>
      </w:r>
      <w:r w:rsidRPr="005B144C">
        <w:t xml:space="preserve"> 2021 w</w:t>
      </w:r>
      <w:r>
        <w:t>ould</w:t>
      </w:r>
      <w:r w:rsidRPr="005B144C">
        <w:t xml:space="preserve"> bring together global leaders and experts, to focus on the key actions and systemic changes </w:t>
      </w:r>
      <w:r>
        <w:t>required</w:t>
      </w:r>
      <w:r w:rsidRPr="005B144C">
        <w:t xml:space="preserve"> to drive ambitious action to accelerate the transition to a circular economy. Canada </w:t>
      </w:r>
      <w:r>
        <w:t>was</w:t>
      </w:r>
      <w:r w:rsidRPr="005B144C">
        <w:t xml:space="preserve"> also pleased to be working closely with the Netherlands to ensure </w:t>
      </w:r>
      <w:r>
        <w:t xml:space="preserve">WCEF </w:t>
      </w:r>
      <w:r w:rsidRPr="005B144C">
        <w:t xml:space="preserve">2021 </w:t>
      </w:r>
      <w:r>
        <w:t>would build</w:t>
      </w:r>
      <w:r w:rsidRPr="005B144C">
        <w:t xml:space="preserve"> on the outcomes of the WCEF+Climate event, which the Government of the Netherlands and Sitra </w:t>
      </w:r>
      <w:r>
        <w:t>would</w:t>
      </w:r>
      <w:r w:rsidRPr="005B144C">
        <w:t xml:space="preserve"> host on 15</w:t>
      </w:r>
      <w:r w:rsidR="00DA62CA">
        <w:t xml:space="preserve"> and</w:t>
      </w:r>
      <w:r w:rsidRPr="005B144C">
        <w:t>16</w:t>
      </w:r>
      <w:r>
        <w:t xml:space="preserve"> </w:t>
      </w:r>
      <w:r w:rsidR="0011709E" w:rsidRPr="005B144C">
        <w:t xml:space="preserve">April </w:t>
      </w:r>
      <w:r>
        <w:t>2021</w:t>
      </w:r>
      <w:r w:rsidRPr="005B144C">
        <w:t>.</w:t>
      </w:r>
      <w:r>
        <w:t xml:space="preserve"> </w:t>
      </w:r>
    </w:p>
    <w:p w14:paraId="492C62A7" w14:textId="73AB7950" w:rsidR="000D4B6F" w:rsidRPr="00C13AA8" w:rsidRDefault="000D4B6F" w:rsidP="000D4B6F">
      <w:pPr>
        <w:pStyle w:val="BodyText"/>
      </w:pPr>
      <w:bookmarkStart w:id="20" w:name="_Hlk68111618"/>
      <w:r w:rsidRPr="00D977D6">
        <w:rPr>
          <w:lang w:val="en-US"/>
        </w:rPr>
        <w:t xml:space="preserve">The representative of </w:t>
      </w:r>
      <w:r w:rsidRPr="00D977D6">
        <w:rPr>
          <w:u w:val="single"/>
        </w:rPr>
        <w:t>Australia</w:t>
      </w:r>
      <w:r w:rsidRPr="00D977D6">
        <w:rPr>
          <w:b/>
          <w:bCs/>
        </w:rPr>
        <w:t xml:space="preserve"> </w:t>
      </w:r>
      <w:r w:rsidRPr="00C13AA8">
        <w:t>thank</w:t>
      </w:r>
      <w:r>
        <w:t>ed</w:t>
      </w:r>
      <w:r w:rsidRPr="00C13AA8">
        <w:t xml:space="preserve"> Morocco </w:t>
      </w:r>
      <w:r>
        <w:t>and</w:t>
      </w:r>
      <w:r w:rsidRPr="00C13AA8">
        <w:t xml:space="preserve"> fellow co-coordinators for their work on this important initiative.</w:t>
      </w:r>
      <w:r>
        <w:t xml:space="preserve"> </w:t>
      </w:r>
      <w:r w:rsidRPr="00C13AA8">
        <w:t>Australia remain</w:t>
      </w:r>
      <w:r>
        <w:t>ed</w:t>
      </w:r>
      <w:r w:rsidRPr="00C13AA8">
        <w:t xml:space="preserve"> very concerned about the increasing amount of plastic polluting oceans and natural environments, which </w:t>
      </w:r>
      <w:r>
        <w:t xml:space="preserve">was </w:t>
      </w:r>
      <w:r w:rsidRPr="00C13AA8">
        <w:t>unfortunately only projected to grow.</w:t>
      </w:r>
      <w:r>
        <w:t xml:space="preserve"> His delegation saw</w:t>
      </w:r>
      <w:r w:rsidRPr="00C13AA8">
        <w:t xml:space="preserve"> the work of the IDP as an important part of the WTO</w:t>
      </w:r>
      <w:r w:rsidR="0011709E">
        <w:t>'</w:t>
      </w:r>
      <w:r w:rsidRPr="00C13AA8">
        <w:t>s broader agenda to support a more environmentally sustainable global economy through the consideration</w:t>
      </w:r>
      <w:r>
        <w:t xml:space="preserve"> of</w:t>
      </w:r>
      <w:r w:rsidRPr="00C13AA8">
        <w:t xml:space="preserve"> the trade-related contribution to plastics pollution.</w:t>
      </w:r>
      <w:r>
        <w:t xml:space="preserve"> </w:t>
      </w:r>
      <w:r w:rsidRPr="00C13AA8">
        <w:t xml:space="preserve">The dialogue was informative and valuable, and </w:t>
      </w:r>
      <w:r>
        <w:t>Australia</w:t>
      </w:r>
      <w:r w:rsidRPr="00C13AA8">
        <w:t xml:space="preserve"> encourage</w:t>
      </w:r>
      <w:r>
        <w:t>d</w:t>
      </w:r>
      <w:r w:rsidRPr="00C13AA8">
        <w:t xml:space="preserve"> all Members to participate in </w:t>
      </w:r>
      <w:r>
        <w:t>the</w:t>
      </w:r>
      <w:r w:rsidRPr="00C13AA8">
        <w:t xml:space="preserve"> initiative.</w:t>
      </w:r>
    </w:p>
    <w:p w14:paraId="46D1781C" w14:textId="35EB54FB" w:rsidR="000D4B6F" w:rsidRPr="00671195" w:rsidRDefault="000D4B6F" w:rsidP="000D4B6F">
      <w:pPr>
        <w:pStyle w:val="BodyText"/>
      </w:pPr>
      <w:r w:rsidRPr="006C4688">
        <w:rPr>
          <w:lang w:val="en-US"/>
        </w:rPr>
        <w:t xml:space="preserve">The representative of </w:t>
      </w:r>
      <w:r w:rsidRPr="006C4688">
        <w:rPr>
          <w:u w:val="single"/>
        </w:rPr>
        <w:t>Norway</w:t>
      </w:r>
      <w:r w:rsidRPr="006C4688">
        <w:rPr>
          <w:b/>
          <w:bCs/>
        </w:rPr>
        <w:t xml:space="preserve"> </w:t>
      </w:r>
      <w:r w:rsidRPr="00671195">
        <w:t>welcome</w:t>
      </w:r>
      <w:r>
        <w:t>d</w:t>
      </w:r>
      <w:r w:rsidRPr="00671195">
        <w:t xml:space="preserve"> the work led by China and Fiji on plastics pollution and environmentally sustainable plastics trade. Work in the WTO </w:t>
      </w:r>
      <w:r>
        <w:t>was</w:t>
      </w:r>
      <w:r w:rsidRPr="00671195">
        <w:t xml:space="preserve"> useful, </w:t>
      </w:r>
      <w:r>
        <w:t>as were</w:t>
      </w:r>
      <w:r w:rsidRPr="00671195">
        <w:t xml:space="preserve"> efforts that </w:t>
      </w:r>
      <w:r>
        <w:t>took</w:t>
      </w:r>
      <w:r w:rsidRPr="00671195">
        <w:t xml:space="preserve"> place in UNEP and other </w:t>
      </w:r>
      <w:r>
        <w:t>forums</w:t>
      </w:r>
      <w:r w:rsidRPr="00671195">
        <w:t xml:space="preserve">. </w:t>
      </w:r>
      <w:r>
        <w:t>Norway</w:t>
      </w:r>
      <w:r w:rsidRPr="00671195">
        <w:t xml:space="preserve"> underline</w:t>
      </w:r>
      <w:r>
        <w:t>d</w:t>
      </w:r>
      <w:r w:rsidRPr="00671195">
        <w:t xml:space="preserve"> the importance to have a global agreement on plastics and echo</w:t>
      </w:r>
      <w:r>
        <w:t>ed</w:t>
      </w:r>
      <w:r w:rsidRPr="00671195">
        <w:t xml:space="preserve"> </w:t>
      </w:r>
      <w:r>
        <w:t xml:space="preserve">the remarks by the </w:t>
      </w:r>
      <w:r w:rsidR="0011709E">
        <w:t>European</w:t>
      </w:r>
      <w:r w:rsidR="00025E1C">
        <w:t> Union</w:t>
      </w:r>
      <w:r w:rsidRPr="00671195">
        <w:t xml:space="preserve"> in that regard.</w:t>
      </w:r>
    </w:p>
    <w:p w14:paraId="6CF9A309" w14:textId="36609469" w:rsidR="000D4B6F" w:rsidRPr="00D02089" w:rsidRDefault="000D4B6F" w:rsidP="000D4B6F">
      <w:pPr>
        <w:pStyle w:val="BodyText"/>
        <w:rPr>
          <w:lang w:val="en-US"/>
        </w:rPr>
      </w:pPr>
      <w:r w:rsidRPr="00D02089">
        <w:rPr>
          <w:lang w:val="en-US"/>
        </w:rPr>
        <w:t xml:space="preserve">The representative of </w:t>
      </w:r>
      <w:r w:rsidRPr="00D02089">
        <w:rPr>
          <w:u w:val="single"/>
        </w:rPr>
        <w:t>Ukraine</w:t>
      </w:r>
      <w:r w:rsidRPr="006C4688">
        <w:t xml:space="preserve"> </w:t>
      </w:r>
      <w:r w:rsidRPr="00D02089">
        <w:rPr>
          <w:lang w:val="en-US"/>
        </w:rPr>
        <w:t xml:space="preserve">thanked all co-sponsors for launching the IDP which was very timely and important. The plastic pollution problem grew more serious every year, now becoming a global challenge for </w:t>
      </w:r>
      <w:r w:rsidR="0011709E">
        <w:rPr>
          <w:lang w:val="en-US"/>
        </w:rPr>
        <w:t xml:space="preserve">the </w:t>
      </w:r>
      <w:r w:rsidRPr="00D02089">
        <w:rPr>
          <w:lang w:val="en-US"/>
        </w:rPr>
        <w:t xml:space="preserve">international community. Ukraine therefore supported the idea of joining their efforts to achieve positive results in overcoming this plastic crisis. Ukraine had already started addressing the issue at the national and regional levels and considered the exchange of experience and best practices in tackling plastic pollution among WTO </w:t>
      </w:r>
      <w:r w:rsidR="001C68E0">
        <w:rPr>
          <w:lang w:val="en-US"/>
        </w:rPr>
        <w:t>M</w:t>
      </w:r>
      <w:r w:rsidRPr="00D02089">
        <w:rPr>
          <w:lang w:val="en-US"/>
        </w:rPr>
        <w:t xml:space="preserve">embers as timely and potentially very helpful. Ukraine was open for discussions on the topic and hoped it would soon be able to address more effectively plastic pollution at the national level. </w:t>
      </w:r>
    </w:p>
    <w:p w14:paraId="3FF07A71" w14:textId="655BF908" w:rsidR="000D4B6F" w:rsidRPr="00754F0F" w:rsidRDefault="000D4B6F" w:rsidP="000D4B6F">
      <w:pPr>
        <w:pStyle w:val="BodyText"/>
        <w:rPr>
          <w:rFonts w:eastAsia="仿宋"/>
        </w:rPr>
      </w:pPr>
      <w:r w:rsidRPr="00754F0F">
        <w:rPr>
          <w:lang w:val="en-US"/>
        </w:rPr>
        <w:t xml:space="preserve">The representative of </w:t>
      </w:r>
      <w:r w:rsidRPr="00754F0F">
        <w:rPr>
          <w:u w:val="single"/>
        </w:rPr>
        <w:t>China</w:t>
      </w:r>
      <w:r w:rsidRPr="006C4688">
        <w:t xml:space="preserve"> </w:t>
      </w:r>
      <w:bookmarkEnd w:id="20"/>
      <w:r w:rsidRPr="00754F0F">
        <w:rPr>
          <w:rFonts w:eastAsia="仿宋"/>
        </w:rPr>
        <w:t>thanked WTO Director</w:t>
      </w:r>
      <w:r w:rsidR="009F1F9A">
        <w:rPr>
          <w:rFonts w:eastAsia="仿宋"/>
        </w:rPr>
        <w:t>-</w:t>
      </w:r>
      <w:r w:rsidRPr="00754F0F">
        <w:rPr>
          <w:rFonts w:eastAsia="仿宋"/>
        </w:rPr>
        <w:t xml:space="preserve">General </w:t>
      </w:r>
      <w:r w:rsidR="00025E1C">
        <w:rPr>
          <w:rFonts w:eastAsia="仿宋"/>
        </w:rPr>
        <w:t>Dr</w:t>
      </w:r>
      <w:r w:rsidRPr="00754F0F">
        <w:rPr>
          <w:rFonts w:eastAsia="仿宋"/>
        </w:rPr>
        <w:t xml:space="preserve"> Ngozi Okonjo-Iweala and all Members who shared their views and suggestions on the IDP, in particular on the suggested roadmap and possible outcomes by MC12. Tackling </w:t>
      </w:r>
      <w:r w:rsidR="001C68E0" w:rsidRPr="00754F0F">
        <w:rPr>
          <w:rFonts w:eastAsia="仿宋"/>
        </w:rPr>
        <w:t xml:space="preserve">plastics pollution </w:t>
      </w:r>
      <w:r w:rsidRPr="00754F0F">
        <w:rPr>
          <w:rFonts w:eastAsia="仿宋"/>
        </w:rPr>
        <w:t>was an issue where WTO could demonstrate its relevance to new challenges which were of major public concern. It was also an issue of shared importance for all delegations, least</w:t>
      </w:r>
      <w:r w:rsidR="009F1F9A">
        <w:rPr>
          <w:rFonts w:eastAsia="仿宋"/>
        </w:rPr>
        <w:t xml:space="preserve"> </w:t>
      </w:r>
      <w:r w:rsidRPr="00754F0F">
        <w:rPr>
          <w:rFonts w:eastAsia="仿宋"/>
        </w:rPr>
        <w:t xml:space="preserve">developed countries, developing and developed </w:t>
      </w:r>
      <w:r w:rsidR="001C68E0">
        <w:rPr>
          <w:rFonts w:eastAsia="仿宋"/>
        </w:rPr>
        <w:t>M</w:t>
      </w:r>
      <w:r w:rsidRPr="00754F0F">
        <w:rPr>
          <w:rFonts w:eastAsia="仿宋"/>
        </w:rPr>
        <w:t xml:space="preserve">embers. The IDP was open to all WTO </w:t>
      </w:r>
      <w:r w:rsidR="001C68E0">
        <w:rPr>
          <w:rFonts w:eastAsia="仿宋"/>
        </w:rPr>
        <w:t>M</w:t>
      </w:r>
      <w:r w:rsidRPr="00754F0F">
        <w:rPr>
          <w:rFonts w:eastAsia="仿宋"/>
        </w:rPr>
        <w:t>embers</w:t>
      </w:r>
      <w:r>
        <w:rPr>
          <w:rFonts w:eastAsia="仿宋"/>
        </w:rPr>
        <w:t xml:space="preserve"> and</w:t>
      </w:r>
      <w:r w:rsidRPr="00754F0F">
        <w:rPr>
          <w:rFonts w:eastAsia="仿宋"/>
        </w:rPr>
        <w:t xml:space="preserve"> China would like to join Morocco and all other co</w:t>
      </w:r>
      <w:r>
        <w:rPr>
          <w:rFonts w:eastAsia="仿宋"/>
        </w:rPr>
        <w:t>-</w:t>
      </w:r>
      <w:r w:rsidRPr="00754F0F">
        <w:rPr>
          <w:rFonts w:eastAsia="仿宋"/>
        </w:rPr>
        <w:t xml:space="preserve">sponsors to </w:t>
      </w:r>
      <w:r>
        <w:rPr>
          <w:rFonts w:eastAsia="仿宋"/>
        </w:rPr>
        <w:t xml:space="preserve">express their </w:t>
      </w:r>
      <w:r w:rsidRPr="00754F0F">
        <w:rPr>
          <w:rFonts w:eastAsia="仿宋"/>
        </w:rPr>
        <w:t>high</w:t>
      </w:r>
      <w:r>
        <w:rPr>
          <w:rFonts w:eastAsia="仿宋"/>
        </w:rPr>
        <w:t xml:space="preserve"> appreciation of</w:t>
      </w:r>
      <w:r w:rsidRPr="00754F0F">
        <w:rPr>
          <w:rFonts w:eastAsia="仿宋"/>
        </w:rPr>
        <w:t xml:space="preserve"> the engagement and support of interested delegations in all past discussions</w:t>
      </w:r>
      <w:r>
        <w:rPr>
          <w:rFonts w:eastAsia="仿宋"/>
        </w:rPr>
        <w:t>. China</w:t>
      </w:r>
      <w:r w:rsidRPr="00754F0F">
        <w:rPr>
          <w:rFonts w:eastAsia="仿宋"/>
        </w:rPr>
        <w:t xml:space="preserve"> look</w:t>
      </w:r>
      <w:r>
        <w:rPr>
          <w:rFonts w:eastAsia="仿宋"/>
        </w:rPr>
        <w:t>ed</w:t>
      </w:r>
      <w:r w:rsidRPr="00754F0F">
        <w:rPr>
          <w:rFonts w:eastAsia="仿宋"/>
        </w:rPr>
        <w:t xml:space="preserve"> forward to more </w:t>
      </w:r>
      <w:r>
        <w:rPr>
          <w:rFonts w:eastAsia="仿宋"/>
        </w:rPr>
        <w:t>M</w:t>
      </w:r>
      <w:r w:rsidRPr="00754F0F">
        <w:rPr>
          <w:rFonts w:eastAsia="仿宋"/>
        </w:rPr>
        <w:t>embers co</w:t>
      </w:r>
      <w:r>
        <w:rPr>
          <w:rFonts w:eastAsia="仿宋"/>
        </w:rPr>
        <w:t>-</w:t>
      </w:r>
      <w:r w:rsidRPr="00754F0F">
        <w:rPr>
          <w:rFonts w:eastAsia="仿宋"/>
        </w:rPr>
        <w:t xml:space="preserve">sponsoring </w:t>
      </w:r>
      <w:r>
        <w:rPr>
          <w:rFonts w:eastAsia="仿宋"/>
        </w:rPr>
        <w:t>the IDP</w:t>
      </w:r>
      <w:r w:rsidRPr="00754F0F">
        <w:rPr>
          <w:rFonts w:eastAsia="仿宋"/>
        </w:rPr>
        <w:t xml:space="preserve"> and jointly work</w:t>
      </w:r>
      <w:r>
        <w:rPr>
          <w:rFonts w:eastAsia="仿宋"/>
        </w:rPr>
        <w:t>ing</w:t>
      </w:r>
      <w:r w:rsidRPr="00754F0F">
        <w:rPr>
          <w:rFonts w:eastAsia="仿宋"/>
        </w:rPr>
        <w:t xml:space="preserve"> towards achieving a tangible result in MC12. </w:t>
      </w:r>
    </w:p>
    <w:p w14:paraId="079629BB" w14:textId="051CF3A2" w:rsidR="000D4B6F" w:rsidRPr="00754F0F" w:rsidRDefault="000D4B6F" w:rsidP="000D4B6F">
      <w:pPr>
        <w:pStyle w:val="BodyText"/>
        <w:rPr>
          <w:rFonts w:cstheme="minorHAnsi"/>
        </w:rPr>
      </w:pPr>
      <w:r w:rsidRPr="00754F0F">
        <w:rPr>
          <w:lang w:val="en-US"/>
        </w:rPr>
        <w:t xml:space="preserve">The representative of the </w:t>
      </w:r>
      <w:r w:rsidRPr="00754F0F">
        <w:rPr>
          <w:u w:val="single"/>
          <w:lang w:val="en-US"/>
        </w:rPr>
        <w:t>United</w:t>
      </w:r>
      <w:r w:rsidR="00025E1C">
        <w:rPr>
          <w:u w:val="single"/>
          <w:lang w:val="en-US"/>
        </w:rPr>
        <w:t> States</w:t>
      </w:r>
      <w:r w:rsidRPr="00754F0F">
        <w:rPr>
          <w:b/>
          <w:bCs/>
        </w:rPr>
        <w:t xml:space="preserve"> </w:t>
      </w:r>
      <w:r w:rsidRPr="00754F0F">
        <w:rPr>
          <w:rFonts w:cstheme="minorHAnsi"/>
        </w:rPr>
        <w:t>note</w:t>
      </w:r>
      <w:r w:rsidR="001C68E0">
        <w:rPr>
          <w:rFonts w:cstheme="minorHAnsi"/>
        </w:rPr>
        <w:t>d</w:t>
      </w:r>
      <w:r w:rsidRPr="00754F0F">
        <w:rPr>
          <w:rFonts w:cstheme="minorHAnsi"/>
        </w:rPr>
        <w:t xml:space="preserve"> his delegation's interest in the issues of plastic waste and scrap, including the use of a trade facilitative approach to support resource</w:t>
      </w:r>
      <w:r w:rsidR="009F1F9A">
        <w:rPr>
          <w:rFonts w:cstheme="minorHAnsi"/>
        </w:rPr>
        <w:t xml:space="preserve"> </w:t>
      </w:r>
      <w:r w:rsidRPr="00754F0F">
        <w:rPr>
          <w:rFonts w:cstheme="minorHAnsi"/>
        </w:rPr>
        <w:t xml:space="preserve">efficiency, including to manage plastic waste and scrap, so that materials could be recovered, recycled, and returned to commerce. </w:t>
      </w:r>
      <w:r>
        <w:rPr>
          <w:rFonts w:cstheme="minorHAnsi"/>
        </w:rPr>
        <w:t xml:space="preserve">The </w:t>
      </w:r>
      <w:r w:rsidR="001C68E0">
        <w:rPr>
          <w:rFonts w:cstheme="minorHAnsi"/>
        </w:rPr>
        <w:t>United</w:t>
      </w:r>
      <w:r w:rsidR="00025E1C">
        <w:rPr>
          <w:rFonts w:cstheme="minorHAnsi"/>
        </w:rPr>
        <w:t> States</w:t>
      </w:r>
      <w:r w:rsidRPr="00754F0F">
        <w:rPr>
          <w:rFonts w:cstheme="minorHAnsi"/>
        </w:rPr>
        <w:t xml:space="preserve"> would welcome further clarification from the co-sponsors to better understand and identify the trade-specific aspects associated with the management of plastic waste and scrap, and how the IDP propose</w:t>
      </w:r>
      <w:r>
        <w:rPr>
          <w:rFonts w:cstheme="minorHAnsi"/>
        </w:rPr>
        <w:t>d</w:t>
      </w:r>
      <w:r w:rsidRPr="00754F0F">
        <w:rPr>
          <w:rFonts w:cstheme="minorHAnsi"/>
        </w:rPr>
        <w:t xml:space="preserve"> to address those trade-related aspects. In essence, </w:t>
      </w:r>
      <w:r>
        <w:rPr>
          <w:rFonts w:cstheme="minorHAnsi"/>
        </w:rPr>
        <w:t xml:space="preserve">his delegation sought to understand </w:t>
      </w:r>
      <w:r w:rsidRPr="00754F0F">
        <w:rPr>
          <w:rFonts w:cstheme="minorHAnsi"/>
        </w:rPr>
        <w:t xml:space="preserve">what </w:t>
      </w:r>
      <w:r>
        <w:rPr>
          <w:rFonts w:cstheme="minorHAnsi"/>
        </w:rPr>
        <w:t>was</w:t>
      </w:r>
      <w:r w:rsidRPr="00754F0F">
        <w:rPr>
          <w:rFonts w:cstheme="minorHAnsi"/>
        </w:rPr>
        <w:t xml:space="preserve"> the value-add to the trade process that </w:t>
      </w:r>
      <w:r>
        <w:rPr>
          <w:rFonts w:cstheme="minorHAnsi"/>
        </w:rPr>
        <w:t>co-sponsors were</w:t>
      </w:r>
      <w:r w:rsidRPr="00754F0F">
        <w:rPr>
          <w:rFonts w:cstheme="minorHAnsi"/>
        </w:rPr>
        <w:t xml:space="preserve"> proposing to bring through the IDP</w:t>
      </w:r>
      <w:r>
        <w:rPr>
          <w:rFonts w:cstheme="minorHAnsi"/>
        </w:rPr>
        <w:t>.</w:t>
      </w:r>
      <w:r w:rsidRPr="00754F0F">
        <w:rPr>
          <w:rFonts w:cstheme="minorHAnsi"/>
        </w:rPr>
        <w:t xml:space="preserve"> </w:t>
      </w:r>
    </w:p>
    <w:p w14:paraId="26CB94E5" w14:textId="2B660778" w:rsidR="000D4B6F" w:rsidRPr="00754F0F" w:rsidRDefault="000D4B6F" w:rsidP="000D4B6F">
      <w:pPr>
        <w:pStyle w:val="BodyText"/>
        <w:rPr>
          <w:rFonts w:cstheme="minorHAnsi"/>
        </w:rPr>
      </w:pPr>
      <w:r w:rsidRPr="00754F0F">
        <w:rPr>
          <w:rFonts w:cstheme="minorHAnsi"/>
        </w:rPr>
        <w:t xml:space="preserve">The </w:t>
      </w:r>
      <w:r w:rsidR="001C68E0">
        <w:rPr>
          <w:rFonts w:cstheme="minorHAnsi"/>
        </w:rPr>
        <w:t>United</w:t>
      </w:r>
      <w:r w:rsidR="00025E1C">
        <w:rPr>
          <w:rFonts w:cstheme="minorHAnsi"/>
        </w:rPr>
        <w:t> States</w:t>
      </w:r>
      <w:r w:rsidR="001C68E0" w:rsidRPr="00754F0F">
        <w:rPr>
          <w:rFonts w:cstheme="minorHAnsi"/>
        </w:rPr>
        <w:t xml:space="preserve"> </w:t>
      </w:r>
      <w:r w:rsidRPr="00754F0F">
        <w:rPr>
          <w:rFonts w:cstheme="minorHAnsi"/>
        </w:rPr>
        <w:t xml:space="preserve">believed trade and environmental goals were mutually supportive, including in the case of plastics; trade could and should play an important role to support post-consumer materials recovery and recycling. His delegation continued to encourage WTO Members to look beyond plastic as solely a pollution issue. Post-consumer recycled scrap had economic value as a tradable commodity. WTO Members could and should find ways to ensure these materials did not needlessly end up in landfills, or otherwise encouraged the additional production of virgin plastics or other materials, when recyclable commodities could and should remain in the production stream. The </w:t>
      </w:r>
      <w:r w:rsidR="001C68E0">
        <w:rPr>
          <w:rFonts w:cstheme="minorHAnsi"/>
        </w:rPr>
        <w:t>United</w:t>
      </w:r>
      <w:r w:rsidR="00025E1C">
        <w:rPr>
          <w:rFonts w:cstheme="minorHAnsi"/>
        </w:rPr>
        <w:t> States</w:t>
      </w:r>
      <w:r w:rsidR="001C68E0" w:rsidRPr="00754F0F">
        <w:rPr>
          <w:rFonts w:cstheme="minorHAnsi"/>
        </w:rPr>
        <w:t xml:space="preserve"> </w:t>
      </w:r>
      <w:r w:rsidRPr="00754F0F">
        <w:rPr>
          <w:rFonts w:cstheme="minorHAnsi"/>
        </w:rPr>
        <w:t>continue</w:t>
      </w:r>
      <w:r>
        <w:rPr>
          <w:rFonts w:cstheme="minorHAnsi"/>
        </w:rPr>
        <w:t xml:space="preserve">d </w:t>
      </w:r>
      <w:r w:rsidRPr="00754F0F">
        <w:rPr>
          <w:rFonts w:cstheme="minorHAnsi"/>
        </w:rPr>
        <w:t>to believe the WTO c</w:t>
      </w:r>
      <w:r>
        <w:rPr>
          <w:rFonts w:cstheme="minorHAnsi"/>
        </w:rPr>
        <w:t>ould</w:t>
      </w:r>
      <w:r w:rsidRPr="00754F0F">
        <w:rPr>
          <w:rFonts w:cstheme="minorHAnsi"/>
        </w:rPr>
        <w:t xml:space="preserve"> support better environmental outcomes by taking a trade facilitative approach to address environmental challenges like materials recovery and recycling.</w:t>
      </w:r>
      <w:r w:rsidR="0013743A" w:rsidRPr="00754F0F">
        <w:rPr>
          <w:rFonts w:cstheme="minorHAnsi"/>
        </w:rPr>
        <w:t xml:space="preserve"> </w:t>
      </w:r>
    </w:p>
    <w:p w14:paraId="3DDACB72" w14:textId="41620B79" w:rsidR="00BE6BB4" w:rsidRDefault="00BE6BB4" w:rsidP="009F1F9A">
      <w:pPr>
        <w:pStyle w:val="BodyText"/>
      </w:pPr>
      <w:r w:rsidRPr="00BE6BB4">
        <w:rPr>
          <w:lang w:val="en-US"/>
        </w:rPr>
        <w:lastRenderedPageBreak/>
        <w:t xml:space="preserve">The representative of </w:t>
      </w:r>
      <w:r w:rsidRPr="00BE6BB4">
        <w:rPr>
          <w:u w:val="single"/>
        </w:rPr>
        <w:t>Saudi Arabia</w:t>
      </w:r>
      <w:r w:rsidRPr="00BE6BB4">
        <w:rPr>
          <w:b/>
          <w:bCs/>
        </w:rPr>
        <w:t xml:space="preserve"> </w:t>
      </w:r>
      <w:r w:rsidRPr="00BE6BB4">
        <w:t>drew the attention of the Committee that more effective</w:t>
      </w:r>
      <w:r>
        <w:t xml:space="preserve"> waste plastic management including trends and responses, along with the role of international co-operation and trade would be more beneficial in addressing the environmental side effects of plastic waste pollution. Saudi Arabia encouraged further knowledge and information sharing in this area.</w:t>
      </w:r>
    </w:p>
    <w:p w14:paraId="6B1BE43D" w14:textId="032B30DE" w:rsidR="000D4B6F" w:rsidRDefault="000D4B6F" w:rsidP="000D4B6F">
      <w:pPr>
        <w:pStyle w:val="BodyText"/>
      </w:pPr>
      <w:r w:rsidRPr="00576096">
        <w:t xml:space="preserve">The representative of </w:t>
      </w:r>
      <w:r w:rsidRPr="00576096">
        <w:rPr>
          <w:u w:val="single"/>
        </w:rPr>
        <w:t>Morocco</w:t>
      </w:r>
      <w:r w:rsidRPr="00576096">
        <w:t xml:space="preserve"> </w:t>
      </w:r>
      <w:r>
        <w:t xml:space="preserve">thanked all delegations for their remarks and support, noting that there were still different views to align. He shared the US assessment on the positive economic value wastes and scraps </w:t>
      </w:r>
      <w:r w:rsidR="001C68E0">
        <w:t>could</w:t>
      </w:r>
      <w:r>
        <w:t xml:space="preserve"> have. He echoed Australia and Ecuador in urging delegations to participate in the upcoming IDP meetings to contribute with these and other perspectives on the issue. He similarly echoed the </w:t>
      </w:r>
      <w:r w:rsidR="001C68E0">
        <w:t>European</w:t>
      </w:r>
      <w:r w:rsidR="00025E1C">
        <w:t> Union</w:t>
      </w:r>
      <w:r>
        <w:t>, Norway and Canada on the importance for IDP to work in synergy and intelligently to ensure coordination with international efforts, while sharing the view expressed by Norway on a higher ambition towards a global agreement on plastics. He stressed that co-sponsors already had an initial goal which was to achieve a Ministerial Declaration by MC12, and concrete steps in that direction should be adopted. He emphasized the concerns expressed by Australia and Ecuador and the need to urgently preserve ecosystems. All such matters would be discussed in depth in the next IDP meeting co-chaired by Ecuador and Barbados.</w:t>
      </w:r>
    </w:p>
    <w:p w14:paraId="7275980E" w14:textId="6B35C726" w:rsidR="00515BE6" w:rsidRPr="00576096" w:rsidRDefault="00515BE6" w:rsidP="00515BE6">
      <w:pPr>
        <w:pStyle w:val="Heading4"/>
      </w:pPr>
      <w:bookmarkStart w:id="21" w:name="_Toc74660659"/>
      <w:r>
        <w:t>Presentation by the Central African Republic on</w:t>
      </w:r>
      <w:r w:rsidRPr="00515BE6">
        <w:rPr>
          <w:lang w:val="en-US"/>
        </w:rPr>
        <w:t xml:space="preserve"> </w:t>
      </w:r>
      <w:r w:rsidRPr="008C5CBC">
        <w:rPr>
          <w:lang w:val="en-US"/>
        </w:rPr>
        <w:t>National Efforts related to Plastics Pollution</w:t>
      </w:r>
      <w:bookmarkEnd w:id="21"/>
    </w:p>
    <w:p w14:paraId="280FEA34" w14:textId="506A6E07" w:rsidR="000D4B6F" w:rsidRPr="00726706" w:rsidRDefault="000D4B6F" w:rsidP="000D4B6F">
      <w:pPr>
        <w:pStyle w:val="BodyText"/>
        <w:rPr>
          <w:szCs w:val="18"/>
        </w:rPr>
      </w:pPr>
      <w:r w:rsidRPr="00634A8C">
        <w:t xml:space="preserve">The representative of the </w:t>
      </w:r>
      <w:r w:rsidRPr="00634A8C">
        <w:rPr>
          <w:u w:val="single"/>
          <w:lang w:val="en-US"/>
        </w:rPr>
        <w:t>Central African Republic</w:t>
      </w:r>
      <w:r w:rsidRPr="00634A8C">
        <w:rPr>
          <w:lang w:val="en-US"/>
        </w:rPr>
        <w:t>, H.E.</w:t>
      </w:r>
      <w:r w:rsidR="0035369C" w:rsidRPr="00634A8C">
        <w:rPr>
          <w:lang w:val="en-US"/>
        </w:rPr>
        <w:t xml:space="preserve"> </w:t>
      </w:r>
      <w:r w:rsidRPr="00634A8C">
        <w:rPr>
          <w:szCs w:val="18"/>
          <w:lang w:val="en-US"/>
        </w:rPr>
        <w:t>Ambassador Leopold Samba</w:t>
      </w:r>
      <w:r>
        <w:rPr>
          <w:szCs w:val="18"/>
          <w:lang w:val="en-US"/>
        </w:rPr>
        <w:t xml:space="preserve">, briefed delegations on </w:t>
      </w:r>
      <w:r w:rsidRPr="00634A8C">
        <w:rPr>
          <w:lang w:val="en-US"/>
        </w:rPr>
        <w:t xml:space="preserve">national efforts </w:t>
      </w:r>
      <w:r>
        <w:rPr>
          <w:lang w:val="en-US"/>
        </w:rPr>
        <w:t xml:space="preserve">in the </w:t>
      </w:r>
      <w:r>
        <w:rPr>
          <w:szCs w:val="18"/>
          <w:lang w:val="en-US"/>
        </w:rPr>
        <w:t>Central African Republic</w:t>
      </w:r>
      <w:r w:rsidRPr="00634A8C">
        <w:rPr>
          <w:lang w:val="en-US"/>
        </w:rPr>
        <w:t xml:space="preserve"> related to plastics pollution.</w:t>
      </w:r>
      <w:r w:rsidR="001C68E0">
        <w:rPr>
          <w:rStyle w:val="FootnoteReference"/>
          <w:lang w:val="en-US"/>
        </w:rPr>
        <w:footnoteReference w:id="2"/>
      </w:r>
      <w:r w:rsidRPr="00634A8C">
        <w:rPr>
          <w:lang w:val="en-US"/>
        </w:rPr>
        <w:t xml:space="preserve"> </w:t>
      </w:r>
      <w:r>
        <w:rPr>
          <w:lang w:val="en-US"/>
        </w:rPr>
        <w:t>The country strived to use plastic waste to the most extent possible, recycling or repurposing waste products and was a signatory to</w:t>
      </w:r>
      <w:r>
        <w:rPr>
          <w:szCs w:val="18"/>
          <w:lang w:val="en-US"/>
        </w:rPr>
        <w:t xml:space="preserve"> the Basel Convention. </w:t>
      </w:r>
      <w:r>
        <w:rPr>
          <w:lang w:val="en-US"/>
        </w:rPr>
        <w:t xml:space="preserve">Under the department in charge for the environment, the </w:t>
      </w:r>
      <w:r>
        <w:rPr>
          <w:szCs w:val="18"/>
          <w:lang w:val="en-US"/>
        </w:rPr>
        <w:t xml:space="preserve">Central African Republic had established national policies, decrees and laws which created a comprehensive environmental regulatory framework, which included a ban in June 2020 on non-biodegradable plastic bags and packaging, their storage and sale, </w:t>
      </w:r>
      <w:r w:rsidRPr="00634A8C">
        <w:rPr>
          <w:szCs w:val="18"/>
          <w:lang w:val="en-US"/>
        </w:rPr>
        <w:t>to preserve air quality, land quality, water quality, and ensure</w:t>
      </w:r>
      <w:r>
        <w:rPr>
          <w:szCs w:val="18"/>
          <w:lang w:val="en-US"/>
        </w:rPr>
        <w:t xml:space="preserve"> people's</w:t>
      </w:r>
      <w:r w:rsidRPr="00634A8C">
        <w:rPr>
          <w:szCs w:val="18"/>
          <w:lang w:val="en-US"/>
        </w:rPr>
        <w:t xml:space="preserve"> quality of life</w:t>
      </w:r>
      <w:r>
        <w:rPr>
          <w:szCs w:val="18"/>
          <w:lang w:val="en-US"/>
        </w:rPr>
        <w:t>. It also sought to promote the use of biodegradable plastics and other innovative and ecologically sustainable innovations.</w:t>
      </w:r>
    </w:p>
    <w:p w14:paraId="0598920E" w14:textId="0E0352B9" w:rsidR="000D4B6F" w:rsidRDefault="000D4B6F" w:rsidP="000D4B6F">
      <w:pPr>
        <w:pStyle w:val="BodyText"/>
        <w:rPr>
          <w:szCs w:val="18"/>
        </w:rPr>
      </w:pPr>
      <w:r w:rsidRPr="00304132">
        <w:rPr>
          <w:szCs w:val="18"/>
        </w:rPr>
        <w:t>To implement the new legislation, a special unit had been created to monitor and enforce environmental violations. Penalties varied from three to five months of detention and a fine of between 1</w:t>
      </w:r>
      <w:r w:rsidR="001C68E0">
        <w:rPr>
          <w:szCs w:val="18"/>
        </w:rPr>
        <w:t>'</w:t>
      </w:r>
      <w:r w:rsidRPr="00304132">
        <w:rPr>
          <w:szCs w:val="18"/>
        </w:rPr>
        <w:t>500 to 76</w:t>
      </w:r>
      <w:r w:rsidR="001C68E0">
        <w:rPr>
          <w:szCs w:val="18"/>
        </w:rPr>
        <w:t>'</w:t>
      </w:r>
      <w:r w:rsidRPr="00304132">
        <w:rPr>
          <w:szCs w:val="18"/>
        </w:rPr>
        <w:t>000 euros. The National Trade Negotiation Commission had established a sub-committee on trade and environment as a further step to support implementation of the import ban. Training was underway on how to identify biodegradable packaging for border agents, particularly customs, environment and trade officials, as well as for economic operators. Capacity building was also underway to identify those countries from which biodegradable plastics could be imported as well as to educate trade partners on the content of the law. A national standardization and metrology agency was being created that would handle the technical standards aspects of the law. In the short term, the country had signed an agreement with the SGS Group to import biodegradable packaging as of 1</w:t>
      </w:r>
      <w:r w:rsidR="001C68E0" w:rsidRPr="001C68E0">
        <w:rPr>
          <w:szCs w:val="18"/>
          <w:vertAlign w:val="superscript"/>
        </w:rPr>
        <w:t>st</w:t>
      </w:r>
      <w:r w:rsidR="001C68E0">
        <w:rPr>
          <w:szCs w:val="18"/>
        </w:rPr>
        <w:t xml:space="preserve"> </w:t>
      </w:r>
      <w:r w:rsidR="001C68E0" w:rsidRPr="00304132">
        <w:rPr>
          <w:szCs w:val="18"/>
        </w:rPr>
        <w:t xml:space="preserve">March </w:t>
      </w:r>
      <w:r w:rsidRPr="00304132">
        <w:rPr>
          <w:szCs w:val="18"/>
        </w:rPr>
        <w:t>2021.</w:t>
      </w:r>
    </w:p>
    <w:p w14:paraId="4927C94D" w14:textId="419839C0" w:rsidR="000D4B6F" w:rsidRDefault="000D4B6F" w:rsidP="000D4B6F">
      <w:pPr>
        <w:pStyle w:val="BodyText"/>
        <w:rPr>
          <w:szCs w:val="18"/>
        </w:rPr>
      </w:pPr>
      <w:r>
        <w:rPr>
          <w:szCs w:val="18"/>
        </w:rPr>
        <w:t>There had</w:t>
      </w:r>
      <w:r w:rsidRPr="00304132">
        <w:rPr>
          <w:szCs w:val="18"/>
        </w:rPr>
        <w:t xml:space="preserve"> been </w:t>
      </w:r>
      <w:r>
        <w:rPr>
          <w:szCs w:val="18"/>
        </w:rPr>
        <w:t>a recent</w:t>
      </w:r>
      <w:r w:rsidRPr="00304132">
        <w:rPr>
          <w:szCs w:val="18"/>
        </w:rPr>
        <w:t xml:space="preserve"> increase in plastic waste</w:t>
      </w:r>
      <w:r>
        <w:rPr>
          <w:szCs w:val="18"/>
        </w:rPr>
        <w:t>s</w:t>
      </w:r>
      <w:r w:rsidRPr="00304132">
        <w:rPr>
          <w:szCs w:val="18"/>
        </w:rPr>
        <w:t xml:space="preserve"> in </w:t>
      </w:r>
      <w:r>
        <w:rPr>
          <w:szCs w:val="18"/>
        </w:rPr>
        <w:t>the</w:t>
      </w:r>
      <w:r w:rsidRPr="00304132">
        <w:rPr>
          <w:szCs w:val="18"/>
        </w:rPr>
        <w:t xml:space="preserve"> </w:t>
      </w:r>
      <w:r>
        <w:rPr>
          <w:szCs w:val="18"/>
        </w:rPr>
        <w:t xml:space="preserve">composition of the </w:t>
      </w:r>
      <w:r w:rsidRPr="00304132">
        <w:rPr>
          <w:szCs w:val="18"/>
        </w:rPr>
        <w:t>country</w:t>
      </w:r>
      <w:r>
        <w:rPr>
          <w:szCs w:val="18"/>
        </w:rPr>
        <w:t>'s general solid wates production, which had approached</w:t>
      </w:r>
      <w:r w:rsidRPr="00304132">
        <w:rPr>
          <w:szCs w:val="18"/>
        </w:rPr>
        <w:t xml:space="preserve"> 67</w:t>
      </w:r>
      <w:r w:rsidR="001C68E0">
        <w:rPr>
          <w:szCs w:val="18"/>
        </w:rPr>
        <w:t>'</w:t>
      </w:r>
      <w:r>
        <w:rPr>
          <w:szCs w:val="18"/>
        </w:rPr>
        <w:t>000</w:t>
      </w:r>
      <w:r w:rsidRPr="00304132">
        <w:rPr>
          <w:szCs w:val="18"/>
        </w:rPr>
        <w:t xml:space="preserve"> cubic meters </w:t>
      </w:r>
      <w:r>
        <w:rPr>
          <w:szCs w:val="18"/>
        </w:rPr>
        <w:t>in 2016. Solid w</w:t>
      </w:r>
      <w:r w:rsidRPr="00304132">
        <w:rPr>
          <w:szCs w:val="18"/>
        </w:rPr>
        <w:t>aste</w:t>
      </w:r>
      <w:r>
        <w:rPr>
          <w:szCs w:val="18"/>
        </w:rPr>
        <w:t>s</w:t>
      </w:r>
      <w:r w:rsidRPr="00304132">
        <w:rPr>
          <w:szCs w:val="18"/>
        </w:rPr>
        <w:t xml:space="preserve"> </w:t>
      </w:r>
      <w:r>
        <w:rPr>
          <w:szCs w:val="18"/>
        </w:rPr>
        <w:t>were</w:t>
      </w:r>
      <w:r w:rsidRPr="00304132">
        <w:rPr>
          <w:szCs w:val="18"/>
        </w:rPr>
        <w:t xml:space="preserve"> gathered</w:t>
      </w:r>
      <w:r>
        <w:rPr>
          <w:szCs w:val="18"/>
        </w:rPr>
        <w:t xml:space="preserve"> in 41 transitory deposits before being sent to the only landfill in the capital, which was located six kilometres from the city centre and had received the support from the World Bank and the </w:t>
      </w:r>
      <w:r w:rsidRPr="00156BA8">
        <w:rPr>
          <w:szCs w:val="18"/>
        </w:rPr>
        <w:t>European Development Fund</w:t>
      </w:r>
      <w:r>
        <w:rPr>
          <w:szCs w:val="18"/>
        </w:rPr>
        <w:t xml:space="preserve">. Discussions were ongoing with a view to introduce selective (valuable) waste collection in the transitory deposits and at sources, two priorities to improve solid waste management in the country. </w:t>
      </w:r>
    </w:p>
    <w:p w14:paraId="16625AE1" w14:textId="77777777" w:rsidR="000D4B6F" w:rsidRDefault="000D4B6F" w:rsidP="000D4B6F">
      <w:pPr>
        <w:pStyle w:val="BodyText"/>
        <w:rPr>
          <w:szCs w:val="18"/>
        </w:rPr>
      </w:pPr>
      <w:r w:rsidRPr="008252ED">
        <w:rPr>
          <w:szCs w:val="18"/>
        </w:rPr>
        <w:t xml:space="preserve">The representative further noted a number of deficiencies that affected how trade and environmental policies could be supportive in the country. He noted, inter alia: little understanding of the interaction between trade and environment agreements by national stakeholders; low coordination between trade and environmental authorities; low implementation and knowledge of applicable laws; disconnection </w:t>
      </w:r>
      <w:r>
        <w:rPr>
          <w:szCs w:val="18"/>
        </w:rPr>
        <w:t>between</w:t>
      </w:r>
      <w:r w:rsidRPr="008252ED">
        <w:rPr>
          <w:szCs w:val="18"/>
        </w:rPr>
        <w:t xml:space="preserve"> environmental policies from actual economic activity</w:t>
      </w:r>
      <w:r>
        <w:rPr>
          <w:szCs w:val="18"/>
        </w:rPr>
        <w:t>; inefficiency of control mechanisms</w:t>
      </w:r>
      <w:r w:rsidRPr="008252ED">
        <w:rPr>
          <w:szCs w:val="18"/>
        </w:rPr>
        <w:t xml:space="preserve">. </w:t>
      </w:r>
      <w:r>
        <w:rPr>
          <w:szCs w:val="18"/>
        </w:rPr>
        <w:t xml:space="preserve">The Central African Republic faced a number of challenges linked to the growth of its urban areas and the </w:t>
      </w:r>
      <w:r w:rsidRPr="008252ED">
        <w:rPr>
          <w:szCs w:val="18"/>
        </w:rPr>
        <w:t xml:space="preserve">flight from the countryside, </w:t>
      </w:r>
      <w:r>
        <w:rPr>
          <w:szCs w:val="18"/>
        </w:rPr>
        <w:t>due to ongoing</w:t>
      </w:r>
      <w:r w:rsidRPr="008252ED">
        <w:rPr>
          <w:szCs w:val="18"/>
        </w:rPr>
        <w:t xml:space="preserve"> crises and the lack of opportunities. </w:t>
      </w:r>
      <w:r>
        <w:rPr>
          <w:szCs w:val="18"/>
        </w:rPr>
        <w:t>This included notably</w:t>
      </w:r>
      <w:r w:rsidRPr="008252ED">
        <w:rPr>
          <w:szCs w:val="18"/>
        </w:rPr>
        <w:t xml:space="preserve"> the proliferation of </w:t>
      </w:r>
      <w:r>
        <w:rPr>
          <w:szCs w:val="18"/>
        </w:rPr>
        <w:t>non-</w:t>
      </w:r>
      <w:r w:rsidRPr="008252ED">
        <w:rPr>
          <w:szCs w:val="18"/>
        </w:rPr>
        <w:t xml:space="preserve">biodegradable solid waste in cities and suburbs. </w:t>
      </w:r>
    </w:p>
    <w:p w14:paraId="56451D4A" w14:textId="43E6AF5C" w:rsidR="000D4B6F" w:rsidRPr="00263B73" w:rsidRDefault="000D4B6F" w:rsidP="000D4B6F">
      <w:pPr>
        <w:pStyle w:val="BodyText"/>
        <w:rPr>
          <w:szCs w:val="18"/>
        </w:rPr>
      </w:pPr>
      <w:r w:rsidRPr="00E95A7E">
        <w:rPr>
          <w:szCs w:val="18"/>
        </w:rPr>
        <w:lastRenderedPageBreak/>
        <w:t>With respect to the potential contribution from trade and trade policy, the Central African Republic govern</w:t>
      </w:r>
      <w:r w:rsidR="001C68E0">
        <w:rPr>
          <w:szCs w:val="18"/>
        </w:rPr>
        <w:t>ment</w:t>
      </w:r>
      <w:r w:rsidRPr="00E95A7E">
        <w:rPr>
          <w:szCs w:val="18"/>
        </w:rPr>
        <w:t xml:space="preserve"> proposed a number of steps, including: to organize training workshops on the WTO and its environmental aspects for all economic stakeholders; to reinforce the legal framework of the National Trade Negotiation Commission in order to better integrate the environmental dimension and reinforce domestic institutional capacity to provide technical assistance;</w:t>
      </w:r>
      <w:r w:rsidR="0035369C" w:rsidRPr="00E95A7E">
        <w:rPr>
          <w:szCs w:val="18"/>
        </w:rPr>
        <w:t xml:space="preserve"> </w:t>
      </w:r>
      <w:r w:rsidRPr="00E95A7E">
        <w:rPr>
          <w:szCs w:val="18"/>
        </w:rPr>
        <w:t>to support the national implementation of early alert and warning mechanisms; and to put together and reinforce the necessary waste management bodies in the country. Finally</w:t>
      </w:r>
      <w:r w:rsidR="001C68E0">
        <w:rPr>
          <w:szCs w:val="18"/>
        </w:rPr>
        <w:t>,</w:t>
      </w:r>
      <w:r w:rsidRPr="00E95A7E">
        <w:rPr>
          <w:szCs w:val="18"/>
        </w:rPr>
        <w:t xml:space="preserve"> he stressed </w:t>
      </w:r>
      <w:r w:rsidR="001C68E0" w:rsidRPr="00E95A7E">
        <w:rPr>
          <w:szCs w:val="18"/>
        </w:rPr>
        <w:t>that environmental</w:t>
      </w:r>
      <w:r w:rsidRPr="00E95A7E">
        <w:rPr>
          <w:szCs w:val="18"/>
        </w:rPr>
        <w:t xml:space="preserve"> protection </w:t>
      </w:r>
      <w:r>
        <w:rPr>
          <w:szCs w:val="18"/>
        </w:rPr>
        <w:t>was</w:t>
      </w:r>
      <w:r w:rsidRPr="00E95A7E">
        <w:rPr>
          <w:szCs w:val="18"/>
        </w:rPr>
        <w:t xml:space="preserve"> one of the priorities of the current government</w:t>
      </w:r>
      <w:r>
        <w:rPr>
          <w:szCs w:val="18"/>
        </w:rPr>
        <w:t xml:space="preserve"> which was</w:t>
      </w:r>
      <w:r w:rsidRPr="00E95A7E">
        <w:rPr>
          <w:szCs w:val="18"/>
        </w:rPr>
        <w:t xml:space="preserve"> undertaking a number of reforms in order to turn back the tide</w:t>
      </w:r>
      <w:r>
        <w:rPr>
          <w:szCs w:val="18"/>
        </w:rPr>
        <w:t xml:space="preserve"> of environmental degradation. Such efforts had been severely affected by the current COVID</w:t>
      </w:r>
      <w:r w:rsidRPr="00E95A7E">
        <w:rPr>
          <w:szCs w:val="18"/>
        </w:rPr>
        <w:t xml:space="preserve"> crisis. Nonetheless, </w:t>
      </w:r>
      <w:r>
        <w:rPr>
          <w:szCs w:val="18"/>
        </w:rPr>
        <w:t xml:space="preserve">the Central African Republic </w:t>
      </w:r>
      <w:r w:rsidRPr="00E95A7E">
        <w:rPr>
          <w:szCs w:val="18"/>
        </w:rPr>
        <w:t>want</w:t>
      </w:r>
      <w:r>
        <w:rPr>
          <w:szCs w:val="18"/>
        </w:rPr>
        <w:t>ed</w:t>
      </w:r>
      <w:r w:rsidRPr="00E95A7E">
        <w:rPr>
          <w:szCs w:val="18"/>
        </w:rPr>
        <w:t xml:space="preserve"> the environment to be a tool for the socio-economic development</w:t>
      </w:r>
      <w:r>
        <w:rPr>
          <w:szCs w:val="18"/>
        </w:rPr>
        <w:t xml:space="preserve"> of the country. </w:t>
      </w:r>
    </w:p>
    <w:p w14:paraId="06A1062B" w14:textId="6BAEA323" w:rsidR="00363843" w:rsidRDefault="004E0D9A" w:rsidP="00362ECA">
      <w:pPr>
        <w:pStyle w:val="BodyText"/>
        <w:rPr>
          <w:szCs w:val="18"/>
          <w:lang w:val="en-US"/>
        </w:rPr>
      </w:pPr>
      <w:r w:rsidRPr="004E0D9A">
        <w:rPr>
          <w:lang w:val="en-US"/>
        </w:rPr>
        <w:t xml:space="preserve">The representative of </w:t>
      </w:r>
      <w:r w:rsidR="007F219A" w:rsidRPr="004E0D9A">
        <w:rPr>
          <w:u w:val="single"/>
          <w:lang w:val="en-US"/>
        </w:rPr>
        <w:t>Switzerland</w:t>
      </w:r>
      <w:r w:rsidRPr="004E0D9A">
        <w:rPr>
          <w:lang w:val="en-US"/>
        </w:rPr>
        <w:t xml:space="preserve"> </w:t>
      </w:r>
      <w:r w:rsidR="002216A3">
        <w:rPr>
          <w:lang w:val="en-US"/>
        </w:rPr>
        <w:t>expressed appreciation for the experience share</w:t>
      </w:r>
      <w:r w:rsidR="003C329C">
        <w:rPr>
          <w:lang w:val="en-US"/>
        </w:rPr>
        <w:t>d</w:t>
      </w:r>
      <w:r w:rsidR="002216A3">
        <w:rPr>
          <w:lang w:val="en-US"/>
        </w:rPr>
        <w:t xml:space="preserve"> by the Central African Republic a</w:t>
      </w:r>
      <w:r w:rsidRPr="004E0D9A">
        <w:rPr>
          <w:szCs w:val="18"/>
          <w:lang w:val="en-US"/>
        </w:rPr>
        <w:t xml:space="preserve">nd </w:t>
      </w:r>
      <w:r w:rsidR="002216A3">
        <w:rPr>
          <w:szCs w:val="18"/>
          <w:lang w:val="en-US"/>
        </w:rPr>
        <w:t xml:space="preserve">noted that </w:t>
      </w:r>
      <w:r w:rsidRPr="004E0D9A">
        <w:rPr>
          <w:szCs w:val="18"/>
          <w:lang w:val="en-US"/>
        </w:rPr>
        <w:t>this concrete case illustrate</w:t>
      </w:r>
      <w:r w:rsidR="002216A3">
        <w:rPr>
          <w:szCs w:val="18"/>
          <w:lang w:val="en-US"/>
        </w:rPr>
        <w:t>d</w:t>
      </w:r>
      <w:r w:rsidRPr="004E0D9A">
        <w:rPr>
          <w:szCs w:val="18"/>
          <w:lang w:val="en-US"/>
        </w:rPr>
        <w:t xml:space="preserve"> perfectly the need for information of Members on the problem of plastic pollution. </w:t>
      </w:r>
      <w:r w:rsidR="002216A3">
        <w:rPr>
          <w:szCs w:val="18"/>
          <w:lang w:val="en-US"/>
        </w:rPr>
        <w:t>Switzerland</w:t>
      </w:r>
      <w:r w:rsidRPr="004E0D9A">
        <w:rPr>
          <w:szCs w:val="18"/>
          <w:lang w:val="en-US"/>
        </w:rPr>
        <w:t xml:space="preserve"> encourage</w:t>
      </w:r>
      <w:r w:rsidR="002216A3">
        <w:rPr>
          <w:szCs w:val="18"/>
          <w:lang w:val="en-US"/>
        </w:rPr>
        <w:t>d</w:t>
      </w:r>
      <w:r w:rsidRPr="004E0D9A">
        <w:rPr>
          <w:szCs w:val="18"/>
          <w:lang w:val="en-US"/>
        </w:rPr>
        <w:t xml:space="preserve"> the Central African Republic to join the TESSD and the </w:t>
      </w:r>
      <w:r w:rsidR="003C329C">
        <w:rPr>
          <w:szCs w:val="18"/>
          <w:lang w:val="en-US"/>
        </w:rPr>
        <w:t>IDP</w:t>
      </w:r>
      <w:r w:rsidRPr="004E0D9A">
        <w:rPr>
          <w:szCs w:val="18"/>
          <w:lang w:val="en-US"/>
        </w:rPr>
        <w:t xml:space="preserve"> which </w:t>
      </w:r>
      <w:r w:rsidR="002216A3">
        <w:rPr>
          <w:szCs w:val="18"/>
          <w:lang w:val="en-US"/>
        </w:rPr>
        <w:t>might</w:t>
      </w:r>
      <w:r w:rsidRPr="004E0D9A">
        <w:rPr>
          <w:szCs w:val="18"/>
          <w:lang w:val="en-US"/>
        </w:rPr>
        <w:t xml:space="preserve"> address the topics presented.</w:t>
      </w:r>
    </w:p>
    <w:p w14:paraId="1AA157D7" w14:textId="668E936A" w:rsidR="0076374D" w:rsidRPr="002216A3" w:rsidRDefault="00363843" w:rsidP="002216A3">
      <w:pPr>
        <w:pStyle w:val="BodyText"/>
        <w:rPr>
          <w:szCs w:val="18"/>
          <w:lang w:val="en-US"/>
        </w:rPr>
      </w:pPr>
      <w:r w:rsidRPr="002216A3">
        <w:t xml:space="preserve">The </w:t>
      </w:r>
      <w:r w:rsidR="002216A3" w:rsidRPr="002216A3">
        <w:t>Ambassador</w:t>
      </w:r>
      <w:r w:rsidRPr="002216A3">
        <w:t xml:space="preserve"> of </w:t>
      </w:r>
      <w:r w:rsidR="002216A3" w:rsidRPr="002216A3">
        <w:rPr>
          <w:szCs w:val="18"/>
          <w:u w:val="single"/>
          <w:lang w:val="en-US"/>
        </w:rPr>
        <w:t>Vanuatu</w:t>
      </w:r>
      <w:r w:rsidR="002216A3" w:rsidRPr="002216A3">
        <w:rPr>
          <w:szCs w:val="18"/>
          <w:lang w:val="en-US"/>
        </w:rPr>
        <w:t xml:space="preserve"> on behalf of </w:t>
      </w:r>
      <w:r w:rsidR="002216A3" w:rsidRPr="002216A3">
        <w:t xml:space="preserve">the </w:t>
      </w:r>
      <w:r w:rsidR="007F219A" w:rsidRPr="002216A3">
        <w:rPr>
          <w:szCs w:val="18"/>
          <w:lang w:val="en-US"/>
        </w:rPr>
        <w:t>Pacific Islands Forum</w:t>
      </w:r>
      <w:r w:rsidR="002216A3">
        <w:rPr>
          <w:szCs w:val="18"/>
          <w:lang w:val="en-US"/>
        </w:rPr>
        <w:t xml:space="preserve"> expressed her gratitude to</w:t>
      </w:r>
      <w:r w:rsidR="0076374D" w:rsidRPr="002216A3">
        <w:rPr>
          <w:szCs w:val="18"/>
          <w:lang w:val="en-US"/>
        </w:rPr>
        <w:t xml:space="preserve"> the coordinators of the informal dialogue on plastic pollution and environmentally sustainable plastics trade, and especially to the lead coordinators, Fiji and China for the initiative, and Morocco for the report of the dialogue. Fiji's leadership role in this initiative </w:t>
      </w:r>
      <w:r w:rsidR="002216A3">
        <w:rPr>
          <w:szCs w:val="18"/>
          <w:lang w:val="en-US"/>
        </w:rPr>
        <w:t>was</w:t>
      </w:r>
      <w:r w:rsidR="0076374D" w:rsidRPr="002216A3">
        <w:rPr>
          <w:szCs w:val="18"/>
          <w:lang w:val="en-US"/>
        </w:rPr>
        <w:t xml:space="preserve"> indicative of the very close interest which the wider Pacific Region maintain</w:t>
      </w:r>
      <w:r w:rsidR="002216A3">
        <w:rPr>
          <w:szCs w:val="18"/>
          <w:lang w:val="en-US"/>
        </w:rPr>
        <w:t>ed</w:t>
      </w:r>
      <w:r w:rsidR="0076374D" w:rsidRPr="002216A3">
        <w:rPr>
          <w:szCs w:val="18"/>
          <w:lang w:val="en-US"/>
        </w:rPr>
        <w:t xml:space="preserve"> on the subject. </w:t>
      </w:r>
      <w:r w:rsidR="002216A3">
        <w:rPr>
          <w:szCs w:val="18"/>
          <w:lang w:val="en-US"/>
        </w:rPr>
        <w:t>This</w:t>
      </w:r>
      <w:r w:rsidR="0076374D" w:rsidRPr="002216A3">
        <w:rPr>
          <w:szCs w:val="18"/>
          <w:lang w:val="en-US"/>
        </w:rPr>
        <w:t xml:space="preserve"> region </w:t>
      </w:r>
      <w:r w:rsidR="002216A3">
        <w:rPr>
          <w:szCs w:val="18"/>
          <w:lang w:val="en-US"/>
        </w:rPr>
        <w:t>was</w:t>
      </w:r>
      <w:r w:rsidR="0076374D" w:rsidRPr="002216A3">
        <w:rPr>
          <w:szCs w:val="18"/>
          <w:lang w:val="en-US"/>
        </w:rPr>
        <w:t xml:space="preserve"> one of the most seriously affected by plastic waste, with notably adverse effects on two of </w:t>
      </w:r>
      <w:r w:rsidR="002216A3">
        <w:rPr>
          <w:szCs w:val="18"/>
          <w:lang w:val="en-US"/>
        </w:rPr>
        <w:t>the region's</w:t>
      </w:r>
      <w:r w:rsidR="0076374D" w:rsidRPr="002216A3">
        <w:rPr>
          <w:szCs w:val="18"/>
          <w:lang w:val="en-US"/>
        </w:rPr>
        <w:t xml:space="preserve"> key industries, mainly fisheries and tourism. To that end, the WTO environmental database show</w:t>
      </w:r>
      <w:r w:rsidR="002216A3">
        <w:rPr>
          <w:szCs w:val="18"/>
          <w:lang w:val="en-US"/>
        </w:rPr>
        <w:t>ed</w:t>
      </w:r>
      <w:r w:rsidR="0076374D" w:rsidRPr="002216A3">
        <w:rPr>
          <w:szCs w:val="18"/>
          <w:lang w:val="en-US"/>
        </w:rPr>
        <w:t xml:space="preserve"> that there </w:t>
      </w:r>
      <w:r w:rsidR="002216A3">
        <w:rPr>
          <w:szCs w:val="18"/>
          <w:lang w:val="en-US"/>
        </w:rPr>
        <w:t>were</w:t>
      </w:r>
      <w:r w:rsidR="0076374D" w:rsidRPr="002216A3">
        <w:rPr>
          <w:szCs w:val="18"/>
          <w:lang w:val="en-US"/>
        </w:rPr>
        <w:t xml:space="preserve"> increasing actions at the national level, regulating trading plastics on environmental grounds. </w:t>
      </w:r>
    </w:p>
    <w:p w14:paraId="17D6AA6B" w14:textId="0CE7F46B" w:rsidR="0076374D" w:rsidRDefault="0076374D" w:rsidP="002216A3">
      <w:pPr>
        <w:pStyle w:val="BodyText"/>
        <w:rPr>
          <w:szCs w:val="18"/>
          <w:lang w:val="en-US"/>
        </w:rPr>
      </w:pPr>
      <w:r w:rsidRPr="002216A3">
        <w:rPr>
          <w:szCs w:val="18"/>
          <w:lang w:val="en-US"/>
        </w:rPr>
        <w:t xml:space="preserve">However, this </w:t>
      </w:r>
      <w:r w:rsidR="002216A3">
        <w:rPr>
          <w:szCs w:val="18"/>
          <w:lang w:val="en-US"/>
        </w:rPr>
        <w:t>might</w:t>
      </w:r>
      <w:r w:rsidRPr="002216A3">
        <w:rPr>
          <w:szCs w:val="18"/>
          <w:lang w:val="en-US"/>
        </w:rPr>
        <w:t xml:space="preserve"> not be enough to facilitate a coordinated and coherent transition to a more sustainable global economy. </w:t>
      </w:r>
      <w:r w:rsidR="002216A3">
        <w:rPr>
          <w:lang w:val="en-US"/>
        </w:rPr>
        <w:t>T</w:t>
      </w:r>
      <w:r w:rsidR="002216A3" w:rsidRPr="002216A3">
        <w:t xml:space="preserve">he </w:t>
      </w:r>
      <w:r w:rsidR="002216A3" w:rsidRPr="002216A3">
        <w:rPr>
          <w:szCs w:val="18"/>
          <w:lang w:val="en-US"/>
        </w:rPr>
        <w:t>Pacific Islands Forum</w:t>
      </w:r>
      <w:r w:rsidRPr="002216A3">
        <w:rPr>
          <w:szCs w:val="18"/>
          <w:lang w:val="en-US"/>
        </w:rPr>
        <w:t>, therefore, support</w:t>
      </w:r>
      <w:r w:rsidR="002216A3">
        <w:rPr>
          <w:szCs w:val="18"/>
          <w:lang w:val="en-US"/>
        </w:rPr>
        <w:t>ed</w:t>
      </w:r>
      <w:r w:rsidRPr="002216A3">
        <w:rPr>
          <w:szCs w:val="18"/>
          <w:lang w:val="en-US"/>
        </w:rPr>
        <w:t xml:space="preserve"> continuing work in the WTO, including in the CTE, and identifying how cooperative trade policies </w:t>
      </w:r>
      <w:r w:rsidR="002216A3">
        <w:rPr>
          <w:szCs w:val="18"/>
          <w:lang w:val="en-US"/>
        </w:rPr>
        <w:t>could</w:t>
      </w:r>
      <w:r w:rsidRPr="002216A3">
        <w:rPr>
          <w:szCs w:val="18"/>
          <w:lang w:val="en-US"/>
        </w:rPr>
        <w:t xml:space="preserve"> contribute to international efforts to achieve a more sustainable system. The IDP initial focus on sharing information exchang</w:t>
      </w:r>
      <w:r w:rsidR="002216A3">
        <w:rPr>
          <w:szCs w:val="18"/>
          <w:lang w:val="en-US"/>
        </w:rPr>
        <w:t xml:space="preserve">e and </w:t>
      </w:r>
      <w:r w:rsidRPr="002216A3">
        <w:rPr>
          <w:szCs w:val="18"/>
          <w:lang w:val="en-US"/>
        </w:rPr>
        <w:t xml:space="preserve">best practices and facilitating dialogue through a transparency and international cooperation exercise </w:t>
      </w:r>
      <w:r w:rsidR="002216A3">
        <w:rPr>
          <w:szCs w:val="18"/>
          <w:lang w:val="en-US"/>
        </w:rPr>
        <w:t>was</w:t>
      </w:r>
      <w:r w:rsidRPr="002216A3">
        <w:rPr>
          <w:szCs w:val="18"/>
          <w:lang w:val="en-US"/>
        </w:rPr>
        <w:t xml:space="preserve"> a sensible starting point, given the gaps in classification and data. In this, as in other areas of environmental concern, the Pacific </w:t>
      </w:r>
      <w:r w:rsidR="002216A3">
        <w:rPr>
          <w:szCs w:val="18"/>
          <w:lang w:val="en-US"/>
        </w:rPr>
        <w:t>was</w:t>
      </w:r>
      <w:r w:rsidRPr="002216A3">
        <w:rPr>
          <w:szCs w:val="18"/>
          <w:lang w:val="en-US"/>
        </w:rPr>
        <w:t xml:space="preserve"> on the front line. Resource constraints sometimes inhibit</w:t>
      </w:r>
      <w:r w:rsidR="002216A3">
        <w:rPr>
          <w:szCs w:val="18"/>
          <w:lang w:val="en-US"/>
        </w:rPr>
        <w:t>ed the</w:t>
      </w:r>
      <w:r w:rsidRPr="002216A3">
        <w:rPr>
          <w:szCs w:val="18"/>
          <w:lang w:val="en-US"/>
        </w:rPr>
        <w:t xml:space="preserve"> participation in relevant WTO deliberation</w:t>
      </w:r>
      <w:r w:rsidR="002216A3">
        <w:rPr>
          <w:szCs w:val="18"/>
          <w:lang w:val="en-US"/>
        </w:rPr>
        <w:t>s. N</w:t>
      </w:r>
      <w:r w:rsidRPr="002216A3">
        <w:rPr>
          <w:szCs w:val="18"/>
          <w:lang w:val="en-US"/>
        </w:rPr>
        <w:t>evertheless</w:t>
      </w:r>
      <w:r w:rsidR="002216A3">
        <w:rPr>
          <w:szCs w:val="18"/>
          <w:lang w:val="en-US"/>
        </w:rPr>
        <w:t xml:space="preserve">, the </w:t>
      </w:r>
      <w:r w:rsidR="002216A3" w:rsidRPr="002216A3">
        <w:t xml:space="preserve">the </w:t>
      </w:r>
      <w:r w:rsidR="002216A3" w:rsidRPr="002216A3">
        <w:rPr>
          <w:szCs w:val="18"/>
          <w:lang w:val="en-US"/>
        </w:rPr>
        <w:t>Pacific Islands Forum</w:t>
      </w:r>
      <w:r w:rsidR="002216A3">
        <w:rPr>
          <w:szCs w:val="18"/>
          <w:lang w:val="en-US"/>
        </w:rPr>
        <w:t xml:space="preserve"> would</w:t>
      </w:r>
      <w:r w:rsidRPr="002216A3">
        <w:rPr>
          <w:szCs w:val="18"/>
          <w:lang w:val="en-US"/>
        </w:rPr>
        <w:t xml:space="preserve"> be following </w:t>
      </w:r>
      <w:r w:rsidR="002216A3">
        <w:rPr>
          <w:szCs w:val="18"/>
          <w:lang w:val="en-US"/>
        </w:rPr>
        <w:t xml:space="preserve">and </w:t>
      </w:r>
      <w:r w:rsidR="002216A3" w:rsidRPr="002216A3">
        <w:rPr>
          <w:szCs w:val="18"/>
          <w:lang w:val="en-US"/>
        </w:rPr>
        <w:t>contributing</w:t>
      </w:r>
      <w:r w:rsidR="002216A3">
        <w:rPr>
          <w:szCs w:val="18"/>
          <w:lang w:val="en-US"/>
        </w:rPr>
        <w:t xml:space="preserve"> to</w:t>
      </w:r>
      <w:r w:rsidR="002216A3" w:rsidRPr="002216A3">
        <w:rPr>
          <w:szCs w:val="18"/>
          <w:lang w:val="en-US"/>
        </w:rPr>
        <w:t xml:space="preserve"> </w:t>
      </w:r>
      <w:r w:rsidRPr="002216A3">
        <w:rPr>
          <w:szCs w:val="18"/>
          <w:lang w:val="en-US"/>
        </w:rPr>
        <w:t xml:space="preserve">this initiative as actively as </w:t>
      </w:r>
      <w:r w:rsidR="002216A3">
        <w:rPr>
          <w:szCs w:val="18"/>
          <w:lang w:val="en-US"/>
        </w:rPr>
        <w:t>possible</w:t>
      </w:r>
      <w:r w:rsidRPr="002216A3">
        <w:rPr>
          <w:szCs w:val="18"/>
          <w:lang w:val="en-US"/>
        </w:rPr>
        <w:t xml:space="preserve">. Technical Assistance </w:t>
      </w:r>
      <w:r w:rsidR="002216A3">
        <w:rPr>
          <w:szCs w:val="18"/>
          <w:lang w:val="en-US"/>
        </w:rPr>
        <w:t>could</w:t>
      </w:r>
      <w:r w:rsidRPr="002216A3">
        <w:rPr>
          <w:szCs w:val="18"/>
          <w:lang w:val="en-US"/>
        </w:rPr>
        <w:t xml:space="preserve"> play a part in helping to ensure that </w:t>
      </w:r>
      <w:r w:rsidR="002216A3">
        <w:rPr>
          <w:szCs w:val="18"/>
          <w:lang w:val="en-US"/>
        </w:rPr>
        <w:t>the pacific region</w:t>
      </w:r>
      <w:r w:rsidRPr="002216A3">
        <w:rPr>
          <w:szCs w:val="18"/>
          <w:lang w:val="en-US"/>
        </w:rPr>
        <w:t xml:space="preserve"> play</w:t>
      </w:r>
      <w:r w:rsidR="002216A3">
        <w:rPr>
          <w:szCs w:val="18"/>
          <w:lang w:val="en-US"/>
        </w:rPr>
        <w:t>ed</w:t>
      </w:r>
      <w:r w:rsidRPr="002216A3">
        <w:rPr>
          <w:szCs w:val="18"/>
          <w:lang w:val="en-US"/>
        </w:rPr>
        <w:t xml:space="preserve"> a role commensurate with </w:t>
      </w:r>
      <w:r w:rsidR="002216A3">
        <w:rPr>
          <w:szCs w:val="18"/>
          <w:lang w:val="en-US"/>
        </w:rPr>
        <w:t>its</w:t>
      </w:r>
      <w:r w:rsidRPr="002216A3">
        <w:rPr>
          <w:szCs w:val="18"/>
          <w:lang w:val="en-US"/>
        </w:rPr>
        <w:t xml:space="preserve"> interest and experience. For resource challenge</w:t>
      </w:r>
      <w:r w:rsidR="002216A3">
        <w:rPr>
          <w:szCs w:val="18"/>
          <w:lang w:val="en-US"/>
        </w:rPr>
        <w:t>s</w:t>
      </w:r>
      <w:r w:rsidRPr="002216A3">
        <w:rPr>
          <w:szCs w:val="18"/>
          <w:lang w:val="en-US"/>
        </w:rPr>
        <w:t xml:space="preserve">, a central role of </w:t>
      </w:r>
      <w:r w:rsidR="001B36CA">
        <w:rPr>
          <w:szCs w:val="18"/>
          <w:lang w:val="en-US"/>
        </w:rPr>
        <w:t>the</w:t>
      </w:r>
      <w:r w:rsidRPr="002216A3">
        <w:rPr>
          <w:szCs w:val="18"/>
          <w:lang w:val="en-US"/>
        </w:rPr>
        <w:t xml:space="preserve"> CTE </w:t>
      </w:r>
      <w:r w:rsidR="002216A3">
        <w:rPr>
          <w:szCs w:val="18"/>
          <w:lang w:val="en-US"/>
        </w:rPr>
        <w:t>would</w:t>
      </w:r>
      <w:r w:rsidRPr="002216A3">
        <w:rPr>
          <w:szCs w:val="18"/>
          <w:lang w:val="en-US"/>
        </w:rPr>
        <w:t xml:space="preserve"> be important as </w:t>
      </w:r>
      <w:r w:rsidR="002216A3">
        <w:rPr>
          <w:szCs w:val="18"/>
          <w:lang w:val="en-US"/>
        </w:rPr>
        <w:t>the work</w:t>
      </w:r>
      <w:r w:rsidRPr="002216A3">
        <w:rPr>
          <w:szCs w:val="18"/>
          <w:lang w:val="en-US"/>
        </w:rPr>
        <w:t xml:space="preserve"> proceed</w:t>
      </w:r>
      <w:r w:rsidR="002216A3">
        <w:rPr>
          <w:szCs w:val="18"/>
          <w:lang w:val="en-US"/>
        </w:rPr>
        <w:t>ed</w:t>
      </w:r>
      <w:r w:rsidRPr="002216A3">
        <w:rPr>
          <w:szCs w:val="18"/>
          <w:lang w:val="en-US"/>
        </w:rPr>
        <w:t>.</w:t>
      </w:r>
    </w:p>
    <w:p w14:paraId="0C2F63B0" w14:textId="564F693C" w:rsidR="00515BE6" w:rsidRPr="002216A3" w:rsidRDefault="00515BE6" w:rsidP="00515BE6">
      <w:pPr>
        <w:pStyle w:val="Heading4"/>
        <w:rPr>
          <w:lang w:val="en-US"/>
        </w:rPr>
      </w:pPr>
      <w:bookmarkStart w:id="22" w:name="_Toc74660660"/>
      <w:r>
        <w:rPr>
          <w:lang w:val="en-US"/>
        </w:rPr>
        <w:t xml:space="preserve">Presentation by </w:t>
      </w:r>
      <w:r w:rsidR="008A38A8">
        <w:rPr>
          <w:lang w:val="en-US"/>
        </w:rPr>
        <w:t>the United Nations Environment Programme (</w:t>
      </w:r>
      <w:r w:rsidRPr="00515BE6">
        <w:rPr>
          <w:lang w:val="en-US"/>
        </w:rPr>
        <w:t>UNEP</w:t>
      </w:r>
      <w:r w:rsidR="008A38A8">
        <w:rPr>
          <w:lang w:val="en-US"/>
        </w:rPr>
        <w:t>)</w:t>
      </w:r>
      <w:r>
        <w:rPr>
          <w:lang w:val="en-US"/>
        </w:rPr>
        <w:t xml:space="preserve"> on </w:t>
      </w:r>
      <w:r w:rsidRPr="00515BE6">
        <w:rPr>
          <w:lang w:val="en-US"/>
        </w:rPr>
        <w:t>its report on "Trade in Used Vehicles"</w:t>
      </w:r>
      <w:bookmarkEnd w:id="22"/>
    </w:p>
    <w:p w14:paraId="7D876694" w14:textId="4EB7BD2B" w:rsidR="00B43564" w:rsidRDefault="008A38A8" w:rsidP="00B43564">
      <w:pPr>
        <w:pStyle w:val="BodyText"/>
        <w:rPr>
          <w:szCs w:val="18"/>
        </w:rPr>
      </w:pPr>
      <w:r>
        <w:rPr>
          <w:u w:val="single"/>
        </w:rPr>
        <w:t xml:space="preserve">The representative of </w:t>
      </w:r>
      <w:r w:rsidR="00B43564" w:rsidRPr="00B71B8E">
        <w:rPr>
          <w:u w:val="single"/>
        </w:rPr>
        <w:t>UNEP</w:t>
      </w:r>
      <w:r w:rsidR="00B43564" w:rsidRPr="00B43564">
        <w:t xml:space="preserve"> present</w:t>
      </w:r>
      <w:r w:rsidR="00B43564">
        <w:t>ed</w:t>
      </w:r>
      <w:r w:rsidR="00B43564" w:rsidRPr="00B43564">
        <w:t xml:space="preserve"> </w:t>
      </w:r>
      <w:r>
        <w:t>its</w:t>
      </w:r>
      <w:r w:rsidR="00B43564" w:rsidRPr="00B43564">
        <w:t xml:space="preserve"> report </w:t>
      </w:r>
      <w:r w:rsidR="00B43564">
        <w:t xml:space="preserve">on </w:t>
      </w:r>
      <w:r w:rsidR="00B43564" w:rsidRPr="00B43564">
        <w:t xml:space="preserve">"Trade in Used Vehicles". </w:t>
      </w:r>
      <w:r w:rsidR="00B43564">
        <w:rPr>
          <w:szCs w:val="18"/>
        </w:rPr>
        <w:t>He</w:t>
      </w:r>
      <w:r w:rsidR="00B43564" w:rsidRPr="00332328">
        <w:rPr>
          <w:szCs w:val="18"/>
        </w:rPr>
        <w:t xml:space="preserve"> said that the global light duty vehicle fleet would double by 2050. Most of the growth would happen in non-OECD countries and would have a significant impact on air quality, greenhouse gas emissions and road safety, among other issues. Used vehicles imported from OECD countries would represent a large and increasing share of vehicles in non-OECD countries. For example, in Kenya 97% of the vehicles that were being added to the vehicle fleet were imported used vehicles, while in Nigeria the share was between 85% and 90%. A UNEP report released in 2020 sought to map the trade in used vehicles.</w:t>
      </w:r>
      <w:r w:rsidR="00B43564">
        <w:rPr>
          <w:rStyle w:val="FootnoteReference"/>
          <w:szCs w:val="18"/>
        </w:rPr>
        <w:footnoteReference w:id="3"/>
      </w:r>
      <w:r w:rsidR="00B43564" w:rsidRPr="00332328">
        <w:rPr>
          <w:szCs w:val="18"/>
        </w:rPr>
        <w:t xml:space="preserve"> Japan, the European</w:t>
      </w:r>
      <w:r w:rsidR="00025E1C">
        <w:rPr>
          <w:szCs w:val="18"/>
        </w:rPr>
        <w:t> Union</w:t>
      </w:r>
      <w:r w:rsidR="00B43564" w:rsidRPr="00332328">
        <w:rPr>
          <w:szCs w:val="18"/>
        </w:rPr>
        <w:t xml:space="preserve"> and the United</w:t>
      </w:r>
      <w:r w:rsidR="00025E1C">
        <w:rPr>
          <w:szCs w:val="18"/>
        </w:rPr>
        <w:t> States</w:t>
      </w:r>
      <w:r w:rsidR="00B43564" w:rsidRPr="00332328">
        <w:rPr>
          <w:szCs w:val="18"/>
        </w:rPr>
        <w:t xml:space="preserve"> were the main exporters of used vehicles. Japan exported used vehicles mainly to Southern and East Africa, the United</w:t>
      </w:r>
      <w:r w:rsidR="00025E1C">
        <w:rPr>
          <w:szCs w:val="18"/>
        </w:rPr>
        <w:t> States</w:t>
      </w:r>
      <w:r w:rsidR="00B43564" w:rsidRPr="00332328">
        <w:rPr>
          <w:szCs w:val="18"/>
        </w:rPr>
        <w:t xml:space="preserve"> exported them mainly to Mexico and Central America and the European</w:t>
      </w:r>
      <w:r w:rsidR="00025E1C">
        <w:rPr>
          <w:szCs w:val="18"/>
        </w:rPr>
        <w:t> Union</w:t>
      </w:r>
      <w:r w:rsidR="00B43564" w:rsidRPr="00332328">
        <w:rPr>
          <w:szCs w:val="18"/>
        </w:rPr>
        <w:t xml:space="preserve"> to West, Central and North Africa. Based on an in</w:t>
      </w:r>
      <w:r w:rsidR="009F1F9A">
        <w:rPr>
          <w:szCs w:val="18"/>
        </w:rPr>
        <w:t> </w:t>
      </w:r>
      <w:r w:rsidR="00B43564" w:rsidRPr="00332328">
        <w:rPr>
          <w:szCs w:val="18"/>
        </w:rPr>
        <w:t xml:space="preserve">depth analysis of 146 countries, the report had found that some two-thirds of countries had </w:t>
      </w:r>
      <w:r w:rsidR="00B71B8E">
        <w:rPr>
          <w:szCs w:val="18"/>
        </w:rPr>
        <w:t>"</w:t>
      </w:r>
      <w:r w:rsidR="00B43564" w:rsidRPr="00332328">
        <w:rPr>
          <w:szCs w:val="18"/>
        </w:rPr>
        <w:t>weak</w:t>
      </w:r>
      <w:r w:rsidR="00B71B8E">
        <w:rPr>
          <w:szCs w:val="18"/>
        </w:rPr>
        <w:t>"</w:t>
      </w:r>
      <w:r w:rsidR="00B43564" w:rsidRPr="00332328">
        <w:rPr>
          <w:szCs w:val="18"/>
        </w:rPr>
        <w:t xml:space="preserve"> or </w:t>
      </w:r>
      <w:r w:rsidR="00B71B8E">
        <w:rPr>
          <w:szCs w:val="18"/>
        </w:rPr>
        <w:t>"</w:t>
      </w:r>
      <w:r w:rsidR="00B43564" w:rsidRPr="00332328">
        <w:rPr>
          <w:szCs w:val="18"/>
        </w:rPr>
        <w:t>very weak</w:t>
      </w:r>
      <w:r w:rsidR="00B71B8E">
        <w:rPr>
          <w:szCs w:val="18"/>
        </w:rPr>
        <w:t xml:space="preserve">" </w:t>
      </w:r>
      <w:r w:rsidR="00B43564" w:rsidRPr="00332328">
        <w:rPr>
          <w:szCs w:val="18"/>
        </w:rPr>
        <w:t>policies to regulate the import of used vehicles, most of them in Africa. Only ten</w:t>
      </w:r>
      <w:r w:rsidR="00025E1C">
        <w:rPr>
          <w:szCs w:val="18"/>
        </w:rPr>
        <w:t> </w:t>
      </w:r>
      <w:r w:rsidR="00B43564" w:rsidRPr="00332328">
        <w:rPr>
          <w:szCs w:val="18"/>
        </w:rPr>
        <w:t>countries in Africa had put in place some level of regulation to ensure that they would not import dirty used vehicles. African countries without appropriate regulations had seen the average age of imported used vehicle steadily increase. In Uganda, for example, the average age of imported used vehicles was 17 years in 2017, up from 7 years in 2000. Data on exports of used vehicles from the European</w:t>
      </w:r>
      <w:r w:rsidR="00025E1C">
        <w:rPr>
          <w:szCs w:val="18"/>
        </w:rPr>
        <w:t> Union</w:t>
      </w:r>
      <w:r w:rsidR="00B43564" w:rsidRPr="00332328">
        <w:rPr>
          <w:szCs w:val="18"/>
        </w:rPr>
        <w:t xml:space="preserve"> to Africa through Dutch ports showed that 70% </w:t>
      </w:r>
      <w:r w:rsidR="00B43564" w:rsidRPr="00332328">
        <w:rPr>
          <w:szCs w:val="18"/>
        </w:rPr>
        <w:lastRenderedPageBreak/>
        <w:t>of vehicles did not have a valid road worthiness certificate. Most of these vehicles, whose average age was 18 years, did not meet EURO4 European vehicle emissions standards.</w:t>
      </w:r>
    </w:p>
    <w:p w14:paraId="4E77245D" w14:textId="77777777" w:rsidR="00B43564" w:rsidRPr="00332328" w:rsidRDefault="00B43564" w:rsidP="00B43564">
      <w:pPr>
        <w:pStyle w:val="BodyText"/>
        <w:rPr>
          <w:szCs w:val="18"/>
        </w:rPr>
      </w:pPr>
      <w:r>
        <w:rPr>
          <w:szCs w:val="18"/>
        </w:rPr>
        <w:t>C</w:t>
      </w:r>
      <w:r w:rsidRPr="00332328">
        <w:rPr>
          <w:szCs w:val="18"/>
        </w:rPr>
        <w:t>ountries that had implemented measures to regulate the import of used vehicles – notably age and emissions standards – had access to high-quality used vehicles, including hybrid and electric cars, at affordable prices.</w:t>
      </w:r>
      <w:r>
        <w:rPr>
          <w:szCs w:val="18"/>
        </w:rPr>
        <w:t xml:space="preserve"> Sri Lanka</w:t>
      </w:r>
      <w:r w:rsidRPr="00332328">
        <w:rPr>
          <w:szCs w:val="18"/>
        </w:rPr>
        <w:t>,</w:t>
      </w:r>
      <w:r>
        <w:rPr>
          <w:szCs w:val="18"/>
        </w:rPr>
        <w:t xml:space="preserve"> where every second used vehicle imported into Sri Lanka was a hybrid electric vehicle, was a case in point. Another example was</w:t>
      </w:r>
      <w:r w:rsidRPr="00332328">
        <w:rPr>
          <w:szCs w:val="18"/>
        </w:rPr>
        <w:t xml:space="preserve"> </w:t>
      </w:r>
      <w:r>
        <w:rPr>
          <w:szCs w:val="18"/>
        </w:rPr>
        <w:t xml:space="preserve">Morocco, which </w:t>
      </w:r>
      <w:r w:rsidRPr="00332328">
        <w:rPr>
          <w:szCs w:val="18"/>
        </w:rPr>
        <w:t>only permitted the import of vehicles less than five years old and those meeting the EURO4 European vehicle emission</w:t>
      </w:r>
      <w:r>
        <w:rPr>
          <w:szCs w:val="18"/>
        </w:rPr>
        <w:t>s</w:t>
      </w:r>
      <w:r w:rsidRPr="00332328">
        <w:rPr>
          <w:szCs w:val="18"/>
        </w:rPr>
        <w:t xml:space="preserve"> standard</w:t>
      </w:r>
      <w:r>
        <w:rPr>
          <w:szCs w:val="18"/>
        </w:rPr>
        <w:t xml:space="preserve"> or higher</w:t>
      </w:r>
      <w:r w:rsidRPr="00332328">
        <w:rPr>
          <w:szCs w:val="18"/>
        </w:rPr>
        <w:t xml:space="preserve">; as a result, </w:t>
      </w:r>
      <w:r>
        <w:rPr>
          <w:szCs w:val="18"/>
        </w:rPr>
        <w:t xml:space="preserve">Morocco imported </w:t>
      </w:r>
      <w:r w:rsidRPr="00332328">
        <w:rPr>
          <w:szCs w:val="18"/>
        </w:rPr>
        <w:t>only relatively advanced and clean used vehicles from Europe.</w:t>
      </w:r>
      <w:r>
        <w:rPr>
          <w:szCs w:val="18"/>
        </w:rPr>
        <w:t xml:space="preserve"> In Ghana, most used vehicle imports met the EURO4 standards, in part because of an incentive that lowered duties paid on those vehicles. Adopting minimum quality standards for used vehicles in Africa would result in significant benefits in terms of reduced pollution and increased road safety. UNEP and several partners had set up a global programme focused on Africa. The goals of the programme were to ensure that used vehicles exported from developed countries would: have a valid road worthiness certificate; meet the EURO4 European vehicle emissions standard or higher; and would not exceed 12 years of age. These measures could help reduce common pollutants resulting from light vehicle road traffic by up to 90%, among several other benefits. Some countries had already made progress. For example, </w:t>
      </w:r>
      <w:r w:rsidRPr="00456DC7">
        <w:rPr>
          <w:szCs w:val="18"/>
        </w:rPr>
        <w:t xml:space="preserve">the Economic Community of West African States (ECOWAS) </w:t>
      </w:r>
      <w:r>
        <w:rPr>
          <w:szCs w:val="18"/>
        </w:rPr>
        <w:t xml:space="preserve">had adopted the EURO4 standards for used vehicle imports and would shortly introduce </w:t>
      </w:r>
      <w:r w:rsidRPr="00456DC7">
        <w:rPr>
          <w:szCs w:val="18"/>
        </w:rPr>
        <w:t>age limits for used vehicles.</w:t>
      </w:r>
      <w:r>
        <w:rPr>
          <w:szCs w:val="18"/>
        </w:rPr>
        <w:t xml:space="preserve"> The East African Community planned to do the same. UNEP planned to do a similar study on trade in used heavy duty vehicles.</w:t>
      </w:r>
    </w:p>
    <w:p w14:paraId="4BBAF381" w14:textId="1C38816A" w:rsidR="00B43564" w:rsidRPr="004E0D9A" w:rsidRDefault="00B43564" w:rsidP="00B43564">
      <w:pPr>
        <w:pStyle w:val="BodyText"/>
        <w:rPr>
          <w:szCs w:val="18"/>
        </w:rPr>
      </w:pPr>
      <w:r w:rsidRPr="006C4688">
        <w:rPr>
          <w:lang w:val="en-US"/>
        </w:rPr>
        <w:t xml:space="preserve">The representative of </w:t>
      </w:r>
      <w:r>
        <w:rPr>
          <w:lang w:val="en-US"/>
        </w:rPr>
        <w:t xml:space="preserve">the </w:t>
      </w:r>
      <w:r w:rsidRPr="004E0D9A">
        <w:rPr>
          <w:u w:val="single"/>
          <w:lang w:val="en-US"/>
        </w:rPr>
        <w:t>European</w:t>
      </w:r>
      <w:r w:rsidR="00025E1C">
        <w:rPr>
          <w:u w:val="single"/>
          <w:lang w:val="en-US"/>
        </w:rPr>
        <w:t> Union</w:t>
      </w:r>
      <w:r>
        <w:rPr>
          <w:szCs w:val="18"/>
          <w:lang w:val="en-US"/>
        </w:rPr>
        <w:t xml:space="preserve"> said that </w:t>
      </w:r>
      <w:r w:rsidRPr="004E0D9A">
        <w:rPr>
          <w:szCs w:val="18"/>
        </w:rPr>
        <w:t>UNEP</w:t>
      </w:r>
      <w:r w:rsidR="00B71B8E">
        <w:rPr>
          <w:szCs w:val="18"/>
        </w:rPr>
        <w:t>'</w:t>
      </w:r>
      <w:r w:rsidRPr="004E0D9A">
        <w:rPr>
          <w:szCs w:val="18"/>
        </w:rPr>
        <w:t>s report contribute</w:t>
      </w:r>
      <w:r>
        <w:rPr>
          <w:szCs w:val="18"/>
        </w:rPr>
        <w:t>d</w:t>
      </w:r>
      <w:r w:rsidRPr="004E0D9A">
        <w:rPr>
          <w:szCs w:val="18"/>
        </w:rPr>
        <w:t xml:space="preserve"> to </w:t>
      </w:r>
      <w:r>
        <w:rPr>
          <w:szCs w:val="18"/>
        </w:rPr>
        <w:t xml:space="preserve">a </w:t>
      </w:r>
      <w:r w:rsidRPr="004E0D9A">
        <w:rPr>
          <w:szCs w:val="18"/>
        </w:rPr>
        <w:t xml:space="preserve">better understanding </w:t>
      </w:r>
      <w:r>
        <w:rPr>
          <w:szCs w:val="18"/>
        </w:rPr>
        <w:t xml:space="preserve">of </w:t>
      </w:r>
      <w:r w:rsidRPr="004E0D9A">
        <w:rPr>
          <w:szCs w:val="18"/>
        </w:rPr>
        <w:t xml:space="preserve">global trends and issues related to trade </w:t>
      </w:r>
      <w:r>
        <w:rPr>
          <w:szCs w:val="18"/>
        </w:rPr>
        <w:t xml:space="preserve">in </w:t>
      </w:r>
      <w:r w:rsidRPr="004E0D9A">
        <w:rPr>
          <w:szCs w:val="18"/>
        </w:rPr>
        <w:t xml:space="preserve">used vehicles. The report </w:t>
      </w:r>
      <w:r>
        <w:rPr>
          <w:szCs w:val="18"/>
        </w:rPr>
        <w:t xml:space="preserve">would </w:t>
      </w:r>
      <w:r w:rsidRPr="004E0D9A">
        <w:rPr>
          <w:szCs w:val="18"/>
        </w:rPr>
        <w:t xml:space="preserve">be a useful tool to inform </w:t>
      </w:r>
      <w:r>
        <w:rPr>
          <w:szCs w:val="18"/>
        </w:rPr>
        <w:t>the European</w:t>
      </w:r>
      <w:r w:rsidR="00025E1C">
        <w:rPr>
          <w:szCs w:val="18"/>
        </w:rPr>
        <w:t> Union</w:t>
      </w:r>
      <w:r>
        <w:rPr>
          <w:szCs w:val="18"/>
        </w:rPr>
        <w:t xml:space="preserve">'s </w:t>
      </w:r>
      <w:r w:rsidRPr="004E0D9A">
        <w:rPr>
          <w:szCs w:val="18"/>
        </w:rPr>
        <w:t xml:space="preserve">ongoing </w:t>
      </w:r>
      <w:r>
        <w:rPr>
          <w:szCs w:val="18"/>
        </w:rPr>
        <w:t xml:space="preserve">policy discussions, including </w:t>
      </w:r>
      <w:r w:rsidRPr="004E0D9A">
        <w:rPr>
          <w:szCs w:val="18"/>
        </w:rPr>
        <w:t>in the context of the Zero Pollution Action Plan</w:t>
      </w:r>
      <w:r>
        <w:rPr>
          <w:szCs w:val="18"/>
        </w:rPr>
        <w:t xml:space="preserve"> which as under preparation</w:t>
      </w:r>
      <w:r w:rsidRPr="004E0D9A">
        <w:rPr>
          <w:szCs w:val="18"/>
        </w:rPr>
        <w:t>, and the revision of the End-of</w:t>
      </w:r>
      <w:r w:rsidR="009F1F9A">
        <w:rPr>
          <w:szCs w:val="18"/>
        </w:rPr>
        <w:noBreakHyphen/>
      </w:r>
      <w:r w:rsidRPr="004E0D9A">
        <w:rPr>
          <w:szCs w:val="18"/>
        </w:rPr>
        <w:t>Life Vehicles Directive.</w:t>
      </w:r>
      <w:r>
        <w:rPr>
          <w:szCs w:val="18"/>
        </w:rPr>
        <w:t xml:space="preserve"> The European</w:t>
      </w:r>
      <w:r w:rsidR="00025E1C">
        <w:rPr>
          <w:szCs w:val="18"/>
        </w:rPr>
        <w:t> Union</w:t>
      </w:r>
      <w:r>
        <w:rPr>
          <w:szCs w:val="18"/>
        </w:rPr>
        <w:t xml:space="preserve"> would continue to engage </w:t>
      </w:r>
      <w:r w:rsidRPr="004E0D9A">
        <w:rPr>
          <w:szCs w:val="18"/>
        </w:rPr>
        <w:t xml:space="preserve">with UNEP and other partners to coordinate </w:t>
      </w:r>
      <w:r>
        <w:rPr>
          <w:szCs w:val="18"/>
        </w:rPr>
        <w:t xml:space="preserve">joint </w:t>
      </w:r>
      <w:r w:rsidRPr="004E0D9A">
        <w:rPr>
          <w:szCs w:val="18"/>
        </w:rPr>
        <w:t xml:space="preserve">efforts </w:t>
      </w:r>
      <w:r>
        <w:rPr>
          <w:szCs w:val="18"/>
        </w:rPr>
        <w:t>to</w:t>
      </w:r>
      <w:r w:rsidRPr="004E0D9A">
        <w:rPr>
          <w:szCs w:val="18"/>
        </w:rPr>
        <w:t xml:space="preserve"> tackle the environmental issues related to trade </w:t>
      </w:r>
      <w:r>
        <w:rPr>
          <w:szCs w:val="18"/>
        </w:rPr>
        <w:t xml:space="preserve">in </w:t>
      </w:r>
      <w:r w:rsidRPr="004E0D9A">
        <w:rPr>
          <w:szCs w:val="18"/>
        </w:rPr>
        <w:t>used vehicles.</w:t>
      </w:r>
    </w:p>
    <w:p w14:paraId="5E1C6F08" w14:textId="21157A80" w:rsidR="00B43564" w:rsidRDefault="00B43564" w:rsidP="00B43564">
      <w:pPr>
        <w:pStyle w:val="BodyText"/>
        <w:rPr>
          <w:lang w:val="en-US"/>
        </w:rPr>
      </w:pPr>
      <w:r w:rsidRPr="005D5270">
        <w:rPr>
          <w:lang w:val="en-US"/>
        </w:rPr>
        <w:t xml:space="preserve">The representative of </w:t>
      </w:r>
      <w:r w:rsidRPr="005D5270">
        <w:rPr>
          <w:u w:val="single"/>
          <w:lang w:val="en-US"/>
        </w:rPr>
        <w:t>Switzerland</w:t>
      </w:r>
      <w:r w:rsidRPr="005D5270">
        <w:rPr>
          <w:lang w:val="en-US"/>
        </w:rPr>
        <w:t xml:space="preserve"> said that UNEP's report provided a clear picture of the problems related to trade in used vehicles for climate, pollution and road safety. </w:t>
      </w:r>
      <w:r>
        <w:rPr>
          <w:lang w:val="en-US"/>
        </w:rPr>
        <w:t xml:space="preserve">She noted that the </w:t>
      </w:r>
      <w:r w:rsidRPr="005D5270">
        <w:rPr>
          <w:lang w:val="en-US"/>
        </w:rPr>
        <w:t xml:space="preserve">launch of a new forum in Geneva, </w:t>
      </w:r>
      <w:r>
        <w:rPr>
          <w:lang w:val="en-US"/>
        </w:rPr>
        <w:t xml:space="preserve">the </w:t>
      </w:r>
      <w:r w:rsidRPr="005D5270">
        <w:rPr>
          <w:lang w:val="en-US"/>
        </w:rPr>
        <w:t>Forum on Trade, Environmental Sustainability and the SDGs</w:t>
      </w:r>
      <w:r>
        <w:rPr>
          <w:lang w:val="en-US"/>
        </w:rPr>
        <w:t xml:space="preserve"> </w:t>
      </w:r>
      <w:r w:rsidRPr="005D5270">
        <w:rPr>
          <w:lang w:val="en-US"/>
        </w:rPr>
        <w:t>(TESS)</w:t>
      </w:r>
      <w:r>
        <w:rPr>
          <w:lang w:val="en-US"/>
        </w:rPr>
        <w:t xml:space="preserve">, was </w:t>
      </w:r>
      <w:r w:rsidRPr="005D5270">
        <w:rPr>
          <w:lang w:val="en-US"/>
        </w:rPr>
        <w:t xml:space="preserve">a joint effort of </w:t>
      </w:r>
      <w:r>
        <w:rPr>
          <w:lang w:val="en-US"/>
        </w:rPr>
        <w:t>the Graduate Institute</w:t>
      </w:r>
      <w:r w:rsidRPr="005D5270">
        <w:rPr>
          <w:lang w:val="en-US"/>
        </w:rPr>
        <w:t xml:space="preserve">, </w:t>
      </w:r>
      <w:r>
        <w:rPr>
          <w:lang w:val="en-US"/>
        </w:rPr>
        <w:t xml:space="preserve">the </w:t>
      </w:r>
      <w:r w:rsidRPr="005D5270">
        <w:rPr>
          <w:lang w:val="en-US"/>
        </w:rPr>
        <w:t xml:space="preserve">Geneva Trade Platform and UNEP, </w:t>
      </w:r>
      <w:r>
        <w:rPr>
          <w:lang w:val="en-US"/>
        </w:rPr>
        <w:t xml:space="preserve">was </w:t>
      </w:r>
      <w:r w:rsidRPr="005D5270">
        <w:rPr>
          <w:lang w:val="en-US"/>
        </w:rPr>
        <w:t>timely and relevant.</w:t>
      </w:r>
      <w:r>
        <w:rPr>
          <w:lang w:val="en-US"/>
        </w:rPr>
        <w:t xml:space="preserve"> TESS provided a forum</w:t>
      </w:r>
      <w:r w:rsidRPr="004E0D9A">
        <w:rPr>
          <w:lang w:val="en-US"/>
        </w:rPr>
        <w:t xml:space="preserve"> for discussion and reflection with all interested parties, </w:t>
      </w:r>
      <w:r>
        <w:rPr>
          <w:lang w:val="en-US"/>
        </w:rPr>
        <w:t xml:space="preserve">along with </w:t>
      </w:r>
      <w:r w:rsidRPr="004E0D9A">
        <w:rPr>
          <w:lang w:val="en-US"/>
        </w:rPr>
        <w:t>support to develop coherent trade policies.</w:t>
      </w:r>
    </w:p>
    <w:p w14:paraId="0C9A49CE" w14:textId="0F2CE9A2" w:rsidR="00143375" w:rsidRDefault="00143375" w:rsidP="00143375">
      <w:pPr>
        <w:pStyle w:val="Heading4"/>
      </w:pPr>
      <w:bookmarkStart w:id="23" w:name="_Toc66883281"/>
      <w:bookmarkStart w:id="24" w:name="_Toc74660661"/>
      <w:r>
        <w:t>OECD</w:t>
      </w:r>
      <w:bookmarkEnd w:id="23"/>
      <w:r>
        <w:t>'s Update on Recent Work related to Circular Economy</w:t>
      </w:r>
      <w:bookmarkEnd w:id="24"/>
    </w:p>
    <w:p w14:paraId="3BA65809" w14:textId="69C0E37E" w:rsidR="00143375" w:rsidRDefault="00143375" w:rsidP="004A7C21">
      <w:pPr>
        <w:pStyle w:val="BodyText"/>
      </w:pPr>
      <w:bookmarkStart w:id="25" w:name="_Hlk72424731"/>
      <w:r>
        <w:t xml:space="preserve">The representative of the </w:t>
      </w:r>
      <w:r w:rsidRPr="00B71B8E">
        <w:rPr>
          <w:u w:val="single"/>
        </w:rPr>
        <w:t>OECD</w:t>
      </w:r>
      <w:r>
        <w:t xml:space="preserve"> briefed the Committee on </w:t>
      </w:r>
      <w:bookmarkEnd w:id="25"/>
      <w:r>
        <w:t>its recent</w:t>
      </w:r>
      <w:r w:rsidRPr="00B71B8E">
        <w:rPr>
          <w:color w:val="0070C0"/>
        </w:rPr>
        <w:t xml:space="preserve"> </w:t>
      </w:r>
      <w:r>
        <w:t>report on International Trade and Circular Economy Policy Alignment. The circular economy aimed to close, extend and narrow material loops in various ways. This happened frequently within national boundaries, but there were important interlinkages with international trade, through global supply chains, end-of-life value chains and through services trade.</w:t>
      </w:r>
      <w:r w:rsidR="00B71B8E">
        <w:t xml:space="preserve"> </w:t>
      </w:r>
      <w:r>
        <w:t>This report aimed to secure the policy coherence necessary between international trade and circular economy by mapping out the potential misalignments and identifying opportunities to align and strengthen both policy areas.</w:t>
      </w:r>
      <w:r w:rsidR="00B71B8E">
        <w:t xml:space="preserve"> </w:t>
      </w:r>
      <w:r>
        <w:t xml:space="preserve">When looking into trade policies, the starting point was that trade policies were often not familiar to environmental policy makers and, vice versa, circular economy policies were not familiar to trade officials, so the aim of the report was to fill in this gap. </w:t>
      </w:r>
    </w:p>
    <w:p w14:paraId="57674274" w14:textId="6A104266" w:rsidR="00143375" w:rsidRDefault="00143375" w:rsidP="004A7C21">
      <w:pPr>
        <w:pStyle w:val="BodyText"/>
      </w:pPr>
      <w:r>
        <w:t>The report first looked into multilateral trade rules (some basic rules relating to non</w:t>
      </w:r>
      <w:r>
        <w:noBreakHyphen/>
        <w:t>discrimination, general exceptions, technical barriers to trade, transparency, consultation and capacity building elements) and, in particular, the TBT</w:t>
      </w:r>
      <w:r w:rsidR="00025E1C">
        <w:t> Agreement</w:t>
      </w:r>
      <w:r>
        <w:t>, which aimed to facilitate trade and harmonize technical regulations as widely as possible and encouraged Members to adopt international standards through policy making to the extent possible.</w:t>
      </w:r>
      <w:r w:rsidR="00B71B8E">
        <w:t xml:space="preserve"> </w:t>
      </w:r>
      <w:r>
        <w:t xml:space="preserve">Next, the report looked into regional trade agreements. So far, specific provisions on circular economy were found in five draft agreements. Circular economy-related provisions were found more broadly, such as on natural resources and waste management, in references to the Basel Convention and specific provisions on food waste, such as those found in the </w:t>
      </w:r>
      <w:r w:rsidR="00B71B8E">
        <w:t>United</w:t>
      </w:r>
      <w:r w:rsidR="00025E1C">
        <w:t> States</w:t>
      </w:r>
      <w:r>
        <w:t xml:space="preserve">, </w:t>
      </w:r>
      <w:r w:rsidR="00B71B8E">
        <w:t xml:space="preserve">Mexico and </w:t>
      </w:r>
      <w:r>
        <w:t>Canada Agreement (USMCA).</w:t>
      </w:r>
    </w:p>
    <w:p w14:paraId="0F93C3A1" w14:textId="3A7BDE98" w:rsidR="00143375" w:rsidRDefault="00143375" w:rsidP="004A7C21">
      <w:pPr>
        <w:pStyle w:val="BodyText"/>
      </w:pPr>
      <w:r>
        <w:lastRenderedPageBreak/>
        <w:t>Turning to what kind of policies were currently in place for resource efficiency and circular economy, he mentioned an OECD survey from 2017</w:t>
      </w:r>
      <w:r w:rsidR="00C16A07">
        <w:rPr>
          <w:rStyle w:val="FootnoteReference"/>
        </w:rPr>
        <w:footnoteReference w:id="4"/>
      </w:r>
      <w:r>
        <w:t>, which identified what kind of policies were already in place and what kind of policies were under consideration. Such policies fell into six broad categories: (1) </w:t>
      </w:r>
      <w:r w:rsidRPr="00C16A07">
        <w:rPr>
          <w:lang w:val="en-US"/>
        </w:rPr>
        <w:t>Extended Producer Responsibility (EPR) and product stewardship schemes</w:t>
      </w:r>
      <w:r>
        <w:t>; (2) taxes and subsidies; (3) eco</w:t>
      </w:r>
      <w:r w:rsidR="00025E1C">
        <w:t>design</w:t>
      </w:r>
      <w:r>
        <w:t>; (4) green public procurement; (5) eco-labelling; and (6) circular economy-related standards</w:t>
      </w:r>
      <w:r w:rsidRPr="00C16A07">
        <w:rPr>
          <w:lang w:val="en-US"/>
        </w:rPr>
        <w:t>.</w:t>
      </w:r>
      <w:r w:rsidR="00C16A07">
        <w:rPr>
          <w:lang w:val="en-US"/>
        </w:rPr>
        <w:t xml:space="preserve"> </w:t>
      </w:r>
      <w:r>
        <w:t>There were several policy instruments that were not covered, such as on R&amp;D, education campaigns and material exchange platforms. While these were essential for the circular economy, they appeared less relevant for trade and were therefore not covered in this report.</w:t>
      </w:r>
    </w:p>
    <w:p w14:paraId="3F4F86D9" w14:textId="152A3748" w:rsidR="00143375" w:rsidRDefault="00143375" w:rsidP="004A7C21">
      <w:pPr>
        <w:pStyle w:val="BodyText"/>
      </w:pPr>
      <w:r>
        <w:t xml:space="preserve">With regards to securing a mutually supportive agenda for trade and circular economy, the report identified national approaches, </w:t>
      </w:r>
      <w:r w:rsidR="00C16A07">
        <w:t>i.e.</w:t>
      </w:r>
      <w:r w:rsidR="00025E1C">
        <w:t xml:space="preserve"> </w:t>
      </w:r>
      <w:r>
        <w:t xml:space="preserve">what could be done within domestic policy space; issues that required some sort of international cooperation; and knowledge gaps. Starting with national approaches, circular economy policies </w:t>
      </w:r>
      <w:r w:rsidR="00C16A07">
        <w:t>needed to</w:t>
      </w:r>
      <w:r>
        <w:t xml:space="preserve"> be defined and implemented in a non-discriminatory fashion and notified. </w:t>
      </w:r>
      <w:r w:rsidR="00C16A07">
        <w:rPr>
          <w:lang w:val="en-US"/>
        </w:rPr>
        <w:t>EPR</w:t>
      </w:r>
      <w:r>
        <w:t xml:space="preserve"> schemes need to be examined or re-examined, in particular, how they account</w:t>
      </w:r>
      <w:r w:rsidR="00C16A07">
        <w:t>ed</w:t>
      </w:r>
      <w:r>
        <w:t xml:space="preserve"> for end-of-life value chains, since some schemes appeared to incentivize waste trade by allowing exporters to claim that waste exports were 100% recycled without accounting for intermediate processing losses. There were also elements around circular economy standards that needed to be aligned with international standards to the extent possible and these should be notified whenever appropriate. While not related to circular economy policies </w:t>
      </w:r>
      <w:r w:rsidRPr="00C16A07">
        <w:rPr>
          <w:i/>
          <w:iCs/>
        </w:rPr>
        <w:t>per se</w:t>
      </w:r>
      <w:r>
        <w:t xml:space="preserve">, there were other elements around definitions and classification to allowing trade that would support the circular economy and distinguishing them from unwanted fractions. </w:t>
      </w:r>
    </w:p>
    <w:p w14:paraId="1D52A462" w14:textId="4D987C4B" w:rsidR="00143375" w:rsidRDefault="00143375" w:rsidP="004A7C21">
      <w:pPr>
        <w:pStyle w:val="BodyText"/>
      </w:pPr>
      <w:r>
        <w:t>With respect to international approaches, the most relevant was circular economy standards and, secondly, harmonization and mutual recognition of conformity assessment procedures or being engaged in international standard-setting, since circular economy-related standards were emerging in various jurisdictions. There were also elements around definitions, classification and data collection to keep in mind.</w:t>
      </w:r>
      <w:r w:rsidR="00C16A07">
        <w:t xml:space="preserve"> </w:t>
      </w:r>
      <w:r>
        <w:t xml:space="preserve">Regarding knowledge gaps, there were three issues that needed further work: the first was how to align global supply chains with the circular economy; a second issue was on securing circular and resilient value chains, for instance, through trade facilitation, digital technology and innovation; and, finally, how services trade could support circular economy business modules. </w:t>
      </w:r>
    </w:p>
    <w:p w14:paraId="0678F296" w14:textId="13141629" w:rsidR="00143375" w:rsidRDefault="00143375" w:rsidP="00143375">
      <w:pPr>
        <w:pStyle w:val="BodyText"/>
        <w:rPr>
          <w:szCs w:val="18"/>
        </w:rPr>
      </w:pPr>
      <w:r>
        <w:rPr>
          <w:szCs w:val="18"/>
        </w:rPr>
        <w:t xml:space="preserve">The representative of the </w:t>
      </w:r>
      <w:r>
        <w:rPr>
          <w:szCs w:val="18"/>
          <w:u w:val="single"/>
        </w:rPr>
        <w:t>European</w:t>
      </w:r>
      <w:r w:rsidR="00025E1C">
        <w:rPr>
          <w:szCs w:val="18"/>
          <w:u w:val="single"/>
        </w:rPr>
        <w:t> Union</w:t>
      </w:r>
      <w:r>
        <w:rPr>
          <w:szCs w:val="18"/>
        </w:rPr>
        <w:t xml:space="preserve"> </w:t>
      </w:r>
      <w:r>
        <w:t xml:space="preserve">thanked the OECD Secretariat for </w:t>
      </w:r>
      <w:r w:rsidR="00C16A07">
        <w:t>the</w:t>
      </w:r>
      <w:r>
        <w:t xml:space="preserve"> very valuable work on trade and circular economy.</w:t>
      </w:r>
    </w:p>
    <w:p w14:paraId="35992C73" w14:textId="392E5EED" w:rsidR="00E21F03" w:rsidRDefault="00E21F03" w:rsidP="006C4688">
      <w:pPr>
        <w:pStyle w:val="Heading3"/>
      </w:pPr>
      <w:bookmarkStart w:id="26" w:name="_Toc74660662"/>
      <w:r w:rsidRPr="00531665">
        <w:t>Other</w:t>
      </w:r>
      <w:bookmarkEnd w:id="26"/>
    </w:p>
    <w:p w14:paraId="42FC7F9A" w14:textId="3351A79E" w:rsidR="00690020" w:rsidRPr="00690020" w:rsidRDefault="00690020" w:rsidP="00690020">
      <w:pPr>
        <w:pStyle w:val="Heading4"/>
      </w:pPr>
      <w:bookmarkStart w:id="27" w:name="_Toc74660663"/>
      <w:r>
        <w:t>Presentation on Maldives' efforts to promote sustainable trade and green recovery</w:t>
      </w:r>
      <w:bookmarkEnd w:id="27"/>
    </w:p>
    <w:p w14:paraId="53D736B9" w14:textId="3A2C0259" w:rsidR="00955503" w:rsidRDefault="00955503" w:rsidP="00955503">
      <w:pPr>
        <w:pStyle w:val="BodyText"/>
      </w:pPr>
      <w:r>
        <w:t xml:space="preserve">The Ambassador of </w:t>
      </w:r>
      <w:r w:rsidRPr="00955503">
        <w:rPr>
          <w:u w:val="single"/>
        </w:rPr>
        <w:t>Maldives</w:t>
      </w:r>
      <w:r>
        <w:t xml:space="preserve"> presented on Maldives' efforts to promote sustainable trade and green recovery. The protection of the environment was important for the Maldives as the country's main sources of income </w:t>
      </w:r>
      <w:r w:rsidR="00025E1C">
        <w:t>–</w:t>
      </w:r>
      <w:r>
        <w:t xml:space="preserve"> fisheries and tourism </w:t>
      </w:r>
      <w:r w:rsidR="00025E1C">
        <w:t>–</w:t>
      </w:r>
      <w:r>
        <w:t xml:space="preserve"> depended on the sustainable use of environmental resources. The protection of natural ecosystems was a sine qua non for the continued progress and development of the Maldives. The Maldives Strategic Action Plan 2019-2023, incorporated goals to address environmental protection and preservation. The Action Plan also outlined modalities for sustainable economic activities within the framework of the blue economy. </w:t>
      </w:r>
    </w:p>
    <w:p w14:paraId="025B4CA0" w14:textId="1FE7519D" w:rsidR="00955503" w:rsidRDefault="00955503" w:rsidP="00955503">
      <w:pPr>
        <w:pStyle w:val="BodyText"/>
      </w:pPr>
      <w:r>
        <w:t>He noted that plastics pollution had significant cross-border implications. Therefore, it was important to explore options and solutions to tackle plastic pollution, reduce plastic production and use, and transition to a circular economy, to preserve the country's ecosystem, protect biodiversity and increase productivity. Maldives had taken steps to phase out single-use plastics with the Amendment to its Import-Export Act in December 2020. With this Amendment, from June 2021, the import of goods declared as single-use plastic would be prohibited. The Maldives was expected to fully phase</w:t>
      </w:r>
      <w:r w:rsidR="009F1F9A">
        <w:t xml:space="preserve"> </w:t>
      </w:r>
      <w:r>
        <w:t xml:space="preserve">out single-use plastics by 2023. This plan would be rolled out in stages, together with an extended producer responsibility program, strategic awareness, and educational campaigns to steer </w:t>
      </w:r>
      <w:r>
        <w:lastRenderedPageBreak/>
        <w:t xml:space="preserve">the country towards a greener economy. The aim was to ensure minimum disruption by making plastic alternatives available and affordable. </w:t>
      </w:r>
    </w:p>
    <w:p w14:paraId="03973B71" w14:textId="6A8363F1" w:rsidR="00955503" w:rsidRDefault="00955503" w:rsidP="00955503">
      <w:pPr>
        <w:pStyle w:val="BodyText"/>
      </w:pPr>
      <w:r>
        <w:t>The Ambassador stated that the Maldives had already implemented plastic-free initiatives in schools. Since April 2018, all schools in the Maldives were single-use plastic-free. Several resorts promoted sustainable, eco-friendly, and responsible tourism by investing in renewable energy, protecting biodiversity, and eliminating single</w:t>
      </w:r>
      <w:r w:rsidR="009F1F9A">
        <w:t>-</w:t>
      </w:r>
      <w:r>
        <w:t xml:space="preserve">use plastic bottles. To enhance multilateral engagement, the Maldives was also a member of the Commonwealth Clean Ocean Alliance, the Action Group to tackle marine plastic pollution. Furthermore, Maldives had partnered with Parley for the Oceans. Through this partnership, Maldives would support the implementation of the Parley AIR Strategy to avoid plastics where possible, by education, intercepting plastic waste and redesigning alternative and new solutions to plastics. </w:t>
      </w:r>
    </w:p>
    <w:p w14:paraId="5BD02310" w14:textId="24D781C3" w:rsidR="00955503" w:rsidRDefault="00955503" w:rsidP="00955503">
      <w:pPr>
        <w:pStyle w:val="BodyText"/>
      </w:pPr>
      <w:r>
        <w:t xml:space="preserve">He said that these initiatives aligned with the Maldives' efforts to transition from a linear to a circular economy, which focused on waste reduction, reuse, and recycling. This transition posed challenges, in particular, changing the production and trade structure of the economy. However, new industries were gradually being introduced that aimed to replace the linear model. Waste management and recycling was one key area of focus. To this end, Maldives had established a plastic recycling laboratory </w:t>
      </w:r>
      <w:r w:rsidR="00063DC9">
        <w:t>"</w:t>
      </w:r>
      <w:r>
        <w:t>The Plastics Lab</w:t>
      </w:r>
      <w:r w:rsidR="00063DC9">
        <w:t>"</w:t>
      </w:r>
      <w:r>
        <w:t xml:space="preserve">. </w:t>
      </w:r>
    </w:p>
    <w:p w14:paraId="5ADDF272" w14:textId="35BC7AD3" w:rsidR="00955503" w:rsidRDefault="00955503" w:rsidP="00955503">
      <w:pPr>
        <w:pStyle w:val="BodyText"/>
      </w:pPr>
      <w:r>
        <w:t>Geography had made Maldives and other Small Island Developing States (SIDS) especially vulnerable to the consequences of climate change and sea</w:t>
      </w:r>
      <w:r w:rsidR="009F1F9A">
        <w:t xml:space="preserve"> </w:t>
      </w:r>
      <w:r>
        <w:t>level rise. Being land-scarce and low-lying, Maldives was exposed to the risks of extreme weather events all of which had devastating impacts on lives and livelihoods. To avert these risks, significant adaptation measures were necessary. He stated that considerable public investment was aimed at coastal protection and there were measures to protect infrastructure and strengthen natural defences. In addition, mitigation measures were also equally important to enhance climate resilience through emissions reduction and renewable energy alternatives. The Maldives aimed to achieve net</w:t>
      </w:r>
      <w:r w:rsidR="009F1F9A">
        <w:t xml:space="preserve"> </w:t>
      </w:r>
      <w:r>
        <w:t>zero emissions by 2030. International trade and multilateral cooperation in mobili</w:t>
      </w:r>
      <w:r w:rsidR="00025E1C">
        <w:t>z</w:t>
      </w:r>
      <w:r>
        <w:t>ing assistance was key to the effective implementation of adaptation and mitigation measures.</w:t>
      </w:r>
    </w:p>
    <w:p w14:paraId="0FAAE193" w14:textId="29143084" w:rsidR="00955503" w:rsidRDefault="00955503" w:rsidP="00955503">
      <w:pPr>
        <w:pStyle w:val="BodyText"/>
      </w:pPr>
      <w:r>
        <w:t xml:space="preserve">The Ambassador said that the Maldives had adopted policies to promote the trade of energy-efficient products and of environment-friendly products. Maldives had eliminated duties on several products, including, electric vehicles integrated with renewable energy, energy-efficient lights, solar-powered products, and solar power systems. Furthermore, duties levied for non-biodegradable products such as plastic bags and polythene films had been increased. In addition, Maldives was encouraging the production of sustainably sourced produce. </w:t>
      </w:r>
    </w:p>
    <w:p w14:paraId="299C75EF" w14:textId="1865215B" w:rsidR="00955503" w:rsidRDefault="00955503" w:rsidP="00955503">
      <w:pPr>
        <w:pStyle w:val="BodyText"/>
      </w:pPr>
      <w:r>
        <w:t>He said that Maldives considered fisheries an important export industry. Tuna fisheries was the dominant form of fishery practiced in the Maldives. Historically, Maldives used environmentally friendly methods of catching fish as the pole, line and hand line fishing methods practiced in the country left zero by-catch, unlike purse-seine net, long line or drift net fishing. Maldives fishing methods were therefore intrinsically environmentally friendly and helped preserve tuna stocks and make tuna fisheries more sustainable. He added that there was no widely agreed definition of environmentally friendly products for the purposes of trade. There were also no specific multilateral policies on trade in environmentally friendly products. This meant that, Maldives was unable to effectively compete within the rules-based system with others who did not practice sustainable fisheries in the pursuit of higher returns. This was counter-productive for countries such as the Maldives. However, there was an opportunity to reverse these trends and encourage the trade of environment</w:t>
      </w:r>
      <w:r w:rsidR="009F1F9A">
        <w:t>-</w:t>
      </w:r>
      <w:r>
        <w:t xml:space="preserve">friendly products and improve competitiveness, by revisiting the Generalized System of Preferences (GSP) to support duty-free and quota-free trade for sustainably sourced tuna, and in line with WTO practice, eliminate all non-trade barriers to the promotion of sustainable fisheries. Furthermore, Maldives considered it important to bring the discussion of trade of sustainably sourced products into the work of WTO by incorporating it into the existing negotiations to eliminate tariffs on environmentally friendly products. </w:t>
      </w:r>
    </w:p>
    <w:p w14:paraId="726507C5" w14:textId="0BBFCE73" w:rsidR="00955503" w:rsidRDefault="00955503" w:rsidP="00955503">
      <w:pPr>
        <w:pStyle w:val="BodyText"/>
      </w:pPr>
      <w:r>
        <w:t xml:space="preserve">The representative of the </w:t>
      </w:r>
      <w:r w:rsidRPr="00955503">
        <w:rPr>
          <w:u w:val="single"/>
        </w:rPr>
        <w:t>European</w:t>
      </w:r>
      <w:r w:rsidR="00025E1C">
        <w:rPr>
          <w:u w:val="single"/>
        </w:rPr>
        <w:t> Union</w:t>
      </w:r>
      <w:r>
        <w:t xml:space="preserve"> welcomed the efforts by Maldives to promote environmentally friendly products and the transition from a linear to a circular economy. She also appreciated Maldives' efforts to reduce plastic pollution. </w:t>
      </w:r>
    </w:p>
    <w:p w14:paraId="28E80861" w14:textId="0D51AC92" w:rsidR="00955503" w:rsidRDefault="00955503" w:rsidP="00955503">
      <w:pPr>
        <w:pStyle w:val="BodyText"/>
      </w:pPr>
      <w:r>
        <w:lastRenderedPageBreak/>
        <w:t xml:space="preserve">The representative of </w:t>
      </w:r>
      <w:r w:rsidRPr="00955503">
        <w:rPr>
          <w:u w:val="single"/>
        </w:rPr>
        <w:t>Canada</w:t>
      </w:r>
      <w:r>
        <w:t xml:space="preserve"> commended the Maldives</w:t>
      </w:r>
      <w:r w:rsidR="0035369C">
        <w:t>'</w:t>
      </w:r>
      <w:r>
        <w:t xml:space="preserve"> efforts to promote a green and blue economy and said that her delegation was supportive of discussions on this important area at the WTO. </w:t>
      </w:r>
    </w:p>
    <w:p w14:paraId="30881DF4" w14:textId="6BF31AC8" w:rsidR="005948E6" w:rsidRDefault="00955503" w:rsidP="000E3FDA">
      <w:pPr>
        <w:pStyle w:val="BodyText"/>
      </w:pPr>
      <w:r>
        <w:t xml:space="preserve">The Ambassador of </w:t>
      </w:r>
      <w:r w:rsidRPr="00955503">
        <w:rPr>
          <w:u w:val="single"/>
        </w:rPr>
        <w:t>Maldives</w:t>
      </w:r>
      <w:r>
        <w:t xml:space="preserve"> thanked the European</w:t>
      </w:r>
      <w:r w:rsidR="00025E1C">
        <w:t> Union</w:t>
      </w:r>
      <w:r>
        <w:t xml:space="preserve"> and Canada for their support and noted that the Maldives was working hard to affect the transition from a linear to a circular economy. Maldives needed increased multilateral cooperation within the </w:t>
      </w:r>
      <w:r w:rsidR="000E3FDA">
        <w:t>rules-based</w:t>
      </w:r>
      <w:r>
        <w:t xml:space="preserve"> system to achieve meaningful results. In particular, he noted that fisheries was an important industry and sustainable fishing could have economic and environmental benefits for all SIDS. </w:t>
      </w:r>
    </w:p>
    <w:p w14:paraId="6A29973B" w14:textId="4BEEC272" w:rsidR="00690020" w:rsidRDefault="00690020" w:rsidP="00690020">
      <w:pPr>
        <w:pStyle w:val="Heading4"/>
      </w:pPr>
      <w:bookmarkStart w:id="28" w:name="_Toc74660664"/>
      <w:r>
        <w:t>Presentation on Clean Green Pakistan – A business perspective</w:t>
      </w:r>
      <w:bookmarkEnd w:id="28"/>
    </w:p>
    <w:p w14:paraId="0C83EDF4" w14:textId="728A4272" w:rsidR="005948E6" w:rsidRDefault="005948E6" w:rsidP="00BC1A49">
      <w:pPr>
        <w:pStyle w:val="BodyText"/>
      </w:pPr>
      <w:r>
        <w:t xml:space="preserve">The representative of </w:t>
      </w:r>
      <w:r w:rsidRPr="000E3FDA">
        <w:rPr>
          <w:u w:val="single"/>
        </w:rPr>
        <w:t>Pakistan</w:t>
      </w:r>
      <w:r>
        <w:t xml:space="preserve"> present</w:t>
      </w:r>
      <w:r w:rsidR="000E3FDA">
        <w:t>ed</w:t>
      </w:r>
      <w:r>
        <w:t xml:space="preserve"> one of the early cases of successful transition to a sustainable business in Pakistan, in a presentation entitled "Clean Green Pakistan – A business perspective".</w:t>
      </w:r>
      <w:r w:rsidR="000E3FDA">
        <w:t xml:space="preserve"> </w:t>
      </w:r>
      <w:r>
        <w:t xml:space="preserve">As Pakistan was at high risk of the impacts of climate change, the Pakistani Government had </w:t>
      </w:r>
      <w:r w:rsidR="00063DC9">
        <w:t>launched</w:t>
      </w:r>
      <w:r>
        <w:t xml:space="preserve"> the initiative "Clean and Green Pakistan". Pakistan was committed to the Paris Agreement's objective and </w:t>
      </w:r>
      <w:r w:rsidR="00063DC9">
        <w:t>the</w:t>
      </w:r>
      <w:r>
        <w:t xml:space="preserve"> Prime Minister had urged countries to work together to achieve this goal. The Prime Minister had also undertaken a large and ambitious project known as the </w:t>
      </w:r>
      <w:r w:rsidR="00063DC9">
        <w:t>"</w:t>
      </w:r>
      <w:r>
        <w:t>Billion Trees Tsunami</w:t>
      </w:r>
      <w:r w:rsidR="00063DC9">
        <w:t>"</w:t>
      </w:r>
      <w:r>
        <w:t>, which was well on the way to achieving its targets.</w:t>
      </w:r>
    </w:p>
    <w:p w14:paraId="5B4EFA88" w14:textId="293ECBC1" w:rsidR="005948E6" w:rsidRDefault="005948E6" w:rsidP="00BC1A49">
      <w:pPr>
        <w:pStyle w:val="BodyText"/>
      </w:pPr>
      <w:r>
        <w:t xml:space="preserve">He acknowledged that sustainability and growth were not mutually exclusive, however, there were numerous challenges that came with the opportunities that a green economy offered. Even prior to the pandemic, Pakistan's economy was facing several challenges, among others, environment challenges such as drought, floods and locusts. These of course had far-reaching consequences for an agriculture-based economy, as well as market access issues in terms of competitiveness and diversification. </w:t>
      </w:r>
    </w:p>
    <w:p w14:paraId="6BAFADD9" w14:textId="6B9EE5D9" w:rsidR="005948E6" w:rsidRDefault="005948E6" w:rsidP="00BC1A49">
      <w:pPr>
        <w:pStyle w:val="BodyText"/>
      </w:pPr>
      <w:r>
        <w:t>The pandemic had added another handicap as the country tried to surmount these hurdles. These issues were typical to most poor countries.</w:t>
      </w:r>
      <w:r w:rsidR="000E3FDA">
        <w:t xml:space="preserve"> </w:t>
      </w:r>
      <w:r>
        <w:t>Therefore, transitioning to a sustainable economy in this context was a challenge that could only be overcome with targeted support from partners and entities in the sustainability field. In his view, in addressing the issue of climate change, nothing less than a Global Green Deal would cut it. Country-specific or region-specific policies alone could not address a global issue.</w:t>
      </w:r>
    </w:p>
    <w:p w14:paraId="0CB2EB67" w14:textId="020F2296" w:rsidR="005948E6" w:rsidRDefault="005948E6" w:rsidP="00BC1A49">
      <w:pPr>
        <w:pStyle w:val="BodyText"/>
      </w:pPr>
      <w:r>
        <w:t xml:space="preserve">To this end, he echoed the call made by the </w:t>
      </w:r>
      <w:r w:rsidR="00063DC9">
        <w:t>International Trade Centre</w:t>
      </w:r>
      <w:r>
        <w:t xml:space="preserve"> Executive Director during the Aid For Trade stocktaking event to roll out funds to help countries to transition to green and sustainable economies. Targeted support, or a mechanism supporting countries with resource and technological constraints to transition to a sustainable economy, would allow these countries to build back better and to have more resilient economies.</w:t>
      </w:r>
      <w:r w:rsidR="000E3FDA">
        <w:t xml:space="preserve"> </w:t>
      </w:r>
      <w:r>
        <w:t>Pakistan's presentation highlighted that it made perfectly good business sense for firms in developing countries to go green, provided they ha</w:t>
      </w:r>
      <w:r w:rsidR="00063DC9">
        <w:t>d</w:t>
      </w:r>
      <w:r>
        <w:t xml:space="preserve"> the right set of incentives. </w:t>
      </w:r>
    </w:p>
    <w:p w14:paraId="608911EF" w14:textId="2BCE4473" w:rsidR="005948E6" w:rsidRDefault="000E3FDA" w:rsidP="004A7C21">
      <w:pPr>
        <w:pStyle w:val="BodyText"/>
      </w:pPr>
      <w:r>
        <w:t>A</w:t>
      </w:r>
      <w:r w:rsidR="005948E6">
        <w:t xml:space="preserve"> </w:t>
      </w:r>
      <w:r>
        <w:t xml:space="preserve">business </w:t>
      </w:r>
      <w:r w:rsidR="005948E6">
        <w:t xml:space="preserve">representative of </w:t>
      </w:r>
      <w:r>
        <w:t>Pakistan</w:t>
      </w:r>
      <w:r>
        <w:rPr>
          <w:rStyle w:val="FootnoteReference"/>
        </w:rPr>
        <w:footnoteReference w:id="5"/>
      </w:r>
      <w:r w:rsidR="00063DC9">
        <w:t xml:space="preserve"> noted that Pakistan was the seventh largest exporter of footwear manufacturing in the world, and it was in this area that his company operated. S</w:t>
      </w:r>
      <w:r w:rsidR="005948E6">
        <w:t>ervice Industries Limited was an 80-year old company. It operated three types of businesses: firstly, a shoe factory, which primarily produced shoes for the domestic market; secondly, the manufacture of tyres and tubes; and thirdly, Service Global Footwear Limited, which was the largest footwear exporter in Pakistan and an industry leader. This was the business category and the factory type that had implemented sustainable energy.</w:t>
      </w:r>
      <w:r w:rsidR="00700658">
        <w:t xml:space="preserve"> </w:t>
      </w:r>
      <w:r w:rsidR="005948E6">
        <w:t xml:space="preserve">As an introduction to Service Global Footwear Limited, he noted that it was a vertical integrated factory, which produced all types of components in-house. More than 95% of production was for the export market. The factory was fully socially and environmentally compliant with all international bodies. Europe was its biggest market, followed by the </w:t>
      </w:r>
      <w:r w:rsidR="00063DC9">
        <w:t>United</w:t>
      </w:r>
      <w:r w:rsidR="00025E1C">
        <w:t> States</w:t>
      </w:r>
      <w:r w:rsidR="00063DC9">
        <w:t xml:space="preserve"> </w:t>
      </w:r>
      <w:r w:rsidR="005948E6">
        <w:t>(17%</w:t>
      </w:r>
      <w:r w:rsidR="00700658">
        <w:t>)</w:t>
      </w:r>
      <w:r w:rsidR="005948E6">
        <w:t>. Moving on to sustainability and why the company went green, or what factors influenced Service Global Footwear Limited to set up its first solar-powered park, there were four reasons he wished to highlight.</w:t>
      </w:r>
    </w:p>
    <w:p w14:paraId="631890F6" w14:textId="7C686644" w:rsidR="005948E6" w:rsidRDefault="005948E6" w:rsidP="004A7C21">
      <w:pPr>
        <w:pStyle w:val="BodyText"/>
      </w:pPr>
      <w:r>
        <w:t xml:space="preserve">The first was the </w:t>
      </w:r>
      <w:r w:rsidR="00700658">
        <w:t>"</w:t>
      </w:r>
      <w:r>
        <w:t>Billion Trees Tsunami</w:t>
      </w:r>
      <w:r w:rsidR="00700658">
        <w:t>"</w:t>
      </w:r>
      <w:r>
        <w:t xml:space="preserve"> programme, which </w:t>
      </w:r>
      <w:r w:rsidR="00700658">
        <w:t>was</w:t>
      </w:r>
      <w:r>
        <w:t xml:space="preserve"> a plan to plant a billion trees in the following three years. The slogan gained great success and momentum and it brought massive awareness and media across the country. This message also reached his company and it was the </w:t>
      </w:r>
      <w:r>
        <w:lastRenderedPageBreak/>
        <w:t>first time they started to think about the green energy concept.</w:t>
      </w:r>
      <w:r w:rsidR="00700658">
        <w:t xml:space="preserve"> </w:t>
      </w:r>
      <w:r>
        <w:t xml:space="preserve">The second </w:t>
      </w:r>
      <w:r w:rsidR="00700658">
        <w:t>reason</w:t>
      </w:r>
      <w:r>
        <w:t xml:space="preserve"> was the global drive, such as the Paris Agreement in 2015, when </w:t>
      </w:r>
      <w:r w:rsidR="00700658">
        <w:t>many</w:t>
      </w:r>
      <w:r>
        <w:t xml:space="preserve"> countries made global commitments to convert their fossil energy into non-fossil resources. Germany was one of them</w:t>
      </w:r>
      <w:r w:rsidR="00700658">
        <w:t xml:space="preserve"> and as</w:t>
      </w:r>
      <w:r>
        <w:t xml:space="preserve"> Germany was Service Global Footwear Limited's largest trading partner, the company decided to contribute to its trading partner's cause. </w:t>
      </w:r>
    </w:p>
    <w:p w14:paraId="3ECD4394" w14:textId="09BB432C" w:rsidR="005948E6" w:rsidRDefault="005948E6" w:rsidP="004A7C21">
      <w:pPr>
        <w:pStyle w:val="BodyText"/>
      </w:pPr>
      <w:r>
        <w:t>The third reason was power shortages. Historically, Pakistan had faced serious power shortages. Therefore, Service Global Footwear Limited and many other industries were thinking about how they could be more self-reliant and generate their own power, which was also cheaper and more sustainable.</w:t>
      </w:r>
      <w:r w:rsidR="00700658">
        <w:t xml:space="preserve"> </w:t>
      </w:r>
      <w:r>
        <w:t>A fourth reason was customer perspectives. In 2016, the company started to discuss the green energy concept with its major customers. It received an overwhelming response from most customers.</w:t>
      </w:r>
    </w:p>
    <w:p w14:paraId="0781D17E" w14:textId="03EA7A48" w:rsidR="005948E6" w:rsidRDefault="005948E6" w:rsidP="004A7C21">
      <w:pPr>
        <w:pStyle w:val="BodyText"/>
      </w:pPr>
      <w:r>
        <w:t>He then explained the reasons why Service Global Footwear Limited decided to open its first Solar Power Park facility. Out of Pakistan's total power generation, 63% of electricity was produced with fossil resources. His company thought about all these issues over two years, from 2015-2017, and in 2017 it opened its first Solar Power Park of 1 megawatt (MW). It was a unique event in Pakistan, as it was the first company to implement a Solar Power Park of this size in Pakistan and probably the first shoe factory in that region to adopt this technology on this scale. Hence, the inauguration was attended by Pakistan's leading business community, government officials, many European Ambassadors in Pakistan, including the German Ambassador</w:t>
      </w:r>
      <w:r w:rsidR="00700658">
        <w:t>.</w:t>
      </w:r>
      <w:r>
        <w:t xml:space="preserve"> </w:t>
      </w:r>
    </w:p>
    <w:p w14:paraId="185845ED" w14:textId="3C05D8E5" w:rsidR="005948E6" w:rsidRDefault="005948E6" w:rsidP="004A7C21">
      <w:pPr>
        <w:pStyle w:val="BodyText"/>
      </w:pPr>
      <w:r>
        <w:t>The concept was so well received that a few other industries, such as leather and textile factories, signed an MoU with the same consultant within a week of its inauguration. Three and half years later, looking at the numbers, the company had no regrets. In terms of carbon emissions, in the last three and a half years, nearly 2,400 tons of carbon had been saved by this 1 MW Solar Power Park. This translated into planting over 61,000 trees or not driving a vehicle over a distance of 9.6 million km. All customers were happy with the green concept and some European customers circulated in their local media that they produced their shoes in Pakistan and that all their shoes were made with clean and green energy. The shareholders of the company were also happy since in Pakistan the cost per unit from solar energy was one-third the cost from the national grid. So, it was a win</w:t>
      </w:r>
      <w:r w:rsidR="00700658">
        <w:t>-</w:t>
      </w:r>
      <w:r>
        <w:t xml:space="preserve">win situation for everyone. After seeing the success of this Solar Power Park, in February 2019, a second 440 KW-capacity unit was opened. Recently, a third 562 KW-capacity unit had opened. Altogether, in this one shoe factory, there was a capacity of over 2 megawatts (MW) of power generation all with solar. </w:t>
      </w:r>
    </w:p>
    <w:p w14:paraId="6A88391C" w14:textId="5A070EAE" w:rsidR="005948E6" w:rsidRDefault="005948E6" w:rsidP="004A7C21">
      <w:pPr>
        <w:pStyle w:val="BodyText"/>
      </w:pPr>
      <w:r>
        <w:t xml:space="preserve">He mentioned some of the challenges in implementing these three projects. As it was the first to adopt this technology, the company faced a lot of issues when setting up the first plant, as there was no previous example available in Pakistan where they could verify the numbers and the production forecast by consultants. They had to travel to different countries in Europe to see a plant that was already working and consulted with foreign technicians. Once a plant was installed, another challenge was how to send the extra energy back to the national grid. There was no system available for </w:t>
      </w:r>
      <w:r w:rsidR="00700658">
        <w:t>"</w:t>
      </w:r>
      <w:r>
        <w:t>net-metering</w:t>
      </w:r>
      <w:r w:rsidR="00700658">
        <w:t>"</w:t>
      </w:r>
      <w:r>
        <w:t xml:space="preserve">, so they worked hard with local authorities to set up the protocols and finally, after 6-8 months, they received their first licence for </w:t>
      </w:r>
      <w:r w:rsidR="00700658">
        <w:t>"</w:t>
      </w:r>
      <w:r>
        <w:t>net-metering</w:t>
      </w:r>
      <w:r w:rsidR="00700658">
        <w:t>"</w:t>
      </w:r>
      <w:r>
        <w:t>. As the system was already defined, for the second and third units, the same licence was obtained within a couple of weeks.</w:t>
      </w:r>
    </w:p>
    <w:p w14:paraId="3AA24D20" w14:textId="5F78F402" w:rsidR="005948E6" w:rsidRDefault="005948E6" w:rsidP="004A7C21">
      <w:pPr>
        <w:pStyle w:val="BodyText"/>
      </w:pPr>
      <w:r>
        <w:t xml:space="preserve">He noted what challenges other industries faced in Pakistan. Most industries in Pakistan ranged from small to medium scale, so they found it difficult to fund these projects, especially the initial cost of the project, even though there was a subsidized interest rate of 3-4% for such projects in Pakistan. Another reason was customer appreciation. For the majority of companies selling in Pakistan, there was no appreciation of this (green) concept by their customers. Local authorities in Pakistan needed to raise awareness and make the system easier for </w:t>
      </w:r>
      <w:r w:rsidR="00700658">
        <w:t>Small and Medium Sized Enterprises (</w:t>
      </w:r>
      <w:r>
        <w:t>SMEs</w:t>
      </w:r>
      <w:r w:rsidR="00700658">
        <w:t>)</w:t>
      </w:r>
      <w:r>
        <w:t xml:space="preserve"> to learn what advantages they could benefit from in their own businesses by going for the sustainability concept.</w:t>
      </w:r>
    </w:p>
    <w:p w14:paraId="2C4623EA" w14:textId="77777777" w:rsidR="00650AA0" w:rsidRDefault="005948E6" w:rsidP="004A7C21">
      <w:pPr>
        <w:pStyle w:val="BodyText"/>
      </w:pPr>
      <w:r>
        <w:t>Next, he noted the group's vision for these services. Nearly 70% of Service Global Footwear Limited's electricity requirement now came from the Solar Power Park and they hoped to implement the same system in the rest of their production facilities as well as in the corporate offices. The internal target for the next 3-4 years was to implement the same type of solar park for its footwear factory that produce</w:t>
      </w:r>
      <w:r w:rsidR="00650AA0">
        <w:t>d</w:t>
      </w:r>
      <w:r>
        <w:t xml:space="preserve"> for the domestic market, as well as for its tyre business.</w:t>
      </w:r>
      <w:r w:rsidR="00650AA0">
        <w:t xml:space="preserve"> </w:t>
      </w:r>
    </w:p>
    <w:p w14:paraId="50A37E67" w14:textId="349335DD" w:rsidR="005948E6" w:rsidRDefault="005948E6" w:rsidP="004A7C21">
      <w:pPr>
        <w:pStyle w:val="BodyText"/>
      </w:pPr>
      <w:r>
        <w:lastRenderedPageBreak/>
        <w:t>Finally, the last item in the presentation was the key message, which could be divided into two parts. First, the message to local industry in Pakistan, as well as outside Pakistan, was clear – it was a win-win situation. When you went for the green concept, your customers were happy and cost wise, at least in Pakistan, it was more cost-effective than the national grid. It created a better image of the company and, of course, it gave satisfaction knowing that you were doing something for the next generation. The last message that they wished to give to the WTO and other international trade bodies</w:t>
      </w:r>
      <w:r w:rsidR="000E3FDA" w:rsidRPr="000E3FDA">
        <w:t xml:space="preserve"> </w:t>
      </w:r>
      <w:r w:rsidR="000E3FDA">
        <w:t>was that a</w:t>
      </w:r>
      <w:r>
        <w:t xml:space="preserve">ll the benefits that had been discussed were about green, clean and energy and its sustainability, but it remained a fact that most of these realities were soft realities and businesses were driven by hard realities and material advantages. </w:t>
      </w:r>
      <w:r w:rsidR="00650AA0">
        <w:t>It was necessary to</w:t>
      </w:r>
      <w:r>
        <w:t xml:space="preserve"> develop more platforms and recognitions in terms of material benefits for the companies that adopted this technology. There should be closer coordination between customers and suppliers and well recogni</w:t>
      </w:r>
      <w:r w:rsidR="00025E1C">
        <w:t>s</w:t>
      </w:r>
      <w:r>
        <w:t>ed preferences given to those companies that went green. If we showed companies the paths of sustainability and comparative preference over those people who still used fossil energy, a lot more people would go for this concept.</w:t>
      </w:r>
    </w:p>
    <w:p w14:paraId="34A23B39" w14:textId="5418F2E0" w:rsidR="00300018" w:rsidRDefault="00300018" w:rsidP="00300018">
      <w:pPr>
        <w:pStyle w:val="Heading4"/>
      </w:pPr>
      <w:bookmarkStart w:id="29" w:name="_Toc74660665"/>
      <w:r>
        <w:t xml:space="preserve">United Kingdom's </w:t>
      </w:r>
      <w:r w:rsidRPr="00925F96">
        <w:t>activities</w:t>
      </w:r>
      <w:r>
        <w:t xml:space="preserve"> related to making supply chains more sustainable</w:t>
      </w:r>
      <w:bookmarkEnd w:id="29"/>
    </w:p>
    <w:p w14:paraId="3DCB082C" w14:textId="6AFDD349" w:rsidR="00925F96" w:rsidRDefault="004E0D9A" w:rsidP="00955503">
      <w:pPr>
        <w:pStyle w:val="BodyText"/>
      </w:pPr>
      <w:r w:rsidRPr="00925F96">
        <w:t xml:space="preserve">The </w:t>
      </w:r>
      <w:r w:rsidRPr="00925F96">
        <w:rPr>
          <w:lang w:val="en-US"/>
        </w:rPr>
        <w:t xml:space="preserve">representative of the </w:t>
      </w:r>
      <w:r w:rsidRPr="00925F96">
        <w:rPr>
          <w:u w:val="single"/>
        </w:rPr>
        <w:t>United Kingdom</w:t>
      </w:r>
      <w:r w:rsidRPr="00925F96">
        <w:t xml:space="preserve"> </w:t>
      </w:r>
      <w:r w:rsidR="00925F96">
        <w:t>provided</w:t>
      </w:r>
      <w:r w:rsidRPr="00925F96">
        <w:t xml:space="preserve"> information on activities</w:t>
      </w:r>
      <w:r>
        <w:t xml:space="preserve"> related to making supply chains more sustainable. </w:t>
      </w:r>
      <w:r w:rsidRPr="005B144C">
        <w:t>As the global economy work</w:t>
      </w:r>
      <w:r w:rsidR="00925F96">
        <w:t>ed</w:t>
      </w:r>
      <w:r w:rsidRPr="005B144C">
        <w:t xml:space="preserve"> to recover from the Covid-19 pandemic, it </w:t>
      </w:r>
      <w:r w:rsidR="00925F96">
        <w:t>was</w:t>
      </w:r>
      <w:r w:rsidRPr="005B144C">
        <w:t xml:space="preserve"> vital that </w:t>
      </w:r>
      <w:r w:rsidR="00925F96">
        <w:t>the</w:t>
      </w:r>
      <w:r w:rsidRPr="005B144C">
        <w:t xml:space="preserve"> collective approach to international trade enable</w:t>
      </w:r>
      <w:r w:rsidR="00925F96">
        <w:t>d</w:t>
      </w:r>
      <w:r w:rsidRPr="005B144C">
        <w:t xml:space="preserve"> build</w:t>
      </w:r>
      <w:r w:rsidR="00925F96">
        <w:t>ing</w:t>
      </w:r>
      <w:r w:rsidRPr="005B144C">
        <w:t xml:space="preserve"> back better. As the </w:t>
      </w:r>
      <w:r w:rsidR="005A565F">
        <w:t>TESSD</w:t>
      </w:r>
      <w:r w:rsidRPr="005B144C">
        <w:t xml:space="preserve"> November communiqu</w:t>
      </w:r>
      <w:r w:rsidR="00925F96">
        <w:t>é</w:t>
      </w:r>
      <w:r w:rsidRPr="005B144C">
        <w:t xml:space="preserve"> highlighted, part of this require</w:t>
      </w:r>
      <w:r w:rsidR="00925F96">
        <w:t>d</w:t>
      </w:r>
      <w:r w:rsidRPr="005B144C">
        <w:t xml:space="preserve"> strengthening the resilience and sustainability of global supply chains to address the risks presented by environmental degradation and biodiversity loss</w:t>
      </w:r>
      <w:r>
        <w:t xml:space="preserve">. </w:t>
      </w:r>
    </w:p>
    <w:p w14:paraId="1F0AFAD5" w14:textId="67E3BE39" w:rsidR="005D31F1" w:rsidRPr="005B144C" w:rsidRDefault="005D31F1" w:rsidP="001750EA">
      <w:pPr>
        <w:pStyle w:val="BodyText"/>
      </w:pPr>
      <w:r w:rsidRPr="005B144C">
        <w:t xml:space="preserve">Key to this discussion of supply chain sustainability </w:t>
      </w:r>
      <w:r w:rsidR="00925F96">
        <w:t>was</w:t>
      </w:r>
      <w:r w:rsidRPr="005B144C">
        <w:t xml:space="preserve"> how to </w:t>
      </w:r>
      <w:r w:rsidRPr="00925F96">
        <w:rPr>
          <w:lang w:val="en-US"/>
        </w:rPr>
        <w:t>tackle deforestation and land degradation</w:t>
      </w:r>
      <w:r w:rsidRPr="005B144C">
        <w:t xml:space="preserve">, which </w:t>
      </w:r>
      <w:r w:rsidR="00925F96">
        <w:t>was</w:t>
      </w:r>
      <w:r w:rsidRPr="005B144C">
        <w:t xml:space="preserve"> the second largest source of greenhouse gas emissions annually, a major driver of biodiversity loss and associated with heightened risk of zoonotic disease. Almost </w:t>
      </w:r>
      <w:r w:rsidRPr="005B144C" w:rsidDel="00895383">
        <w:t xml:space="preserve">80% of deforestation </w:t>
      </w:r>
      <w:r w:rsidR="00925F96">
        <w:t>was</w:t>
      </w:r>
      <w:r w:rsidRPr="005B144C">
        <w:t xml:space="preserve"> driven by agricultural expansion, much of it to produce forest and agricultural commodities that we use</w:t>
      </w:r>
      <w:r w:rsidR="00925F96">
        <w:t>d</w:t>
      </w:r>
      <w:r w:rsidRPr="005B144C">
        <w:t xml:space="preserve"> on a daily basis.</w:t>
      </w:r>
      <w:r w:rsidR="0035369C" w:rsidRPr="005B144C">
        <w:t xml:space="preserve"> </w:t>
      </w:r>
      <w:r w:rsidRPr="005B144C">
        <w:t xml:space="preserve">International trade regimes and markets </w:t>
      </w:r>
      <w:r w:rsidR="00925F96">
        <w:t>were</w:t>
      </w:r>
      <w:r w:rsidRPr="005B144C">
        <w:t xml:space="preserve"> too often still set in favour of unsustainable practices in these supply chains. However, when managed legally and sustainably, international trade in forest and agricultural commodities </w:t>
      </w:r>
      <w:r w:rsidR="00925F96">
        <w:t>was</w:t>
      </w:r>
      <w:r w:rsidRPr="005B144C">
        <w:t xml:space="preserve"> an invaluable source of revenue to both local communities and entire nations and </w:t>
      </w:r>
      <w:r w:rsidR="00925F96">
        <w:t>could</w:t>
      </w:r>
      <w:r w:rsidRPr="005B144C">
        <w:t xml:space="preserve"> support wider national and global environmental goals, including through protecting forests and other important ecosystems. The transition to more sustainable forms of agriculture could </w:t>
      </w:r>
      <w:r w:rsidRPr="00363843">
        <w:t>add a further US$2.3trn in productive growth to the global economy.</w:t>
      </w:r>
    </w:p>
    <w:p w14:paraId="0B803ED4" w14:textId="6FACCB5F" w:rsidR="004E0D9A" w:rsidRPr="004E0D9A" w:rsidRDefault="005D31F1" w:rsidP="001750EA">
      <w:pPr>
        <w:pStyle w:val="BodyText"/>
      </w:pPr>
      <w:r w:rsidRPr="005B144C">
        <w:t>Multilaterally</w:t>
      </w:r>
      <w:r w:rsidR="00925F96">
        <w:t xml:space="preserve">, </w:t>
      </w:r>
      <w:r w:rsidRPr="005B144C">
        <w:t>this transition</w:t>
      </w:r>
      <w:r w:rsidR="00925F96">
        <w:t xml:space="preserve"> could be supported</w:t>
      </w:r>
      <w:r w:rsidRPr="005B144C">
        <w:t>, working collaboratively through international trade levers to incentivi</w:t>
      </w:r>
      <w:r w:rsidR="00025E1C">
        <w:t>z</w:t>
      </w:r>
      <w:r w:rsidRPr="005B144C">
        <w:t>e sustainable production of forest and agricultural commodities, to open up sustainable commodity markets and ensure that producers financially benefit from adopting sustainable practices.</w:t>
      </w:r>
      <w:r w:rsidR="00925F96">
        <w:t xml:space="preserve"> T</w:t>
      </w:r>
      <w:r w:rsidRPr="00925F96">
        <w:rPr>
          <w:lang w:val="en-US"/>
        </w:rPr>
        <w:t xml:space="preserve">his issue </w:t>
      </w:r>
      <w:r w:rsidR="00925F96">
        <w:rPr>
          <w:lang w:val="en-US"/>
        </w:rPr>
        <w:t>was</w:t>
      </w:r>
      <w:r w:rsidRPr="00925F96">
        <w:rPr>
          <w:lang w:val="en-US"/>
        </w:rPr>
        <w:t xml:space="preserve"> critical i</w:t>
      </w:r>
      <w:r w:rsidR="00925F96">
        <w:rPr>
          <w:lang w:val="en-US"/>
        </w:rPr>
        <w:t>n order to</w:t>
      </w:r>
      <w:r w:rsidRPr="00925F96">
        <w:rPr>
          <w:lang w:val="en-US"/>
        </w:rPr>
        <w:t xml:space="preserve"> meet Sustainable Development Goals regarding Sustainable Economic Growth, Responsible Consumption and Production, Climate Action and Life on Land.</w:t>
      </w:r>
    </w:p>
    <w:p w14:paraId="065B822A" w14:textId="1883B24B" w:rsidR="005D31F1" w:rsidRPr="005B144C" w:rsidRDefault="005D31F1" w:rsidP="00362ECA">
      <w:pPr>
        <w:pStyle w:val="BodyText"/>
      </w:pPr>
      <w:r w:rsidRPr="005B144C">
        <w:t xml:space="preserve">February saw the launch of the </w:t>
      </w:r>
      <w:bookmarkStart w:id="30" w:name="_Hlk74437685"/>
      <w:r w:rsidRPr="005B144C">
        <w:t>Forest, Agriculture and Commodity Trade (FACT) dialogue</w:t>
      </w:r>
      <w:bookmarkEnd w:id="30"/>
      <w:r w:rsidRPr="005B144C">
        <w:t>,</w:t>
      </w:r>
      <w:r w:rsidRPr="004E0D9A">
        <w:rPr>
          <w:color w:val="111111"/>
        </w:rPr>
        <w:t xml:space="preserve"> an initiative of the </w:t>
      </w:r>
      <w:r w:rsidR="009D3004">
        <w:rPr>
          <w:color w:val="111111"/>
        </w:rPr>
        <w:t>CoP26</w:t>
      </w:r>
      <w:r w:rsidRPr="004E0D9A">
        <w:rPr>
          <w:color w:val="111111"/>
        </w:rPr>
        <w:t xml:space="preserve"> Presidency and the Tropical Forest Alliance to bring together agricultural producer and consumer countries to identify actions to reduce deforestation in supply chains, encourage investment in </w:t>
      </w:r>
      <w:r w:rsidRPr="005B144C">
        <w:t xml:space="preserve">sustainable production and build new markets for sustainably grown products. A number of WTO Members </w:t>
      </w:r>
      <w:r w:rsidR="00925F96">
        <w:t xml:space="preserve">had </w:t>
      </w:r>
      <w:r w:rsidRPr="005B144C">
        <w:t xml:space="preserve">provided their support to tackle the issue of forest degradation and loss, while promoting sustainable trade and supply chains. The dialogue </w:t>
      </w:r>
      <w:r w:rsidR="00925F96">
        <w:t xml:space="preserve">had </w:t>
      </w:r>
      <w:r w:rsidRPr="005B144C">
        <w:t>aim</w:t>
      </w:r>
      <w:r w:rsidR="00925F96">
        <w:t>ed</w:t>
      </w:r>
      <w:r w:rsidRPr="005B144C">
        <w:t xml:space="preserve"> to agree on principles for collaborative action, and a shared roadmap of actions that protect</w:t>
      </w:r>
      <w:r w:rsidR="00925F96">
        <w:t>ed</w:t>
      </w:r>
      <w:r w:rsidRPr="005B144C">
        <w:t xml:space="preserve"> forests and other vital ecosystems while promoting development and trade. The </w:t>
      </w:r>
      <w:r w:rsidR="00925F96">
        <w:t>United Kingdom</w:t>
      </w:r>
      <w:r w:rsidRPr="005B144C">
        <w:t xml:space="preserve"> encourage</w:t>
      </w:r>
      <w:r w:rsidR="00925F96">
        <w:t>d</w:t>
      </w:r>
      <w:r w:rsidRPr="005B144C">
        <w:t xml:space="preserve"> all </w:t>
      </w:r>
      <w:r w:rsidR="00925F96">
        <w:t>M</w:t>
      </w:r>
      <w:r w:rsidRPr="005B144C">
        <w:t xml:space="preserve">embers to support one of the fundamental goals of this dialogue </w:t>
      </w:r>
      <w:r w:rsidR="00025E1C">
        <w:t>–</w:t>
      </w:r>
      <w:r w:rsidRPr="005B144C">
        <w:t xml:space="preserve"> to ensure global trade supports the transition to sustainable agricultural production and sourcing throughout these supply chains.</w:t>
      </w:r>
    </w:p>
    <w:p w14:paraId="57CC407D" w14:textId="5B587B47" w:rsidR="005D31F1" w:rsidRPr="005B144C" w:rsidRDefault="00925F96" w:rsidP="001750EA">
      <w:pPr>
        <w:pStyle w:val="BodyText"/>
      </w:pPr>
      <w:r>
        <w:t>The United Kingdom</w:t>
      </w:r>
      <w:r w:rsidR="005D31F1" w:rsidRPr="005B144C">
        <w:t xml:space="preserve"> thank</w:t>
      </w:r>
      <w:r>
        <w:t>ed</w:t>
      </w:r>
      <w:r w:rsidR="005D31F1" w:rsidRPr="005B144C">
        <w:t xml:space="preserve"> the </w:t>
      </w:r>
      <w:r>
        <w:t xml:space="preserve">IISD </w:t>
      </w:r>
      <w:r w:rsidR="005D31F1" w:rsidRPr="005B144C">
        <w:t xml:space="preserve">for partnering with </w:t>
      </w:r>
      <w:r>
        <w:t>the United Kingdom</w:t>
      </w:r>
      <w:r w:rsidR="005D31F1" w:rsidRPr="005B144C">
        <w:t xml:space="preserve"> to host a webinar on 24 March exploring ways to reduce deforestation and enhance forest conservation through international trade policy. The webinar examined the role of voluntary sustainability standards in protecting forests and potential synergies between trade policy and </w:t>
      </w:r>
      <w:r w:rsidRPr="00925F96">
        <w:t>Voluntary Sustainability Standards (VSSs)</w:t>
      </w:r>
      <w:r w:rsidR="005D31F1" w:rsidRPr="005B144C">
        <w:t>, for tackling deforestation and enhancing forest conservation at a large scale in forest commodity sectors, including having a provision within trade agreements that provide</w:t>
      </w:r>
      <w:r>
        <w:t>d</w:t>
      </w:r>
      <w:r w:rsidR="005D31F1" w:rsidRPr="005B144C">
        <w:t xml:space="preserve"> for preferential treatment of commodities that met sustainability requirements.</w:t>
      </w:r>
      <w:r>
        <w:t xml:space="preserve"> </w:t>
      </w:r>
      <w:r w:rsidR="005D31F1" w:rsidRPr="005B144C">
        <w:t xml:space="preserve">Over 300 </w:t>
      </w:r>
      <w:r w:rsidR="005D31F1" w:rsidRPr="005B144C">
        <w:lastRenderedPageBreak/>
        <w:t xml:space="preserve">people took part in the webinar either live or streaming the recorded webinar. IISD </w:t>
      </w:r>
      <w:r>
        <w:t>would</w:t>
      </w:r>
      <w:r w:rsidR="005D31F1" w:rsidRPr="005B144C">
        <w:t xml:space="preserve"> prepare a written commentary, which </w:t>
      </w:r>
      <w:r>
        <w:t>would</w:t>
      </w:r>
      <w:r w:rsidR="005D31F1" w:rsidRPr="005B144C">
        <w:t xml:space="preserve"> expand on the material covered in the webinar and on points raised in the question</w:t>
      </w:r>
      <w:r>
        <w:t>s</w:t>
      </w:r>
      <w:r w:rsidR="005D31F1" w:rsidRPr="005B144C">
        <w:t xml:space="preserve"> and answer</w:t>
      </w:r>
      <w:r>
        <w:t>s</w:t>
      </w:r>
      <w:r w:rsidR="005D31F1" w:rsidRPr="005B144C">
        <w:t xml:space="preserve"> session.</w:t>
      </w:r>
      <w:r w:rsidR="0035369C" w:rsidRPr="005B144C">
        <w:t xml:space="preserve"> </w:t>
      </w:r>
      <w:r w:rsidR="005D31F1" w:rsidRPr="005B144C">
        <w:t>The United</w:t>
      </w:r>
      <w:r>
        <w:t> </w:t>
      </w:r>
      <w:r w:rsidR="005D31F1" w:rsidRPr="005B144C">
        <w:t xml:space="preserve">Kingdom </w:t>
      </w:r>
      <w:r>
        <w:t>intended to</w:t>
      </w:r>
      <w:r w:rsidR="005D31F1" w:rsidRPr="005B144C">
        <w:t xml:space="preserve"> inform Members when the commentary </w:t>
      </w:r>
      <w:r>
        <w:t>would be</w:t>
      </w:r>
      <w:r w:rsidR="005D31F1" w:rsidRPr="005B144C">
        <w:t xml:space="preserve"> available.</w:t>
      </w:r>
      <w:r w:rsidR="0035369C" w:rsidRPr="005B144C">
        <w:t xml:space="preserve"> </w:t>
      </w:r>
    </w:p>
    <w:p w14:paraId="45FE2B87" w14:textId="4AC9A02B" w:rsidR="005D31F1" w:rsidRPr="0013542A" w:rsidRDefault="005D31F1" w:rsidP="001750EA">
      <w:pPr>
        <w:pStyle w:val="BodyText"/>
        <w:rPr>
          <w:color w:val="000000"/>
        </w:rPr>
      </w:pPr>
      <w:r w:rsidRPr="005B144C">
        <w:t xml:space="preserve">Finally, Members </w:t>
      </w:r>
      <w:r w:rsidR="00925F96">
        <w:t xml:space="preserve">were invited </w:t>
      </w:r>
      <w:r w:rsidRPr="005B144C">
        <w:t xml:space="preserve">to the </w:t>
      </w:r>
      <w:r w:rsidR="00925F96">
        <w:t>United Kingdom's</w:t>
      </w:r>
      <w:r w:rsidRPr="005B144C">
        <w:t xml:space="preserve"> event on Sustainable Supply Chains, </w:t>
      </w:r>
      <w:r w:rsidR="000273D4">
        <w:t>on 31</w:t>
      </w:r>
      <w:r w:rsidR="000273D4" w:rsidRPr="000273D4">
        <w:rPr>
          <w:vertAlign w:val="superscript"/>
        </w:rPr>
        <w:t>st</w:t>
      </w:r>
      <w:r w:rsidR="000273D4">
        <w:t xml:space="preserve"> March</w:t>
      </w:r>
      <w:r w:rsidRPr="005B144C">
        <w:t xml:space="preserve">. </w:t>
      </w:r>
      <w:r w:rsidR="00925F96">
        <w:t>The United Kingdom would</w:t>
      </w:r>
      <w:r w:rsidRPr="0013542A">
        <w:rPr>
          <w:lang w:val="en-US"/>
        </w:rPr>
        <w:t xml:space="preserve"> </w:t>
      </w:r>
      <w:r w:rsidRPr="005B144C">
        <w:t>share learnings and reflections of the U</w:t>
      </w:r>
      <w:r w:rsidR="000273D4">
        <w:t xml:space="preserve">nited </w:t>
      </w:r>
      <w:r w:rsidRPr="005B144C">
        <w:t>K</w:t>
      </w:r>
      <w:r w:rsidR="000273D4">
        <w:t>ingdom</w:t>
      </w:r>
      <w:r w:rsidR="00925F96">
        <w:t>'</w:t>
      </w:r>
      <w:r w:rsidRPr="005B144C">
        <w:t xml:space="preserve">s Global Resource Initiative, </w:t>
      </w:r>
      <w:r w:rsidRPr="0013542A">
        <w:rPr>
          <w:lang w:val="en-US"/>
        </w:rPr>
        <w:t xml:space="preserve">established by the United Kingdom as an independent taskforce </w:t>
      </w:r>
      <w:r w:rsidRPr="005B144C">
        <w:t>of leaders from business and environmental organisations to consider actions the United Kingdom could take to green its international supply chains and leave a lighter footprint on the global environment.</w:t>
      </w:r>
      <w:r w:rsidRPr="0013542A">
        <w:rPr>
          <w:lang w:val="en-US"/>
        </w:rPr>
        <w:t xml:space="preserve"> </w:t>
      </w:r>
      <w:r w:rsidR="000273D4">
        <w:rPr>
          <w:lang w:val="en-US"/>
        </w:rPr>
        <w:t>T</w:t>
      </w:r>
      <w:r w:rsidR="0013542A" w:rsidRPr="0013542A">
        <w:rPr>
          <w:lang w:val="en-US"/>
        </w:rPr>
        <w:t>he United Kingdom would</w:t>
      </w:r>
      <w:r w:rsidRPr="0013542A">
        <w:rPr>
          <w:lang w:val="en-US"/>
        </w:rPr>
        <w:t xml:space="preserve"> highlight the Global Resource Initiative</w:t>
      </w:r>
      <w:r w:rsidR="0013542A" w:rsidRPr="0013542A">
        <w:rPr>
          <w:lang w:val="en-US"/>
        </w:rPr>
        <w:t>'</w:t>
      </w:r>
      <w:r w:rsidRPr="005B144C">
        <w:t>s purpose, process and intended impact</w:t>
      </w:r>
      <w:r w:rsidRPr="0013542A">
        <w:rPr>
          <w:lang w:val="en-US"/>
        </w:rPr>
        <w:t>, and provide an overview of the taskforce</w:t>
      </w:r>
      <w:r w:rsidR="0013542A" w:rsidRPr="0013542A">
        <w:rPr>
          <w:lang w:val="en-US"/>
        </w:rPr>
        <w:t>'</w:t>
      </w:r>
      <w:r w:rsidRPr="0013542A">
        <w:rPr>
          <w:lang w:val="en-US"/>
        </w:rPr>
        <w:t xml:space="preserve">s recommendations. The United Kingdom </w:t>
      </w:r>
      <w:r w:rsidR="0013542A">
        <w:rPr>
          <w:lang w:val="en-US"/>
        </w:rPr>
        <w:t>intended to</w:t>
      </w:r>
      <w:r w:rsidRPr="0013542A">
        <w:rPr>
          <w:lang w:val="en-US"/>
        </w:rPr>
        <w:t xml:space="preserve"> </w:t>
      </w:r>
      <w:r w:rsidRPr="005B144C">
        <w:t xml:space="preserve">promote green trade as part of the solution to climate change and biodiversity loss, with the WTO being central to this work. </w:t>
      </w:r>
      <w:r w:rsidR="0013542A">
        <w:t>The United Kingdom invited</w:t>
      </w:r>
      <w:r w:rsidRPr="005B144C">
        <w:t xml:space="preserve"> Members to engage in </w:t>
      </w:r>
      <w:r w:rsidRPr="0013542A">
        <w:rPr>
          <w:color w:val="000000"/>
        </w:rPr>
        <w:t xml:space="preserve">the </w:t>
      </w:r>
      <w:r w:rsidR="009D3004">
        <w:rPr>
          <w:color w:val="000000"/>
        </w:rPr>
        <w:t>CoP26</w:t>
      </w:r>
      <w:r w:rsidRPr="0013542A">
        <w:rPr>
          <w:color w:val="000000"/>
        </w:rPr>
        <w:t xml:space="preserve"> </w:t>
      </w:r>
      <w:r w:rsidRPr="005B144C">
        <w:t>FACT dialogue</w:t>
      </w:r>
      <w:r w:rsidR="0013542A">
        <w:t xml:space="preserve"> </w:t>
      </w:r>
      <w:r w:rsidRPr="0013542A">
        <w:rPr>
          <w:color w:val="000000"/>
        </w:rPr>
        <w:t xml:space="preserve">to agree </w:t>
      </w:r>
      <w:r w:rsidR="0013542A">
        <w:rPr>
          <w:color w:val="000000"/>
        </w:rPr>
        <w:t xml:space="preserve">on </w:t>
      </w:r>
      <w:r w:rsidRPr="0013542A">
        <w:rPr>
          <w:color w:val="000000"/>
        </w:rPr>
        <w:t xml:space="preserve">actions to reduce the impact of agriculture on ecosystems such as tropical </w:t>
      </w:r>
      <w:r w:rsidR="000273D4" w:rsidRPr="0013542A">
        <w:rPr>
          <w:color w:val="000000"/>
        </w:rPr>
        <w:t>forests and</w:t>
      </w:r>
      <w:r w:rsidRPr="0013542A">
        <w:rPr>
          <w:color w:val="000000"/>
        </w:rPr>
        <w:t xml:space="preserve"> look</w:t>
      </w:r>
      <w:r w:rsidR="0013542A">
        <w:rPr>
          <w:color w:val="000000"/>
        </w:rPr>
        <w:t>ed</w:t>
      </w:r>
      <w:r w:rsidRPr="0013542A">
        <w:rPr>
          <w:color w:val="000000"/>
        </w:rPr>
        <w:t xml:space="preserve"> forward to continuing the discussion on this important issue in the CTE.</w:t>
      </w:r>
      <w:r w:rsidR="0035369C" w:rsidRPr="0013542A">
        <w:rPr>
          <w:color w:val="000000"/>
        </w:rPr>
        <w:t xml:space="preserve"> </w:t>
      </w:r>
    </w:p>
    <w:p w14:paraId="54FA0403" w14:textId="4280563A" w:rsidR="005D31F1" w:rsidRDefault="004E0D9A" w:rsidP="004E0D9A">
      <w:pPr>
        <w:pStyle w:val="BodyText"/>
      </w:pPr>
      <w:r w:rsidRPr="004E0D9A">
        <w:rPr>
          <w:lang w:val="en-US"/>
        </w:rPr>
        <w:t xml:space="preserve">The representative of the </w:t>
      </w:r>
      <w:r w:rsidRPr="004E0D9A">
        <w:rPr>
          <w:u w:val="single"/>
          <w:lang w:val="en-US"/>
        </w:rPr>
        <w:t>European</w:t>
      </w:r>
      <w:r w:rsidR="00025E1C">
        <w:rPr>
          <w:u w:val="single"/>
          <w:lang w:val="en-US"/>
        </w:rPr>
        <w:t> Union</w:t>
      </w:r>
      <w:r w:rsidRPr="004E0D9A">
        <w:rPr>
          <w:lang w:val="en-US"/>
        </w:rPr>
        <w:t xml:space="preserve"> </w:t>
      </w:r>
      <w:r w:rsidR="0013542A">
        <w:rPr>
          <w:lang w:val="en-US"/>
        </w:rPr>
        <w:t>noted that the p</w:t>
      </w:r>
      <w:r w:rsidR="005D31F1" w:rsidRPr="00516005">
        <w:t xml:space="preserve">reservation of forests and natural environment </w:t>
      </w:r>
      <w:r w:rsidR="0013542A">
        <w:t>was</w:t>
      </w:r>
      <w:r w:rsidR="005D31F1" w:rsidRPr="00516005">
        <w:t xml:space="preserve"> a key pillar of the European Green Deal. The </w:t>
      </w:r>
      <w:r w:rsidR="0013542A">
        <w:t>European</w:t>
      </w:r>
      <w:r w:rsidR="00025E1C">
        <w:t> Union</w:t>
      </w:r>
      <w:r w:rsidR="005D31F1" w:rsidRPr="00516005">
        <w:t xml:space="preserve"> therefore appreciate</w:t>
      </w:r>
      <w:r w:rsidR="0013542A">
        <w:t>d</w:t>
      </w:r>
      <w:r w:rsidR="005D31F1" w:rsidRPr="00516005">
        <w:t xml:space="preserve"> the work that </w:t>
      </w:r>
      <w:r w:rsidR="0013542A">
        <w:t>the United Kingdom was doing</w:t>
      </w:r>
      <w:r w:rsidR="005D31F1" w:rsidRPr="00516005">
        <w:t xml:space="preserve"> to reduce deforestation and enhance forest conservation in the context of </w:t>
      </w:r>
      <w:r w:rsidR="00351245" w:rsidRPr="00677E17">
        <w:rPr>
          <w:lang w:val="en-NZ"/>
        </w:rPr>
        <w:t>United Nations Framework Convention on Climate Change</w:t>
      </w:r>
      <w:r w:rsidR="00351245" w:rsidRPr="002F14A0">
        <w:rPr>
          <w:lang w:val="en-US"/>
        </w:rPr>
        <w:t xml:space="preserve"> </w:t>
      </w:r>
      <w:r w:rsidR="00351245">
        <w:rPr>
          <w:lang w:val="en-US"/>
        </w:rPr>
        <w:t>(</w:t>
      </w:r>
      <w:r w:rsidR="00351245" w:rsidRPr="002F14A0">
        <w:rPr>
          <w:lang w:val="en-US"/>
        </w:rPr>
        <w:t>UNFCCC</w:t>
      </w:r>
      <w:r w:rsidR="00351245">
        <w:rPr>
          <w:lang w:val="en-US"/>
        </w:rPr>
        <w:t xml:space="preserve">) </w:t>
      </w:r>
      <w:r w:rsidR="009D3004">
        <w:t>CoP26</w:t>
      </w:r>
      <w:r w:rsidR="005D31F1" w:rsidRPr="00516005">
        <w:t>. Moving forward</w:t>
      </w:r>
      <w:r w:rsidR="0013542A">
        <w:t>,</w:t>
      </w:r>
      <w:r w:rsidR="005D31F1" w:rsidRPr="00516005">
        <w:t xml:space="preserve"> the </w:t>
      </w:r>
      <w:r w:rsidR="0013542A">
        <w:t>European</w:t>
      </w:r>
      <w:r w:rsidR="00025E1C">
        <w:t> Union</w:t>
      </w:r>
      <w:r w:rsidR="005D31F1" w:rsidRPr="00516005">
        <w:t xml:space="preserve"> would welcome more actions and measures on sustainability. </w:t>
      </w:r>
    </w:p>
    <w:p w14:paraId="34263E42" w14:textId="30BF1F8F" w:rsidR="005D31F1" w:rsidRDefault="004E0D9A" w:rsidP="00362ECA">
      <w:pPr>
        <w:pStyle w:val="BodyText"/>
      </w:pPr>
      <w:r w:rsidRPr="004E0D9A">
        <w:rPr>
          <w:lang w:val="en-US"/>
        </w:rPr>
        <w:t xml:space="preserve">The representative of </w:t>
      </w:r>
      <w:r w:rsidR="005D31F1" w:rsidRPr="004E0D9A">
        <w:rPr>
          <w:u w:val="single"/>
        </w:rPr>
        <w:t>Canada</w:t>
      </w:r>
      <w:r w:rsidR="005D31F1" w:rsidRPr="004E0D9A">
        <w:t xml:space="preserve"> </w:t>
      </w:r>
      <w:r w:rsidR="005D31F1" w:rsidRPr="00033659">
        <w:t>commend</w:t>
      </w:r>
      <w:r w:rsidR="0013542A">
        <w:t>ed</w:t>
      </w:r>
      <w:r w:rsidR="005D31F1" w:rsidRPr="00033659">
        <w:t xml:space="preserve"> the </w:t>
      </w:r>
      <w:r w:rsidR="0013542A">
        <w:t>United Kingdom's</w:t>
      </w:r>
      <w:r w:rsidR="005D31F1" w:rsidRPr="00033659">
        <w:t xml:space="preserve"> efforts to promote the development of sustainable supply chains and </w:t>
      </w:r>
      <w:r w:rsidR="0013542A">
        <w:t>were</w:t>
      </w:r>
      <w:r w:rsidR="005D31F1" w:rsidRPr="00033659">
        <w:t xml:space="preserve"> supportive of discussions on this important area at the WTO.</w:t>
      </w:r>
    </w:p>
    <w:p w14:paraId="3CDFB8BB" w14:textId="2C198FC0" w:rsidR="005D31F1" w:rsidRDefault="004E0D9A" w:rsidP="00362ECA">
      <w:pPr>
        <w:pStyle w:val="BodyText"/>
      </w:pPr>
      <w:r w:rsidRPr="004E0D9A">
        <w:rPr>
          <w:lang w:val="en-US"/>
        </w:rPr>
        <w:t xml:space="preserve">The representative of </w:t>
      </w:r>
      <w:r w:rsidR="005D31F1" w:rsidRPr="004E0D9A">
        <w:rPr>
          <w:u w:val="single"/>
        </w:rPr>
        <w:t>Norway</w:t>
      </w:r>
      <w:r w:rsidR="005D31F1" w:rsidRPr="00033659">
        <w:t xml:space="preserve"> welcome</w:t>
      </w:r>
      <w:r w:rsidR="0013542A">
        <w:t>d the</w:t>
      </w:r>
      <w:r w:rsidR="005D31F1" w:rsidRPr="00033659">
        <w:t xml:space="preserve"> U</w:t>
      </w:r>
      <w:r w:rsidR="0013542A">
        <w:t xml:space="preserve">nited </w:t>
      </w:r>
      <w:r w:rsidR="005D31F1" w:rsidRPr="00033659">
        <w:t>K</w:t>
      </w:r>
      <w:r w:rsidR="0013542A">
        <w:t>ingdom</w:t>
      </w:r>
      <w:r w:rsidR="005D31F1" w:rsidRPr="00033659">
        <w:t xml:space="preserve">'s initiative on sustainable supply chains and in particular the </w:t>
      </w:r>
      <w:r w:rsidR="0013542A">
        <w:t>FACT d</w:t>
      </w:r>
      <w:r w:rsidR="005D31F1" w:rsidRPr="00033659">
        <w:t xml:space="preserve">ialogue that </w:t>
      </w:r>
      <w:r w:rsidR="0013542A">
        <w:t>was</w:t>
      </w:r>
      <w:r w:rsidR="005D31F1" w:rsidRPr="00033659">
        <w:t xml:space="preserve"> taking place in preparation for the Conference of the Parties of the UN</w:t>
      </w:r>
      <w:r w:rsidR="0013542A">
        <w:t>FCCC</w:t>
      </w:r>
      <w:r w:rsidR="005D31F1" w:rsidRPr="00033659">
        <w:t>. Norway look</w:t>
      </w:r>
      <w:r w:rsidR="0013542A">
        <w:t>ed</w:t>
      </w:r>
      <w:r w:rsidR="005D31F1" w:rsidRPr="00033659">
        <w:t xml:space="preserve"> forward to participat</w:t>
      </w:r>
      <w:r w:rsidR="0013542A">
        <w:t>ing</w:t>
      </w:r>
      <w:r w:rsidR="005D31F1" w:rsidRPr="00033659">
        <w:t xml:space="preserve"> in that dialogue.</w:t>
      </w:r>
    </w:p>
    <w:p w14:paraId="627AE977" w14:textId="503D0B35" w:rsidR="00300018" w:rsidRDefault="00300018" w:rsidP="00300018">
      <w:pPr>
        <w:pStyle w:val="Heading4"/>
      </w:pPr>
      <w:bookmarkStart w:id="31" w:name="_Toc74660666"/>
      <w:r>
        <w:t>European</w:t>
      </w:r>
      <w:r w:rsidR="00025E1C">
        <w:t> Union</w:t>
      </w:r>
      <w:r>
        <w:t>'s update on trade relevant aspects of the European Green Deal</w:t>
      </w:r>
      <w:bookmarkEnd w:id="31"/>
    </w:p>
    <w:p w14:paraId="044E7C75" w14:textId="16714A05" w:rsidR="00486673" w:rsidRDefault="00486673" w:rsidP="00486673">
      <w:pPr>
        <w:pStyle w:val="BodyText"/>
      </w:pPr>
      <w:r>
        <w:t xml:space="preserve">The representative of the </w:t>
      </w:r>
      <w:r w:rsidRPr="00FA7CFA">
        <w:rPr>
          <w:u w:val="single"/>
        </w:rPr>
        <w:t>European</w:t>
      </w:r>
      <w:r w:rsidR="00025E1C">
        <w:rPr>
          <w:u w:val="single"/>
        </w:rPr>
        <w:t> Union</w:t>
      </w:r>
      <w:r>
        <w:t xml:space="preserve"> updated delegations on trade relevant aspects of the European Green Deal. She started by presenting the EU new trade policy communication adopted on 18 February 2021. The communication, entitled</w:t>
      </w:r>
      <w:r w:rsidR="0013743A">
        <w:t xml:space="preserve"> </w:t>
      </w:r>
      <w:r>
        <w:t>"Open, Sustainable and Assertive Trade Policy", aim</w:t>
      </w:r>
      <w:r w:rsidR="00206A51">
        <w:t>ed</w:t>
      </w:r>
      <w:r>
        <w:t xml:space="preserve"> to build a consensus around the strategic direction and objectives of EU trade policy for the next decade. The communication re-affirm</w:t>
      </w:r>
      <w:r w:rsidR="00206A51">
        <w:t>ed</w:t>
      </w:r>
      <w:r>
        <w:t xml:space="preserve"> the European</w:t>
      </w:r>
      <w:r w:rsidR="00025E1C">
        <w:t> Union</w:t>
      </w:r>
      <w:r>
        <w:t xml:space="preserve">'s commitment to open, fair and rules-based trade, places sustainability at the heart of trade policy, and </w:t>
      </w:r>
      <w:r w:rsidR="00206A51">
        <w:t>was</w:t>
      </w:r>
      <w:r>
        <w:t xml:space="preserve"> assertive inasmuch as trade policy </w:t>
      </w:r>
      <w:r w:rsidR="00206A51">
        <w:t>could</w:t>
      </w:r>
      <w:r>
        <w:t xml:space="preserve"> contribute to promote the European</w:t>
      </w:r>
      <w:r w:rsidR="00025E1C">
        <w:t> Union</w:t>
      </w:r>
      <w:r>
        <w:t>'s values and interests.</w:t>
      </w:r>
    </w:p>
    <w:p w14:paraId="52093EEA" w14:textId="38A2BB20" w:rsidR="00486673" w:rsidRDefault="00486673" w:rsidP="00486673">
      <w:pPr>
        <w:pStyle w:val="BodyText"/>
      </w:pPr>
      <w:r>
        <w:t>The European</w:t>
      </w:r>
      <w:r w:rsidR="00025E1C">
        <w:t> Union</w:t>
      </w:r>
      <w:r>
        <w:t xml:space="preserve"> noted that, on the multilateral front, the reform of the WTO </w:t>
      </w:r>
      <w:r w:rsidR="00206A51">
        <w:t>was</w:t>
      </w:r>
      <w:r>
        <w:t xml:space="preserve"> the first priority, including through having a fully functioning dispute settlement system. The European</w:t>
      </w:r>
      <w:r w:rsidR="00025E1C">
        <w:t> Union</w:t>
      </w:r>
      <w:r>
        <w:t xml:space="preserve"> specified a number of concrete actions outlined in the communication that </w:t>
      </w:r>
      <w:r w:rsidR="00206A51">
        <w:t>were</w:t>
      </w:r>
      <w:r>
        <w:t xml:space="preserve"> relevant for environment. In the multilateral sphere, the European</w:t>
      </w:r>
      <w:r w:rsidR="00025E1C">
        <w:t> Union</w:t>
      </w:r>
      <w:r>
        <w:t xml:space="preserve"> </w:t>
      </w:r>
      <w:r w:rsidR="00206A51">
        <w:t>would</w:t>
      </w:r>
      <w:r>
        <w:t xml:space="preserve"> engage with like-minded countries to pursue a strong environmental agenda at the WTO, including through a trade and climate initiative. </w:t>
      </w:r>
    </w:p>
    <w:p w14:paraId="47BF6981" w14:textId="0DC9E10A" w:rsidR="00486673" w:rsidRDefault="00486673" w:rsidP="00486673">
      <w:pPr>
        <w:pStyle w:val="BodyText"/>
      </w:pPr>
      <w:r>
        <w:t>In the bilateral sphere, the European</w:t>
      </w:r>
      <w:r w:rsidR="00025E1C">
        <w:t> Union</w:t>
      </w:r>
      <w:r>
        <w:t xml:space="preserve"> </w:t>
      </w:r>
      <w:r w:rsidR="00206A51">
        <w:t>would</w:t>
      </w:r>
      <w:r>
        <w:t xml:space="preserve"> propose that the respect of the Paris Agreement be considered an essential element in future trade and investment agreements and that trade and investment agreements with G20 countries be based on a common ambition to achieve climate neutrality as soon as possible and in line with the recommendations of the </w:t>
      </w:r>
      <w:r w:rsidR="00351245" w:rsidRPr="002F14A0">
        <w:rPr>
          <w:lang w:val="en-US"/>
        </w:rPr>
        <w:t>Intergovernmental Panel on Climate Change</w:t>
      </w:r>
      <w:r w:rsidR="00351245">
        <w:rPr>
          <w:lang w:val="en-US"/>
        </w:rPr>
        <w:t xml:space="preserve"> (</w:t>
      </w:r>
      <w:r w:rsidR="00351245" w:rsidRPr="002F14A0">
        <w:rPr>
          <w:lang w:val="en-US"/>
        </w:rPr>
        <w:t>IPCC</w:t>
      </w:r>
      <w:r w:rsidR="00351245">
        <w:rPr>
          <w:lang w:val="en-US"/>
        </w:rPr>
        <w:t>)</w:t>
      </w:r>
      <w:r>
        <w:t>. She also noted that the European</w:t>
      </w:r>
      <w:r w:rsidR="00025E1C">
        <w:t> Union</w:t>
      </w:r>
      <w:r>
        <w:t xml:space="preserve"> </w:t>
      </w:r>
      <w:r w:rsidR="00206A51">
        <w:t>would</w:t>
      </w:r>
      <w:r>
        <w:t xml:space="preserve"> make full use of its trade deals to accelerate cooperation on biodiversity, pollution, circular economy, and sustainable food systems. The European</w:t>
      </w:r>
      <w:r w:rsidR="00025E1C">
        <w:t> Union</w:t>
      </w:r>
      <w:r>
        <w:t xml:space="preserve"> </w:t>
      </w:r>
      <w:r w:rsidR="00206A51">
        <w:t>would</w:t>
      </w:r>
      <w:r>
        <w:t xml:space="preserve"> also enhance the implementation and enforcement of its Chapters on Sustainable Development which include</w:t>
      </w:r>
      <w:r w:rsidR="00206A51">
        <w:t>d</w:t>
      </w:r>
      <w:r>
        <w:t xml:space="preserve"> commitments on climate, environment and labour. These efforts </w:t>
      </w:r>
      <w:r w:rsidR="00206A51">
        <w:t>would</w:t>
      </w:r>
      <w:r>
        <w:t xml:space="preserve"> be reinforced with a newly appointed Chief Trade Enforcement Officer. </w:t>
      </w:r>
    </w:p>
    <w:p w14:paraId="153F532E" w14:textId="09697D8D" w:rsidR="00486673" w:rsidRDefault="00486673" w:rsidP="00206A51">
      <w:pPr>
        <w:pStyle w:val="BodyText"/>
      </w:pPr>
      <w:r>
        <w:t>Finally, with respect to autonomous action by the European</w:t>
      </w:r>
      <w:r w:rsidR="00025E1C">
        <w:t> Union</w:t>
      </w:r>
      <w:r>
        <w:t xml:space="preserve">, she added that there </w:t>
      </w:r>
      <w:r w:rsidR="00206A51">
        <w:t>were</w:t>
      </w:r>
      <w:r>
        <w:t xml:space="preserve"> several measures in development under the so-called EU Green Deal. In particular, the </w:t>
      </w:r>
      <w:r>
        <w:lastRenderedPageBreak/>
        <w:t>European</w:t>
      </w:r>
      <w:r w:rsidR="00206A51">
        <w:t> </w:t>
      </w:r>
      <w:r>
        <w:t xml:space="preserve">Union </w:t>
      </w:r>
      <w:r w:rsidR="00206A51">
        <w:t>would</w:t>
      </w:r>
      <w:r>
        <w:t xml:space="preserve"> propose a carbon border adjustment mechanism (CBAM) and </w:t>
      </w:r>
      <w:r w:rsidR="00206A51">
        <w:t>would</w:t>
      </w:r>
      <w:r>
        <w:t xml:space="preserve"> put forward legislation addressing deforestation and forest degradation, as well as on sustainable corporate governance. The autonomous action by the European</w:t>
      </w:r>
      <w:r w:rsidR="00025E1C">
        <w:t> Union</w:t>
      </w:r>
      <w:r>
        <w:t xml:space="preserve"> </w:t>
      </w:r>
      <w:r w:rsidR="00206A51">
        <w:t>would</w:t>
      </w:r>
      <w:r>
        <w:t xml:space="preserve"> be designed in a manner so as to ensure it </w:t>
      </w:r>
      <w:r w:rsidR="00206A51">
        <w:t>was</w:t>
      </w:r>
      <w:r>
        <w:t xml:space="preserve"> fully in compliance with WTO requirements and needs to be based on a spirit of international cooperation and mindful of development needs.</w:t>
      </w:r>
    </w:p>
    <w:p w14:paraId="3966D2F8" w14:textId="6F88A9F6" w:rsidR="00486673" w:rsidRDefault="00486673" w:rsidP="00486673">
      <w:pPr>
        <w:pStyle w:val="BodyText"/>
      </w:pPr>
      <w:r>
        <w:t>The representative of the European</w:t>
      </w:r>
      <w:r w:rsidR="00025E1C">
        <w:t> Union</w:t>
      </w:r>
      <w:r>
        <w:t xml:space="preserve"> also elaborated on key elements of its proposed CBAM. The European</w:t>
      </w:r>
      <w:r w:rsidR="00025E1C">
        <w:t> Union</w:t>
      </w:r>
      <w:r>
        <w:t xml:space="preserve"> underscored its determination that its declared greenhouse gas reduction targets, required to keep the temperature goals of the Paris Agreement within reach, </w:t>
      </w:r>
      <w:r w:rsidR="00206A51">
        <w:t>wer</w:t>
      </w:r>
      <w:r>
        <w:t xml:space="preserve">e implemented in practice. However, given that the climate challenge </w:t>
      </w:r>
      <w:r w:rsidR="00206A51">
        <w:t>was</w:t>
      </w:r>
      <w:r>
        <w:t xml:space="preserve"> inherently global, the European</w:t>
      </w:r>
      <w:r w:rsidR="00025E1C">
        <w:t> Union</w:t>
      </w:r>
      <w:r>
        <w:t xml:space="preserve"> need</w:t>
      </w:r>
      <w:r w:rsidR="00206A51">
        <w:t>ed</w:t>
      </w:r>
      <w:r>
        <w:t xml:space="preserve"> its international partners to share a comparable level of ambition. The European</w:t>
      </w:r>
      <w:r w:rsidR="00025E1C">
        <w:t> Union</w:t>
      </w:r>
      <w:r>
        <w:t xml:space="preserve"> indicated that, as long as climate action </w:t>
      </w:r>
      <w:r w:rsidR="00206A51">
        <w:t>was</w:t>
      </w:r>
      <w:r>
        <w:t xml:space="preserve"> not equally taken at a global level, there </w:t>
      </w:r>
      <w:r w:rsidR="00206A51">
        <w:t>was</w:t>
      </w:r>
      <w:r>
        <w:t xml:space="preserve"> a risk of "carbon leakage", which would end up undermining global climate action efforts and the effectiveness of the E</w:t>
      </w:r>
      <w:r w:rsidR="00206A51">
        <w:t>uropean</w:t>
      </w:r>
      <w:r w:rsidR="00025E1C">
        <w:t> Union</w:t>
      </w:r>
      <w:r>
        <w:t>'s emissions mitigation policies. The European</w:t>
      </w:r>
      <w:r w:rsidR="00206A51">
        <w:t> </w:t>
      </w:r>
      <w:r>
        <w:t>Commission ha</w:t>
      </w:r>
      <w:r w:rsidR="00206A51">
        <w:t>d</w:t>
      </w:r>
      <w:r>
        <w:t xml:space="preserve"> announced in the European Green Deal that, should differences in levels of climate action and ambition worldwide persist as the </w:t>
      </w:r>
      <w:r w:rsidR="00206A51">
        <w:t>European</w:t>
      </w:r>
      <w:r w:rsidR="00025E1C">
        <w:t> Union</w:t>
      </w:r>
      <w:r w:rsidR="00206A51">
        <w:t xml:space="preserve"> </w:t>
      </w:r>
      <w:r>
        <w:t>upgrade</w:t>
      </w:r>
      <w:r w:rsidR="00206A51">
        <w:t>d</w:t>
      </w:r>
      <w:r>
        <w:t xml:space="preserve"> its own commitments, it </w:t>
      </w:r>
      <w:r w:rsidR="00206A51">
        <w:t>would</w:t>
      </w:r>
      <w:r>
        <w:t xml:space="preserve"> need to propose a carbon border adjustment mechanism (CBAM), for selected sectors, to tackle the risk of carbon leakage. The CBAM </w:t>
      </w:r>
      <w:r w:rsidR="00206A51">
        <w:t>would seek</w:t>
      </w:r>
      <w:r>
        <w:t xml:space="preserve"> to support the other measures that </w:t>
      </w:r>
      <w:r w:rsidR="00206A51">
        <w:t>were</w:t>
      </w:r>
      <w:r>
        <w:t xml:space="preserve"> part of the Green Deal and ensuring their efficiency. The European</w:t>
      </w:r>
      <w:r w:rsidR="00025E1C">
        <w:t> Union</w:t>
      </w:r>
      <w:r>
        <w:t xml:space="preserve"> specified that the CBAM would take into account efforts by its international partners to adopt policies and measures to reduce greenhouse gas emissions from industrial production, including through carbon pricing mechanisms. Importers </w:t>
      </w:r>
      <w:r w:rsidR="00206A51">
        <w:t>would</w:t>
      </w:r>
      <w:r>
        <w:t xml:space="preserve"> be treated in an even-handed manner and would not be subject to an adjustment that </w:t>
      </w:r>
      <w:r w:rsidR="00206A51">
        <w:t>was</w:t>
      </w:r>
      <w:r>
        <w:t xml:space="preserve"> higher than what </w:t>
      </w:r>
      <w:r w:rsidR="00206A51">
        <w:t>was</w:t>
      </w:r>
      <w:r>
        <w:t xml:space="preserve"> applied domestically. The European</w:t>
      </w:r>
      <w:r w:rsidR="00206A51">
        <w:t> </w:t>
      </w:r>
      <w:r>
        <w:t>Union also highlighted its intention to work with partners to promote effective methods of decarboni</w:t>
      </w:r>
      <w:r w:rsidR="00025E1C">
        <w:t>z</w:t>
      </w:r>
      <w:r>
        <w:t>ation, from technological innovation to market-based approaches, and to make sure adjustment measures work</w:t>
      </w:r>
      <w:r w:rsidR="00206A51">
        <w:t>ed</w:t>
      </w:r>
      <w:r>
        <w:t xml:space="preserve"> in an open and fair manner and </w:t>
      </w:r>
      <w:r w:rsidR="00206A51">
        <w:t>were</w:t>
      </w:r>
      <w:r>
        <w:t xml:space="preserve"> in full compliance with WTO</w:t>
      </w:r>
      <w:r w:rsidR="00206A51">
        <w:t> </w:t>
      </w:r>
      <w:r>
        <w:t>rules.</w:t>
      </w:r>
    </w:p>
    <w:p w14:paraId="38B843F8" w14:textId="0DD4BC6B" w:rsidR="00486673" w:rsidRDefault="00486673" w:rsidP="00486673">
      <w:pPr>
        <w:pStyle w:val="BodyText"/>
      </w:pPr>
      <w:r>
        <w:t>The representative of the European</w:t>
      </w:r>
      <w:r w:rsidR="00025E1C">
        <w:t> Union</w:t>
      </w:r>
      <w:r>
        <w:t xml:space="preserve"> added that a key element of the design of the </w:t>
      </w:r>
      <w:r w:rsidR="00206A51">
        <w:t>CBAM wa</w:t>
      </w:r>
      <w:r>
        <w:t xml:space="preserve">s ensuring that the price of goods imported in the </w:t>
      </w:r>
      <w:r w:rsidR="00206A51">
        <w:t>European</w:t>
      </w:r>
      <w:r w:rsidR="00025E1C">
        <w:t> Union</w:t>
      </w:r>
      <w:r w:rsidR="00206A51">
        <w:t xml:space="preserve"> </w:t>
      </w:r>
      <w:r>
        <w:t>reflect</w:t>
      </w:r>
      <w:r w:rsidR="00206A51">
        <w:t>ed</w:t>
      </w:r>
      <w:r>
        <w:t xml:space="preserve"> more accurately the carbon emissions that took place during their production. He specified that the proposed measure </w:t>
      </w:r>
      <w:r w:rsidR="00206A51">
        <w:t>would</w:t>
      </w:r>
      <w:r>
        <w:t xml:space="preserve"> be in compliance with the </w:t>
      </w:r>
      <w:r w:rsidR="00206A51">
        <w:t>European</w:t>
      </w:r>
      <w:r w:rsidR="00025E1C">
        <w:t> Union</w:t>
      </w:r>
      <w:r>
        <w:t>'s international commitments, including WTO</w:t>
      </w:r>
      <w:r w:rsidR="00206A51">
        <w:t> </w:t>
      </w:r>
      <w:r>
        <w:t>commitments and that it would be applied to carbon intensive sectors. The European</w:t>
      </w:r>
      <w:r w:rsidR="00025E1C">
        <w:t> Union</w:t>
      </w:r>
      <w:r>
        <w:t xml:space="preserve"> noted that it ha</w:t>
      </w:r>
      <w:r w:rsidR="00206A51">
        <w:t>d</w:t>
      </w:r>
      <w:r>
        <w:t xml:space="preserve"> carried out a public consultation in which more than 600 contributions, coming from 38 different countries, were received. While most of the contribution came from the </w:t>
      </w:r>
      <w:r w:rsidR="00206A51">
        <w:t xml:space="preserve">European Union </w:t>
      </w:r>
      <w:r>
        <w:t>itself, there were still more than 100 contribution</w:t>
      </w:r>
      <w:r w:rsidR="00206A51">
        <w:t>s</w:t>
      </w:r>
      <w:r>
        <w:t xml:space="preserve"> that came from the rest of the world. The </w:t>
      </w:r>
      <w:r w:rsidR="00206A51">
        <w:t>European</w:t>
      </w:r>
      <w:r w:rsidR="00025E1C">
        <w:t> Union</w:t>
      </w:r>
      <w:r w:rsidR="00206A51">
        <w:t xml:space="preserve"> was</w:t>
      </w:r>
      <w:r>
        <w:t xml:space="preserve"> currently in the process of conducting an impact assessment and more consultations </w:t>
      </w:r>
      <w:r w:rsidR="00206A51">
        <w:t>we</w:t>
      </w:r>
      <w:r>
        <w:t>re scheduled to take place next month with a view to the adoption of a proposal by the European Commission in June 2021. The proposal ha</w:t>
      </w:r>
      <w:r w:rsidR="00206A51">
        <w:t>d</w:t>
      </w:r>
      <w:r>
        <w:t xml:space="preserve"> to be adopted by the European Parliament and Council, with a view to its implementation in 2023.</w:t>
      </w:r>
    </w:p>
    <w:p w14:paraId="10144CB3" w14:textId="3254A643" w:rsidR="00486673" w:rsidRDefault="00486673" w:rsidP="00486673">
      <w:pPr>
        <w:pStyle w:val="BodyText"/>
      </w:pPr>
      <w:r>
        <w:t>The European</w:t>
      </w:r>
      <w:r w:rsidR="00025E1C">
        <w:t> Union</w:t>
      </w:r>
      <w:r>
        <w:t xml:space="preserve"> then turned to address the issue of deforestation, highlighting that the preservation of forests and natural environment </w:t>
      </w:r>
      <w:r w:rsidR="00206A51">
        <w:t>was</w:t>
      </w:r>
      <w:r>
        <w:t xml:space="preserve"> a key pillar of the European Green Deal. Deforestation </w:t>
      </w:r>
      <w:r w:rsidR="00206A51">
        <w:t>was</w:t>
      </w:r>
      <w:r>
        <w:t xml:space="preserve"> a major driver of global warming and biodiversity loss and threaten</w:t>
      </w:r>
      <w:r w:rsidR="00206A51">
        <w:t>ed</w:t>
      </w:r>
      <w:r>
        <w:t xml:space="preserve"> the wellbeing of all citizens on the Earth and in particular the livelihoods of 1.5 billion people that rel</w:t>
      </w:r>
      <w:r w:rsidR="00206A51">
        <w:t>ied</w:t>
      </w:r>
      <w:r>
        <w:t xml:space="preserve"> on forests for their subsistence. The European</w:t>
      </w:r>
      <w:r w:rsidR="00025E1C">
        <w:t> Union</w:t>
      </w:r>
      <w:r>
        <w:t xml:space="preserve"> noted that, in May 2020, it published a Biodiversity Strategy for 2030, with the aim to put EU biodiversity on the path to recovery by 2030. One of its core commitments </w:t>
      </w:r>
      <w:r w:rsidR="00206A51">
        <w:t>was</w:t>
      </w:r>
      <w:r>
        <w:t xml:space="preserve"> to propose, in 2021, a new Forest Strategy. It was also noted that the European Commission </w:t>
      </w:r>
      <w:r w:rsidR="00206A51">
        <w:t>was</w:t>
      </w:r>
      <w:r>
        <w:t xml:space="preserve"> currently carrying out a fitness check of the EU Timber Regulation (EUTR) and the Forest Law Enforcement, Governance and Trade (FLEGT) Action Plan, as well as an Impact Assessment to support a new legislative proposal on deforestation. The European</w:t>
      </w:r>
      <w:r w:rsidR="00025E1C">
        <w:t> Union</w:t>
      </w:r>
      <w:r>
        <w:t xml:space="preserve"> highlighted that the goal of this proposal </w:t>
      </w:r>
      <w:r w:rsidR="00206A51">
        <w:t>would</w:t>
      </w:r>
      <w:r>
        <w:t xml:space="preserve"> be to ensure that not only </w:t>
      </w:r>
      <w:r w:rsidR="00206A51">
        <w:t>was</w:t>
      </w:r>
      <w:r>
        <w:t xml:space="preserve"> the natural environment preserved within the </w:t>
      </w:r>
      <w:r w:rsidR="00FA7CFA">
        <w:t>European</w:t>
      </w:r>
      <w:r w:rsidR="00025E1C">
        <w:t> Union</w:t>
      </w:r>
      <w:r>
        <w:t xml:space="preserve">, but also that the </w:t>
      </w:r>
      <w:r w:rsidR="00206A51">
        <w:t>European</w:t>
      </w:r>
      <w:r w:rsidR="00025E1C">
        <w:t> Union</w:t>
      </w:r>
      <w:r>
        <w:t xml:space="preserve">'s contribution to deforestation and forest degradation worldwide </w:t>
      </w:r>
      <w:r w:rsidR="00206A51">
        <w:t>was</w:t>
      </w:r>
      <w:r>
        <w:t xml:space="preserve"> minimi</w:t>
      </w:r>
      <w:r w:rsidR="00025E1C">
        <w:t>z</w:t>
      </w:r>
      <w:r>
        <w:t>ed. To achieve these objectives, the European</w:t>
      </w:r>
      <w:r w:rsidR="00025E1C">
        <w:t> Union</w:t>
      </w:r>
      <w:r>
        <w:t xml:space="preserve"> </w:t>
      </w:r>
      <w:r w:rsidR="00206A51">
        <w:t>was</w:t>
      </w:r>
      <w:r>
        <w:t xml:space="preserve"> looking into different ways to ensure that the supply chains related to products and commodities imported into the EU </w:t>
      </w:r>
      <w:r w:rsidR="00206A51">
        <w:t>were</w:t>
      </w:r>
      <w:r>
        <w:t xml:space="preserve"> deforestation-free. </w:t>
      </w:r>
    </w:p>
    <w:p w14:paraId="75CF2D11" w14:textId="2416B90C" w:rsidR="00486673" w:rsidRDefault="00486673" w:rsidP="00486673">
      <w:pPr>
        <w:pStyle w:val="BodyText"/>
      </w:pPr>
      <w:r>
        <w:t>The European</w:t>
      </w:r>
      <w:r w:rsidR="00025E1C">
        <w:t> Union</w:t>
      </w:r>
      <w:r>
        <w:t xml:space="preserve"> explained some of the deforestation criteria that </w:t>
      </w:r>
      <w:r w:rsidR="00206A51">
        <w:t>were</w:t>
      </w:r>
      <w:r>
        <w:t xml:space="preserve"> being considered, which </w:t>
      </w:r>
      <w:r w:rsidR="00206A51">
        <w:t>would</w:t>
      </w:r>
      <w:r>
        <w:t xml:space="preserve"> be based on science, rely on internationally recogni</w:t>
      </w:r>
      <w:r w:rsidR="00025E1C">
        <w:t>s</w:t>
      </w:r>
      <w:r>
        <w:t xml:space="preserve">ed definitions and non-discriminatory. With respect to the scope of the commodities and derived products that </w:t>
      </w:r>
      <w:r w:rsidR="00206A51">
        <w:t>would</w:t>
      </w:r>
      <w:r>
        <w:t xml:space="preserve"> be in the scope of this initiative, the European</w:t>
      </w:r>
      <w:r w:rsidR="00025E1C">
        <w:t> Union</w:t>
      </w:r>
      <w:r>
        <w:t xml:space="preserve"> indicated that it </w:t>
      </w:r>
      <w:r w:rsidR="00206A51">
        <w:t>would</w:t>
      </w:r>
      <w:r>
        <w:t xml:space="preserve"> select commodities and derived products that </w:t>
      </w:r>
      <w:r w:rsidR="00206A51">
        <w:t>were</w:t>
      </w:r>
      <w:r>
        <w:t xml:space="preserve"> associated with global deforestation by being in supply chains driving </w:t>
      </w:r>
      <w:r>
        <w:lastRenderedPageBreak/>
        <w:t>this phenomenon. The European</w:t>
      </w:r>
      <w:r w:rsidR="00025E1C">
        <w:t> Union</w:t>
      </w:r>
      <w:r>
        <w:t xml:space="preserve"> observed that it </w:t>
      </w:r>
      <w:r w:rsidR="00206A51">
        <w:t>was</w:t>
      </w:r>
      <w:r>
        <w:t xml:space="preserve"> tentatively including certain commodities including soya, beef, cocoa, rubber, cereals and coffee. As part of the impact assessment, a range of possible options </w:t>
      </w:r>
      <w:r w:rsidR="00206A51">
        <w:t>were</w:t>
      </w:r>
      <w:r>
        <w:t xml:space="preserve"> being considered, including developing due diligence requirements for a place on the EU market, as well as adding to the due diligence requirement a benchmarking exercise to identify the risk from different countries, among others. In parallel to the impact assessment, the European</w:t>
      </w:r>
      <w:r w:rsidR="00025E1C">
        <w:t> Union</w:t>
      </w:r>
      <w:r>
        <w:t xml:space="preserve"> </w:t>
      </w:r>
      <w:r w:rsidR="00206A51">
        <w:t>was</w:t>
      </w:r>
      <w:r>
        <w:t xml:space="preserve"> also doing a fitness check of the existing policy of the EU regulation dealing with the forest law enforcement. This </w:t>
      </w:r>
      <w:r w:rsidR="00206A51">
        <w:t>was</w:t>
      </w:r>
      <w:r>
        <w:t xml:space="preserve"> a policy that ha</w:t>
      </w:r>
      <w:r w:rsidR="00206A51">
        <w:t>d</w:t>
      </w:r>
      <w:r>
        <w:t xml:space="preserve"> been operating to fight illegal logging and illegal timber trade. </w:t>
      </w:r>
    </w:p>
    <w:p w14:paraId="2800CE4D" w14:textId="2F87398E" w:rsidR="00486673" w:rsidRDefault="00486673" w:rsidP="00486673">
      <w:pPr>
        <w:pStyle w:val="BodyText"/>
      </w:pPr>
      <w:r>
        <w:t>The European</w:t>
      </w:r>
      <w:r w:rsidR="00025E1C">
        <w:t> Union</w:t>
      </w:r>
      <w:r>
        <w:t xml:space="preserve"> added that, while this </w:t>
      </w:r>
      <w:r w:rsidR="00206A51">
        <w:t>was</w:t>
      </w:r>
      <w:r>
        <w:t xml:space="preserve"> ongoing work and no decisions ha</w:t>
      </w:r>
      <w:r w:rsidR="00206A51">
        <w:t>d</w:t>
      </w:r>
      <w:r>
        <w:t xml:space="preserve"> yet been made, it wanted to reassure Members that the proposal </w:t>
      </w:r>
      <w:r w:rsidR="00206A51">
        <w:t>would</w:t>
      </w:r>
      <w:r>
        <w:t xml:space="preserve"> be fully WTO-compliant and non-discriminatory. The European Commission </w:t>
      </w:r>
      <w:r w:rsidR="00206A51">
        <w:t>was</w:t>
      </w:r>
      <w:r>
        <w:t xml:space="preserve"> aiming to make an announcement of the legislative proposal at some point in the summer of 2021, after which the proposal </w:t>
      </w:r>
      <w:r w:rsidR="00206A51">
        <w:t>would</w:t>
      </w:r>
      <w:r>
        <w:t xml:space="preserve"> go through the normal legislative procedure at the European Parliament and Council, </w:t>
      </w:r>
      <w:r w:rsidR="00206A51">
        <w:t>during which</w:t>
      </w:r>
      <w:r>
        <w:t xml:space="preserve"> all stakeholders </w:t>
      </w:r>
      <w:r w:rsidR="00206A51">
        <w:t>would</w:t>
      </w:r>
      <w:r>
        <w:t xml:space="preserve"> have further opportunities to engage in the process.</w:t>
      </w:r>
    </w:p>
    <w:p w14:paraId="41F733D1" w14:textId="56D9FECD" w:rsidR="00486673" w:rsidRDefault="00486673" w:rsidP="00486673">
      <w:pPr>
        <w:pStyle w:val="BodyText"/>
      </w:pPr>
      <w:r>
        <w:t>The European</w:t>
      </w:r>
      <w:r w:rsidR="00025E1C">
        <w:t> Union</w:t>
      </w:r>
      <w:r>
        <w:t xml:space="preserve"> also addressed its Farm to Fork strategy adopted by the European</w:t>
      </w:r>
      <w:r w:rsidR="00206A51">
        <w:t> </w:t>
      </w:r>
      <w:r>
        <w:t xml:space="preserve">Commission in May 2020, which </w:t>
      </w:r>
      <w:r w:rsidR="00206A51">
        <w:t>would</w:t>
      </w:r>
      <w:r>
        <w:t xml:space="preserve"> enable the transition to sustainable food systems in the EU and </w:t>
      </w:r>
      <w:r w:rsidR="00206A51">
        <w:t>was</w:t>
      </w:r>
      <w:r>
        <w:t xml:space="preserve"> central to the European Commission's agenda to achieve the SDGs. The strategy set concrete targets to transform the EU</w:t>
      </w:r>
      <w:r w:rsidR="008F4D9C">
        <w:t>'</w:t>
      </w:r>
      <w:r>
        <w:t>s food system, including a reduction by 50% of the use and risk of pesticides; a reduction by at least 50% of nutrient losses; a reduction by 50% in sales of antimicrobials used for farmed animals and aquaculture; and reaching 25% of agricultural land under organic farming by 2030. It also propose</w:t>
      </w:r>
      <w:r w:rsidR="008F4D9C">
        <w:t>d</w:t>
      </w:r>
      <w:r>
        <w:t xml:space="preserve"> ambitious measures to ensure that healthy options </w:t>
      </w:r>
      <w:r w:rsidR="008F4D9C">
        <w:t>we</w:t>
      </w:r>
      <w:r>
        <w:t>re the easiest for EU citizens, including improved labelling better to meet consumers' information needs on healthy, sustainable foods. The European</w:t>
      </w:r>
      <w:r w:rsidR="00025E1C">
        <w:t> Union</w:t>
      </w:r>
      <w:r>
        <w:t xml:space="preserve"> also noted that it ha</w:t>
      </w:r>
      <w:r w:rsidR="008F4D9C">
        <w:t>d</w:t>
      </w:r>
      <w:r>
        <w:t xml:space="preserve"> already organised a number of information sessions (the last one dedicated to pesticides in January 2021) where trade-related aspects of the Strategy were discussed in more detail. The Strategy was also presented in the WTO SPS Committee in June 2020 (G/SPS/GEN/1797).</w:t>
      </w:r>
    </w:p>
    <w:p w14:paraId="438BBC95" w14:textId="4CCE6120" w:rsidR="00486673" w:rsidRDefault="00486673" w:rsidP="00486673">
      <w:pPr>
        <w:pStyle w:val="BodyText"/>
      </w:pPr>
      <w:r>
        <w:t>The European</w:t>
      </w:r>
      <w:r w:rsidR="00025E1C">
        <w:t> Union</w:t>
      </w:r>
      <w:r>
        <w:t xml:space="preserve"> indicated that food sustainable systems </w:t>
      </w:r>
      <w:r w:rsidR="008F4D9C">
        <w:t>would</w:t>
      </w:r>
      <w:r>
        <w:t xml:space="preserve"> not be successfully achieved by the </w:t>
      </w:r>
      <w:r w:rsidR="008F4D9C">
        <w:t>European</w:t>
      </w:r>
      <w:r w:rsidR="00025E1C">
        <w:t> Union</w:t>
      </w:r>
      <w:r w:rsidR="008F4D9C">
        <w:t xml:space="preserve"> </w:t>
      </w:r>
      <w:r>
        <w:t xml:space="preserve">or any other </w:t>
      </w:r>
      <w:r w:rsidR="008F4D9C">
        <w:t>M</w:t>
      </w:r>
      <w:r>
        <w:t xml:space="preserve">ember acting alone. There </w:t>
      </w:r>
      <w:r w:rsidR="008F4D9C">
        <w:t>was</w:t>
      </w:r>
      <w:r>
        <w:t xml:space="preserve"> a need to redesign food systems which today account</w:t>
      </w:r>
      <w:r w:rsidR="008F4D9C">
        <w:t>ed</w:t>
      </w:r>
      <w:r>
        <w:t xml:space="preserve"> for nearly one-third of global GHG emissions, consume</w:t>
      </w:r>
      <w:r w:rsidR="008F4D9C">
        <w:t>d</w:t>
      </w:r>
      <w:r>
        <w:t xml:space="preserve"> large amounts of natural resources, result</w:t>
      </w:r>
      <w:r w:rsidR="008F4D9C">
        <w:t>ed</w:t>
      </w:r>
      <w:r>
        <w:t xml:space="preserve"> in biodiversity loss and negative health impacts (due to both under- and over-nutrition) and </w:t>
      </w:r>
      <w:r w:rsidR="008F4D9C">
        <w:t>did</w:t>
      </w:r>
      <w:r>
        <w:t xml:space="preserve"> not allow fair economic returns and livelihoods for all actors, in particular for primary producers. The European</w:t>
      </w:r>
      <w:r w:rsidR="00025E1C">
        <w:t> Union</w:t>
      </w:r>
      <w:r>
        <w:t xml:space="preserve"> noted that preparations </w:t>
      </w:r>
      <w:r w:rsidR="008F4D9C">
        <w:t>were</w:t>
      </w:r>
      <w:r>
        <w:t xml:space="preserve"> ongoing for the 2021 agenda – with </w:t>
      </w:r>
      <w:r w:rsidR="008F4D9C">
        <w:t xml:space="preserve">CoP </w:t>
      </w:r>
      <w:r>
        <w:t xml:space="preserve">15 to the UN Convention on Biological Diversity and the UN Food Systems Summit and highlighted that it </w:t>
      </w:r>
      <w:r w:rsidR="008F4D9C">
        <w:t>was</w:t>
      </w:r>
      <w:r>
        <w:t xml:space="preserve"> committed to seek ambitious policy outcomes of the Summit and strong commitments from stakeholders to take concrete actions on health and sustainability. The European</w:t>
      </w:r>
      <w:r w:rsidR="00025E1C">
        <w:t> Union</w:t>
      </w:r>
      <w:r>
        <w:t xml:space="preserve"> added that international trade rules </w:t>
      </w:r>
      <w:r w:rsidR="008F4D9C">
        <w:t>needed to</w:t>
      </w:r>
      <w:r>
        <w:t xml:space="preserve"> fully support this agenda and the international transition to sustainable, resilient food systems that safeguard</w:t>
      </w:r>
      <w:r w:rsidR="008F4D9C">
        <w:t>ed</w:t>
      </w:r>
      <w:r>
        <w:t xml:space="preserve"> food security, ensure</w:t>
      </w:r>
      <w:r w:rsidR="008F4D9C">
        <w:t>d</w:t>
      </w:r>
      <w:r>
        <w:t xml:space="preserve"> access to healthy diets sourced from a healthy planet and protect</w:t>
      </w:r>
      <w:r w:rsidR="008F4D9C">
        <w:t>ed</w:t>
      </w:r>
      <w:r>
        <w:t xml:space="preserve"> the livelihoods of economic operators.</w:t>
      </w:r>
    </w:p>
    <w:p w14:paraId="62CE69EE" w14:textId="58E014C8" w:rsidR="00486673" w:rsidRDefault="00486673" w:rsidP="00486673">
      <w:pPr>
        <w:pStyle w:val="BodyText"/>
      </w:pPr>
      <w:r>
        <w:t>Moreover, the European</w:t>
      </w:r>
      <w:r w:rsidR="00025E1C">
        <w:t> Union</w:t>
      </w:r>
      <w:r>
        <w:t xml:space="preserve"> stated that it </w:t>
      </w:r>
      <w:r w:rsidR="008F4D9C">
        <w:t>would</w:t>
      </w:r>
      <w:r>
        <w:t xml:space="preserve"> continue to lead international efforts, and in conjunction with its partners, address environmental challenges and promote the implementation of ambitious environment, climate and energy policies across the world. Through bilateral efforts, the European</w:t>
      </w:r>
      <w:r w:rsidR="00025E1C">
        <w:t> Union</w:t>
      </w:r>
      <w:r>
        <w:t xml:space="preserve"> </w:t>
      </w:r>
      <w:r w:rsidR="008F4D9C">
        <w:t>would</w:t>
      </w:r>
      <w:r>
        <w:t xml:space="preserve"> accompany partners to transition towards more sustainable development pathways. In this regard, EU financial support to transition </w:t>
      </w:r>
      <w:r w:rsidR="008F4D9C">
        <w:t>would</w:t>
      </w:r>
      <w:r>
        <w:t xml:space="preserve"> continue to be scaled up as climate, environment and sustainable energy </w:t>
      </w:r>
      <w:r w:rsidR="008F4D9C">
        <w:t>were</w:t>
      </w:r>
      <w:r>
        <w:t xml:space="preserve"> fundamental parts of the </w:t>
      </w:r>
      <w:r w:rsidR="008F4D9C">
        <w:t>European</w:t>
      </w:r>
      <w:r w:rsidR="00025E1C">
        <w:t> Union</w:t>
      </w:r>
      <w:r w:rsidR="008F4D9C">
        <w:t xml:space="preserve">'s </w:t>
      </w:r>
      <w:r>
        <w:t>future programming in external cooperation. The European Commission proposed to dedicate at least 25% of EU international cooperation to climate-related projects between 2021 and 2027 (more than 22</w:t>
      </w:r>
      <w:r w:rsidR="008F4D9C">
        <w:t> </w:t>
      </w:r>
      <w:r>
        <w:t>billion Euros). The European</w:t>
      </w:r>
      <w:r w:rsidR="00025E1C">
        <w:t> Union</w:t>
      </w:r>
      <w:r>
        <w:t xml:space="preserve"> conclude</w:t>
      </w:r>
      <w:r w:rsidR="008F4D9C">
        <w:t>d</w:t>
      </w:r>
      <w:r>
        <w:t xml:space="preserve"> by highlighting that its External Investment Plan </w:t>
      </w:r>
      <w:r w:rsidR="008F4D9C">
        <w:t>would</w:t>
      </w:r>
      <w:r>
        <w:t xml:space="preserve"> be instrumental to support the transition to climate-neutral green economies in partner countries.</w:t>
      </w:r>
    </w:p>
    <w:p w14:paraId="23C2CC72" w14:textId="0D603A8E" w:rsidR="00486673" w:rsidRDefault="00486673" w:rsidP="00486673">
      <w:pPr>
        <w:pStyle w:val="BodyText"/>
      </w:pPr>
      <w:r>
        <w:t xml:space="preserve">The representative of </w:t>
      </w:r>
      <w:r w:rsidRPr="00FA7CFA">
        <w:rPr>
          <w:u w:val="single"/>
        </w:rPr>
        <w:t>Norway</w:t>
      </w:r>
      <w:r>
        <w:t xml:space="preserve"> thanked the European</w:t>
      </w:r>
      <w:r w:rsidR="00025E1C">
        <w:t> Union</w:t>
      </w:r>
      <w:r>
        <w:t xml:space="preserve"> for updating delegations on its new trade policy communication and for sharing details and timelines related to the European Green Deal. Norway expressed its full support for the European</w:t>
      </w:r>
      <w:r w:rsidR="00025E1C">
        <w:t> Union</w:t>
      </w:r>
      <w:r>
        <w:t xml:space="preserve">'s efforts towards sustainable trade and a green trade policy. She also thanked the information shared with respect to CBAM, acknowledging that more details on these plans </w:t>
      </w:r>
      <w:r w:rsidR="00E12E6B">
        <w:t>were</w:t>
      </w:r>
      <w:r>
        <w:t xml:space="preserve"> useful. Norway noted that it share</w:t>
      </w:r>
      <w:r w:rsidR="00E12E6B">
        <w:t>d</w:t>
      </w:r>
      <w:r>
        <w:t xml:space="preserve"> with the EU a strong common interest in promoting European competitiveness and a level playing field with high standards to protect workers, consumers, and the environment, as well as the view that </w:t>
      </w:r>
      <w:r>
        <w:lastRenderedPageBreak/>
        <w:t>international trade and trade policy should reinforce the importance of global efforts towards achieving sustainable development. Norway concluded by expressing its intention to work closely with the European</w:t>
      </w:r>
      <w:r w:rsidR="00025E1C">
        <w:t> Union</w:t>
      </w:r>
      <w:r>
        <w:t xml:space="preserve"> on the policies presented.</w:t>
      </w:r>
    </w:p>
    <w:p w14:paraId="0329E3FF" w14:textId="1349E469" w:rsidR="00486673" w:rsidRDefault="00486673" w:rsidP="00486673">
      <w:pPr>
        <w:pStyle w:val="BodyText"/>
      </w:pPr>
      <w:r>
        <w:t xml:space="preserve">The representative of </w:t>
      </w:r>
      <w:r w:rsidRPr="00FA7CFA">
        <w:rPr>
          <w:u w:val="single"/>
        </w:rPr>
        <w:t>Colombia</w:t>
      </w:r>
      <w:r>
        <w:t xml:space="preserve"> thanked the European</w:t>
      </w:r>
      <w:r w:rsidR="00025E1C">
        <w:t> Union</w:t>
      </w:r>
      <w:r>
        <w:t xml:space="preserve"> for the presentation and the details provided on the European Green Deal. Colombia noted that it share</w:t>
      </w:r>
      <w:r w:rsidR="00E12E6B">
        <w:t>d</w:t>
      </w:r>
      <w:r>
        <w:t xml:space="preserve"> the objectives of sustainability and the fight against climate change and </w:t>
      </w:r>
      <w:r w:rsidR="00E12E6B">
        <w:t>was</w:t>
      </w:r>
      <w:r>
        <w:t xml:space="preserve"> committed to meeting the goals of the Paris Agreement. She added that, in Colombia's view, the </w:t>
      </w:r>
      <w:r w:rsidR="00E12E6B">
        <w:t>European</w:t>
      </w:r>
      <w:r w:rsidR="00025E1C">
        <w:t> Union</w:t>
      </w:r>
      <w:r>
        <w:t>'s strategies ha</w:t>
      </w:r>
      <w:r w:rsidR="00E12E6B">
        <w:t>d</w:t>
      </w:r>
      <w:r>
        <w:t xml:space="preserve"> important commercial implications with a special impact on those countries that ha</w:t>
      </w:r>
      <w:r w:rsidR="00E12E6B">
        <w:t>d</w:t>
      </w:r>
      <w:r>
        <w:t xml:space="preserve"> one of their main trading partners in the </w:t>
      </w:r>
      <w:r w:rsidR="00E12E6B">
        <w:t>European</w:t>
      </w:r>
      <w:r w:rsidR="00025E1C">
        <w:t> Union</w:t>
      </w:r>
      <w:r>
        <w:t>. Colombia welcomed the transparency exercises that the European</w:t>
      </w:r>
      <w:r w:rsidR="00E12E6B">
        <w:t> </w:t>
      </w:r>
      <w:r>
        <w:t>Union ha</w:t>
      </w:r>
      <w:r w:rsidR="00E12E6B">
        <w:t>d</w:t>
      </w:r>
      <w:r>
        <w:t xml:space="preserve"> been carrying out, including by presenting in this and other WTO committees the various elements of its European Green Deal related to trade. However, Colombia pointed out that the European</w:t>
      </w:r>
      <w:r w:rsidR="00025E1C">
        <w:t> Union</w:t>
      </w:r>
      <w:r>
        <w:t xml:space="preserve"> </w:t>
      </w:r>
      <w:r w:rsidR="00E12E6B">
        <w:t>needed</w:t>
      </w:r>
      <w:r>
        <w:t xml:space="preserve"> also </w:t>
      </w:r>
      <w:r w:rsidR="00E12E6B">
        <w:t xml:space="preserve">to </w:t>
      </w:r>
      <w:r>
        <w:t xml:space="preserve">ensure the consistency of the programmes with its multilateral commitments, including by ensuring that unnecessary obstacles to trade </w:t>
      </w:r>
      <w:r w:rsidR="00E12E6B">
        <w:t>were</w:t>
      </w:r>
      <w:r>
        <w:t xml:space="preserve"> not created. She added that Colombia ha</w:t>
      </w:r>
      <w:r w:rsidR="00E12E6B">
        <w:t>d</w:t>
      </w:r>
      <w:r>
        <w:t xml:space="preserve"> been monitoring the elements of the European Green Deal in different multilateral and bilateral spaces and ha</w:t>
      </w:r>
      <w:r w:rsidR="00E12E6B">
        <w:t>d</w:t>
      </w:r>
      <w:r>
        <w:t xml:space="preserve"> raised specific questions in various instances at the WTO. Colombia invited the European</w:t>
      </w:r>
      <w:r w:rsidR="00025E1C">
        <w:t> Union</w:t>
      </w:r>
      <w:r>
        <w:t xml:space="preserve"> to take into consideration the comments and observations provided by trading partners in the various stages of consultation to ensure that the various policies </w:t>
      </w:r>
      <w:r w:rsidR="00E12E6B">
        <w:t>were</w:t>
      </w:r>
      <w:r>
        <w:t xml:space="preserve"> consistent with WTO rules. Colombia concluded by highlighting that policies </w:t>
      </w:r>
      <w:r w:rsidR="00E12E6B">
        <w:t>needed to</w:t>
      </w:r>
      <w:r>
        <w:t xml:space="preserve"> be based on science and take into account the realities and production methods of each of the countries. In the case of deforestation, not all the commodities at issue </w:t>
      </w:r>
      <w:r w:rsidR="00E12E6B">
        <w:t>were</w:t>
      </w:r>
      <w:r>
        <w:t xml:space="preserve"> directly related to the loss of forests. In many cases, including in Colombia, production of these commodities </w:t>
      </w:r>
      <w:r w:rsidR="00E12E6B">
        <w:t>took</w:t>
      </w:r>
      <w:r>
        <w:t xml:space="preserve"> place within the country's available agricultural frontier.</w:t>
      </w:r>
    </w:p>
    <w:p w14:paraId="791C520C" w14:textId="78A6209B" w:rsidR="00486673" w:rsidRDefault="00486673" w:rsidP="00486673">
      <w:pPr>
        <w:pStyle w:val="BodyText"/>
      </w:pPr>
      <w:r>
        <w:t xml:space="preserve">The representative of </w:t>
      </w:r>
      <w:r w:rsidRPr="00FA7CFA">
        <w:rPr>
          <w:u w:val="single"/>
        </w:rPr>
        <w:t>Thailand</w:t>
      </w:r>
      <w:r>
        <w:t xml:space="preserve"> stressed that Thailand and the European</w:t>
      </w:r>
      <w:r w:rsidR="00025E1C">
        <w:t> Union</w:t>
      </w:r>
      <w:r>
        <w:t xml:space="preserve"> share</w:t>
      </w:r>
      <w:r w:rsidR="00E12E6B">
        <w:t>d</w:t>
      </w:r>
      <w:r>
        <w:t xml:space="preserve"> a common cause in tackling the great challenges facing humanity including climate change, pollution and biodiversity loss. Thailand therefore welcomed the European</w:t>
      </w:r>
      <w:r w:rsidR="00025E1C">
        <w:t> Union</w:t>
      </w:r>
      <w:r>
        <w:t xml:space="preserve">'s efforts embodied in its European Green Deal and hoped that its implementation </w:t>
      </w:r>
      <w:r w:rsidR="00E12E6B">
        <w:t>would</w:t>
      </w:r>
      <w:r>
        <w:t xml:space="preserve"> be guided by the spirit of international cooperation and steer as far away as possible from unilateralism and coercion. In connection with the proposed CBAM, Thailand strongly urged the European</w:t>
      </w:r>
      <w:r w:rsidR="00025E1C">
        <w:t> Union</w:t>
      </w:r>
      <w:r>
        <w:t xml:space="preserve"> to ensure adherence to all relevant international rules and principles, such as the principles of equity, common but differentiated responsibility and respective capabilities (CBDR-RC) and the principle enshrined in Article</w:t>
      </w:r>
      <w:r w:rsidR="00025E1C">
        <w:t> </w:t>
      </w:r>
      <w:r>
        <w:t>3.5 of the UNFCCC that "Parties should cooperate to promote a supportive and open international economic system that would lead to sustainable economic growth and development in all Parties, particularly developing country Parties."</w:t>
      </w:r>
    </w:p>
    <w:p w14:paraId="4E84A134" w14:textId="2F3D0811" w:rsidR="00486673" w:rsidRDefault="00486673" w:rsidP="00486673">
      <w:pPr>
        <w:pStyle w:val="BodyText"/>
      </w:pPr>
      <w:r>
        <w:t>In order to assist Members in making the necessary preparations for the CBAM, Thailand requested the European</w:t>
      </w:r>
      <w:r w:rsidR="00025E1C">
        <w:t> Union</w:t>
      </w:r>
      <w:r>
        <w:t xml:space="preserve"> to provide clarification on the following issues:(i) the expected design and sectoral scope of the mechanism; (ii) whether, and if so to what extent, the European</w:t>
      </w:r>
      <w:r w:rsidR="00025E1C">
        <w:t> Union</w:t>
      </w:r>
      <w:r>
        <w:t xml:space="preserve"> </w:t>
      </w:r>
      <w:r w:rsidR="00E12E6B">
        <w:t>took</w:t>
      </w:r>
      <w:r>
        <w:t xml:space="preserve"> into consideration the policies and measures, as well as the respective capabilities and national circumstances of its trading partners in the design and implementation of the mechanism; (iii)</w:t>
      </w:r>
      <w:r w:rsidR="00E12E6B">
        <w:t> </w:t>
      </w:r>
      <w:r>
        <w:t>whether, and if so how, the European</w:t>
      </w:r>
      <w:r w:rsidR="00025E1C">
        <w:t> Union</w:t>
      </w:r>
      <w:r>
        <w:t xml:space="preserve"> intend</w:t>
      </w:r>
      <w:r w:rsidR="00E12E6B">
        <w:t>ed</w:t>
      </w:r>
      <w:r>
        <w:t xml:space="preserve"> to ensure preparedness among Members having an interest in exporting to the European</w:t>
      </w:r>
      <w:r w:rsidR="00025E1C">
        <w:t> Union</w:t>
      </w:r>
      <w:r>
        <w:t>; and (iv) how the European</w:t>
      </w:r>
      <w:r w:rsidR="00025E1C">
        <w:t> Union</w:t>
      </w:r>
      <w:r>
        <w:t xml:space="preserve"> intend</w:t>
      </w:r>
      <w:r w:rsidR="00E12E6B">
        <w:t>ed</w:t>
      </w:r>
      <w:r>
        <w:t xml:space="preserve"> to ensure that the mechanism </w:t>
      </w:r>
      <w:r w:rsidR="00E12E6B">
        <w:t>was</w:t>
      </w:r>
      <w:r>
        <w:t xml:space="preserve"> fully compliant with WTO rules.</w:t>
      </w:r>
    </w:p>
    <w:p w14:paraId="5129289F" w14:textId="30C1063C" w:rsidR="00486673" w:rsidRDefault="00486673" w:rsidP="00486673">
      <w:pPr>
        <w:pStyle w:val="BodyText"/>
      </w:pPr>
      <w:r>
        <w:t xml:space="preserve">The representative of the </w:t>
      </w:r>
      <w:r w:rsidRPr="00FA7CFA">
        <w:rPr>
          <w:u w:val="single"/>
        </w:rPr>
        <w:t>United</w:t>
      </w:r>
      <w:r w:rsidR="00025E1C">
        <w:rPr>
          <w:u w:val="single"/>
        </w:rPr>
        <w:t> States</w:t>
      </w:r>
      <w:r>
        <w:t xml:space="preserve"> thanked the European</w:t>
      </w:r>
      <w:r w:rsidR="00025E1C">
        <w:t> Union</w:t>
      </w:r>
      <w:r>
        <w:t xml:space="preserve"> for its presentation on the trade-related initiatives of the European Green Deal and encouraged the European</w:t>
      </w:r>
      <w:r w:rsidR="00025E1C">
        <w:t> Union</w:t>
      </w:r>
      <w:r>
        <w:t xml:space="preserve"> to further consult with Members, in the spirit of transparency and minimizing any disruption to trade. The United</w:t>
      </w:r>
      <w:r w:rsidR="00025E1C">
        <w:t> States</w:t>
      </w:r>
      <w:r>
        <w:t xml:space="preserve"> indicated that it would welcome additional, detailed information and fulsome engagement by the </w:t>
      </w:r>
      <w:r w:rsidR="00B366F1">
        <w:t>European</w:t>
      </w:r>
      <w:r w:rsidR="00025E1C">
        <w:t> Union</w:t>
      </w:r>
      <w:r w:rsidR="00B366F1">
        <w:t xml:space="preserve"> </w:t>
      </w:r>
      <w:r>
        <w:t>on these trade</w:t>
      </w:r>
      <w:r w:rsidR="009F1F9A">
        <w:t>-</w:t>
      </w:r>
      <w:r>
        <w:t xml:space="preserve">related initiatives, as well as a better understanding of how several initiatives planned under the European Green Deal </w:t>
      </w:r>
      <w:r w:rsidR="00B366F1">
        <w:t>would</w:t>
      </w:r>
      <w:r>
        <w:t xml:space="preserve"> intersect with Trans-Atlantic trade so as to avoid any potential unintended disruptions.</w:t>
      </w:r>
    </w:p>
    <w:p w14:paraId="330848B5" w14:textId="034E70A9" w:rsidR="00486673" w:rsidRDefault="00486673" w:rsidP="00486673">
      <w:pPr>
        <w:pStyle w:val="BodyText"/>
      </w:pPr>
      <w:r>
        <w:t xml:space="preserve">The representative of </w:t>
      </w:r>
      <w:r w:rsidRPr="00FA7CFA">
        <w:rPr>
          <w:u w:val="single"/>
        </w:rPr>
        <w:t>China</w:t>
      </w:r>
      <w:r>
        <w:t xml:space="preserve"> began by noting that the Paris Agreement establishes the principle of CBDR-RC, which serve</w:t>
      </w:r>
      <w:r w:rsidR="00B366F1">
        <w:t>d</w:t>
      </w:r>
      <w:r>
        <w:t xml:space="preserve"> as the foundation of global climate governance. He noted that some ha</w:t>
      </w:r>
      <w:r w:rsidR="00B366F1">
        <w:t>d</w:t>
      </w:r>
      <w:r>
        <w:t xml:space="preserve"> expressed concern that the CBAM </w:t>
      </w:r>
      <w:r w:rsidR="00B366F1">
        <w:t>was</w:t>
      </w:r>
      <w:r>
        <w:t xml:space="preserve"> a unilateral trade punishment measure requiring different countries to have the same level of ambitions regarding emission reduction. This violate</w:t>
      </w:r>
      <w:r w:rsidR="00B366F1">
        <w:t>d</w:t>
      </w:r>
      <w:r>
        <w:t xml:space="preserve"> </w:t>
      </w:r>
      <w:r w:rsidR="00124DCE" w:rsidRPr="001D6EE0">
        <w:rPr>
          <w:lang w:val="en-US"/>
        </w:rPr>
        <w:t>N</w:t>
      </w:r>
      <w:r w:rsidR="00124DCE">
        <w:rPr>
          <w:lang w:val="en-US"/>
        </w:rPr>
        <w:t xml:space="preserve">ationally </w:t>
      </w:r>
      <w:r w:rsidR="00124DCE" w:rsidRPr="001D6EE0">
        <w:rPr>
          <w:lang w:val="en-US"/>
        </w:rPr>
        <w:t>D</w:t>
      </w:r>
      <w:r w:rsidR="00124DCE">
        <w:rPr>
          <w:lang w:val="en-US"/>
        </w:rPr>
        <w:t xml:space="preserve">etermined </w:t>
      </w:r>
      <w:r w:rsidR="00124DCE" w:rsidRPr="001D6EE0">
        <w:rPr>
          <w:lang w:val="en-US"/>
        </w:rPr>
        <w:t>C</w:t>
      </w:r>
      <w:r w:rsidR="00124DCE">
        <w:rPr>
          <w:lang w:val="en-US"/>
        </w:rPr>
        <w:t>ontributions (NDC</w:t>
      </w:r>
      <w:r w:rsidR="00124DCE" w:rsidRPr="001D6EE0">
        <w:rPr>
          <w:lang w:val="en-US"/>
        </w:rPr>
        <w:t>s</w:t>
      </w:r>
      <w:r w:rsidR="00124DCE">
        <w:rPr>
          <w:lang w:val="en-US"/>
        </w:rPr>
        <w:t>)</w:t>
      </w:r>
      <w:r>
        <w:t>in the Paris Agreement and principle of CBDR-RC. China invited the European</w:t>
      </w:r>
      <w:r w:rsidR="00025E1C">
        <w:t> Union</w:t>
      </w:r>
      <w:r>
        <w:t xml:space="preserve"> to explain how CBAM would comply with this principle. China added that CBAM's goals include</w:t>
      </w:r>
      <w:r w:rsidR="00B366F1">
        <w:t>d</w:t>
      </w:r>
      <w:r>
        <w:t xml:space="preserve"> not only climate change, but also protecting competitiveness of industries and increasing government revenues. China requested the European</w:t>
      </w:r>
      <w:r w:rsidR="00025E1C">
        <w:t> Union</w:t>
      </w:r>
      <w:r>
        <w:t xml:space="preserve"> to explain a series of issues in this regard, including (i) how </w:t>
      </w:r>
      <w:r w:rsidR="006E51C6">
        <w:t>would</w:t>
      </w:r>
      <w:r>
        <w:t xml:space="preserve"> the </w:t>
      </w:r>
      <w:r w:rsidR="006E51C6">
        <w:t>European</w:t>
      </w:r>
      <w:r w:rsidR="00025E1C">
        <w:t> Union</w:t>
      </w:r>
      <w:r w:rsidR="006E51C6">
        <w:t xml:space="preserve"> </w:t>
      </w:r>
      <w:r>
        <w:t xml:space="preserve">balance these goals; (ii) what </w:t>
      </w:r>
      <w:r>
        <w:lastRenderedPageBreak/>
        <w:t xml:space="preserve">industries </w:t>
      </w:r>
      <w:r w:rsidR="006E51C6">
        <w:t>would</w:t>
      </w:r>
      <w:r>
        <w:t xml:space="preserve"> be covered by CBAM; (iii) which type of tools </w:t>
      </w:r>
      <w:r w:rsidR="006E51C6">
        <w:t>would</w:t>
      </w:r>
      <w:r>
        <w:t xml:space="preserve"> be utilized (import tax, border adjustment tax or carbon emission allowances); and (iv) what </w:t>
      </w:r>
      <w:r w:rsidR="006E51C6">
        <w:t>would</w:t>
      </w:r>
      <w:r>
        <w:t xml:space="preserve"> be the basis for calculating the carbon emissions in imports. China further stated that, in its view, the CBAM might be inconsistent with Articles I, II, and III of the GATT</w:t>
      </w:r>
      <w:r w:rsidR="00025E1C">
        <w:t> 1994</w:t>
      </w:r>
      <w:r>
        <w:t xml:space="preserve">. China inquired whether the </w:t>
      </w:r>
      <w:r w:rsidR="006E51C6">
        <w:t>European</w:t>
      </w:r>
      <w:r w:rsidR="00025E1C">
        <w:t> Union</w:t>
      </w:r>
      <w:r w:rsidR="006E51C6">
        <w:t xml:space="preserve"> </w:t>
      </w:r>
      <w:r>
        <w:t xml:space="preserve">would ensure the consistency of CBAM with general rules of WTO or whether the </w:t>
      </w:r>
      <w:r w:rsidR="006E51C6">
        <w:t>European</w:t>
      </w:r>
      <w:r w:rsidR="00025E1C">
        <w:t> Union</w:t>
      </w:r>
      <w:r w:rsidR="006E51C6">
        <w:t xml:space="preserve"> </w:t>
      </w:r>
      <w:r>
        <w:t>would resort to General Exceptions. China urged the European</w:t>
      </w:r>
      <w:r w:rsidR="00025E1C">
        <w:t> Union</w:t>
      </w:r>
      <w:r>
        <w:t xml:space="preserve"> to exercise caution when proceeding with the legislation process, maintain full transparency, and consult stakeholders in advance in order to ensure the consistency with WTO rules.</w:t>
      </w:r>
      <w:r w:rsidR="006E51C6">
        <w:t xml:space="preserve"> </w:t>
      </w:r>
    </w:p>
    <w:p w14:paraId="5FDA25A3" w14:textId="5DF0BAF0" w:rsidR="00486673" w:rsidRDefault="00486673" w:rsidP="00486673">
      <w:pPr>
        <w:pStyle w:val="BodyText"/>
      </w:pPr>
      <w:r>
        <w:t xml:space="preserve">The representative of </w:t>
      </w:r>
      <w:r w:rsidRPr="00FA7CFA">
        <w:rPr>
          <w:u w:val="single"/>
        </w:rPr>
        <w:t>Canada</w:t>
      </w:r>
      <w:r>
        <w:t xml:space="preserve"> thanked the European</w:t>
      </w:r>
      <w:r w:rsidR="00025E1C">
        <w:t> Union</w:t>
      </w:r>
      <w:r>
        <w:t xml:space="preserve"> for its update on the trade-related aspects of the European Green Deal and highlighted the longstanding history of cooperation on the environment and climate change with the </w:t>
      </w:r>
      <w:r w:rsidR="006E51C6">
        <w:t>European</w:t>
      </w:r>
      <w:r w:rsidR="00025E1C">
        <w:t> Union</w:t>
      </w:r>
      <w:r w:rsidR="006E51C6">
        <w:t xml:space="preserve"> </w:t>
      </w:r>
      <w:r>
        <w:t xml:space="preserve">and Canada's commitment to ambitious action and global leadership on climate change. Canada indicated that it </w:t>
      </w:r>
      <w:r w:rsidR="006E51C6">
        <w:t>was</w:t>
      </w:r>
      <w:r>
        <w:t xml:space="preserve"> following with interest the developments in the European Green Deal and that it </w:t>
      </w:r>
      <w:r w:rsidR="006E51C6">
        <w:t>would</w:t>
      </w:r>
      <w:r>
        <w:t xml:space="preserve"> continue to be an active participant in international discussions on the trade-related aspects of global climate and environment issues. Moreover, Canada expressed its commitment to ensuring that the transition to a low</w:t>
      </w:r>
      <w:r w:rsidR="009F1F9A">
        <w:t xml:space="preserve"> </w:t>
      </w:r>
      <w:r>
        <w:t xml:space="preserve">carbon economy </w:t>
      </w:r>
      <w:r w:rsidR="006E51C6">
        <w:t>was</w:t>
      </w:r>
      <w:r>
        <w:t xml:space="preserve"> achieved in a way that </w:t>
      </w:r>
      <w:r w:rsidR="006E51C6">
        <w:t>was</w:t>
      </w:r>
      <w:r>
        <w:t xml:space="preserve"> fair and predictable for its businesses. In this regard, Canada noted that it look</w:t>
      </w:r>
      <w:r w:rsidR="006E51C6">
        <w:t>ed</w:t>
      </w:r>
      <w:r>
        <w:t xml:space="preserve"> for the European Green Deal to be implemented in a manner that </w:t>
      </w:r>
      <w:r w:rsidR="006E51C6">
        <w:t>was</w:t>
      </w:r>
      <w:r>
        <w:t xml:space="preserve"> consistent with the </w:t>
      </w:r>
      <w:r w:rsidR="006E51C6">
        <w:t>European</w:t>
      </w:r>
      <w:r w:rsidR="00025E1C">
        <w:t> Union</w:t>
      </w:r>
      <w:r>
        <w:t xml:space="preserve">'s international trade obligations and with the </w:t>
      </w:r>
      <w:r w:rsidR="00D02DF1" w:rsidRPr="00D02DF1">
        <w:t xml:space="preserve">Comprehensive Economic and Trade Agreement </w:t>
      </w:r>
      <w:r w:rsidR="00D02DF1">
        <w:t>(CETA)</w:t>
      </w:r>
      <w:r>
        <w:t xml:space="preserve">. Canada encouraged the </w:t>
      </w:r>
      <w:r w:rsidR="00D02DF1">
        <w:t>European</w:t>
      </w:r>
      <w:r w:rsidR="00025E1C">
        <w:t> Union</w:t>
      </w:r>
      <w:r w:rsidR="00D02DF1">
        <w:t xml:space="preserve"> </w:t>
      </w:r>
      <w:r>
        <w:t xml:space="preserve">to continue to be transparent in its work and engage third countries on trade-related aspects of the Green Deal, and to use appropriate WTO committee meetings as opportunities to keep the broader WTO membership apprised of developments. Moreover, Canada indicated that it </w:t>
      </w:r>
      <w:r w:rsidR="00D02DF1">
        <w:t>was</w:t>
      </w:r>
      <w:r>
        <w:t xml:space="preserve"> also exploring the potential of border carbon adjustments, including working with its international partners on this issue.</w:t>
      </w:r>
    </w:p>
    <w:p w14:paraId="4EE2CEE8" w14:textId="53466631" w:rsidR="00486673" w:rsidRDefault="00486673" w:rsidP="00486673">
      <w:pPr>
        <w:pStyle w:val="BodyText"/>
      </w:pPr>
      <w:r>
        <w:t xml:space="preserve">The representative of </w:t>
      </w:r>
      <w:r w:rsidRPr="00FA7CFA">
        <w:rPr>
          <w:u w:val="single"/>
        </w:rPr>
        <w:t>Korea</w:t>
      </w:r>
      <w:r>
        <w:t xml:space="preserve"> expressed its appreciation for the European</w:t>
      </w:r>
      <w:r w:rsidR="00025E1C">
        <w:t> Union</w:t>
      </w:r>
      <w:r>
        <w:t xml:space="preserve">'s leading role on environmental and sustainability matters, including the </w:t>
      </w:r>
      <w:r w:rsidR="00D02DF1">
        <w:t>European</w:t>
      </w:r>
      <w:r w:rsidR="00025E1C">
        <w:t> Union</w:t>
      </w:r>
      <w:r>
        <w:t xml:space="preserve">'s commitment to climate neutrality by mid-century. Noting that as part of the European Green Deal the European Commission </w:t>
      </w:r>
      <w:r w:rsidR="00D02DF1">
        <w:t>was</w:t>
      </w:r>
      <w:r>
        <w:t xml:space="preserve"> working on a CBAM, Korea indicated that trade measures adopted for legitimate policy objectives should be fit-for-purpose and should not constitute a disguised restriction on international trade. Environmental measures should not be misused as means of unjustifiable or arbitrary discrimination. Korea also recalled its statement made at the meeting of the Council for Trade in Goods in November 2020 and echo</w:t>
      </w:r>
      <w:r w:rsidR="00D02DF1">
        <w:t>ed</w:t>
      </w:r>
      <w:r>
        <w:t xml:space="preserve"> similar concerns to those raised by other Members. CBAM should be exclusively designed to advance climate objectives in accordance with WTO rules and principles such as National Treatment and Most-Favoured Nation Treatment or present clear reasons to justify its exceptional nature. Korea indicated that it </w:t>
      </w:r>
      <w:r w:rsidR="00FA7CFA">
        <w:t>would</w:t>
      </w:r>
      <w:r>
        <w:t xml:space="preserve"> continue to monitor the development of the proposed CBAM and encouraged the </w:t>
      </w:r>
      <w:r w:rsidR="00D02DF1">
        <w:t>European</w:t>
      </w:r>
      <w:r w:rsidR="00025E1C">
        <w:t> Union</w:t>
      </w:r>
      <w:r w:rsidR="00D02DF1">
        <w:t xml:space="preserve"> </w:t>
      </w:r>
      <w:r>
        <w:t>to fully consider the compatibility of the mechanism with WTO</w:t>
      </w:r>
      <w:r w:rsidR="00D02DF1">
        <w:t> </w:t>
      </w:r>
      <w:r>
        <w:t>rules.</w:t>
      </w:r>
    </w:p>
    <w:p w14:paraId="6E287B50" w14:textId="5E8AAC17" w:rsidR="00486673" w:rsidRDefault="00486673" w:rsidP="00486673">
      <w:pPr>
        <w:pStyle w:val="BodyText"/>
      </w:pPr>
      <w:r>
        <w:t xml:space="preserve">The representative of </w:t>
      </w:r>
      <w:r w:rsidRPr="00FA7CFA">
        <w:rPr>
          <w:u w:val="single"/>
        </w:rPr>
        <w:t>Ecuador</w:t>
      </w:r>
      <w:r>
        <w:t xml:space="preserve"> began by recogni</w:t>
      </w:r>
      <w:r w:rsidR="00025E1C">
        <w:t>s</w:t>
      </w:r>
      <w:r>
        <w:t xml:space="preserve">ing the importance of the objectives pursued by the EU Green Deal and commending efforts that </w:t>
      </w:r>
      <w:r w:rsidR="00D02DF1">
        <w:t>sought</w:t>
      </w:r>
      <w:r>
        <w:t xml:space="preserve"> to meet climate goals. At the same time, Ecuador added that any environmental proposal to meet the European climate agenda </w:t>
      </w:r>
      <w:r w:rsidR="00D02DF1">
        <w:t>needed to</w:t>
      </w:r>
      <w:r>
        <w:t xml:space="preserve"> be compatible with the </w:t>
      </w:r>
      <w:r w:rsidR="00D02DF1">
        <w:t>MTS</w:t>
      </w:r>
      <w:r>
        <w:t xml:space="preserve"> and </w:t>
      </w:r>
      <w:r w:rsidR="00D02DF1">
        <w:t>needed</w:t>
      </w:r>
      <w:r>
        <w:t xml:space="preserve"> not constitute a means of arbitrary or unjustifiable discrimination or a disguised restriction on international trade. By way of example, Ecuador observed that the selection of products that apparently contribute</w:t>
      </w:r>
      <w:r w:rsidR="00D02DF1">
        <w:t>d</w:t>
      </w:r>
      <w:r>
        <w:t xml:space="preserve"> the most to deforestation include</w:t>
      </w:r>
      <w:r w:rsidR="00D02DF1">
        <w:t>d</w:t>
      </w:r>
      <w:r>
        <w:t xml:space="preserve"> products from countries that </w:t>
      </w:r>
      <w:r w:rsidR="00D02DF1">
        <w:t>were</w:t>
      </w:r>
      <w:r>
        <w:t xml:space="preserve"> not part of the European</w:t>
      </w:r>
      <w:r w:rsidR="00025E1C">
        <w:t> Union</w:t>
      </w:r>
      <w:r>
        <w:t xml:space="preserve"> and that would be then subject to policies that </w:t>
      </w:r>
      <w:r w:rsidR="00D02DF1">
        <w:t>did</w:t>
      </w:r>
      <w:r>
        <w:t xml:space="preserve"> not consider the social, geographic and economic context of the exporting countries. Moreover, Ecuador highlighted that it </w:t>
      </w:r>
      <w:r w:rsidR="00D02DF1">
        <w:t>was</w:t>
      </w:r>
      <w:r>
        <w:t xml:space="preserve"> the second country in the world to have completed the requirements required by the </w:t>
      </w:r>
      <w:r w:rsidR="00D02DF1">
        <w:t>UNFCCC</w:t>
      </w:r>
      <w:r>
        <w:t xml:space="preserve"> to access results-based payments for reducing emissions from deforestation and forest degradation, and that the listed crops </w:t>
      </w:r>
      <w:r w:rsidR="00351245">
        <w:t>were</w:t>
      </w:r>
      <w:r>
        <w:t xml:space="preserve"> grown within the available agricultural frontier. Ecuador also reiterated the importance of respecting the principle of </w:t>
      </w:r>
      <w:r w:rsidR="00351245">
        <w:t>CBDR-RC</w:t>
      </w:r>
      <w:r>
        <w:t xml:space="preserve"> under the Paris Agreement, which </w:t>
      </w:r>
      <w:r w:rsidR="00351245">
        <w:t>was</w:t>
      </w:r>
      <w:r>
        <w:t xml:space="preserve"> based on nationally determined contributions whose level of ambition </w:t>
      </w:r>
      <w:r w:rsidR="00351245">
        <w:t>could not</w:t>
      </w:r>
      <w:r>
        <w:t xml:space="preserve"> be imposed on other countries. Likewise, Ecuador stressed the importance of respecting trade commitments adopted even under preferential trade agreements and avoiding discriminatory and unnecessary obstacles to trade, since several of the measures proposed by the </w:t>
      </w:r>
      <w:r w:rsidR="00351245">
        <w:t>European</w:t>
      </w:r>
      <w:r w:rsidR="00025E1C">
        <w:t> Union</w:t>
      </w:r>
      <w:r w:rsidR="00351245">
        <w:t xml:space="preserve"> </w:t>
      </w:r>
      <w:r>
        <w:t xml:space="preserve">could be incompatible with WTO rules. </w:t>
      </w:r>
    </w:p>
    <w:p w14:paraId="2F7AA701" w14:textId="77777777" w:rsidR="005D477C" w:rsidRPr="00A256C2" w:rsidRDefault="005D477C" w:rsidP="005D477C">
      <w:pPr>
        <w:pStyle w:val="BodyText"/>
        <w:rPr>
          <w:lang w:val="en-US"/>
        </w:rPr>
      </w:pPr>
      <w:bookmarkStart w:id="32" w:name="_Hlk74432523"/>
      <w:bookmarkStart w:id="33" w:name="_Hlk74432485"/>
      <w:r w:rsidRPr="00A256C2">
        <w:rPr>
          <w:lang w:val="en-US"/>
        </w:rPr>
        <w:t xml:space="preserve">The representative of </w:t>
      </w:r>
      <w:r w:rsidRPr="00A256C2">
        <w:rPr>
          <w:szCs w:val="18"/>
          <w:lang w:val="en-US"/>
        </w:rPr>
        <w:t xml:space="preserve">the </w:t>
      </w:r>
      <w:r w:rsidRPr="00A256C2">
        <w:rPr>
          <w:szCs w:val="18"/>
          <w:u w:val="single"/>
          <w:lang w:val="en-US"/>
        </w:rPr>
        <w:t>Russian Federation</w:t>
      </w:r>
      <w:r w:rsidRPr="00A256C2">
        <w:rPr>
          <w:szCs w:val="18"/>
          <w:lang w:val="en-US"/>
        </w:rPr>
        <w:t xml:space="preserve"> welcomed the rise of the global awareness on the issue of climate change and supported Members' readiness to tackle climate effects jointly. </w:t>
      </w:r>
      <w:r w:rsidRPr="00401EEE">
        <w:t xml:space="preserve">First, </w:t>
      </w:r>
      <w:r>
        <w:t>Russia</w:t>
      </w:r>
      <w:r w:rsidRPr="00401EEE">
        <w:t xml:space="preserve"> clearly support</w:t>
      </w:r>
      <w:r>
        <w:t>ed</w:t>
      </w:r>
      <w:r w:rsidRPr="00401EEE">
        <w:t xml:space="preserve"> those who want</w:t>
      </w:r>
      <w:r>
        <w:t>ed</w:t>
      </w:r>
      <w:r w:rsidRPr="00401EEE">
        <w:t xml:space="preserve"> to see CTE as an important tool that help</w:t>
      </w:r>
      <w:r>
        <w:t>ed</w:t>
      </w:r>
      <w:r w:rsidRPr="00401EEE">
        <w:t xml:space="preserve"> to avoid protectionist trade measures and adhere to effective multilateral disciplines to ensure </w:t>
      </w:r>
      <w:r w:rsidRPr="00401EEE">
        <w:lastRenderedPageBreak/>
        <w:t xml:space="preserve">responsiveness of the MTS to environmental objectives. This </w:t>
      </w:r>
      <w:r>
        <w:t>was</w:t>
      </w:r>
      <w:r w:rsidRPr="00401EEE">
        <w:t xml:space="preserve"> prescribed by the Marrakesh Ministerial Decision on Trade and Environment (1994) by which the </w:t>
      </w:r>
      <w:r>
        <w:t>CTE</w:t>
      </w:r>
      <w:r w:rsidRPr="00401EEE">
        <w:t xml:space="preserve"> was set up, as well as by the Decision on Trade in Services and the Environment (1994). </w:t>
      </w:r>
      <w:r w:rsidRPr="00A256C2">
        <w:rPr>
          <w:lang w:val="en-US"/>
        </w:rPr>
        <w:t>It would also be useful if it could complement the work of other specialized WTO bodies, such as the Council for Trade in Goods, the Committee on Market Access, the Committee</w:t>
      </w:r>
      <w:r>
        <w:rPr>
          <w:lang w:val="en-US"/>
        </w:rPr>
        <w:t xml:space="preserve"> on Technical Barriers to Trade</w:t>
      </w:r>
      <w:r w:rsidRPr="00A256C2">
        <w:rPr>
          <w:lang w:val="en-US"/>
        </w:rPr>
        <w:t xml:space="preserve">, etc. </w:t>
      </w:r>
    </w:p>
    <w:p w14:paraId="0F659879" w14:textId="46361381" w:rsidR="005D477C" w:rsidRPr="002F14A0" w:rsidRDefault="005D477C" w:rsidP="005D477C">
      <w:pPr>
        <w:pStyle w:val="BodyText"/>
        <w:rPr>
          <w:lang w:val="en-US"/>
        </w:rPr>
      </w:pPr>
      <w:r w:rsidRPr="002F14A0">
        <w:rPr>
          <w:lang w:val="en-US"/>
        </w:rPr>
        <w:t>Second, any activities carried out within the framework of environment and climate change needed to be pursued in accordance with the fundamental WTO principles and needed not result in any kind of discrimination or disguised restrictions on trade. None of the "green" measures should impede trade and be used as a means of "green protectionism", as implied by paragraph 32 of the Doha Ministerial Declaration. Hence, to ensure its compliance with WTO obligations, any "environmental" measure planned to be adopted by a Member should also be thoroughly explained and examined at meetings of a corresponding specialized WTO body</w:t>
      </w:r>
      <w:r>
        <w:rPr>
          <w:lang w:val="en-US"/>
        </w:rPr>
        <w:t>. This had not been clearly the approach w</w:t>
      </w:r>
      <w:r w:rsidRPr="002F14A0">
        <w:rPr>
          <w:lang w:val="en-US"/>
        </w:rPr>
        <w:t xml:space="preserve">hen the focus in climate change efforts was put on unilateral trade measures, including carbon border adjustment mechanism rather than the mechanisms stipulated in specific climate agreements, including </w:t>
      </w:r>
      <w:r>
        <w:rPr>
          <w:lang w:val="en-US"/>
        </w:rPr>
        <w:t xml:space="preserve">the </w:t>
      </w:r>
      <w:r w:rsidRPr="002F14A0">
        <w:rPr>
          <w:lang w:val="en-US"/>
        </w:rPr>
        <w:t xml:space="preserve">UNFCCC, </w:t>
      </w:r>
      <w:r>
        <w:rPr>
          <w:lang w:val="en-US"/>
        </w:rPr>
        <w:t xml:space="preserve">the </w:t>
      </w:r>
      <w:r w:rsidRPr="002F14A0">
        <w:rPr>
          <w:lang w:val="en-US"/>
        </w:rPr>
        <w:t xml:space="preserve">Paris Agreement, </w:t>
      </w:r>
      <w:r>
        <w:rPr>
          <w:lang w:val="en-US"/>
        </w:rPr>
        <w:t xml:space="preserve">the </w:t>
      </w:r>
      <w:r w:rsidRPr="002F14A0">
        <w:rPr>
          <w:lang w:val="en-US"/>
        </w:rPr>
        <w:t>IPCC and others. Currently, the mechanism of implementation of Article</w:t>
      </w:r>
      <w:r w:rsidR="00025E1C">
        <w:rPr>
          <w:lang w:val="en-US"/>
        </w:rPr>
        <w:t> </w:t>
      </w:r>
      <w:r w:rsidRPr="002F14A0">
        <w:rPr>
          <w:lang w:val="en-US"/>
        </w:rPr>
        <w:t>6 of</w:t>
      </w:r>
      <w:r>
        <w:rPr>
          <w:lang w:val="en-US"/>
        </w:rPr>
        <w:t xml:space="preserve"> the</w:t>
      </w:r>
      <w:r w:rsidRPr="002F14A0">
        <w:rPr>
          <w:lang w:val="en-US"/>
        </w:rPr>
        <w:t xml:space="preserve"> Paris Agreement aimed at cooperation among the Parties to this Agreement had been under development and would be established within the framework of </w:t>
      </w:r>
      <w:r w:rsidR="009D3004">
        <w:rPr>
          <w:lang w:val="en-US"/>
        </w:rPr>
        <w:t>CoP26</w:t>
      </w:r>
      <w:r w:rsidRPr="002F14A0">
        <w:rPr>
          <w:lang w:val="en-US"/>
        </w:rPr>
        <w:t xml:space="preserve"> this year. </w:t>
      </w:r>
      <w:r>
        <w:rPr>
          <w:lang w:val="en-US"/>
        </w:rPr>
        <w:t>The Russian Federation</w:t>
      </w:r>
      <w:r w:rsidRPr="002F14A0">
        <w:rPr>
          <w:lang w:val="en-US"/>
        </w:rPr>
        <w:t xml:space="preserve"> believe</w:t>
      </w:r>
      <w:r>
        <w:rPr>
          <w:lang w:val="en-US"/>
        </w:rPr>
        <w:t>d</w:t>
      </w:r>
      <w:r w:rsidRPr="002F14A0">
        <w:rPr>
          <w:lang w:val="en-US"/>
        </w:rPr>
        <w:t xml:space="preserve"> that the instruments provided in the specific climate fora had not been exhausted yet. In this regard, the introduction of trade-related climate measures was quite premature and unjustifiable. </w:t>
      </w:r>
    </w:p>
    <w:p w14:paraId="47971BE5" w14:textId="686AB140" w:rsidR="005D477C" w:rsidRPr="00A256C2" w:rsidRDefault="005D477C" w:rsidP="005D477C">
      <w:pPr>
        <w:pStyle w:val="BodyText"/>
        <w:rPr>
          <w:lang w:val="en-US"/>
        </w:rPr>
      </w:pPr>
      <w:r w:rsidRPr="00A256C2">
        <w:rPr>
          <w:lang w:val="en-US"/>
        </w:rPr>
        <w:t>Third, the dossier on the Green Deal included about 100 pages of just enumeration of EU trade</w:t>
      </w:r>
      <w:r w:rsidR="009F1F9A">
        <w:rPr>
          <w:lang w:val="en-US"/>
        </w:rPr>
        <w:t>-</w:t>
      </w:r>
      <w:r w:rsidRPr="00A256C2">
        <w:rPr>
          <w:lang w:val="en-US"/>
        </w:rPr>
        <w:t xml:space="preserve">related measures adopted under the Green deal roof. Correlation between some of these measures and environmental policies was difficult to establish. For example, this was valid for the announced trade policy principle of diversification of sources of energy supply. Why in order to make </w:t>
      </w:r>
      <w:r>
        <w:rPr>
          <w:lang w:val="en-US"/>
        </w:rPr>
        <w:t>the</w:t>
      </w:r>
      <w:r w:rsidRPr="00A256C2">
        <w:rPr>
          <w:lang w:val="en-US"/>
        </w:rPr>
        <w:t xml:space="preserve"> world clean one </w:t>
      </w:r>
      <w:r>
        <w:rPr>
          <w:lang w:val="en-US"/>
        </w:rPr>
        <w:t>needed to</w:t>
      </w:r>
      <w:r w:rsidRPr="00A256C2">
        <w:rPr>
          <w:lang w:val="en-US"/>
        </w:rPr>
        <w:t xml:space="preserve"> diversify sources of supply? </w:t>
      </w:r>
      <w:r>
        <w:rPr>
          <w:lang w:val="en-US"/>
        </w:rPr>
        <w:t>The Russian Federation</w:t>
      </w:r>
      <w:r w:rsidRPr="002F14A0">
        <w:rPr>
          <w:lang w:val="en-US"/>
        </w:rPr>
        <w:t xml:space="preserve"> </w:t>
      </w:r>
      <w:r w:rsidRPr="00A256C2">
        <w:rPr>
          <w:lang w:val="en-US"/>
        </w:rPr>
        <w:t xml:space="preserve">had </w:t>
      </w:r>
      <w:r>
        <w:rPr>
          <w:lang w:val="en-US"/>
        </w:rPr>
        <w:t>many</w:t>
      </w:r>
      <w:r w:rsidRPr="00A256C2">
        <w:rPr>
          <w:lang w:val="en-US"/>
        </w:rPr>
        <w:t xml:space="preserve"> more questions in respect of the nature of many measures from the Green deal list and expected the </w:t>
      </w:r>
      <w:r>
        <w:rPr>
          <w:lang w:val="en-US"/>
        </w:rPr>
        <w:t>CTE</w:t>
      </w:r>
      <w:r w:rsidRPr="00A256C2">
        <w:rPr>
          <w:lang w:val="en-US"/>
        </w:rPr>
        <w:t xml:space="preserve"> to deal with them somehow.</w:t>
      </w:r>
      <w:r>
        <w:rPr>
          <w:lang w:val="en-US"/>
        </w:rPr>
        <w:t xml:space="preserve"> </w:t>
      </w:r>
      <w:r w:rsidRPr="00A256C2">
        <w:rPr>
          <w:lang w:val="en-US"/>
        </w:rPr>
        <w:t>Some of the experts believe that the European Green Deal brought a serious threat of creating world</w:t>
      </w:r>
      <w:r w:rsidR="00025E1C">
        <w:rPr>
          <w:lang w:val="en-US"/>
        </w:rPr>
        <w:t>wide</w:t>
      </w:r>
      <w:r w:rsidRPr="00A256C2">
        <w:rPr>
          <w:lang w:val="en-US"/>
        </w:rPr>
        <w:t xml:space="preserve"> trade-distorting effects, which might be harmful for developing WTO Members, especially least</w:t>
      </w:r>
      <w:r w:rsidR="009F1F9A">
        <w:rPr>
          <w:lang w:val="en-US"/>
        </w:rPr>
        <w:t xml:space="preserve"> </w:t>
      </w:r>
      <w:r w:rsidRPr="00A256C2">
        <w:rPr>
          <w:lang w:val="en-US"/>
        </w:rPr>
        <w:t>developed countries.</w:t>
      </w:r>
    </w:p>
    <w:p w14:paraId="0B15F40A" w14:textId="6C79A253" w:rsidR="005D477C" w:rsidRPr="00A256C2" w:rsidRDefault="005D477C" w:rsidP="005D477C">
      <w:pPr>
        <w:pStyle w:val="BodyText"/>
        <w:rPr>
          <w:lang w:val="en-US"/>
        </w:rPr>
      </w:pPr>
      <w:r w:rsidRPr="00A256C2">
        <w:rPr>
          <w:lang w:val="en-US"/>
        </w:rPr>
        <w:t>Several elements of the European Green Deal provoke</w:t>
      </w:r>
      <w:r>
        <w:rPr>
          <w:lang w:val="en-US"/>
        </w:rPr>
        <w:t>d</w:t>
      </w:r>
      <w:r w:rsidRPr="00A256C2">
        <w:rPr>
          <w:lang w:val="en-US"/>
        </w:rPr>
        <w:t xml:space="preserve"> major concerns about their compliance with the EU obligations under the WTO</w:t>
      </w:r>
      <w:r w:rsidR="00025E1C">
        <w:rPr>
          <w:lang w:val="en-US"/>
        </w:rPr>
        <w:t> Agreement</w:t>
      </w:r>
      <w:r w:rsidRPr="00A256C2">
        <w:rPr>
          <w:lang w:val="en-US"/>
        </w:rPr>
        <w:t>s. The vast subsidization of the development of renewable energy sources combined with proposed mandatory requirements for the fossil fuels substitution in electricity generation might be assessed as an import substitution practice prohibited under the WTO</w:t>
      </w:r>
      <w:r w:rsidR="00025E1C">
        <w:rPr>
          <w:lang w:val="en-US"/>
        </w:rPr>
        <w:t> Agreement</w:t>
      </w:r>
      <w:r w:rsidRPr="00A256C2">
        <w:rPr>
          <w:lang w:val="en-US"/>
        </w:rPr>
        <w:t xml:space="preserve"> on Subsidies and Countervailing Measures. The introduction of stricter requirements on goods and production processes (e.g.</w:t>
      </w:r>
      <w:r w:rsidR="00025E1C">
        <w:rPr>
          <w:lang w:val="en-US"/>
        </w:rPr>
        <w:t xml:space="preserve"> </w:t>
      </w:r>
      <w:r w:rsidRPr="00A256C2">
        <w:rPr>
          <w:lang w:val="en-US"/>
        </w:rPr>
        <w:t>biofuels) should be based on internationally applied standards or otherwise scientifically proven considerations in order to be in conformity with the TBT</w:t>
      </w:r>
      <w:r w:rsidR="00025E1C">
        <w:rPr>
          <w:lang w:val="en-US"/>
        </w:rPr>
        <w:t> Agreement</w:t>
      </w:r>
      <w:r w:rsidRPr="00A256C2">
        <w:rPr>
          <w:lang w:val="en-US"/>
        </w:rPr>
        <w:t>.</w:t>
      </w:r>
      <w:r>
        <w:rPr>
          <w:lang w:val="en-US"/>
        </w:rPr>
        <w:t xml:space="preserve"> </w:t>
      </w:r>
      <w:r w:rsidRPr="00A256C2">
        <w:rPr>
          <w:lang w:val="en-US"/>
        </w:rPr>
        <w:t>The proposals for the diversified materials sourcing jeopardize</w:t>
      </w:r>
      <w:r>
        <w:rPr>
          <w:lang w:val="en-US"/>
        </w:rPr>
        <w:t>d</w:t>
      </w:r>
      <w:r w:rsidRPr="00A256C2">
        <w:rPr>
          <w:lang w:val="en-US"/>
        </w:rPr>
        <w:t xml:space="preserve"> the </w:t>
      </w:r>
      <w:r>
        <w:rPr>
          <w:lang w:val="en-US"/>
        </w:rPr>
        <w:t>European</w:t>
      </w:r>
      <w:r w:rsidR="00025E1C">
        <w:rPr>
          <w:lang w:val="en-US"/>
        </w:rPr>
        <w:t> Union</w:t>
      </w:r>
      <w:r>
        <w:rPr>
          <w:lang w:val="en-US"/>
        </w:rPr>
        <w:t>'</w:t>
      </w:r>
      <w:r w:rsidRPr="00A256C2">
        <w:rPr>
          <w:lang w:val="en-US"/>
        </w:rPr>
        <w:t>s future compliance with the WTO most-favo</w:t>
      </w:r>
      <w:r w:rsidR="00025E1C">
        <w:rPr>
          <w:lang w:val="en-US"/>
        </w:rPr>
        <w:t>ured</w:t>
      </w:r>
      <w:r w:rsidRPr="00A256C2">
        <w:rPr>
          <w:lang w:val="en-US"/>
        </w:rPr>
        <w:t>-nation principle.</w:t>
      </w:r>
    </w:p>
    <w:p w14:paraId="643FE0EC" w14:textId="77777777" w:rsidR="005D477C" w:rsidRPr="00A256C2" w:rsidRDefault="005D477C" w:rsidP="005D477C">
      <w:pPr>
        <w:pStyle w:val="BodyText"/>
        <w:rPr>
          <w:lang w:val="en-US"/>
        </w:rPr>
      </w:pPr>
      <w:r w:rsidRPr="00A256C2">
        <w:rPr>
          <w:lang w:val="en-US"/>
        </w:rPr>
        <w:t>The EU Carbon Border Adjustment Mechanism had the strongest potential to directly distort international trade and consequently needed to be designed in full compliance with WTO provisions in order to eliminate trade hampering effects, if implemented. The scope of potential threats to international trade highlight</w:t>
      </w:r>
      <w:r>
        <w:rPr>
          <w:lang w:val="en-US"/>
        </w:rPr>
        <w:t>ed</w:t>
      </w:r>
      <w:r w:rsidRPr="00A256C2">
        <w:rPr>
          <w:lang w:val="en-US"/>
        </w:rPr>
        <w:t xml:space="preserve"> the importance of the multilateral discussion of the trade-related aspects of the European Green Deal at the meetings of the CTE and other relevant bodies.</w:t>
      </w:r>
    </w:p>
    <w:p w14:paraId="01A4ADE8" w14:textId="77777777" w:rsidR="005D477C" w:rsidRPr="00A256C2" w:rsidRDefault="005D477C" w:rsidP="005D477C">
      <w:pPr>
        <w:pStyle w:val="BodyText"/>
        <w:rPr>
          <w:lang w:val="en-US"/>
        </w:rPr>
      </w:pPr>
      <w:r w:rsidRPr="00A256C2">
        <w:rPr>
          <w:lang w:val="en-US"/>
        </w:rPr>
        <w:t>As a final note, the Russian Federation stressed its belief that all WTO Members were united by the objective of creating a more climate-friendly world. Any Member needed to be free to choose its own methods on the path towards the achievement of global climate objectives as long as these methods presented a proportionate contribution and did not nullify or impair benefits of other WTO Members. Hence, the Russian Federation urge</w:t>
      </w:r>
      <w:r>
        <w:rPr>
          <w:lang w:val="en-US"/>
        </w:rPr>
        <w:t>d</w:t>
      </w:r>
      <w:r w:rsidRPr="00A256C2">
        <w:rPr>
          <w:lang w:val="en-US"/>
        </w:rPr>
        <w:t xml:space="preserve"> Members to stick to the goal of the WTO</w:t>
      </w:r>
      <w:r>
        <w:rPr>
          <w:lang w:val="en-US"/>
        </w:rPr>
        <w:t xml:space="preserve"> of </w:t>
      </w:r>
      <w:r w:rsidRPr="00A256C2">
        <w:rPr>
          <w:lang w:val="en-US"/>
        </w:rPr>
        <w:t xml:space="preserve">ensuring sustainable global development by means of trade. That </w:t>
      </w:r>
      <w:r>
        <w:rPr>
          <w:lang w:val="en-US"/>
        </w:rPr>
        <w:t>was</w:t>
      </w:r>
      <w:r w:rsidRPr="00A256C2">
        <w:rPr>
          <w:lang w:val="en-US"/>
        </w:rPr>
        <w:t xml:space="preserve"> why all Members </w:t>
      </w:r>
      <w:r>
        <w:rPr>
          <w:lang w:val="en-US"/>
        </w:rPr>
        <w:t>needed</w:t>
      </w:r>
      <w:r w:rsidRPr="00A256C2">
        <w:rPr>
          <w:lang w:val="en-US"/>
        </w:rPr>
        <w:t xml:space="preserve"> jointly </w:t>
      </w:r>
      <w:r>
        <w:rPr>
          <w:lang w:val="en-US"/>
        </w:rPr>
        <w:t xml:space="preserve">to </w:t>
      </w:r>
      <w:r w:rsidRPr="00A256C2">
        <w:rPr>
          <w:lang w:val="en-US"/>
        </w:rPr>
        <w:t xml:space="preserve">elaborate fair and equitable environmental policies and avoid imposing unnecessary restrictions on international trade, as no true development </w:t>
      </w:r>
      <w:r>
        <w:rPr>
          <w:lang w:val="en-US"/>
        </w:rPr>
        <w:t>could</w:t>
      </w:r>
      <w:r w:rsidRPr="00A256C2">
        <w:rPr>
          <w:lang w:val="en-US"/>
        </w:rPr>
        <w:t xml:space="preserve"> be achieved if trade </w:t>
      </w:r>
      <w:r>
        <w:rPr>
          <w:lang w:val="en-US"/>
        </w:rPr>
        <w:t>was</w:t>
      </w:r>
      <w:r w:rsidRPr="00A256C2">
        <w:rPr>
          <w:lang w:val="en-US"/>
        </w:rPr>
        <w:t xml:space="preserve"> being undermined by </w:t>
      </w:r>
      <w:r>
        <w:rPr>
          <w:lang w:val="en-US"/>
        </w:rPr>
        <w:t>"</w:t>
      </w:r>
      <w:r w:rsidRPr="00A256C2">
        <w:rPr>
          <w:lang w:val="en-US"/>
        </w:rPr>
        <w:t>green protectionism</w:t>
      </w:r>
      <w:r>
        <w:rPr>
          <w:lang w:val="en-US"/>
        </w:rPr>
        <w:t>"</w:t>
      </w:r>
      <w:r w:rsidRPr="00A256C2">
        <w:rPr>
          <w:lang w:val="en-US"/>
        </w:rPr>
        <w:t>.</w:t>
      </w:r>
    </w:p>
    <w:bookmarkEnd w:id="32"/>
    <w:bookmarkEnd w:id="33"/>
    <w:p w14:paraId="0719F135" w14:textId="57644697" w:rsidR="00486673" w:rsidRDefault="00486673" w:rsidP="00486673">
      <w:pPr>
        <w:pStyle w:val="BodyText"/>
      </w:pPr>
      <w:r>
        <w:t xml:space="preserve">The representative of </w:t>
      </w:r>
      <w:r w:rsidRPr="00FA7CFA">
        <w:rPr>
          <w:u w:val="single"/>
        </w:rPr>
        <w:t>Ukraine</w:t>
      </w:r>
      <w:r>
        <w:t xml:space="preserve"> thanked the delegation of the European</w:t>
      </w:r>
      <w:r w:rsidR="00025E1C">
        <w:t> Union</w:t>
      </w:r>
      <w:r>
        <w:t xml:space="preserve"> for the comprehensive presentations and the update on the CBAM. Ukraine emphasized its commitment to its European integration goals. While Ukraine </w:t>
      </w:r>
      <w:r w:rsidR="004A7C21">
        <w:t>was</w:t>
      </w:r>
      <w:r>
        <w:t xml:space="preserve"> developing state policy in the areas of energy and energy efficiency, it focuse</w:t>
      </w:r>
      <w:r w:rsidR="004A7C21">
        <w:t>d</w:t>
      </w:r>
      <w:r>
        <w:t xml:space="preserve"> on provisions of the </w:t>
      </w:r>
      <w:r w:rsidR="004A7C21">
        <w:t>European</w:t>
      </w:r>
      <w:r w:rsidR="00025E1C">
        <w:t> Union</w:t>
      </w:r>
      <w:r>
        <w:t xml:space="preserve">-Ukraine Association Agreement, </w:t>
      </w:r>
      <w:r>
        <w:lastRenderedPageBreak/>
        <w:t xml:space="preserve">the Energy Community Treaty, the Paris Agreement, and the new European Green Deal. She added that the goal of the European Green Deal </w:t>
      </w:r>
      <w:r w:rsidR="004A7C21">
        <w:t>was</w:t>
      </w:r>
      <w:r>
        <w:t xml:space="preserve"> in line with Ukraine's aspirations and that the tax rate on </w:t>
      </w:r>
      <w:r w:rsidR="004A7C21">
        <w:t>CO</w:t>
      </w:r>
      <w:r w:rsidR="004A7C21">
        <w:rPr>
          <w:vertAlign w:val="subscript"/>
        </w:rPr>
        <w:t>2</w:t>
      </w:r>
      <w:r>
        <w:t xml:space="preserve"> emissions from stationary sources in Ukraine ha</w:t>
      </w:r>
      <w:r w:rsidR="004A7C21">
        <w:t>d</w:t>
      </w:r>
      <w:r>
        <w:t xml:space="preserve"> been increased by more than 24 times since </w:t>
      </w:r>
      <w:r w:rsidR="004A7C21">
        <w:t>1</w:t>
      </w:r>
      <w:r w:rsidR="004A7C21" w:rsidRPr="004A7C21">
        <w:rPr>
          <w:vertAlign w:val="superscript"/>
        </w:rPr>
        <w:t>st</w:t>
      </w:r>
      <w:r w:rsidR="004A7C21">
        <w:t xml:space="preserve"> </w:t>
      </w:r>
      <w:r>
        <w:t xml:space="preserve">January 2019. Ukraine also pointed to the proposed draft Law "On Amendments to the Tax Code of Ukraine", which </w:t>
      </w:r>
      <w:r w:rsidR="004A7C21">
        <w:t>would</w:t>
      </w:r>
      <w:r>
        <w:t xml:space="preserve"> lead to an increase in the carbon tax.</w:t>
      </w:r>
    </w:p>
    <w:p w14:paraId="09472CB7" w14:textId="3EBF5A2F" w:rsidR="00486673" w:rsidRDefault="00486673" w:rsidP="00486673">
      <w:pPr>
        <w:pStyle w:val="BodyText"/>
      </w:pPr>
      <w:r>
        <w:t>Ukraine also noted that it adopted a Strategy of Low Carbon Development, which was developed in accordance with paragraph 19 of Article</w:t>
      </w:r>
      <w:r w:rsidR="00025E1C">
        <w:t> </w:t>
      </w:r>
      <w:r>
        <w:t xml:space="preserve">4 of the Paris Agreement. Ukraine became the ninth party to the Paris Agreement to have fulfilled this requirement. Moreover, an emissions trading system, currently under development, </w:t>
      </w:r>
      <w:r w:rsidR="004A7C21">
        <w:t>would</w:t>
      </w:r>
      <w:r>
        <w:t xml:space="preserve"> be fully operational from 2025. On 1 January 2021, the system of monitoring, reporting and verification of greenhouse gas emissions started operating in Ukraine. It </w:t>
      </w:r>
      <w:r w:rsidR="004A7C21">
        <w:t>was</w:t>
      </w:r>
      <w:r>
        <w:t xml:space="preserve"> expected that the first reliable verified data on greenhouse gas emissions </w:t>
      </w:r>
      <w:r w:rsidR="004A7C21">
        <w:t>would</w:t>
      </w:r>
      <w:r>
        <w:t xml:space="preserve"> be available in 2022. She also noted that the Ministry of Energy of Ukraine initiated the creation of the Decarbonization Fund, whose financial resources </w:t>
      </w:r>
      <w:r w:rsidR="004A7C21">
        <w:t>would</w:t>
      </w:r>
      <w:r>
        <w:t xml:space="preserve"> be used exclusively for projects that reduce</w:t>
      </w:r>
      <w:r w:rsidR="004A7C21">
        <w:t>d</w:t>
      </w:r>
      <w:r>
        <w:t xml:space="preserve"> CO</w:t>
      </w:r>
      <w:r w:rsidRPr="004A7C21">
        <w:rPr>
          <w:vertAlign w:val="subscript"/>
        </w:rPr>
        <w:t>2</w:t>
      </w:r>
      <w:r>
        <w:t xml:space="preserve"> emissions and ha</w:t>
      </w:r>
      <w:r w:rsidR="004A7C21">
        <w:t>d</w:t>
      </w:r>
      <w:r>
        <w:t xml:space="preserve"> energy-efficient, environmental, and social effects. Ukraine stated that it </w:t>
      </w:r>
      <w:r w:rsidR="004A7C21">
        <w:t>was</w:t>
      </w:r>
      <w:r>
        <w:t xml:space="preserve"> important to understand and address the possible challenges to implementing Border Carbon Adjustments (BCAs) as the tool to support climate and environmental objectives. In particular, Ukraine referred to the need to address the consistency of a BCA with the provisions of the Paris Agreement and WTO rules. It </w:t>
      </w:r>
      <w:r w:rsidR="004A7C21">
        <w:t>was</w:t>
      </w:r>
      <w:r>
        <w:t xml:space="preserve"> important that CBAM complement</w:t>
      </w:r>
      <w:r w:rsidR="004A7C21">
        <w:t>ed</w:t>
      </w:r>
      <w:r>
        <w:t>, not counterbalance</w:t>
      </w:r>
      <w:r w:rsidR="004A7C21">
        <w:t>d</w:t>
      </w:r>
      <w:r>
        <w:t xml:space="preserve">, NDCs. To achieve this, it </w:t>
      </w:r>
      <w:r w:rsidR="004A7C21">
        <w:t>was</w:t>
      </w:r>
      <w:r>
        <w:t xml:space="preserve"> necessary to develop understanding on this issue and address the possible problems of CBAM (such as product scope, measurement, reporting and verification of embodied carbon). Ukraine stressed that WTO Committees should be seen as a platform for international discussions and as an opportunity to develop consensus and common rules on all aspects of climate policy that </w:t>
      </w:r>
      <w:r w:rsidR="004A7C21">
        <w:t>might</w:t>
      </w:r>
      <w:r>
        <w:t xml:space="preserve"> affect trade.</w:t>
      </w:r>
    </w:p>
    <w:p w14:paraId="0A8B0D46" w14:textId="6EF8A611" w:rsidR="00486673" w:rsidRDefault="00486673" w:rsidP="00486673">
      <w:pPr>
        <w:pStyle w:val="BodyText"/>
      </w:pPr>
      <w:r>
        <w:t xml:space="preserve">The representative of </w:t>
      </w:r>
      <w:r w:rsidRPr="00FA7CFA">
        <w:rPr>
          <w:u w:val="single"/>
        </w:rPr>
        <w:t>Australia</w:t>
      </w:r>
      <w:r>
        <w:t xml:space="preserve"> expressed Australia's strong commitment to addressing climate change and belief that international trade </w:t>
      </w:r>
      <w:r w:rsidR="004A7C21">
        <w:t>could</w:t>
      </w:r>
      <w:r>
        <w:t xml:space="preserve"> contribute to this objective. Indeed, in Australia's view, policies that facilitate</w:t>
      </w:r>
      <w:r w:rsidR="004A7C21">
        <w:t>d</w:t>
      </w:r>
      <w:r>
        <w:t xml:space="preserve"> increased trade in environmental goods and services, and related investment, </w:t>
      </w:r>
      <w:r w:rsidR="004A7C21">
        <w:t>could</w:t>
      </w:r>
      <w:r>
        <w:t xml:space="preserve"> make a strong contribution in support of international climate policy. Australia welcomed the consultative approach that the European</w:t>
      </w:r>
      <w:r w:rsidR="00025E1C">
        <w:t> Union</w:t>
      </w:r>
      <w:r>
        <w:t xml:space="preserve"> ha</w:t>
      </w:r>
      <w:r w:rsidR="004A7C21">
        <w:t>d</w:t>
      </w:r>
      <w:r>
        <w:t xml:space="preserve"> taken so far in respect </w:t>
      </w:r>
      <w:r w:rsidR="004A7C21">
        <w:t>of</w:t>
      </w:r>
      <w:r>
        <w:t xml:space="preserve"> CBAM and encouraged the </w:t>
      </w:r>
      <w:r w:rsidR="004A7C21">
        <w:t>European</w:t>
      </w:r>
      <w:r w:rsidR="00025E1C">
        <w:t> Union</w:t>
      </w:r>
      <w:r w:rsidR="004A7C21">
        <w:t xml:space="preserve"> </w:t>
      </w:r>
      <w:r>
        <w:t xml:space="preserve">to share to the maximum extent possible, in the WTO and in other relevant international bodies, details of its policy deliberations and the likely form a CBAM might take, consistent with the central WTO principle of transparency. Australia also noted the </w:t>
      </w:r>
      <w:r w:rsidR="004A7C21">
        <w:t>European</w:t>
      </w:r>
      <w:r w:rsidR="00025E1C">
        <w:t> Union</w:t>
      </w:r>
      <w:r>
        <w:t>'s commitment to ensure the consistency of its eventual measure with WTO</w:t>
      </w:r>
      <w:r w:rsidR="004A7C21">
        <w:t> </w:t>
      </w:r>
      <w:r>
        <w:t>obligations, underscoring that further details addressing the issue of WTO consistency of the CBAM would be helpful.</w:t>
      </w:r>
    </w:p>
    <w:p w14:paraId="1388F107" w14:textId="61EFCC01" w:rsidR="00486673" w:rsidRDefault="00486673" w:rsidP="00486673">
      <w:pPr>
        <w:pStyle w:val="BodyText"/>
      </w:pPr>
      <w:r>
        <w:t xml:space="preserve">The representative of </w:t>
      </w:r>
      <w:r w:rsidRPr="00FA7CFA">
        <w:rPr>
          <w:u w:val="single"/>
        </w:rPr>
        <w:t>Saudi Arabia</w:t>
      </w:r>
      <w:r>
        <w:t xml:space="preserve"> thanked the European</w:t>
      </w:r>
      <w:r w:rsidR="00025E1C">
        <w:t> Union</w:t>
      </w:r>
      <w:r>
        <w:t xml:space="preserve"> for the update on trade relevant aspects of the European Green Deal, including on the CBAM. Saudi Arabia expressed support for the statement delivered by the Russian Federation. She also noted that this issue ha</w:t>
      </w:r>
      <w:r w:rsidR="004A7C21">
        <w:t>d</w:t>
      </w:r>
      <w:r>
        <w:t xml:space="preserve"> been addressed in the Committee of Market Access for Goods and that Members </w:t>
      </w:r>
      <w:r w:rsidR="004A7C21">
        <w:t>would</w:t>
      </w:r>
      <w:r>
        <w:t xml:space="preserve"> continue to discuss in depth their views and concerns under that Committee. At the same time, Saudi Arabia noted that the Circular Carbon Economy (CCE) framework that was introduced by Saudi Arabia and endorsed by the G20 leaders in 2020 </w:t>
      </w:r>
      <w:r w:rsidR="004A7C21">
        <w:t>was</w:t>
      </w:r>
      <w:r>
        <w:t xml:space="preserve"> an inclusive, integrated, holistic framework. The CCE cover</w:t>
      </w:r>
      <w:r w:rsidR="004A7C21">
        <w:t>ed</w:t>
      </w:r>
      <w:r>
        <w:t xml:space="preserve"> not only material waste, but also addresse</w:t>
      </w:r>
      <w:r w:rsidR="004A7C21">
        <w:t>d</w:t>
      </w:r>
      <w:r>
        <w:t xml:space="preserve"> emissions by converting all emissions challenges into opportunities. This </w:t>
      </w:r>
      <w:r w:rsidR="004A7C21">
        <w:t>was</w:t>
      </w:r>
      <w:r>
        <w:t xml:space="preserve"> done by utilizing all technologies and innovations to address challenges raised by both material waste and emissions flow. </w:t>
      </w:r>
    </w:p>
    <w:p w14:paraId="07934EAC" w14:textId="3E9AE514" w:rsidR="00486673" w:rsidRDefault="00486673" w:rsidP="00486673">
      <w:pPr>
        <w:pStyle w:val="BodyText"/>
      </w:pPr>
      <w:r>
        <w:t xml:space="preserve">Saudi Arabia also noted that any trade aspect of climate that </w:t>
      </w:r>
      <w:r w:rsidR="004A7C21">
        <w:t>would</w:t>
      </w:r>
      <w:r>
        <w:t xml:space="preserve"> impact trade negatively would convert the spirit of cooperation among nations under the UNFCCC to confrontation. This </w:t>
      </w:r>
      <w:r w:rsidR="004A7C21">
        <w:t>was</w:t>
      </w:r>
      <w:r>
        <w:t xml:space="preserve"> why the UNFCCC in its principle outlined in Article</w:t>
      </w:r>
      <w:r w:rsidR="00025E1C">
        <w:t> </w:t>
      </w:r>
      <w:r>
        <w:t>3 paragraph 5 warned against such approaches. It states: "[m]easures taken to combat climate change, including unilateral ones, should not constitute a means of arbitrary or unjustifiable discrimination or a disguised restriction on international trade." Saudi Arabia added that the CCE provide</w:t>
      </w:r>
      <w:r w:rsidR="004A7C21">
        <w:t>d</w:t>
      </w:r>
      <w:r>
        <w:t xml:space="preserve"> a bottom-up framework rather than a policy framework that would be seen as a top-down approach. Hence, the CCE cater</w:t>
      </w:r>
      <w:r w:rsidR="004A7C21">
        <w:t>ed</w:t>
      </w:r>
      <w:r>
        <w:t xml:space="preserve"> for national circumstances, priorities and needs at the same time it provide</w:t>
      </w:r>
      <w:r w:rsidR="004A7C21">
        <w:t>d</w:t>
      </w:r>
      <w:r>
        <w:t xml:space="preserve"> a platform for complementary cooperation among nations that ha</w:t>
      </w:r>
      <w:r w:rsidR="004A7C21">
        <w:t>d</w:t>
      </w:r>
      <w:r>
        <w:t xml:space="preserve"> different context to address both waste and emissions.</w:t>
      </w:r>
    </w:p>
    <w:p w14:paraId="393DC7A5" w14:textId="6A6B25E0" w:rsidR="00486673" w:rsidRDefault="00486673" w:rsidP="00486673">
      <w:pPr>
        <w:pStyle w:val="BodyText"/>
      </w:pPr>
      <w:r>
        <w:t xml:space="preserve">The representative of </w:t>
      </w:r>
      <w:r w:rsidRPr="00FA7CFA">
        <w:rPr>
          <w:u w:val="single"/>
        </w:rPr>
        <w:t>India</w:t>
      </w:r>
      <w:r>
        <w:t xml:space="preserve"> expressed its concerns about the compatibility of certain measures, in particular the CBAM, with basic WTO rules. India invited the </w:t>
      </w:r>
      <w:r w:rsidR="004A7C21">
        <w:t>European</w:t>
      </w:r>
      <w:r w:rsidR="00025E1C">
        <w:t> Union</w:t>
      </w:r>
      <w:r w:rsidR="004A7C21">
        <w:t xml:space="preserve"> t</w:t>
      </w:r>
      <w:r>
        <w:t xml:space="preserve">o share specific details about the CBAM as a thorough legal analysis </w:t>
      </w:r>
      <w:r w:rsidR="004A7C21">
        <w:t>would</w:t>
      </w:r>
      <w:r>
        <w:t xml:space="preserve"> be required to examine whether such a mechanism </w:t>
      </w:r>
      <w:r w:rsidR="004A7C21">
        <w:t>was</w:t>
      </w:r>
      <w:r>
        <w:t xml:space="preserve"> in conformity with relevant WTO rules. India added that any such mechanism </w:t>
      </w:r>
      <w:r w:rsidR="004A7C21">
        <w:lastRenderedPageBreak/>
        <w:t>needed to</w:t>
      </w:r>
      <w:r>
        <w:t xml:space="preserve"> take into consideration the principle of CBDR-RC, in light of different national circumstances and noted that there </w:t>
      </w:r>
      <w:r w:rsidR="004A7C21">
        <w:t>were</w:t>
      </w:r>
      <w:r>
        <w:t xml:space="preserve"> possible WTO non-compliance issues that </w:t>
      </w:r>
      <w:r w:rsidR="004A7C21">
        <w:t>would</w:t>
      </w:r>
      <w:r>
        <w:t xml:space="preserve"> require further deliberation.</w:t>
      </w:r>
    </w:p>
    <w:p w14:paraId="36716553" w14:textId="519FBD31" w:rsidR="00486673" w:rsidRPr="00486673" w:rsidRDefault="00486673" w:rsidP="00486673">
      <w:pPr>
        <w:pStyle w:val="BodyText"/>
      </w:pPr>
      <w:r>
        <w:t xml:space="preserve">The Ambassador of the </w:t>
      </w:r>
      <w:r w:rsidRPr="00FA7CFA">
        <w:rPr>
          <w:u w:val="single"/>
        </w:rPr>
        <w:t>Central African Republic</w:t>
      </w:r>
      <w:r>
        <w:t xml:space="preserve"> welcomed the European Green Deal and noted that its implementation call</w:t>
      </w:r>
      <w:r w:rsidR="004A7C21">
        <w:t>ed</w:t>
      </w:r>
      <w:r>
        <w:t xml:space="preserve"> for a holistic approach. Noting that the Central African Republic </w:t>
      </w:r>
      <w:r w:rsidR="004A7C21">
        <w:t>was</w:t>
      </w:r>
      <w:r>
        <w:t xml:space="preserve"> </w:t>
      </w:r>
      <w:r w:rsidR="004A7C21">
        <w:t>part of</w:t>
      </w:r>
      <w:r>
        <w:t xml:space="preserve"> the Congo basin, he noted a paradox when it </w:t>
      </w:r>
      <w:r w:rsidR="004A7C21">
        <w:t>came</w:t>
      </w:r>
      <w:r>
        <w:t xml:space="preserve"> to implementation of this package of measures. The deforestation that took place in the 2010</w:t>
      </w:r>
      <w:r w:rsidR="00025E1C">
        <w:t>s</w:t>
      </w:r>
      <w:r>
        <w:t xml:space="preserve"> of at least two million hectares of forest land led to a decrease in biodiversity with economic and financial repercussions. He observed that the present consequences in the use of lumber show</w:t>
      </w:r>
      <w:r w:rsidR="004A7C21">
        <w:t>ed</w:t>
      </w:r>
      <w:r>
        <w:t xml:space="preserve"> the paradox between development and biodiversity. If development </w:t>
      </w:r>
      <w:r w:rsidR="004A7C21">
        <w:t>was</w:t>
      </w:r>
      <w:r>
        <w:t xml:space="preserve"> picked, then there </w:t>
      </w:r>
      <w:r w:rsidR="004A7C21">
        <w:t>was</w:t>
      </w:r>
      <w:r>
        <w:t xml:space="preserve"> a need to see accompanying measures. What could those measures be? He added that, while some people condemn</w:t>
      </w:r>
      <w:r w:rsidR="004A7C21">
        <w:t>ed</w:t>
      </w:r>
      <w:r>
        <w:t xml:space="preserve"> deforestation, they </w:t>
      </w:r>
      <w:r w:rsidR="004A7C21">
        <w:t>were</w:t>
      </w:r>
      <w:r>
        <w:t xml:space="preserve"> also the ones carrying it, which </w:t>
      </w:r>
      <w:r w:rsidR="004A7C21">
        <w:t>was</w:t>
      </w:r>
      <w:r>
        <w:t xml:space="preserve"> a real paradox. The Central African Republic also pointed that the lumber companies </w:t>
      </w:r>
      <w:r w:rsidR="004A7C21">
        <w:t>were</w:t>
      </w:r>
      <w:r>
        <w:t xml:space="preserve"> not local but c</w:t>
      </w:r>
      <w:r w:rsidR="004A7C21">
        <w:t>a</w:t>
      </w:r>
      <w:r>
        <w:t xml:space="preserve">me from outside the region. Thus, there </w:t>
      </w:r>
      <w:r w:rsidR="004A7C21">
        <w:t>was</w:t>
      </w:r>
      <w:r>
        <w:t xml:space="preserve"> a need to find drastic measures to ensure accountability and have common rules that everyone respect</w:t>
      </w:r>
      <w:r w:rsidR="004A7C21">
        <w:t>ed</w:t>
      </w:r>
      <w:r>
        <w:t>.</w:t>
      </w:r>
    </w:p>
    <w:p w14:paraId="73321129" w14:textId="6BAF5C50" w:rsidR="00E21F03" w:rsidRDefault="00E21F03" w:rsidP="006C4688">
      <w:pPr>
        <w:pStyle w:val="Heading1"/>
      </w:pPr>
      <w:bookmarkStart w:id="34" w:name="_Toc74660667"/>
      <w:r>
        <w:t>Other Items of the CTE Work Programme</w:t>
      </w:r>
      <w:bookmarkEnd w:id="34"/>
    </w:p>
    <w:p w14:paraId="62C9468E" w14:textId="77777777" w:rsidR="00E21F03" w:rsidRPr="00CA774A" w:rsidRDefault="00E21F03" w:rsidP="006C4688">
      <w:pPr>
        <w:pStyle w:val="Heading2"/>
      </w:pPr>
      <w:bookmarkStart w:id="35" w:name="_Toc74660668"/>
      <w:r>
        <w:t>Multilateral environmental agreements and WTO (Item 1 of the CTE Work Programme)</w:t>
      </w:r>
      <w:bookmarkEnd w:id="35"/>
    </w:p>
    <w:p w14:paraId="5EA4AEBE" w14:textId="77777777" w:rsidR="00E21F03" w:rsidRDefault="00E21F03" w:rsidP="00E21F03">
      <w:pPr>
        <w:spacing w:after="240"/>
        <w:ind w:left="709" w:right="522"/>
        <w:rPr>
          <w:i/>
        </w:rPr>
      </w:pPr>
      <w:r w:rsidRPr="000A1F55">
        <w:rPr>
          <w:i/>
        </w:rPr>
        <w:t>"The relationship between the provisions of the multilateral trading system and trade measures for environmental purposes, including those pursuant to multilateral environmental agreements (MEAs)."</w:t>
      </w:r>
    </w:p>
    <w:p w14:paraId="74E3258F" w14:textId="5FCC7BB1" w:rsidR="00E21F03" w:rsidRDefault="00E21F03" w:rsidP="006C4688">
      <w:pPr>
        <w:pStyle w:val="Heading3"/>
      </w:pPr>
      <w:bookmarkStart w:id="36" w:name="_Toc74660669"/>
      <w:r>
        <w:t>The United Nations Framework Convention on Climate Change (UNFCCC)</w:t>
      </w:r>
      <w:bookmarkEnd w:id="36"/>
    </w:p>
    <w:p w14:paraId="42B22312" w14:textId="393C9FC4" w:rsidR="00BC1A49" w:rsidRPr="00BC1A49" w:rsidRDefault="00BC1A49" w:rsidP="00BC1A49">
      <w:pPr>
        <w:pStyle w:val="Heading4"/>
      </w:pPr>
      <w:bookmarkStart w:id="37" w:name="_Toc74660670"/>
      <w:r>
        <w:t>Presentation by the UNFCCC</w:t>
      </w:r>
      <w:bookmarkEnd w:id="37"/>
    </w:p>
    <w:p w14:paraId="40D51FA6" w14:textId="5817DE55" w:rsidR="000D4B6F" w:rsidRPr="000D4B6F" w:rsidRDefault="000D4B6F" w:rsidP="00BC1A49">
      <w:pPr>
        <w:pStyle w:val="BodyText"/>
        <w:numPr>
          <w:ilvl w:val="6"/>
          <w:numId w:val="37"/>
        </w:numPr>
        <w:rPr>
          <w:lang w:val="en-US"/>
        </w:rPr>
      </w:pPr>
      <w:bookmarkStart w:id="38" w:name="_Hlk74729168"/>
      <w:bookmarkStart w:id="39" w:name="_Hlk64576215"/>
      <w:r w:rsidRPr="00DF5BF4">
        <w:t xml:space="preserve">The </w:t>
      </w:r>
      <w:r>
        <w:t>representative of</w:t>
      </w:r>
      <w:bookmarkEnd w:id="38"/>
      <w:r>
        <w:t xml:space="preserve"> the </w:t>
      </w:r>
      <w:r w:rsidRPr="000D4B6F">
        <w:rPr>
          <w:u w:val="single"/>
        </w:rPr>
        <w:t>UNFCCC</w:t>
      </w:r>
      <w:r w:rsidRPr="00DF5BF4">
        <w:t xml:space="preserve"> </w:t>
      </w:r>
      <w:r>
        <w:t>briefed delegations</w:t>
      </w:r>
      <w:r w:rsidRPr="00DF5BF4">
        <w:t xml:space="preserve"> on preparation</w:t>
      </w:r>
      <w:r>
        <w:t>s</w:t>
      </w:r>
      <w:r w:rsidRPr="00DF5BF4">
        <w:t xml:space="preserve"> for </w:t>
      </w:r>
      <w:r w:rsidR="009D3004">
        <w:t>CoP26</w:t>
      </w:r>
      <w:r w:rsidRPr="003146C5">
        <w:t xml:space="preserve"> </w:t>
      </w:r>
      <w:r w:rsidRPr="00DF5BF4">
        <w:t>and most pressing issues</w:t>
      </w:r>
      <w:r>
        <w:t xml:space="preserve"> to be addressed</w:t>
      </w:r>
      <w:r w:rsidRPr="00DF5BF4">
        <w:t>.</w:t>
      </w:r>
      <w:r>
        <w:t xml:space="preserve"> He recalled</w:t>
      </w:r>
      <w:r w:rsidRPr="000D4B6F">
        <w:rPr>
          <w:lang w:val="en-US"/>
        </w:rPr>
        <w:t xml:space="preserve"> that due to the sanitary restrictions </w:t>
      </w:r>
      <w:r w:rsidR="009D3004">
        <w:rPr>
          <w:lang w:val="en-US"/>
        </w:rPr>
        <w:t>CoP26</w:t>
      </w:r>
      <w:r w:rsidRPr="000D4B6F">
        <w:rPr>
          <w:lang w:val="en-US"/>
        </w:rPr>
        <w:t xml:space="preserve"> had been postponed and no formal negotiations had taken place since the last Conference in 2019. In response, two main initiatives in 2020 had been undertaken to advance work: the June Momentum and the November Dialogues. Some progress had been made in 2020, and there was momentum behind climate action, but parties had to act swiftly to </w:t>
      </w:r>
      <w:r w:rsidR="00025E1C">
        <w:rPr>
          <w:lang w:val="en-US"/>
        </w:rPr>
        <w:t>fulfil</w:t>
      </w:r>
      <w:r w:rsidRPr="000D4B6F">
        <w:rPr>
          <w:lang w:val="en-US"/>
        </w:rPr>
        <w:t xml:space="preserve"> the Paris Agreement commitments. </w:t>
      </w:r>
    </w:p>
    <w:p w14:paraId="4B2BEE9B" w14:textId="671949FA" w:rsidR="000D4B6F" w:rsidRPr="001D6EE0" w:rsidRDefault="000D4B6F" w:rsidP="000D4B6F">
      <w:pPr>
        <w:pStyle w:val="BodyText"/>
        <w:numPr>
          <w:ilvl w:val="6"/>
          <w:numId w:val="37"/>
        </w:numPr>
        <w:rPr>
          <w:lang w:val="en-US"/>
        </w:rPr>
      </w:pPr>
      <w:r w:rsidRPr="001D6EE0">
        <w:rPr>
          <w:lang w:val="en-US"/>
        </w:rPr>
        <w:t xml:space="preserve">He noted that while amid a global pandemic, the climate emergency continued to worsen. Parties to the UNFCCC process had a substantial amount of outstanding work to complete at </w:t>
      </w:r>
      <w:r w:rsidR="009D3004">
        <w:rPr>
          <w:lang w:val="en-US"/>
        </w:rPr>
        <w:t>CoP26</w:t>
      </w:r>
      <w:r w:rsidRPr="001D6EE0">
        <w:rPr>
          <w:lang w:val="en-US"/>
        </w:rPr>
        <w:t xml:space="preserve">. The Paris Agreement was not yet implemented, less than half of </w:t>
      </w:r>
      <w:r>
        <w:rPr>
          <w:lang w:val="en-US"/>
        </w:rPr>
        <w:t>NDC</w:t>
      </w:r>
      <w:r w:rsidRPr="001D6EE0">
        <w:rPr>
          <w:lang w:val="en-US"/>
        </w:rPr>
        <w:t xml:space="preserve">s had been updated on time, and nations had to step up to react to the climate ambition needed to drive the deep and rapid change required to avoid and adapt to the worst impacts of climate change. </w:t>
      </w:r>
      <w:r w:rsidR="009D3004">
        <w:rPr>
          <w:lang w:val="en-US"/>
        </w:rPr>
        <w:t>CoP26</w:t>
      </w:r>
      <w:r w:rsidRPr="001D6EE0">
        <w:rPr>
          <w:lang w:val="en-US"/>
        </w:rPr>
        <w:t xml:space="preserve"> </w:t>
      </w:r>
      <w:r>
        <w:rPr>
          <w:lang w:val="en-US"/>
        </w:rPr>
        <w:t>in 2021 was</w:t>
      </w:r>
      <w:r w:rsidRPr="001D6EE0">
        <w:rPr>
          <w:lang w:val="en-US"/>
        </w:rPr>
        <w:t xml:space="preserve"> especially important and</w:t>
      </w:r>
      <w:r>
        <w:rPr>
          <w:lang w:val="en-US"/>
        </w:rPr>
        <w:t>,</w:t>
      </w:r>
      <w:r w:rsidRPr="001D6EE0">
        <w:rPr>
          <w:lang w:val="en-US"/>
        </w:rPr>
        <w:t xml:space="preserve"> </w:t>
      </w:r>
      <w:r>
        <w:rPr>
          <w:lang w:val="en-US"/>
        </w:rPr>
        <w:t xml:space="preserve">above </w:t>
      </w:r>
      <w:r w:rsidRPr="001D6EE0">
        <w:rPr>
          <w:shd w:val="clear" w:color="auto" w:fill="FFFFFF"/>
        </w:rPr>
        <w:t xml:space="preserve">all else, </w:t>
      </w:r>
      <w:r>
        <w:rPr>
          <w:shd w:val="clear" w:color="auto" w:fill="FFFFFF"/>
        </w:rPr>
        <w:t>parties</w:t>
      </w:r>
      <w:r w:rsidRPr="001D6EE0">
        <w:rPr>
          <w:shd w:val="clear" w:color="auto" w:fill="FFFFFF"/>
        </w:rPr>
        <w:t xml:space="preserve"> </w:t>
      </w:r>
      <w:r>
        <w:rPr>
          <w:shd w:val="clear" w:color="auto" w:fill="FFFFFF"/>
        </w:rPr>
        <w:t>had</w:t>
      </w:r>
      <w:r w:rsidRPr="001D6EE0">
        <w:rPr>
          <w:shd w:val="clear" w:color="auto" w:fill="FFFFFF"/>
        </w:rPr>
        <w:t xml:space="preserve"> to agree on the rules to implement the Paris Agreement, table robust NDCs and continue to build climate ambition.</w:t>
      </w:r>
    </w:p>
    <w:p w14:paraId="6F6D9F33" w14:textId="3B6622CC" w:rsidR="000D4B6F" w:rsidRPr="00351245" w:rsidRDefault="000D4B6F" w:rsidP="00351245">
      <w:pPr>
        <w:pStyle w:val="BodyText"/>
        <w:rPr>
          <w:lang w:val="en-US"/>
        </w:rPr>
      </w:pPr>
      <w:r w:rsidRPr="00366744">
        <w:rPr>
          <w:lang w:val="en-US"/>
        </w:rPr>
        <w:t xml:space="preserve">The recent NDC Synthesis Report produced by the UNFCCC Secretariat, reflecting the combined impact of national climate action plans, showed that levels of climate ambition were very far from putting nations on a pathway that would meet the goals of the Paris Agreement to limit global temperatures to 1.5 °C by the end of the century. At that rate, nations would achieve only less than a 1 % reduction in emissions by 2030 compared to 2010 levels. The </w:t>
      </w:r>
      <w:r w:rsidRPr="00351245">
        <w:rPr>
          <w:lang w:val="en-US"/>
        </w:rPr>
        <w:t xml:space="preserve">IPCC called for that reduction to be 45 % lower. The UNFCCC was encouraged by announcements of long-term decarbonization and carbon neutrality plans such as those by Korea, Japan, China, the </w:t>
      </w:r>
      <w:r w:rsidR="00124DCE">
        <w:rPr>
          <w:lang w:val="en-US"/>
        </w:rPr>
        <w:t>United Kingdom</w:t>
      </w:r>
      <w:r w:rsidRPr="00351245">
        <w:rPr>
          <w:lang w:val="en-US"/>
        </w:rPr>
        <w:t xml:space="preserve"> and the </w:t>
      </w:r>
      <w:r w:rsidR="00351245">
        <w:rPr>
          <w:lang w:val="en-US"/>
        </w:rPr>
        <w:t>European</w:t>
      </w:r>
      <w:r w:rsidR="00025E1C">
        <w:rPr>
          <w:lang w:val="en-US"/>
        </w:rPr>
        <w:t> Union</w:t>
      </w:r>
      <w:r w:rsidRPr="00351245">
        <w:rPr>
          <w:lang w:val="en-US"/>
        </w:rPr>
        <w:t xml:space="preserve">. They were also encouraged by the </w:t>
      </w:r>
      <w:r w:rsidR="00124DCE">
        <w:rPr>
          <w:lang w:val="en-US"/>
        </w:rPr>
        <w:t>United</w:t>
      </w:r>
      <w:r w:rsidR="00025E1C">
        <w:rPr>
          <w:lang w:val="en-US"/>
        </w:rPr>
        <w:t> States</w:t>
      </w:r>
      <w:r w:rsidRPr="00351245">
        <w:rPr>
          <w:lang w:val="en-US"/>
        </w:rPr>
        <w:t xml:space="preserve"> rejoining the Paris Agreement. However, the NDC Report was still a red alert for the planet. Major emitters had to step up with much more ambitious emissions reductions targets well before the Conference in Glasgow.</w:t>
      </w:r>
    </w:p>
    <w:p w14:paraId="5B816122" w14:textId="36E5236D" w:rsidR="000D4B6F" w:rsidRPr="00884659" w:rsidRDefault="009D3004" w:rsidP="000D4B6F">
      <w:pPr>
        <w:pStyle w:val="BodyText"/>
        <w:rPr>
          <w:rFonts w:eastAsia="Times New Roman"/>
          <w:szCs w:val="18"/>
          <w:lang w:val="en-US"/>
        </w:rPr>
      </w:pPr>
      <w:r>
        <w:rPr>
          <w:lang w:val="en-US"/>
        </w:rPr>
        <w:t>CoP26</w:t>
      </w:r>
      <w:r w:rsidR="000D4B6F" w:rsidRPr="00884659">
        <w:rPr>
          <w:lang w:val="en-US"/>
        </w:rPr>
        <w:t xml:space="preserve"> </w:t>
      </w:r>
      <w:r w:rsidR="000D4B6F">
        <w:rPr>
          <w:lang w:val="en-US"/>
        </w:rPr>
        <w:t>would</w:t>
      </w:r>
      <w:r w:rsidR="000D4B6F" w:rsidRPr="00884659">
        <w:rPr>
          <w:lang w:val="en-US"/>
        </w:rPr>
        <w:t xml:space="preserve"> have a very heavy agenda </w:t>
      </w:r>
      <w:r w:rsidR="00124DCE">
        <w:rPr>
          <w:lang w:val="en-US"/>
        </w:rPr>
        <w:t>as it</w:t>
      </w:r>
      <w:r w:rsidR="000D4B6F" w:rsidRPr="00884659">
        <w:rPr>
          <w:lang w:val="en-US"/>
        </w:rPr>
        <w:t xml:space="preserve"> </w:t>
      </w:r>
      <w:r w:rsidR="000D4B6F">
        <w:rPr>
          <w:lang w:val="en-US"/>
        </w:rPr>
        <w:t>would</w:t>
      </w:r>
      <w:r w:rsidR="000D4B6F" w:rsidRPr="00884659">
        <w:rPr>
          <w:lang w:val="en-US"/>
        </w:rPr>
        <w:t xml:space="preserve"> have to address </w:t>
      </w:r>
      <w:r w:rsidR="00124DCE">
        <w:rPr>
          <w:lang w:val="en-US"/>
        </w:rPr>
        <w:t xml:space="preserve">both </w:t>
      </w:r>
      <w:r w:rsidR="000D4B6F" w:rsidRPr="00884659">
        <w:rPr>
          <w:lang w:val="en-US"/>
        </w:rPr>
        <w:t xml:space="preserve">2020 and 2021 mandates as well as outstanding work from the Chile/Madrid conference in 2019. </w:t>
      </w:r>
      <w:r w:rsidR="000D4B6F">
        <w:rPr>
          <w:lang w:val="en-US"/>
        </w:rPr>
        <w:t>That included</w:t>
      </w:r>
      <w:r w:rsidR="000D4B6F" w:rsidRPr="00884659">
        <w:rPr>
          <w:lang w:val="en-US"/>
        </w:rPr>
        <w:t xml:space="preserve">: </w:t>
      </w:r>
      <w:r w:rsidR="000D4B6F">
        <w:rPr>
          <w:rFonts w:eastAsia="Times New Roman"/>
          <w:szCs w:val="18"/>
          <w:lang w:val="en-US"/>
        </w:rPr>
        <w:t>c</w:t>
      </w:r>
      <w:r w:rsidR="000D4B6F" w:rsidRPr="00884659">
        <w:rPr>
          <w:rFonts w:eastAsia="Times New Roman"/>
          <w:szCs w:val="18"/>
          <w:lang w:val="en-US"/>
        </w:rPr>
        <w:t xml:space="preserve">ompleting the </w:t>
      </w:r>
      <w:r w:rsidR="000D4B6F">
        <w:rPr>
          <w:rFonts w:eastAsia="Times New Roman"/>
          <w:szCs w:val="18"/>
          <w:lang w:val="en-US"/>
        </w:rPr>
        <w:t>Paris Agreement</w:t>
      </w:r>
      <w:r w:rsidR="000D4B6F" w:rsidRPr="00884659">
        <w:rPr>
          <w:rFonts w:eastAsia="Times New Roman"/>
          <w:szCs w:val="18"/>
          <w:lang w:val="en-US"/>
        </w:rPr>
        <w:t xml:space="preserve"> rulebook; </w:t>
      </w:r>
      <w:r w:rsidR="000D4B6F">
        <w:rPr>
          <w:rFonts w:eastAsia="Times New Roman"/>
          <w:szCs w:val="18"/>
          <w:lang w:val="en-US"/>
        </w:rPr>
        <w:t>c</w:t>
      </w:r>
      <w:r w:rsidR="000D4B6F" w:rsidRPr="00884659">
        <w:rPr>
          <w:rFonts w:eastAsia="Times New Roman"/>
          <w:szCs w:val="18"/>
          <w:lang w:val="en-US"/>
        </w:rPr>
        <w:t xml:space="preserve">onducting several reviews including the review of the Financial Mechanism, the Adaptation Fund, the Adaptation Committee, the </w:t>
      </w:r>
      <w:r w:rsidR="000D4B6F" w:rsidRPr="00366744">
        <w:rPr>
          <w:rFonts w:eastAsia="Times New Roman"/>
          <w:szCs w:val="18"/>
          <w:lang w:val="en-US"/>
        </w:rPr>
        <w:t>Standing Committee on Finance</w:t>
      </w:r>
      <w:r w:rsidR="000D4B6F" w:rsidRPr="00884659">
        <w:rPr>
          <w:rFonts w:eastAsia="Times New Roman"/>
          <w:szCs w:val="18"/>
          <w:lang w:val="en-US"/>
        </w:rPr>
        <w:t xml:space="preserve">, the </w:t>
      </w:r>
      <w:r w:rsidR="000D4B6F" w:rsidRPr="00366744">
        <w:rPr>
          <w:rFonts w:eastAsia="Times New Roman"/>
          <w:szCs w:val="18"/>
          <w:lang w:val="en-US"/>
        </w:rPr>
        <w:t>Climate Technology Centre and Network</w:t>
      </w:r>
      <w:r w:rsidR="000D4B6F" w:rsidRPr="00884659">
        <w:rPr>
          <w:rFonts w:eastAsia="Times New Roman"/>
          <w:szCs w:val="18"/>
          <w:lang w:val="en-US"/>
        </w:rPr>
        <w:t xml:space="preserve"> and the second periodic review of the long-</w:t>
      </w:r>
      <w:r w:rsidR="000D4B6F" w:rsidRPr="00884659">
        <w:rPr>
          <w:rFonts w:eastAsia="Times New Roman"/>
          <w:szCs w:val="18"/>
          <w:lang w:val="en-US"/>
        </w:rPr>
        <w:lastRenderedPageBreak/>
        <w:t>term goal;</w:t>
      </w:r>
      <w:r w:rsidR="000D4B6F">
        <w:rPr>
          <w:rFonts w:eastAsia="Times New Roman"/>
          <w:szCs w:val="18"/>
          <w:lang w:val="en-US"/>
        </w:rPr>
        <w:t xml:space="preserve"> and c</w:t>
      </w:r>
      <w:r w:rsidR="000D4B6F" w:rsidRPr="00884659">
        <w:rPr>
          <w:rFonts w:eastAsia="Times New Roman"/>
          <w:szCs w:val="18"/>
          <w:lang w:val="en-US"/>
        </w:rPr>
        <w:t>oncluding the enhanced transparency framework and</w:t>
      </w:r>
      <w:r w:rsidR="000D4B6F">
        <w:rPr>
          <w:rFonts w:eastAsia="Times New Roman"/>
          <w:szCs w:val="18"/>
          <w:lang w:val="en-US"/>
        </w:rPr>
        <w:t xml:space="preserve"> the operationalization of</w:t>
      </w:r>
      <w:r w:rsidR="000D4B6F" w:rsidRPr="00884659">
        <w:rPr>
          <w:rFonts w:eastAsia="Times New Roman"/>
          <w:szCs w:val="18"/>
          <w:lang w:val="en-US"/>
        </w:rPr>
        <w:t xml:space="preserve"> Art</w:t>
      </w:r>
      <w:r w:rsidR="000D4B6F">
        <w:rPr>
          <w:rFonts w:eastAsia="Times New Roman"/>
          <w:szCs w:val="18"/>
          <w:lang w:val="en-US"/>
        </w:rPr>
        <w:t>icle</w:t>
      </w:r>
      <w:r w:rsidR="00025E1C">
        <w:rPr>
          <w:rFonts w:eastAsia="Times New Roman"/>
          <w:szCs w:val="18"/>
          <w:lang w:val="en-US"/>
        </w:rPr>
        <w:t> </w:t>
      </w:r>
      <w:r w:rsidR="000D4B6F" w:rsidRPr="00884659">
        <w:rPr>
          <w:rFonts w:eastAsia="Times New Roman"/>
          <w:szCs w:val="18"/>
          <w:lang w:val="en-US"/>
        </w:rPr>
        <w:t>6</w:t>
      </w:r>
      <w:r w:rsidR="000D4B6F">
        <w:rPr>
          <w:rFonts w:eastAsia="Times New Roman"/>
          <w:szCs w:val="18"/>
          <w:lang w:val="en-US"/>
        </w:rPr>
        <w:t xml:space="preserve"> (market</w:t>
      </w:r>
      <w:r w:rsidR="000D4B6F" w:rsidRPr="00C553EC">
        <w:rPr>
          <w:rFonts w:eastAsia="Times New Roman"/>
          <w:szCs w:val="18"/>
          <w:lang w:val="en-US"/>
        </w:rPr>
        <w:t xml:space="preserve"> </w:t>
      </w:r>
      <w:r w:rsidR="000D4B6F" w:rsidRPr="00366744">
        <w:rPr>
          <w:rFonts w:eastAsia="Times New Roman"/>
          <w:szCs w:val="18"/>
          <w:lang w:val="en-US"/>
        </w:rPr>
        <w:t>and non-market based approaches</w:t>
      </w:r>
      <w:r w:rsidR="000D4B6F">
        <w:rPr>
          <w:rFonts w:eastAsia="Times New Roman"/>
          <w:szCs w:val="18"/>
          <w:lang w:val="en-US"/>
        </w:rPr>
        <w:t>).</w:t>
      </w:r>
    </w:p>
    <w:p w14:paraId="0D784E10" w14:textId="152AF99D" w:rsidR="000D4B6F" w:rsidRPr="001F1805" w:rsidRDefault="000D4B6F" w:rsidP="000D4B6F">
      <w:pPr>
        <w:pStyle w:val="BodyText"/>
        <w:rPr>
          <w:iCs/>
          <w:lang w:val="en-IE"/>
        </w:rPr>
      </w:pPr>
      <w:r w:rsidRPr="001F1805">
        <w:rPr>
          <w:lang w:val="en-US"/>
        </w:rPr>
        <w:t>Article</w:t>
      </w:r>
      <w:r w:rsidR="00025E1C">
        <w:rPr>
          <w:lang w:val="en-US"/>
        </w:rPr>
        <w:t> </w:t>
      </w:r>
      <w:r w:rsidRPr="001F1805">
        <w:rPr>
          <w:lang w:val="en-US"/>
        </w:rPr>
        <w:t xml:space="preserve">6 negotiations would require parties to agree on how international carbon markets would work. It represented, </w:t>
      </w:r>
      <w:r w:rsidRPr="001F1805">
        <w:rPr>
          <w:iCs/>
          <w:lang w:val="en-IE"/>
        </w:rPr>
        <w:t>more generally, the world</w:t>
      </w:r>
      <w:r w:rsidR="00124DCE">
        <w:rPr>
          <w:iCs/>
          <w:lang w:val="en-IE"/>
        </w:rPr>
        <w:t>'</w:t>
      </w:r>
      <w:r w:rsidRPr="001F1805">
        <w:rPr>
          <w:iCs/>
          <w:lang w:val="en-IE"/>
        </w:rPr>
        <w:t xml:space="preserve">s </w:t>
      </w:r>
      <w:r w:rsidR="00124DCE">
        <w:rPr>
          <w:iCs/>
          <w:lang w:val="en-IE"/>
        </w:rPr>
        <w:t>"</w:t>
      </w:r>
      <w:r w:rsidRPr="001F1805">
        <w:rPr>
          <w:iCs/>
          <w:lang w:val="en-IE"/>
        </w:rPr>
        <w:t>toolbox</w:t>
      </w:r>
      <w:r w:rsidR="00124DCE">
        <w:rPr>
          <w:iCs/>
          <w:lang w:val="en-IE"/>
        </w:rPr>
        <w:t>"</w:t>
      </w:r>
      <w:r w:rsidRPr="001F1805">
        <w:rPr>
          <w:iCs/>
          <w:lang w:val="en-IE"/>
        </w:rPr>
        <w:t xml:space="preserve"> for addressing climate change. Operationalizing Article</w:t>
      </w:r>
      <w:r w:rsidR="00025E1C">
        <w:rPr>
          <w:iCs/>
          <w:lang w:val="en-IE"/>
        </w:rPr>
        <w:t> </w:t>
      </w:r>
      <w:r w:rsidRPr="001F1805">
        <w:rPr>
          <w:iCs/>
          <w:lang w:val="en-IE"/>
        </w:rPr>
        <w:t xml:space="preserve">6 would help get those markets operating in a way that </w:t>
      </w:r>
      <w:r w:rsidRPr="001F1805">
        <w:rPr>
          <w:lang w:val="en-US"/>
        </w:rPr>
        <w:t>made</w:t>
      </w:r>
      <w:r w:rsidRPr="001F1805">
        <w:rPr>
          <w:iCs/>
          <w:lang w:val="en-IE"/>
        </w:rPr>
        <w:t xml:space="preserve"> sure all nations and businesses used them and that the rules were the same for everyone. </w:t>
      </w:r>
      <w:bookmarkStart w:id="40" w:name="_Hlk24103122"/>
      <w:r w:rsidRPr="001F1805">
        <w:rPr>
          <w:iCs/>
          <w:lang w:val="en-IE"/>
        </w:rPr>
        <w:t xml:space="preserve">It would also bring opportunities related to both mitigation and adaptation, as well as helping address sustainable development </w:t>
      </w:r>
      <w:r>
        <w:rPr>
          <w:iCs/>
          <w:lang w:val="en-IE"/>
        </w:rPr>
        <w:t>holistically</w:t>
      </w:r>
      <w:r w:rsidRPr="001F1805">
        <w:rPr>
          <w:iCs/>
          <w:lang w:val="en-IE"/>
        </w:rPr>
        <w:t xml:space="preserve">. </w:t>
      </w:r>
      <w:bookmarkEnd w:id="40"/>
      <w:r w:rsidRPr="001F1805">
        <w:rPr>
          <w:iCs/>
          <w:lang w:val="en-IE"/>
        </w:rPr>
        <w:t>Failure to operationalize Article</w:t>
      </w:r>
      <w:r w:rsidR="00025E1C">
        <w:rPr>
          <w:iCs/>
          <w:lang w:val="en-IE"/>
        </w:rPr>
        <w:t> </w:t>
      </w:r>
      <w:r w:rsidRPr="001F1805">
        <w:rPr>
          <w:iCs/>
          <w:lang w:val="en-IE"/>
        </w:rPr>
        <w:t>6 risk</w:t>
      </w:r>
      <w:r>
        <w:rPr>
          <w:iCs/>
          <w:lang w:val="en-IE"/>
        </w:rPr>
        <w:t>ed</w:t>
      </w:r>
      <w:r w:rsidRPr="001F1805">
        <w:rPr>
          <w:iCs/>
          <w:lang w:val="en-IE"/>
        </w:rPr>
        <w:t xml:space="preserve"> fragmenting the carbon market action to address climate change—especially by the private sector. </w:t>
      </w:r>
      <w:r>
        <w:rPr>
          <w:iCs/>
          <w:lang w:val="en-IE"/>
        </w:rPr>
        <w:t>It represented</w:t>
      </w:r>
      <w:r w:rsidRPr="001F1805">
        <w:rPr>
          <w:iCs/>
          <w:lang w:val="en-IE"/>
        </w:rPr>
        <w:t xml:space="preserve"> a great challenge, but a resolution </w:t>
      </w:r>
      <w:r>
        <w:rPr>
          <w:iCs/>
          <w:lang w:val="en-IE"/>
        </w:rPr>
        <w:t>was</w:t>
      </w:r>
      <w:r w:rsidRPr="001F1805">
        <w:rPr>
          <w:iCs/>
          <w:lang w:val="en-IE"/>
        </w:rPr>
        <w:t xml:space="preserve"> within reach. </w:t>
      </w:r>
    </w:p>
    <w:p w14:paraId="5B578730" w14:textId="3CF4F894" w:rsidR="000D4B6F" w:rsidRDefault="000D4B6F" w:rsidP="000D4B6F">
      <w:pPr>
        <w:pStyle w:val="BodyText"/>
        <w:rPr>
          <w:lang w:val="en-US"/>
        </w:rPr>
      </w:pPr>
      <w:r w:rsidRPr="001F1805">
        <w:rPr>
          <w:lang w:val="en-US"/>
        </w:rPr>
        <w:t>Parties also had to make progress towards the global goal on adaptation, continuing to formulate and implement National Adaptation Plans</w:t>
      </w:r>
      <w:r>
        <w:rPr>
          <w:lang w:val="en-US"/>
        </w:rPr>
        <w:t xml:space="preserve"> (NAPs)</w:t>
      </w:r>
      <w:r w:rsidRPr="001F1805">
        <w:rPr>
          <w:lang w:val="en-US"/>
        </w:rPr>
        <w:t>, and ensuring that vulnerable countries were supported in addressing loss and damage due to climate change. Trust had to continue to be built among parties</w:t>
      </w:r>
      <w:r w:rsidR="0035369C">
        <w:rPr>
          <w:lang w:val="en-US"/>
        </w:rPr>
        <w:t>,</w:t>
      </w:r>
      <w:r w:rsidRPr="001F1805">
        <w:rPr>
          <w:lang w:val="en-US"/>
        </w:rPr>
        <w:t xml:space="preserve"> which meant hono</w:t>
      </w:r>
      <w:r w:rsidR="00025E1C">
        <w:rPr>
          <w:lang w:val="en-US"/>
        </w:rPr>
        <w:t>uring</w:t>
      </w:r>
      <w:r w:rsidRPr="001F1805">
        <w:rPr>
          <w:lang w:val="en-US"/>
        </w:rPr>
        <w:t xml:space="preserve"> past commitments. Developed countries should have, by 2020, jointly mobilized USD 100 billion annually of public and private sources and through multilateral and bilateral channels as agreed to in Cancun. That commitment had not yet been met which had resulted in a significant lack of trust amongst Parties. </w:t>
      </w:r>
    </w:p>
    <w:p w14:paraId="47EA324D" w14:textId="0A1AB9EA" w:rsidR="000D4B6F" w:rsidRPr="00556C68" w:rsidRDefault="009D3004" w:rsidP="000D4B6F">
      <w:pPr>
        <w:pStyle w:val="BodyText"/>
        <w:rPr>
          <w:lang w:val="en-US"/>
        </w:rPr>
      </w:pPr>
      <w:r>
        <w:rPr>
          <w:lang w:val="en-US"/>
        </w:rPr>
        <w:t>CoP26</w:t>
      </w:r>
      <w:r w:rsidR="000D4B6F" w:rsidRPr="00556C68">
        <w:rPr>
          <w:lang w:val="en-US"/>
        </w:rPr>
        <w:t xml:space="preserve"> therefore was important to get back on track. Governments would take decisions that would determine the future of all people and the planet. In Glasgow Parties had to: </w:t>
      </w:r>
      <w:r w:rsidR="00025E1C">
        <w:rPr>
          <w:lang w:val="en-US"/>
        </w:rPr>
        <w:t>fulfil</w:t>
      </w:r>
      <w:r w:rsidR="000D4B6F" w:rsidRPr="00556C68">
        <w:rPr>
          <w:lang w:val="en-US"/>
        </w:rPr>
        <w:t xml:space="preserve"> promises previously made – especially on NDCs and finance; wrap up outstanding negotiation items; raise ambitions in mitigation, adaptation and finance; and bring State and non-State voices together to continue building climate ambition.</w:t>
      </w:r>
      <w:r w:rsidR="000D4B6F">
        <w:rPr>
          <w:lang w:val="en-US"/>
        </w:rPr>
        <w:t xml:space="preserve"> </w:t>
      </w:r>
      <w:r w:rsidR="000D4B6F" w:rsidRPr="00556C68">
        <w:rPr>
          <w:rFonts w:eastAsia="Times New Roman"/>
          <w:szCs w:val="18"/>
          <w:lang w:val="en-US"/>
        </w:rPr>
        <w:t xml:space="preserve">If the Paris Agreement </w:t>
      </w:r>
      <w:r w:rsidR="000D4B6F">
        <w:rPr>
          <w:rFonts w:eastAsia="Times New Roman"/>
          <w:szCs w:val="18"/>
          <w:lang w:val="en-US"/>
        </w:rPr>
        <w:t>was</w:t>
      </w:r>
      <w:r w:rsidR="000D4B6F" w:rsidRPr="00556C68">
        <w:rPr>
          <w:rFonts w:eastAsia="Times New Roman"/>
          <w:szCs w:val="18"/>
          <w:lang w:val="en-US"/>
        </w:rPr>
        <w:t xml:space="preserve"> a </w:t>
      </w:r>
      <w:r w:rsidR="00124DCE">
        <w:rPr>
          <w:rFonts w:eastAsia="Times New Roman"/>
          <w:szCs w:val="18"/>
          <w:lang w:val="en-US"/>
        </w:rPr>
        <w:t>c</w:t>
      </w:r>
      <w:r w:rsidR="000D4B6F" w:rsidRPr="00556C68">
        <w:rPr>
          <w:rFonts w:eastAsia="Times New Roman"/>
          <w:szCs w:val="18"/>
          <w:lang w:val="en-US"/>
        </w:rPr>
        <w:t xml:space="preserve">ovenant of hope with the people of the world, it </w:t>
      </w:r>
      <w:r w:rsidR="000D4B6F">
        <w:rPr>
          <w:rFonts w:eastAsia="Times New Roman"/>
          <w:szCs w:val="18"/>
          <w:lang w:val="en-US"/>
        </w:rPr>
        <w:t>had to</w:t>
      </w:r>
      <w:r w:rsidR="000D4B6F" w:rsidRPr="00556C68">
        <w:rPr>
          <w:rFonts w:eastAsia="Times New Roman"/>
          <w:szCs w:val="18"/>
          <w:lang w:val="en-US"/>
        </w:rPr>
        <w:t xml:space="preserve"> be representative of them as well</w:t>
      </w:r>
      <w:r w:rsidR="000D4B6F">
        <w:rPr>
          <w:rFonts w:eastAsia="Times New Roman"/>
          <w:szCs w:val="18"/>
          <w:lang w:val="en-US"/>
        </w:rPr>
        <w:t>,</w:t>
      </w:r>
      <w:r w:rsidR="000D4B6F" w:rsidRPr="00556C68">
        <w:rPr>
          <w:rFonts w:eastAsia="Times New Roman"/>
          <w:szCs w:val="18"/>
          <w:lang w:val="en-US"/>
        </w:rPr>
        <w:t xml:space="preserve"> and bring together regional and local governments, cities and communities, businesses, investors and </w:t>
      </w:r>
      <w:r w:rsidR="000D4B6F">
        <w:rPr>
          <w:rFonts w:eastAsia="Times New Roman"/>
          <w:szCs w:val="18"/>
          <w:lang w:val="en-US"/>
        </w:rPr>
        <w:t>others</w:t>
      </w:r>
      <w:r w:rsidR="000D4B6F" w:rsidRPr="00556C68">
        <w:rPr>
          <w:rFonts w:eastAsia="Times New Roman"/>
          <w:szCs w:val="18"/>
          <w:lang w:val="en-US"/>
        </w:rPr>
        <w:t xml:space="preserve">. The Action for Climate Empowerment </w:t>
      </w:r>
      <w:r w:rsidR="000D4B6F">
        <w:rPr>
          <w:rFonts w:eastAsia="Times New Roman"/>
          <w:szCs w:val="18"/>
          <w:lang w:val="en-US"/>
        </w:rPr>
        <w:t>was</w:t>
      </w:r>
      <w:r w:rsidR="000D4B6F" w:rsidRPr="00556C68">
        <w:rPr>
          <w:rFonts w:eastAsia="Times New Roman"/>
          <w:szCs w:val="18"/>
          <w:lang w:val="en-US"/>
        </w:rPr>
        <w:t xml:space="preserve"> targeted towards encouraging all members of society to engage in climate action.</w:t>
      </w:r>
    </w:p>
    <w:p w14:paraId="7E988318" w14:textId="1EB55A0B" w:rsidR="000D4B6F" w:rsidRPr="00556C68" w:rsidRDefault="000D4B6F" w:rsidP="000D4B6F">
      <w:pPr>
        <w:pStyle w:val="BodyText"/>
        <w:rPr>
          <w:lang w:val="en-US"/>
        </w:rPr>
      </w:pPr>
      <w:r w:rsidRPr="00556C68">
        <w:rPr>
          <w:lang w:val="en-US"/>
        </w:rPr>
        <w:t xml:space="preserve">Success at </w:t>
      </w:r>
      <w:r w:rsidR="009D3004">
        <w:rPr>
          <w:lang w:val="en-US"/>
        </w:rPr>
        <w:t>CoP26</w:t>
      </w:r>
      <w:r w:rsidRPr="00556C68">
        <w:rPr>
          <w:lang w:val="en-US"/>
        </w:rPr>
        <w:t xml:space="preserve"> had to be achieved, which meant a balanced package of decisions and actions that reflected the expectations, concerns and needs of all stakeholders in multiple areas – all set against a backdrop of ambition. It was also an unprecedented opportunity and a rare moment in time that could not be lost, as nations built forward from the COVID-19 pandemic to structure resilient, sustainable, green post-recovery economies. </w:t>
      </w:r>
      <w:r>
        <w:rPr>
          <w:lang w:val="en-US"/>
        </w:rPr>
        <w:t>Finally, the representative und</w:t>
      </w:r>
      <w:r w:rsidRPr="00556C68">
        <w:rPr>
          <w:lang w:val="en-US"/>
        </w:rPr>
        <w:t>erline</w:t>
      </w:r>
      <w:r>
        <w:rPr>
          <w:lang w:val="en-US"/>
        </w:rPr>
        <w:t>d</w:t>
      </w:r>
      <w:r w:rsidRPr="00556C68">
        <w:rPr>
          <w:lang w:val="en-US"/>
        </w:rPr>
        <w:t xml:space="preserve"> </w:t>
      </w:r>
      <w:r>
        <w:rPr>
          <w:lang w:val="en-US"/>
        </w:rPr>
        <w:t>the</w:t>
      </w:r>
      <w:r w:rsidRPr="00556C68">
        <w:rPr>
          <w:lang w:val="en-US"/>
        </w:rPr>
        <w:t xml:space="preserve"> excellent collaboration with the UK incoming Presidency on all aspects related to </w:t>
      </w:r>
      <w:r w:rsidR="009D3004">
        <w:rPr>
          <w:lang w:val="en-US"/>
        </w:rPr>
        <w:t>CoP26</w:t>
      </w:r>
      <w:r w:rsidRPr="00556C68">
        <w:rPr>
          <w:lang w:val="en-US"/>
        </w:rPr>
        <w:t xml:space="preserve"> and all efforts that </w:t>
      </w:r>
      <w:r>
        <w:rPr>
          <w:lang w:val="en-US"/>
        </w:rPr>
        <w:t>were</w:t>
      </w:r>
      <w:r w:rsidRPr="00556C68">
        <w:rPr>
          <w:lang w:val="en-US"/>
        </w:rPr>
        <w:t xml:space="preserve"> made to make </w:t>
      </w:r>
      <w:r w:rsidR="009D3004">
        <w:rPr>
          <w:lang w:val="en-US"/>
        </w:rPr>
        <w:t>CoP26</w:t>
      </w:r>
      <w:r w:rsidRPr="00556C68">
        <w:rPr>
          <w:lang w:val="en-US"/>
        </w:rPr>
        <w:t xml:space="preserve"> a success for the whole world.</w:t>
      </w:r>
    </w:p>
    <w:p w14:paraId="3BEA28BB" w14:textId="046F34A6" w:rsidR="000D4B6F" w:rsidRPr="004A4FB4" w:rsidRDefault="000D4B6F" w:rsidP="000D4B6F">
      <w:pPr>
        <w:pStyle w:val="BodyText"/>
        <w:rPr>
          <w:szCs w:val="18"/>
        </w:rPr>
      </w:pPr>
      <w:r w:rsidRPr="004A4FB4">
        <w:t xml:space="preserve">The representative of the </w:t>
      </w:r>
      <w:r w:rsidRPr="004A4FB4">
        <w:rPr>
          <w:szCs w:val="18"/>
          <w:u w:val="single"/>
        </w:rPr>
        <w:t>Pacific's Islands Forum</w:t>
      </w:r>
      <w:r w:rsidRPr="004A4FB4">
        <w:rPr>
          <w:b/>
          <w:bCs/>
          <w:szCs w:val="18"/>
        </w:rPr>
        <w:t xml:space="preserve"> </w:t>
      </w:r>
      <w:r w:rsidRPr="004A4FB4">
        <w:rPr>
          <w:szCs w:val="18"/>
        </w:rPr>
        <w:t>stressed the vital imperative from the Pacific perspective of addressing Climate Change in the WTO. Pacific economies and trade were severely impacted by Climate Change: climate-related natural disasters regularly and very significantly disrupted their development and trade;</w:t>
      </w:r>
      <w:r w:rsidR="0035369C" w:rsidRPr="004A4FB4">
        <w:rPr>
          <w:szCs w:val="18"/>
        </w:rPr>
        <w:t xml:space="preserve"> </w:t>
      </w:r>
      <w:r w:rsidRPr="004A4FB4">
        <w:rPr>
          <w:szCs w:val="18"/>
        </w:rPr>
        <w:t>they suffered from a gradual loss of natural resources, and loss of livelihoods and development potential, due to sea level rises; and ocean acidification affected their fish stocks. Those impacts on pacific islands trade and development had to be better understood.</w:t>
      </w:r>
    </w:p>
    <w:p w14:paraId="21294EE6" w14:textId="77777777" w:rsidR="000D4B6F" w:rsidRPr="004A4FB4" w:rsidRDefault="000D4B6F" w:rsidP="000D4B6F">
      <w:pPr>
        <w:pStyle w:val="BodyText"/>
        <w:rPr>
          <w:szCs w:val="18"/>
        </w:rPr>
      </w:pPr>
      <w:r w:rsidRPr="004A4FB4">
        <w:rPr>
          <w:szCs w:val="18"/>
        </w:rPr>
        <w:t xml:space="preserve">Pacific islands own emissions were low or even negligible by international standards, although they were making efforts, as far as limited resources allowed, to mitigate and adapt. However, years of hard-won development progress, including through trade, risked being reversed by climate change. International cooperation was required not only to address climate change itself, but also to address the particular challenges faced by the Pacific and similar Small Island Developing States and Small and Vulnerable Economies in adapting their economies and trade to a climate affected world. </w:t>
      </w:r>
    </w:p>
    <w:p w14:paraId="48C4938A" w14:textId="38F614E2" w:rsidR="000D4B6F" w:rsidRDefault="000D4B6F" w:rsidP="000D4B6F">
      <w:pPr>
        <w:pStyle w:val="BodyText"/>
        <w:rPr>
          <w:szCs w:val="18"/>
        </w:rPr>
      </w:pPr>
      <w:r w:rsidRPr="004A4FB4">
        <w:rPr>
          <w:szCs w:val="18"/>
        </w:rPr>
        <w:t xml:space="preserve">Pacific islands hoped that Green Aid for Trade would play a significant role in their mitigation and adaptation strategies, which would require investment and technical assistance to build climate-resilient trade and trade infrastructure, and greener and more diversified economies. The Pacific islands would actively follow relevant work in the CTE and elsewhere in the WTO leading up to MC12 which would take place very shortly after </w:t>
      </w:r>
      <w:r w:rsidR="009D3004">
        <w:rPr>
          <w:szCs w:val="18"/>
        </w:rPr>
        <w:t>CoP26</w:t>
      </w:r>
      <w:r w:rsidRPr="004A4FB4">
        <w:rPr>
          <w:szCs w:val="18"/>
        </w:rPr>
        <w:t>. The outcomes should be coherent, mutually supportive, and as action oriented as possible.</w:t>
      </w:r>
    </w:p>
    <w:p w14:paraId="0D75CA99" w14:textId="1C289292" w:rsidR="00BC1A49" w:rsidRPr="004A4FB4" w:rsidRDefault="00BC1A49" w:rsidP="00BC1A49">
      <w:pPr>
        <w:pStyle w:val="Heading4"/>
      </w:pPr>
      <w:bookmarkStart w:id="41" w:name="_Toc74660671"/>
      <w:r w:rsidRPr="00BC1A49">
        <w:lastRenderedPageBreak/>
        <w:t>United Kingdom</w:t>
      </w:r>
      <w:r>
        <w:t>'s</w:t>
      </w:r>
      <w:r w:rsidRPr="00BC1A49">
        <w:t xml:space="preserve"> update on the 26th session of </w:t>
      </w:r>
      <w:r w:rsidR="009D3004">
        <w:t>CoP26</w:t>
      </w:r>
      <w:bookmarkEnd w:id="41"/>
      <w:r>
        <w:t xml:space="preserve"> </w:t>
      </w:r>
    </w:p>
    <w:p w14:paraId="385CE1A3" w14:textId="17F94C5C" w:rsidR="000D4B6F" w:rsidRPr="00BB5F79" w:rsidRDefault="000D4B6F" w:rsidP="000D4B6F">
      <w:pPr>
        <w:pStyle w:val="BodyText"/>
      </w:pPr>
      <w:r>
        <w:t xml:space="preserve">The representative of the </w:t>
      </w:r>
      <w:r w:rsidRPr="00BB5F79">
        <w:rPr>
          <w:u w:val="single"/>
        </w:rPr>
        <w:t>United Kingdom</w:t>
      </w:r>
      <w:r>
        <w:t xml:space="preserve"> </w:t>
      </w:r>
      <w:r w:rsidRPr="00BB5F79">
        <w:rPr>
          <w:szCs w:val="18"/>
        </w:rPr>
        <w:t>provided</w:t>
      </w:r>
      <w:r>
        <w:t xml:space="preserve"> an update to delegations on </w:t>
      </w:r>
      <w:bookmarkEnd w:id="39"/>
      <w:r>
        <w:t>the</w:t>
      </w:r>
      <w:r w:rsidRPr="00BB5F79">
        <w:rPr>
          <w:szCs w:val="18"/>
        </w:rPr>
        <w:t xml:space="preserve"> planning and logistics for </w:t>
      </w:r>
      <w:r w:rsidR="009D3004">
        <w:rPr>
          <w:szCs w:val="18"/>
        </w:rPr>
        <w:t>CoP26</w:t>
      </w:r>
      <w:r w:rsidRPr="00BB5F79">
        <w:rPr>
          <w:szCs w:val="18"/>
        </w:rPr>
        <w:t xml:space="preserve">, and the calendar of events leading up to the Conference in November. </w:t>
      </w:r>
      <w:r w:rsidRPr="00BB5F79">
        <w:rPr>
          <w:bCs/>
          <w:szCs w:val="18"/>
        </w:rPr>
        <w:t xml:space="preserve">As part of its Presidency, the </w:t>
      </w:r>
      <w:r w:rsidR="00124DCE">
        <w:rPr>
          <w:bCs/>
          <w:szCs w:val="18"/>
        </w:rPr>
        <w:t>United Kingdom</w:t>
      </w:r>
      <w:r w:rsidRPr="00BB5F79">
        <w:rPr>
          <w:bCs/>
          <w:szCs w:val="18"/>
        </w:rPr>
        <w:t xml:space="preserve"> was committed to addressing the connected challenges of climate change and development</w:t>
      </w:r>
      <w:r w:rsidRPr="00BB5F79">
        <w:rPr>
          <w:szCs w:val="18"/>
        </w:rPr>
        <w:t xml:space="preserve">. </w:t>
      </w:r>
    </w:p>
    <w:p w14:paraId="5E48EF26" w14:textId="3DEB0B9A" w:rsidR="000D4B6F" w:rsidRPr="00884659" w:rsidRDefault="000D4B6F" w:rsidP="000D4B6F">
      <w:pPr>
        <w:pStyle w:val="BodyText"/>
      </w:pPr>
      <w:r w:rsidRPr="00BB5F79">
        <w:rPr>
          <w:szCs w:val="18"/>
        </w:rPr>
        <w:t xml:space="preserve">The </w:t>
      </w:r>
      <w:r w:rsidR="00124DCE">
        <w:rPr>
          <w:bCs/>
          <w:szCs w:val="18"/>
        </w:rPr>
        <w:t>United Kingdom</w:t>
      </w:r>
      <w:r w:rsidR="00124DCE" w:rsidRPr="00BB5F79">
        <w:rPr>
          <w:bCs/>
          <w:szCs w:val="18"/>
        </w:rPr>
        <w:t xml:space="preserve"> </w:t>
      </w:r>
      <w:r w:rsidRPr="00BB5F79">
        <w:rPr>
          <w:szCs w:val="18"/>
        </w:rPr>
        <w:t>would host a Climate and Development Ministerial Meeting on 31 March which would convene key countries on the challenges and priorities for implementing the Paris Agreement and Agenda 2030 for Sustainable Development in the most climate vulnerable countries. It would bring together an inclusive group of Foreign and Development Ministers to problem-solve on a series of key issues: access to finance, response to impacts, quantity, quality and composition of climate finance and fiscal space. On the same date, the International Energy Agency-</w:t>
      </w:r>
      <w:r w:rsidR="009D3004">
        <w:rPr>
          <w:szCs w:val="18"/>
        </w:rPr>
        <w:t>CoP26</w:t>
      </w:r>
      <w:r w:rsidRPr="00BB5F79">
        <w:rPr>
          <w:szCs w:val="18"/>
        </w:rPr>
        <w:t xml:space="preserve"> Net Zero Summit would bring together international </w:t>
      </w:r>
      <w:r w:rsidRPr="00BB5F79">
        <w:rPr>
          <w:rFonts w:eastAsia="Times New Roman"/>
          <w:szCs w:val="18"/>
          <w:lang w:eastAsia="en-GB"/>
        </w:rPr>
        <w:t xml:space="preserve">energy and climate leaders from around the globe to accelerate the momentum behind clean energy and examine how countries </w:t>
      </w:r>
      <w:r>
        <w:rPr>
          <w:rFonts w:eastAsia="Times New Roman"/>
          <w:szCs w:val="18"/>
          <w:lang w:eastAsia="en-GB"/>
        </w:rPr>
        <w:t>could</w:t>
      </w:r>
      <w:r w:rsidRPr="00BB5F79">
        <w:rPr>
          <w:rFonts w:eastAsia="Times New Roman"/>
          <w:szCs w:val="18"/>
          <w:lang w:eastAsia="en-GB"/>
        </w:rPr>
        <w:t xml:space="preserve"> work together more effectively to reduce their greenhouse gas emissions to net zero in line with shared international goals. </w:t>
      </w:r>
      <w:r>
        <w:rPr>
          <w:rFonts w:eastAsia="Times New Roman"/>
          <w:szCs w:val="18"/>
          <w:lang w:eastAsia="en-GB"/>
        </w:rPr>
        <w:t>WTO</w:t>
      </w:r>
      <w:r w:rsidRPr="00BB5F79">
        <w:rPr>
          <w:rFonts w:eastAsia="Times New Roman"/>
          <w:szCs w:val="18"/>
          <w:lang w:eastAsia="en-GB"/>
        </w:rPr>
        <w:t xml:space="preserve"> Director</w:t>
      </w:r>
      <w:r w:rsidR="009F1F9A">
        <w:rPr>
          <w:rFonts w:eastAsia="Times New Roman"/>
          <w:szCs w:val="18"/>
          <w:lang w:eastAsia="en-GB"/>
        </w:rPr>
        <w:t>-</w:t>
      </w:r>
      <w:r w:rsidRPr="00BB5F79">
        <w:rPr>
          <w:rFonts w:eastAsia="Times New Roman"/>
          <w:szCs w:val="18"/>
          <w:lang w:eastAsia="en-GB"/>
        </w:rPr>
        <w:t xml:space="preserve">General </w:t>
      </w:r>
      <w:r w:rsidRPr="00BA173E">
        <w:rPr>
          <w:rFonts w:eastAsia="Times New Roman"/>
          <w:szCs w:val="18"/>
          <w:lang w:eastAsia="en-GB"/>
        </w:rPr>
        <w:t xml:space="preserve">Okonjo-Iweala </w:t>
      </w:r>
      <w:r>
        <w:rPr>
          <w:rFonts w:eastAsia="Times New Roman"/>
          <w:szCs w:val="18"/>
          <w:lang w:eastAsia="en-GB"/>
        </w:rPr>
        <w:t>would</w:t>
      </w:r>
      <w:r w:rsidRPr="00BB5F79">
        <w:rPr>
          <w:rFonts w:eastAsia="Times New Roman"/>
          <w:szCs w:val="18"/>
          <w:lang w:eastAsia="en-GB"/>
        </w:rPr>
        <w:t xml:space="preserve"> take part in the opening session.</w:t>
      </w:r>
      <w:r w:rsidR="0035369C" w:rsidRPr="00BB5F79">
        <w:rPr>
          <w:rFonts w:eastAsia="Times New Roman"/>
          <w:szCs w:val="18"/>
          <w:lang w:eastAsia="en-GB"/>
        </w:rPr>
        <w:t xml:space="preserve"> </w:t>
      </w:r>
    </w:p>
    <w:p w14:paraId="2F0B62D7" w14:textId="38C835AD" w:rsidR="000D4B6F" w:rsidRPr="00884659" w:rsidRDefault="000D4B6F" w:rsidP="000D4B6F">
      <w:pPr>
        <w:pStyle w:val="BodyText"/>
      </w:pPr>
      <w:r>
        <w:rPr>
          <w:szCs w:val="18"/>
        </w:rPr>
        <w:t xml:space="preserve">Next, the </w:t>
      </w:r>
      <w:r w:rsidR="00124DCE">
        <w:rPr>
          <w:bCs/>
          <w:szCs w:val="18"/>
        </w:rPr>
        <w:t>United Kingdom</w:t>
      </w:r>
      <w:r w:rsidR="00124DCE" w:rsidRPr="00BB5F79">
        <w:rPr>
          <w:bCs/>
          <w:szCs w:val="18"/>
        </w:rPr>
        <w:t xml:space="preserve"> </w:t>
      </w:r>
      <w:r>
        <w:rPr>
          <w:szCs w:val="18"/>
        </w:rPr>
        <w:t>would work to</w:t>
      </w:r>
      <w:r w:rsidRPr="00884659">
        <w:rPr>
          <w:szCs w:val="18"/>
        </w:rPr>
        <w:t xml:space="preserve"> build and maintain momentum up to </w:t>
      </w:r>
      <w:r w:rsidR="009D3004">
        <w:rPr>
          <w:szCs w:val="18"/>
        </w:rPr>
        <w:t>CoP26</w:t>
      </w:r>
      <w:r w:rsidRPr="00884659">
        <w:rPr>
          <w:szCs w:val="18"/>
        </w:rPr>
        <w:t xml:space="preserve">. </w:t>
      </w:r>
      <w:r w:rsidR="00124DCE">
        <w:rPr>
          <w:szCs w:val="18"/>
        </w:rPr>
        <w:t>United States</w:t>
      </w:r>
      <w:r>
        <w:rPr>
          <w:szCs w:val="18"/>
        </w:rPr>
        <w:t xml:space="preserve"> </w:t>
      </w:r>
      <w:r w:rsidRPr="00884659">
        <w:rPr>
          <w:szCs w:val="18"/>
        </w:rPr>
        <w:t>President Biden</w:t>
      </w:r>
      <w:r w:rsidR="00124DCE">
        <w:rPr>
          <w:szCs w:val="18"/>
        </w:rPr>
        <w:t>'</w:t>
      </w:r>
      <w:r w:rsidRPr="00884659">
        <w:rPr>
          <w:szCs w:val="18"/>
        </w:rPr>
        <w:t xml:space="preserve">s planned Climate Summit on 22 April </w:t>
      </w:r>
      <w:r>
        <w:rPr>
          <w:szCs w:val="18"/>
        </w:rPr>
        <w:t>would</w:t>
      </w:r>
      <w:r w:rsidRPr="00884659">
        <w:rPr>
          <w:szCs w:val="18"/>
        </w:rPr>
        <w:t xml:space="preserve"> be an important part of the calendar for generating leader level commitment to </w:t>
      </w:r>
      <w:r>
        <w:rPr>
          <w:szCs w:val="18"/>
        </w:rPr>
        <w:t>the</w:t>
      </w:r>
      <w:r w:rsidRPr="00884659">
        <w:rPr>
          <w:szCs w:val="18"/>
        </w:rPr>
        <w:t xml:space="preserve"> agenda, along with the UK</w:t>
      </w:r>
      <w:r w:rsidR="0035369C">
        <w:rPr>
          <w:szCs w:val="18"/>
        </w:rPr>
        <w:t>'</w:t>
      </w:r>
      <w:r w:rsidRPr="00884659">
        <w:rPr>
          <w:szCs w:val="18"/>
        </w:rPr>
        <w:t xml:space="preserve">s G7 summit in June. </w:t>
      </w:r>
      <w:r>
        <w:rPr>
          <w:szCs w:val="18"/>
        </w:rPr>
        <w:t xml:space="preserve">The </w:t>
      </w:r>
      <w:r w:rsidR="00124DCE">
        <w:rPr>
          <w:bCs/>
          <w:szCs w:val="18"/>
        </w:rPr>
        <w:t>United Kingdom</w:t>
      </w:r>
      <w:r w:rsidR="00124DCE" w:rsidRPr="00BB5F79">
        <w:rPr>
          <w:bCs/>
          <w:szCs w:val="18"/>
        </w:rPr>
        <w:t xml:space="preserve"> </w:t>
      </w:r>
      <w:r>
        <w:rPr>
          <w:szCs w:val="18"/>
        </w:rPr>
        <w:t>would work</w:t>
      </w:r>
      <w:r w:rsidRPr="00884659">
        <w:rPr>
          <w:szCs w:val="18"/>
        </w:rPr>
        <w:t xml:space="preserve"> particularly closely with Italy as </w:t>
      </w:r>
      <w:r>
        <w:rPr>
          <w:szCs w:val="18"/>
        </w:rPr>
        <w:t>their</w:t>
      </w:r>
      <w:r w:rsidRPr="00884659">
        <w:rPr>
          <w:szCs w:val="18"/>
        </w:rPr>
        <w:t xml:space="preserve"> Partner for </w:t>
      </w:r>
      <w:r w:rsidR="009D3004">
        <w:rPr>
          <w:szCs w:val="18"/>
        </w:rPr>
        <w:t>CoP26</w:t>
      </w:r>
      <w:r w:rsidRPr="00884659">
        <w:rPr>
          <w:szCs w:val="18"/>
        </w:rPr>
        <w:t xml:space="preserve"> and </w:t>
      </w:r>
      <w:r>
        <w:rPr>
          <w:szCs w:val="18"/>
        </w:rPr>
        <w:t xml:space="preserve">co-host a </w:t>
      </w:r>
      <w:r w:rsidRPr="00884659">
        <w:rPr>
          <w:szCs w:val="18"/>
        </w:rPr>
        <w:t>pre-</w:t>
      </w:r>
      <w:r w:rsidR="009D3004">
        <w:rPr>
          <w:szCs w:val="18"/>
        </w:rPr>
        <w:t>CoP</w:t>
      </w:r>
      <w:r w:rsidRPr="00884659">
        <w:rPr>
          <w:szCs w:val="18"/>
        </w:rPr>
        <w:t xml:space="preserve"> from 30 September to 2 October in Milan. The pre-</w:t>
      </w:r>
      <w:r w:rsidR="009D3004">
        <w:rPr>
          <w:szCs w:val="18"/>
        </w:rPr>
        <w:t>CoP</w:t>
      </w:r>
      <w:r w:rsidRPr="00884659">
        <w:rPr>
          <w:szCs w:val="18"/>
        </w:rPr>
        <w:t xml:space="preserve"> meeting </w:t>
      </w:r>
      <w:r>
        <w:rPr>
          <w:szCs w:val="18"/>
        </w:rPr>
        <w:t>would</w:t>
      </w:r>
      <w:r w:rsidRPr="00884659">
        <w:rPr>
          <w:szCs w:val="18"/>
        </w:rPr>
        <w:t xml:space="preserve"> provide a selected group of countries with an informal setting to discuss and exchange views on some key political aspects of the negotiations and offer political guidance for </w:t>
      </w:r>
      <w:r>
        <w:rPr>
          <w:szCs w:val="18"/>
        </w:rPr>
        <w:t>their continuation</w:t>
      </w:r>
      <w:r w:rsidRPr="00884659">
        <w:rPr>
          <w:szCs w:val="18"/>
        </w:rPr>
        <w:t xml:space="preserve">. </w:t>
      </w:r>
      <w:r>
        <w:rPr>
          <w:szCs w:val="18"/>
        </w:rPr>
        <w:t>It</w:t>
      </w:r>
      <w:r w:rsidRPr="00884659">
        <w:rPr>
          <w:szCs w:val="18"/>
        </w:rPr>
        <w:t xml:space="preserve"> </w:t>
      </w:r>
      <w:r>
        <w:rPr>
          <w:szCs w:val="18"/>
        </w:rPr>
        <w:t>would</w:t>
      </w:r>
      <w:r w:rsidRPr="00884659">
        <w:rPr>
          <w:szCs w:val="18"/>
        </w:rPr>
        <w:t xml:space="preserve"> be attended by 35 to 40 countries, representatives of the UNFCCC Secretariat, the chairs of the Subsidiary Bodies of the Convention and a number of stakeholders who pla</w:t>
      </w:r>
      <w:r>
        <w:rPr>
          <w:szCs w:val="18"/>
        </w:rPr>
        <w:t>yed</w:t>
      </w:r>
      <w:r w:rsidRPr="00884659">
        <w:rPr>
          <w:szCs w:val="18"/>
        </w:rPr>
        <w:t xml:space="preserve"> a key role in the fight against climate change or in the transition to sustainable development. </w:t>
      </w:r>
      <w:r>
        <w:rPr>
          <w:szCs w:val="18"/>
        </w:rPr>
        <w:t>T</w:t>
      </w:r>
      <w:r w:rsidRPr="00884659">
        <w:rPr>
          <w:szCs w:val="18"/>
        </w:rPr>
        <w:t>he G20 Leader</w:t>
      </w:r>
      <w:r w:rsidR="00124DCE">
        <w:rPr>
          <w:szCs w:val="18"/>
        </w:rPr>
        <w:t>'</w:t>
      </w:r>
      <w:r w:rsidRPr="00884659">
        <w:rPr>
          <w:szCs w:val="18"/>
        </w:rPr>
        <w:t xml:space="preserve">s Summit, hosted by Italy, on 30 and 31 October and immediately before </w:t>
      </w:r>
      <w:r w:rsidR="009D3004">
        <w:rPr>
          <w:szCs w:val="18"/>
        </w:rPr>
        <w:t>CoP</w:t>
      </w:r>
      <w:r>
        <w:rPr>
          <w:szCs w:val="18"/>
        </w:rPr>
        <w:t xml:space="preserve"> would be a</w:t>
      </w:r>
      <w:r w:rsidRPr="00884659">
        <w:rPr>
          <w:szCs w:val="18"/>
        </w:rPr>
        <w:t>nother key milestone.</w:t>
      </w:r>
    </w:p>
    <w:p w14:paraId="62DBAA5F" w14:textId="287DE1EA" w:rsidR="000D4B6F" w:rsidRPr="00884659" w:rsidRDefault="000D4B6F" w:rsidP="000D4B6F">
      <w:pPr>
        <w:pStyle w:val="BodyText"/>
      </w:pPr>
      <w:r>
        <w:rPr>
          <w:szCs w:val="18"/>
        </w:rPr>
        <w:t xml:space="preserve">The </w:t>
      </w:r>
      <w:r w:rsidR="00124DCE">
        <w:rPr>
          <w:bCs/>
          <w:szCs w:val="18"/>
        </w:rPr>
        <w:t>United Kingdom</w:t>
      </w:r>
      <w:r w:rsidR="00124DCE" w:rsidRPr="00BB5F79">
        <w:rPr>
          <w:bCs/>
          <w:szCs w:val="18"/>
        </w:rPr>
        <w:t xml:space="preserve"> </w:t>
      </w:r>
      <w:r>
        <w:rPr>
          <w:szCs w:val="18"/>
        </w:rPr>
        <w:t xml:space="preserve">was </w:t>
      </w:r>
      <w:r w:rsidRPr="00884659">
        <w:rPr>
          <w:szCs w:val="18"/>
        </w:rPr>
        <w:t xml:space="preserve">considering what different COVID scenarios might mean for </w:t>
      </w:r>
      <w:r w:rsidR="009D3004">
        <w:rPr>
          <w:szCs w:val="18"/>
        </w:rPr>
        <w:t>CoP26</w:t>
      </w:r>
      <w:r w:rsidRPr="00884659">
        <w:rPr>
          <w:szCs w:val="18"/>
        </w:rPr>
        <w:t xml:space="preserve"> and planning accordingly, putting the health of the participants and the local community first. </w:t>
      </w:r>
      <w:r>
        <w:rPr>
          <w:szCs w:val="18"/>
        </w:rPr>
        <w:t>The intent</w:t>
      </w:r>
      <w:r w:rsidRPr="00884659">
        <w:rPr>
          <w:szCs w:val="18"/>
        </w:rPr>
        <w:t xml:space="preserve"> remain</w:t>
      </w:r>
      <w:r>
        <w:rPr>
          <w:szCs w:val="18"/>
        </w:rPr>
        <w:t>ed</w:t>
      </w:r>
      <w:r w:rsidRPr="00884659">
        <w:rPr>
          <w:szCs w:val="18"/>
        </w:rPr>
        <w:t xml:space="preserve"> to hold an in-person event for </w:t>
      </w:r>
      <w:r w:rsidR="009D3004">
        <w:rPr>
          <w:szCs w:val="18"/>
        </w:rPr>
        <w:t>CoP26</w:t>
      </w:r>
      <w:r w:rsidRPr="00884659">
        <w:rPr>
          <w:szCs w:val="18"/>
        </w:rPr>
        <w:t xml:space="preserve">, respecting the wishes of all parties, many of whom </w:t>
      </w:r>
      <w:r>
        <w:rPr>
          <w:szCs w:val="18"/>
        </w:rPr>
        <w:t>felt</w:t>
      </w:r>
      <w:r w:rsidRPr="00884659">
        <w:rPr>
          <w:szCs w:val="18"/>
        </w:rPr>
        <w:t xml:space="preserve"> strongly that </w:t>
      </w:r>
      <w:r w:rsidR="009D3004">
        <w:rPr>
          <w:szCs w:val="18"/>
        </w:rPr>
        <w:t>CoP</w:t>
      </w:r>
      <w:r w:rsidRPr="00884659">
        <w:rPr>
          <w:szCs w:val="18"/>
        </w:rPr>
        <w:t xml:space="preserve">s should be conducted in person and that action on climate change </w:t>
      </w:r>
      <w:r>
        <w:rPr>
          <w:szCs w:val="18"/>
        </w:rPr>
        <w:t>could not</w:t>
      </w:r>
      <w:r w:rsidRPr="00884659">
        <w:rPr>
          <w:szCs w:val="18"/>
        </w:rPr>
        <w:t xml:space="preserve"> be delayed.</w:t>
      </w:r>
      <w:r w:rsidR="0035369C" w:rsidRPr="00884659">
        <w:rPr>
          <w:szCs w:val="18"/>
        </w:rPr>
        <w:t xml:space="preserve"> </w:t>
      </w:r>
      <w:r w:rsidRPr="00884659">
        <w:rPr>
          <w:szCs w:val="18"/>
        </w:rPr>
        <w:t xml:space="preserve">As </w:t>
      </w:r>
      <w:r w:rsidR="009D3004">
        <w:rPr>
          <w:szCs w:val="18"/>
        </w:rPr>
        <w:t>CoP26</w:t>
      </w:r>
      <w:r>
        <w:rPr>
          <w:szCs w:val="18"/>
        </w:rPr>
        <w:t xml:space="preserve"> drew closer</w:t>
      </w:r>
      <w:r w:rsidRPr="00884659">
        <w:rPr>
          <w:szCs w:val="18"/>
        </w:rPr>
        <w:t xml:space="preserve">, logistics briefing sessions </w:t>
      </w:r>
      <w:r>
        <w:rPr>
          <w:szCs w:val="18"/>
        </w:rPr>
        <w:t xml:space="preserve">were planned </w:t>
      </w:r>
      <w:r w:rsidRPr="00884659">
        <w:rPr>
          <w:szCs w:val="18"/>
        </w:rPr>
        <w:t>in London for London/Brussels based Missions representing all Parties</w:t>
      </w:r>
      <w:r>
        <w:rPr>
          <w:szCs w:val="18"/>
        </w:rPr>
        <w:t>, as well as one</w:t>
      </w:r>
      <w:r w:rsidRPr="00884659">
        <w:rPr>
          <w:szCs w:val="18"/>
        </w:rPr>
        <w:t xml:space="preserve"> organized in conjunction with the UNFCCC Secretariat shortly before </w:t>
      </w:r>
      <w:r w:rsidR="009D3004">
        <w:rPr>
          <w:szCs w:val="18"/>
        </w:rPr>
        <w:t>CoP26</w:t>
      </w:r>
      <w:r w:rsidRPr="00884659">
        <w:rPr>
          <w:szCs w:val="18"/>
        </w:rPr>
        <w:t>.</w:t>
      </w:r>
      <w:r w:rsidR="0035369C" w:rsidRPr="00884659">
        <w:rPr>
          <w:szCs w:val="18"/>
        </w:rPr>
        <w:t> </w:t>
      </w:r>
    </w:p>
    <w:p w14:paraId="2023D74E" w14:textId="2DC8E999" w:rsidR="000D4B6F" w:rsidRPr="00884659" w:rsidRDefault="000D4B6F" w:rsidP="000D4B6F">
      <w:pPr>
        <w:pStyle w:val="BodyText"/>
      </w:pPr>
      <w:r>
        <w:rPr>
          <w:rFonts w:eastAsia="Times New Roman"/>
          <w:szCs w:val="18"/>
          <w:lang w:eastAsia="en-GB"/>
        </w:rPr>
        <w:t>Recalling their</w:t>
      </w:r>
      <w:r w:rsidRPr="00884659">
        <w:rPr>
          <w:rFonts w:eastAsia="Times New Roman"/>
          <w:szCs w:val="18"/>
          <w:lang w:eastAsia="en-GB"/>
        </w:rPr>
        <w:t xml:space="preserve"> previous interventions, the</w:t>
      </w:r>
      <w:r>
        <w:rPr>
          <w:rFonts w:eastAsia="Times New Roman"/>
          <w:szCs w:val="18"/>
          <w:lang w:eastAsia="en-GB"/>
        </w:rPr>
        <w:t xml:space="preserve"> representative noted that the</w:t>
      </w:r>
      <w:r w:rsidRPr="00884659">
        <w:rPr>
          <w:rFonts w:eastAsia="Times New Roman"/>
          <w:szCs w:val="18"/>
          <w:lang w:eastAsia="en-GB"/>
        </w:rPr>
        <w:t xml:space="preserve"> shifts required to meet </w:t>
      </w:r>
      <w:r w:rsidR="009D3004">
        <w:rPr>
          <w:rFonts w:eastAsia="Times New Roman"/>
          <w:szCs w:val="18"/>
          <w:lang w:eastAsia="en-GB"/>
        </w:rPr>
        <w:t>CoP</w:t>
      </w:r>
      <w:r w:rsidRPr="00884659">
        <w:rPr>
          <w:rFonts w:eastAsia="Times New Roman"/>
          <w:szCs w:val="18"/>
          <w:lang w:eastAsia="en-GB"/>
        </w:rPr>
        <w:t xml:space="preserve"> objectives </w:t>
      </w:r>
      <w:r>
        <w:rPr>
          <w:rFonts w:eastAsia="Times New Roman"/>
          <w:szCs w:val="18"/>
          <w:lang w:eastAsia="en-GB"/>
        </w:rPr>
        <w:t>would</w:t>
      </w:r>
      <w:r w:rsidRPr="00884659">
        <w:rPr>
          <w:rFonts w:eastAsia="Times New Roman"/>
          <w:szCs w:val="18"/>
          <w:lang w:eastAsia="en-GB"/>
        </w:rPr>
        <w:t xml:space="preserve"> have implications for trade policy and the multilateral trad</w:t>
      </w:r>
      <w:r>
        <w:rPr>
          <w:rFonts w:eastAsia="Times New Roman"/>
          <w:szCs w:val="18"/>
          <w:lang w:eastAsia="en-GB"/>
        </w:rPr>
        <w:t>ing</w:t>
      </w:r>
      <w:r w:rsidRPr="00884659">
        <w:rPr>
          <w:rFonts w:eastAsia="Times New Roman"/>
          <w:szCs w:val="18"/>
          <w:lang w:eastAsia="en-GB"/>
        </w:rPr>
        <w:t xml:space="preserve"> system. </w:t>
      </w:r>
      <w:r>
        <w:rPr>
          <w:rFonts w:eastAsia="Times New Roman"/>
          <w:szCs w:val="18"/>
          <w:lang w:eastAsia="en-GB"/>
        </w:rPr>
        <w:t>That</w:t>
      </w:r>
      <w:r w:rsidRPr="00884659">
        <w:rPr>
          <w:rFonts w:eastAsia="Times New Roman"/>
          <w:szCs w:val="18"/>
          <w:lang w:eastAsia="en-GB"/>
        </w:rPr>
        <w:t xml:space="preserve"> include</w:t>
      </w:r>
      <w:r>
        <w:rPr>
          <w:rFonts w:eastAsia="Times New Roman"/>
          <w:szCs w:val="18"/>
          <w:lang w:eastAsia="en-GB"/>
        </w:rPr>
        <w:t>d</w:t>
      </w:r>
      <w:r w:rsidRPr="00884659">
        <w:rPr>
          <w:rFonts w:eastAsia="Times New Roman"/>
          <w:szCs w:val="18"/>
          <w:lang w:eastAsia="en-GB"/>
        </w:rPr>
        <w:t xml:space="preserve"> direct links, such as through the</w:t>
      </w:r>
      <w:r w:rsidRPr="00884659">
        <w:rPr>
          <w:szCs w:val="18"/>
        </w:rPr>
        <w:t xml:space="preserve"> </w:t>
      </w:r>
      <w:r w:rsidRPr="00884659">
        <w:rPr>
          <w:rFonts w:eastAsia="Times New Roman"/>
          <w:szCs w:val="18"/>
          <w:lang w:eastAsia="en-GB"/>
        </w:rPr>
        <w:t>Forests, Agriculture and Commodity Trade</w:t>
      </w:r>
      <w:r>
        <w:rPr>
          <w:rFonts w:eastAsia="Times New Roman"/>
          <w:szCs w:val="18"/>
          <w:lang w:eastAsia="en-GB"/>
        </w:rPr>
        <w:t xml:space="preserve"> (FACT)</w:t>
      </w:r>
      <w:r w:rsidRPr="00884659">
        <w:rPr>
          <w:rFonts w:eastAsia="Times New Roman"/>
          <w:szCs w:val="18"/>
          <w:lang w:eastAsia="en-GB"/>
        </w:rPr>
        <w:t xml:space="preserve"> dialogue</w:t>
      </w:r>
      <w:r w:rsidRPr="00884659">
        <w:rPr>
          <w:szCs w:val="18"/>
        </w:rPr>
        <w:t xml:space="preserve"> on sustainable land use and trade in forest risk commodities</w:t>
      </w:r>
      <w:r w:rsidRPr="00884659">
        <w:rPr>
          <w:rFonts w:eastAsia="Times New Roman"/>
          <w:szCs w:val="18"/>
          <w:lang w:eastAsia="en-GB"/>
        </w:rPr>
        <w:t xml:space="preserve">, as well as the wider impacts of changes such as the energy transition and the shift to zero emission vehicles. All </w:t>
      </w:r>
      <w:r>
        <w:rPr>
          <w:rFonts w:eastAsia="Times New Roman"/>
          <w:szCs w:val="18"/>
          <w:lang w:eastAsia="en-GB"/>
        </w:rPr>
        <w:t>such</w:t>
      </w:r>
      <w:r w:rsidRPr="00884659">
        <w:rPr>
          <w:rFonts w:eastAsia="Times New Roman"/>
          <w:szCs w:val="18"/>
          <w:lang w:eastAsia="en-GB"/>
        </w:rPr>
        <w:t xml:space="preserve"> changes </w:t>
      </w:r>
      <w:r>
        <w:rPr>
          <w:rFonts w:eastAsia="Times New Roman"/>
          <w:szCs w:val="18"/>
          <w:lang w:eastAsia="en-GB"/>
        </w:rPr>
        <w:t>would</w:t>
      </w:r>
      <w:r w:rsidRPr="00884659">
        <w:rPr>
          <w:rFonts w:eastAsia="Times New Roman"/>
          <w:szCs w:val="18"/>
          <w:lang w:eastAsia="en-GB"/>
        </w:rPr>
        <w:t xml:space="preserve"> impact </w:t>
      </w:r>
      <w:r>
        <w:rPr>
          <w:rFonts w:eastAsia="Times New Roman"/>
          <w:szCs w:val="18"/>
          <w:lang w:eastAsia="en-GB"/>
        </w:rPr>
        <w:t>how</w:t>
      </w:r>
      <w:r w:rsidRPr="00884659">
        <w:rPr>
          <w:rFonts w:eastAsia="Times New Roman"/>
          <w:szCs w:val="18"/>
          <w:lang w:eastAsia="en-GB"/>
        </w:rPr>
        <w:t xml:space="preserve"> </w:t>
      </w:r>
      <w:r>
        <w:rPr>
          <w:rFonts w:eastAsia="Times New Roman"/>
          <w:szCs w:val="18"/>
          <w:lang w:eastAsia="en-GB"/>
        </w:rPr>
        <w:t>Members</w:t>
      </w:r>
      <w:r w:rsidRPr="00884659">
        <w:rPr>
          <w:rFonts w:eastAsia="Times New Roman"/>
          <w:szCs w:val="18"/>
          <w:lang w:eastAsia="en-GB"/>
        </w:rPr>
        <w:t xml:space="preserve"> trade</w:t>
      </w:r>
      <w:r>
        <w:rPr>
          <w:rFonts w:eastAsia="Times New Roman"/>
          <w:szCs w:val="18"/>
          <w:lang w:eastAsia="en-GB"/>
        </w:rPr>
        <w:t xml:space="preserve">d and the </w:t>
      </w:r>
      <w:r w:rsidR="00124DCE">
        <w:rPr>
          <w:bCs/>
          <w:szCs w:val="18"/>
        </w:rPr>
        <w:t>United Kingdom</w:t>
      </w:r>
      <w:r w:rsidR="00124DCE" w:rsidRPr="00BB5F79">
        <w:rPr>
          <w:bCs/>
          <w:szCs w:val="18"/>
        </w:rPr>
        <w:t xml:space="preserve"> </w:t>
      </w:r>
      <w:r>
        <w:rPr>
          <w:rFonts w:eastAsia="Times New Roman"/>
          <w:szCs w:val="18"/>
          <w:lang w:eastAsia="en-GB"/>
        </w:rPr>
        <w:t>looked</w:t>
      </w:r>
      <w:r w:rsidRPr="00884659">
        <w:rPr>
          <w:rFonts w:eastAsia="Times New Roman"/>
          <w:szCs w:val="18"/>
          <w:lang w:eastAsia="en-GB"/>
        </w:rPr>
        <w:t xml:space="preserve"> forward to continued dialogue in the WTO.</w:t>
      </w:r>
    </w:p>
    <w:p w14:paraId="1A07882E" w14:textId="3EA908C6" w:rsidR="000D4B6F" w:rsidRPr="00884659" w:rsidRDefault="000D4B6F" w:rsidP="000D4B6F">
      <w:pPr>
        <w:pStyle w:val="BodyText"/>
        <w:rPr>
          <w:szCs w:val="18"/>
          <w:lang w:val="en-US"/>
        </w:rPr>
      </w:pPr>
      <w:r w:rsidRPr="00DF5BF4">
        <w:t xml:space="preserve">The </w:t>
      </w:r>
      <w:r>
        <w:t xml:space="preserve">representative of </w:t>
      </w:r>
      <w:r w:rsidRPr="00884659">
        <w:rPr>
          <w:szCs w:val="18"/>
          <w:u w:val="single"/>
          <w:lang w:val="en-US"/>
        </w:rPr>
        <w:t>Switzerland</w:t>
      </w:r>
      <w:r w:rsidRPr="00884659">
        <w:rPr>
          <w:szCs w:val="18"/>
          <w:lang w:val="en-US"/>
        </w:rPr>
        <w:t xml:space="preserve"> </w:t>
      </w:r>
      <w:r>
        <w:rPr>
          <w:rFonts w:cs="Arial"/>
          <w:szCs w:val="18"/>
          <w:lang w:val="en-US"/>
        </w:rPr>
        <w:t>noted that under</w:t>
      </w:r>
      <w:r w:rsidRPr="00884659">
        <w:rPr>
          <w:rFonts w:cs="Arial"/>
          <w:szCs w:val="18"/>
          <w:lang w:val="en-US"/>
        </w:rPr>
        <w:t xml:space="preserve"> the Paris agreement, Switzerland </w:t>
      </w:r>
      <w:r>
        <w:rPr>
          <w:rFonts w:cs="Arial"/>
          <w:szCs w:val="18"/>
          <w:lang w:val="en-US"/>
        </w:rPr>
        <w:t xml:space="preserve">had </w:t>
      </w:r>
      <w:r w:rsidRPr="00884659">
        <w:rPr>
          <w:rFonts w:cs="Arial"/>
          <w:szCs w:val="18"/>
          <w:lang w:val="en-US"/>
        </w:rPr>
        <w:t>confirmed its target of 50%</w:t>
      </w:r>
      <w:r>
        <w:rPr>
          <w:rFonts w:cs="Arial"/>
          <w:szCs w:val="18"/>
          <w:lang w:val="en-US"/>
        </w:rPr>
        <w:t xml:space="preserve"> emissions reduction</w:t>
      </w:r>
      <w:r w:rsidRPr="00884659">
        <w:rPr>
          <w:rFonts w:cs="Arial"/>
          <w:szCs w:val="18"/>
          <w:lang w:val="en-US"/>
        </w:rPr>
        <w:t xml:space="preserve"> by 2030</w:t>
      </w:r>
      <w:r>
        <w:rPr>
          <w:rFonts w:cs="Arial"/>
          <w:szCs w:val="18"/>
          <w:lang w:val="en-US"/>
        </w:rPr>
        <w:t>, while</w:t>
      </w:r>
      <w:r w:rsidRPr="00884659">
        <w:rPr>
          <w:rFonts w:cs="Arial"/>
          <w:szCs w:val="18"/>
          <w:lang w:val="en-US"/>
        </w:rPr>
        <w:t xml:space="preserve"> adjust</w:t>
      </w:r>
      <w:r>
        <w:rPr>
          <w:rFonts w:cs="Arial"/>
          <w:szCs w:val="18"/>
          <w:lang w:val="en-US"/>
        </w:rPr>
        <w:t>ing</w:t>
      </w:r>
      <w:r w:rsidRPr="00884659">
        <w:rPr>
          <w:rFonts w:cs="Arial"/>
          <w:szCs w:val="18"/>
          <w:lang w:val="en-US"/>
        </w:rPr>
        <w:t xml:space="preserve"> its target for 2050 to net zero. Considering Switzerland's per capita emissions, </w:t>
      </w:r>
      <w:r>
        <w:rPr>
          <w:rFonts w:cs="Arial"/>
          <w:szCs w:val="18"/>
          <w:lang w:val="en-US"/>
        </w:rPr>
        <w:t>that was</w:t>
      </w:r>
      <w:r w:rsidRPr="00884659">
        <w:rPr>
          <w:rFonts w:cs="Arial"/>
          <w:szCs w:val="18"/>
          <w:lang w:val="en-US"/>
        </w:rPr>
        <w:t xml:space="preserve"> in line with IPCC recommendations.</w:t>
      </w:r>
      <w:r>
        <w:rPr>
          <w:rFonts w:cs="Arial"/>
          <w:szCs w:val="18"/>
          <w:lang w:val="en-US"/>
        </w:rPr>
        <w:t xml:space="preserve"> D</w:t>
      </w:r>
      <w:r w:rsidRPr="00884659">
        <w:rPr>
          <w:rFonts w:cs="Arial"/>
          <w:szCs w:val="18"/>
          <w:lang w:val="en-US"/>
        </w:rPr>
        <w:t xml:space="preserve">uring the last </w:t>
      </w:r>
      <w:r>
        <w:rPr>
          <w:rFonts w:cs="Arial"/>
          <w:szCs w:val="18"/>
          <w:lang w:val="en-US"/>
        </w:rPr>
        <w:t xml:space="preserve">CTE </w:t>
      </w:r>
      <w:r w:rsidRPr="00884659">
        <w:rPr>
          <w:rFonts w:cs="Arial"/>
          <w:szCs w:val="18"/>
          <w:lang w:val="en-US"/>
        </w:rPr>
        <w:t>meeting, Switzerland had</w:t>
      </w:r>
      <w:r>
        <w:rPr>
          <w:rFonts w:cs="Arial"/>
          <w:szCs w:val="18"/>
          <w:lang w:val="en-US"/>
        </w:rPr>
        <w:t xml:space="preserve"> already reported it had</w:t>
      </w:r>
      <w:r w:rsidRPr="00884659">
        <w:rPr>
          <w:rFonts w:cs="Arial"/>
          <w:szCs w:val="18"/>
          <w:lang w:val="en-US"/>
        </w:rPr>
        <w:t xml:space="preserve"> concluded a bilateral agreement with Peru in October 2020 to allow the implementation of foreign offsets in full integrity. A similar agreement with Ghana </w:t>
      </w:r>
      <w:r>
        <w:rPr>
          <w:rFonts w:cs="Arial"/>
          <w:szCs w:val="18"/>
          <w:lang w:val="en-US"/>
        </w:rPr>
        <w:t>had been</w:t>
      </w:r>
      <w:r w:rsidRPr="00884659">
        <w:rPr>
          <w:rFonts w:cs="Arial"/>
          <w:szCs w:val="18"/>
          <w:lang w:val="en-US"/>
        </w:rPr>
        <w:t xml:space="preserve"> signed in November 2020. These bilateral agreements implement</w:t>
      </w:r>
      <w:r>
        <w:rPr>
          <w:rFonts w:cs="Arial"/>
          <w:szCs w:val="18"/>
          <w:lang w:val="en-US"/>
        </w:rPr>
        <w:t>ed</w:t>
      </w:r>
      <w:r w:rsidRPr="00884659">
        <w:rPr>
          <w:rFonts w:cs="Arial"/>
          <w:szCs w:val="18"/>
          <w:lang w:val="en-US"/>
        </w:rPr>
        <w:t xml:space="preserve"> Article</w:t>
      </w:r>
      <w:r w:rsidR="00025E1C">
        <w:rPr>
          <w:rFonts w:cs="Arial"/>
          <w:szCs w:val="18"/>
          <w:lang w:val="en-US"/>
        </w:rPr>
        <w:t> </w:t>
      </w:r>
      <w:r w:rsidRPr="00884659">
        <w:rPr>
          <w:rFonts w:cs="Arial"/>
          <w:szCs w:val="18"/>
          <w:lang w:val="en-US"/>
        </w:rPr>
        <w:t xml:space="preserve">6 of the Paris Agreement. Other agreements </w:t>
      </w:r>
      <w:r>
        <w:rPr>
          <w:rFonts w:cs="Arial"/>
          <w:szCs w:val="18"/>
          <w:lang w:val="en-US"/>
        </w:rPr>
        <w:t>were</w:t>
      </w:r>
      <w:r w:rsidRPr="00884659">
        <w:rPr>
          <w:rFonts w:cs="Arial"/>
          <w:szCs w:val="18"/>
          <w:lang w:val="en-US"/>
        </w:rPr>
        <w:t xml:space="preserve"> under negotiation</w:t>
      </w:r>
      <w:r>
        <w:rPr>
          <w:rFonts w:cs="Arial"/>
          <w:szCs w:val="18"/>
          <w:lang w:val="en-US"/>
        </w:rPr>
        <w:t xml:space="preserve"> and through them</w:t>
      </w:r>
      <w:r w:rsidRPr="00884659">
        <w:rPr>
          <w:rFonts w:cs="Arial"/>
          <w:szCs w:val="18"/>
          <w:lang w:val="en-US"/>
        </w:rPr>
        <w:t xml:space="preserve"> Switzerland </w:t>
      </w:r>
      <w:r>
        <w:rPr>
          <w:rFonts w:cs="Arial"/>
          <w:szCs w:val="18"/>
          <w:lang w:val="en-US"/>
        </w:rPr>
        <w:t>sought to</w:t>
      </w:r>
      <w:r w:rsidRPr="00884659">
        <w:rPr>
          <w:rFonts w:cs="Arial"/>
          <w:szCs w:val="18"/>
          <w:lang w:val="en-US"/>
        </w:rPr>
        <w:t xml:space="preserve"> set high standards for the thorny UN negotiations in th</w:t>
      </w:r>
      <w:r>
        <w:rPr>
          <w:rFonts w:cs="Arial"/>
          <w:szCs w:val="18"/>
          <w:lang w:val="en-US"/>
        </w:rPr>
        <w:t>e</w:t>
      </w:r>
      <w:r w:rsidRPr="00884659">
        <w:rPr>
          <w:rFonts w:cs="Arial"/>
          <w:szCs w:val="18"/>
          <w:lang w:val="en-US"/>
        </w:rPr>
        <w:t xml:space="preserve"> area. When progressive countries create</w:t>
      </w:r>
      <w:r>
        <w:rPr>
          <w:rFonts w:cs="Arial"/>
          <w:szCs w:val="18"/>
          <w:lang w:val="en-US"/>
        </w:rPr>
        <w:t>d</w:t>
      </w:r>
      <w:r w:rsidRPr="00884659">
        <w:rPr>
          <w:rFonts w:cs="Arial"/>
          <w:szCs w:val="18"/>
          <w:lang w:val="en-US"/>
        </w:rPr>
        <w:t xml:space="preserve"> </w:t>
      </w:r>
      <w:r>
        <w:rPr>
          <w:rFonts w:cs="Arial"/>
          <w:szCs w:val="18"/>
          <w:lang w:val="en-US"/>
        </w:rPr>
        <w:t>precedence</w:t>
      </w:r>
      <w:r w:rsidRPr="00884659">
        <w:rPr>
          <w:rFonts w:cs="Arial"/>
          <w:szCs w:val="18"/>
          <w:lang w:val="en-US"/>
        </w:rPr>
        <w:t>, it strengthen</w:t>
      </w:r>
      <w:r>
        <w:rPr>
          <w:rFonts w:cs="Arial"/>
          <w:szCs w:val="18"/>
          <w:lang w:val="en-US"/>
        </w:rPr>
        <w:t>ed</w:t>
      </w:r>
      <w:r w:rsidRPr="00884659">
        <w:rPr>
          <w:rFonts w:cs="Arial"/>
          <w:szCs w:val="18"/>
          <w:lang w:val="en-US"/>
        </w:rPr>
        <w:t xml:space="preserve"> the quality of </w:t>
      </w:r>
      <w:r>
        <w:rPr>
          <w:rFonts w:cs="Arial"/>
          <w:szCs w:val="18"/>
          <w:lang w:val="en-US"/>
        </w:rPr>
        <w:t>such</w:t>
      </w:r>
      <w:r w:rsidRPr="00884659">
        <w:rPr>
          <w:rFonts w:cs="Arial"/>
          <w:szCs w:val="18"/>
          <w:lang w:val="en-US"/>
        </w:rPr>
        <w:t xml:space="preserve"> mechanisms</w:t>
      </w:r>
      <w:r>
        <w:rPr>
          <w:rFonts w:cs="Arial"/>
          <w:szCs w:val="18"/>
          <w:lang w:val="en-US"/>
        </w:rPr>
        <w:t>.</w:t>
      </w:r>
      <w:r w:rsidR="0035369C" w:rsidRPr="00884659">
        <w:rPr>
          <w:szCs w:val="18"/>
          <w:lang w:val="en-US"/>
        </w:rPr>
        <w:t xml:space="preserve"> </w:t>
      </w:r>
    </w:p>
    <w:p w14:paraId="2E001312" w14:textId="3F4997FC" w:rsidR="000D4B6F" w:rsidRPr="00884659" w:rsidRDefault="000D4B6F" w:rsidP="000D4B6F">
      <w:pPr>
        <w:pStyle w:val="BodyText"/>
        <w:rPr>
          <w:szCs w:val="18"/>
        </w:rPr>
      </w:pPr>
      <w:r w:rsidRPr="00DF5BF4">
        <w:t xml:space="preserve">The </w:t>
      </w:r>
      <w:r>
        <w:t xml:space="preserve">representative of </w:t>
      </w:r>
      <w:r w:rsidRPr="00884659">
        <w:rPr>
          <w:szCs w:val="18"/>
          <w:u w:val="single"/>
        </w:rPr>
        <w:t>Canada</w:t>
      </w:r>
      <w:r w:rsidRPr="00884659">
        <w:rPr>
          <w:szCs w:val="18"/>
        </w:rPr>
        <w:t xml:space="preserve"> commend</w:t>
      </w:r>
      <w:r>
        <w:rPr>
          <w:szCs w:val="18"/>
        </w:rPr>
        <w:t>ed</w:t>
      </w:r>
      <w:r w:rsidRPr="00884659">
        <w:rPr>
          <w:szCs w:val="18"/>
        </w:rPr>
        <w:t xml:space="preserve"> the </w:t>
      </w:r>
      <w:r w:rsidR="00373B52">
        <w:rPr>
          <w:bCs/>
          <w:szCs w:val="18"/>
        </w:rPr>
        <w:t>United Kingdom's</w:t>
      </w:r>
      <w:r w:rsidRPr="00884659">
        <w:rPr>
          <w:szCs w:val="18"/>
        </w:rPr>
        <w:t xml:space="preserve"> efforts to promote the development of sustainable supply chains and </w:t>
      </w:r>
      <w:r>
        <w:rPr>
          <w:szCs w:val="18"/>
        </w:rPr>
        <w:t>were</w:t>
      </w:r>
      <w:r w:rsidRPr="00884659">
        <w:rPr>
          <w:szCs w:val="18"/>
        </w:rPr>
        <w:t xml:space="preserve"> supportive of discussions on this important area at the WTO.</w:t>
      </w:r>
    </w:p>
    <w:p w14:paraId="62CB4C3A" w14:textId="53EC2F6A" w:rsidR="00920EC6" w:rsidRPr="00920EC6" w:rsidRDefault="00920EC6" w:rsidP="00920EC6">
      <w:pPr>
        <w:pStyle w:val="Heading4"/>
      </w:pPr>
      <w:bookmarkStart w:id="42" w:name="_Toc74660672"/>
      <w:r>
        <w:lastRenderedPageBreak/>
        <w:t xml:space="preserve">New Zealand's </w:t>
      </w:r>
      <w:r w:rsidRPr="001E1313">
        <w:t xml:space="preserve">update on the </w:t>
      </w:r>
      <w:r>
        <w:t>negotiation under the "</w:t>
      </w:r>
      <w:r w:rsidRPr="001E1313">
        <w:t>Agreement on Climate Change, Trade and Sustainability</w:t>
      </w:r>
      <w:r>
        <w:t>"</w:t>
      </w:r>
      <w:r w:rsidRPr="001E1313">
        <w:t xml:space="preserve"> (ACCTS) initiative</w:t>
      </w:r>
      <w:bookmarkEnd w:id="42"/>
    </w:p>
    <w:p w14:paraId="50FA65CB" w14:textId="3D195CD3" w:rsidR="00DE11FF" w:rsidRDefault="00884659" w:rsidP="001750EA">
      <w:pPr>
        <w:pStyle w:val="BodyText"/>
      </w:pPr>
      <w:r w:rsidRPr="00DF5BF4">
        <w:t xml:space="preserve">The </w:t>
      </w:r>
      <w:r>
        <w:t xml:space="preserve">representative of </w:t>
      </w:r>
      <w:r w:rsidR="00E93CDB" w:rsidRPr="00DE11FF">
        <w:rPr>
          <w:u w:val="single"/>
        </w:rPr>
        <w:t>New Zealand</w:t>
      </w:r>
      <w:r w:rsidR="00E93CDB">
        <w:t xml:space="preserve"> </w:t>
      </w:r>
      <w:r w:rsidR="00E93CDB" w:rsidRPr="001E1313">
        <w:t>provide</w:t>
      </w:r>
      <w:r w:rsidR="00DE11FF">
        <w:t>d</w:t>
      </w:r>
      <w:r w:rsidR="00E93CDB" w:rsidRPr="001E1313">
        <w:t xml:space="preserve"> an update on the </w:t>
      </w:r>
      <w:r w:rsidR="00E93CDB">
        <w:t>negotiation under the "</w:t>
      </w:r>
      <w:r w:rsidR="00E93CDB" w:rsidRPr="001E1313">
        <w:t>Agreement on Climate Change, Trade and Sustainability</w:t>
      </w:r>
      <w:r w:rsidR="00E93CDB">
        <w:t>"</w:t>
      </w:r>
      <w:r w:rsidR="00E93CDB" w:rsidRPr="001E1313">
        <w:t xml:space="preserve"> (ACCTS) initiative</w:t>
      </w:r>
      <w:r w:rsidR="00E93CDB">
        <w:t>.</w:t>
      </w:r>
      <w:r>
        <w:t xml:space="preserve"> </w:t>
      </w:r>
      <w:r w:rsidR="003B0E0A" w:rsidRPr="00DE11FF">
        <w:rPr>
          <w:rFonts w:cstheme="minorHAnsi"/>
          <w:szCs w:val="18"/>
        </w:rPr>
        <w:t xml:space="preserve">As noted in previous meetings of this Committee, New Zealand, Costa Rica, Fiji, Iceland, Norway, and Switzerland </w:t>
      </w:r>
      <w:r w:rsidR="00DE11FF" w:rsidRPr="00DE11FF">
        <w:rPr>
          <w:rFonts w:cstheme="minorHAnsi"/>
          <w:szCs w:val="18"/>
        </w:rPr>
        <w:t>were</w:t>
      </w:r>
      <w:r w:rsidR="003B0E0A" w:rsidRPr="00DE11FF">
        <w:rPr>
          <w:rFonts w:cstheme="minorHAnsi"/>
          <w:szCs w:val="18"/>
        </w:rPr>
        <w:t xml:space="preserve"> currently negotiating the Agreement on Climate Change, Trade and Sustainability (ACCTS) which encompasse</w:t>
      </w:r>
      <w:r w:rsidR="00DE11FF" w:rsidRPr="00DE11FF">
        <w:rPr>
          <w:rFonts w:cstheme="minorHAnsi"/>
          <w:szCs w:val="18"/>
        </w:rPr>
        <w:t>d</w:t>
      </w:r>
      <w:r w:rsidR="003B0E0A" w:rsidRPr="00DE11FF">
        <w:rPr>
          <w:rFonts w:cstheme="minorHAnsi"/>
          <w:szCs w:val="18"/>
        </w:rPr>
        <w:t xml:space="preserve"> four key pillars which </w:t>
      </w:r>
      <w:r w:rsidR="00DE11FF" w:rsidRPr="00DE11FF">
        <w:rPr>
          <w:rFonts w:cstheme="minorHAnsi"/>
          <w:szCs w:val="18"/>
        </w:rPr>
        <w:t>we</w:t>
      </w:r>
      <w:r w:rsidR="003B0E0A" w:rsidRPr="00DE11FF">
        <w:rPr>
          <w:rFonts w:cstheme="minorHAnsi"/>
          <w:szCs w:val="18"/>
        </w:rPr>
        <w:t xml:space="preserve">re at the nexus of trade and environment and sustainable development policy. </w:t>
      </w:r>
      <w:r w:rsidR="003B0E0A" w:rsidRPr="005B144C">
        <w:t xml:space="preserve">The ACCTS pillars </w:t>
      </w:r>
      <w:r w:rsidR="00DE11FF">
        <w:t>were:</w:t>
      </w:r>
      <w:r w:rsidR="003B0E0A" w:rsidRPr="005B144C">
        <w:t xml:space="preserve"> the liberalisation of environmental goods</w:t>
      </w:r>
      <w:r w:rsidR="00DE11FF">
        <w:t>;</w:t>
      </w:r>
      <w:r w:rsidR="003B0E0A" w:rsidRPr="005B144C">
        <w:t xml:space="preserve"> new and binding commitments for environmental services</w:t>
      </w:r>
      <w:r w:rsidR="00DE11FF">
        <w:t>;</w:t>
      </w:r>
      <w:r w:rsidR="003B0E0A" w:rsidRPr="005B144C">
        <w:t xml:space="preserve"> disciplines to eliminate harmful </w:t>
      </w:r>
      <w:r w:rsidR="00DE11FF">
        <w:t>FFS;</w:t>
      </w:r>
      <w:r w:rsidR="003B0E0A" w:rsidRPr="005B144C">
        <w:t xml:space="preserve"> and best practice guidelines to inform the development and implementation of voluntary eco-labelling programmes and mechanisms. The fourth round concluded last week (26 March 2021) with the delegations holding multiple sessions across the four working groups. The working groups continue</w:t>
      </w:r>
      <w:r w:rsidR="00DE11FF">
        <w:t>d</w:t>
      </w:r>
      <w:r w:rsidR="003B0E0A" w:rsidRPr="005B144C">
        <w:t xml:space="preserve"> to make steady progress across the four pillars. </w:t>
      </w:r>
    </w:p>
    <w:p w14:paraId="0915A76D" w14:textId="1A7A2BA4" w:rsidR="003B0E0A" w:rsidRPr="005B144C" w:rsidRDefault="003B0E0A" w:rsidP="001750EA">
      <w:pPr>
        <w:pStyle w:val="BodyText"/>
      </w:pPr>
      <w:r w:rsidRPr="005B144C">
        <w:t>In the environmental services group, discussions ha</w:t>
      </w:r>
      <w:r w:rsidR="00DE11FF">
        <w:t>d</w:t>
      </w:r>
      <w:r w:rsidRPr="005B144C">
        <w:t xml:space="preserve"> focused on addressing the issue of dual use in the environmental services list and the importance of ensuring legal certainty and predictability. The group </w:t>
      </w:r>
      <w:r w:rsidR="00DE11FF">
        <w:t>would</w:t>
      </w:r>
      <w:r w:rsidRPr="005B144C">
        <w:t xml:space="preserve"> also consider definitions for key terms, such as environmental services, and consider text proposals ahead of the next round. This work support</w:t>
      </w:r>
      <w:r w:rsidR="00DE11FF">
        <w:t>ed</w:t>
      </w:r>
      <w:r w:rsidRPr="005B144C">
        <w:t xml:space="preserve"> the underlying objective of this pillar, which </w:t>
      </w:r>
      <w:r w:rsidR="00DE11FF">
        <w:t>was</w:t>
      </w:r>
      <w:r w:rsidRPr="005B144C">
        <w:t xml:space="preserve"> to identify and agree on a list of environmental services and environmentally related services. In the environmental goods group, participants ha</w:t>
      </w:r>
      <w:r w:rsidR="00DE11FF">
        <w:t>d</w:t>
      </w:r>
      <w:r w:rsidRPr="005B144C">
        <w:t xml:space="preserve"> drawn on the extensive environmental goods discussions and resources from other fora, including the </w:t>
      </w:r>
      <w:r w:rsidRPr="00F6527C">
        <w:t>APEC</w:t>
      </w:r>
      <w:r w:rsidR="00F6527C">
        <w:t>upto</w:t>
      </w:r>
      <w:r w:rsidRPr="005B144C">
        <w:t xml:space="preserve"> and </w:t>
      </w:r>
      <w:r w:rsidR="002A0B2B">
        <w:t>Environmental Goods Agreement</w:t>
      </w:r>
      <w:r w:rsidRPr="005B144C">
        <w:t xml:space="preserve"> co-chair lists.</w:t>
      </w:r>
      <w:r w:rsidR="0035369C" w:rsidRPr="005B144C">
        <w:t xml:space="preserve"> </w:t>
      </w:r>
      <w:r w:rsidRPr="005B144C">
        <w:t>The six participants ha</w:t>
      </w:r>
      <w:r w:rsidR="00DE11FF">
        <w:t>d</w:t>
      </w:r>
      <w:r w:rsidRPr="005B144C">
        <w:t xml:space="preserve"> developed a comprehensive environmental goods </w:t>
      </w:r>
      <w:r w:rsidR="00DE11FF">
        <w:t>"</w:t>
      </w:r>
      <w:r w:rsidRPr="005B144C">
        <w:t>long list</w:t>
      </w:r>
      <w:r w:rsidR="00DE11FF">
        <w:t>"</w:t>
      </w:r>
      <w:r w:rsidRPr="005B144C">
        <w:t>, nominating over 550 environmental goods, of which 70 goods ha</w:t>
      </w:r>
      <w:r w:rsidR="00DE11FF">
        <w:t>d</w:t>
      </w:r>
      <w:r w:rsidRPr="005B144C">
        <w:t xml:space="preserve"> been shortlisted to date. Participants continue</w:t>
      </w:r>
      <w:r w:rsidR="00DE11FF">
        <w:t>d</w:t>
      </w:r>
      <w:r w:rsidRPr="005B144C">
        <w:t xml:space="preserve"> to review nominations, amend, and update the long list. This work </w:t>
      </w:r>
      <w:r w:rsidR="00DE11FF">
        <w:t>was</w:t>
      </w:r>
      <w:r w:rsidRPr="005B144C">
        <w:t xml:space="preserve"> occurring alongside discussions on textual proposals. This work support</w:t>
      </w:r>
      <w:r w:rsidR="00DE11FF">
        <w:t>ed</w:t>
      </w:r>
      <w:r w:rsidRPr="005B144C">
        <w:t xml:space="preserve"> the underlying objective of this pillar, which </w:t>
      </w:r>
      <w:r w:rsidR="00DE11FF">
        <w:t>was to</w:t>
      </w:r>
      <w:r w:rsidRPr="005B144C">
        <w:t xml:space="preserve"> develop a schedule of environmental goods, that ha</w:t>
      </w:r>
      <w:r w:rsidR="00DE11FF">
        <w:t>d</w:t>
      </w:r>
      <w:r w:rsidRPr="005B144C">
        <w:t xml:space="preserve"> an identifiable and sound environmental end use or benefit, and to eliminate tariffs on these environmental goods. </w:t>
      </w:r>
    </w:p>
    <w:p w14:paraId="08149B75" w14:textId="77777777" w:rsidR="00DE11FF" w:rsidRDefault="003B0E0A" w:rsidP="001750EA">
      <w:pPr>
        <w:pStyle w:val="BodyText"/>
      </w:pPr>
      <w:r w:rsidRPr="005B144C">
        <w:t xml:space="preserve">In the eco-labelling group, participants </w:t>
      </w:r>
      <w:r w:rsidR="00DE11FF">
        <w:t>were</w:t>
      </w:r>
      <w:r w:rsidRPr="005B144C">
        <w:t xml:space="preserve"> similarly drawing on existing sources where appropriate and continuing discussions on potential textual elements for the principles-based guidelines as well as effective and practical institutional mechanisms that </w:t>
      </w:r>
      <w:r w:rsidR="00DE11FF">
        <w:t>would</w:t>
      </w:r>
      <w:r w:rsidRPr="005B144C">
        <w:t xml:space="preserve"> support the promotion and implementation of the guidelines. Work continue</w:t>
      </w:r>
      <w:r w:rsidR="00DE11FF">
        <w:t>d</w:t>
      </w:r>
      <w:r w:rsidRPr="005B144C">
        <w:t xml:space="preserve"> on considering the appropriate scope and key definitions for this pillar of the ACCTS. Discussions ha</w:t>
      </w:r>
      <w:r w:rsidR="00DE11FF">
        <w:t>d</w:t>
      </w:r>
      <w:r w:rsidRPr="005B144C">
        <w:t xml:space="preserve"> also focused on potential text-based options for the content and structure of the principles-based guidelines and the institutional mechanisms that </w:t>
      </w:r>
      <w:r w:rsidR="00DE11FF">
        <w:t>would</w:t>
      </w:r>
      <w:r w:rsidRPr="005B144C">
        <w:t xml:space="preserve"> support the implementation of the guidelines. </w:t>
      </w:r>
    </w:p>
    <w:p w14:paraId="3977256F" w14:textId="4F910E7C" w:rsidR="003B0E0A" w:rsidRPr="005B144C" w:rsidRDefault="003B0E0A" w:rsidP="001750EA">
      <w:pPr>
        <w:pStyle w:val="BodyText"/>
      </w:pPr>
      <w:r w:rsidRPr="005B144C">
        <w:t xml:space="preserve">The </w:t>
      </w:r>
      <w:r w:rsidR="00DE11FF">
        <w:t>FFS</w:t>
      </w:r>
      <w:r w:rsidRPr="005B144C">
        <w:t xml:space="preserve"> working group continue</w:t>
      </w:r>
      <w:r w:rsidR="00DE11FF">
        <w:t>d</w:t>
      </w:r>
      <w:r w:rsidRPr="005B144C">
        <w:t xml:space="preserve"> to navigate complex and interconnected elements related to developing legally enforceable and WTO-consistent disciplines on </w:t>
      </w:r>
      <w:r w:rsidR="00DE11FF">
        <w:t>FFS</w:t>
      </w:r>
      <w:r w:rsidRPr="005B144C">
        <w:t>. In Round 4, the group focused on the scope of the chapter and definitions of fundamental terms, exploring the advantages and disadvantages of different approaches.</w:t>
      </w:r>
      <w:r w:rsidR="00DE11FF">
        <w:t xml:space="preserve"> </w:t>
      </w:r>
      <w:r w:rsidRPr="005B144C">
        <w:t xml:space="preserve">Acknowledging the elements </w:t>
      </w:r>
      <w:r w:rsidR="00DE11FF">
        <w:t>were</w:t>
      </w:r>
      <w:r w:rsidRPr="005B144C">
        <w:t xml:space="preserve"> interconnected, the group also discussed how the primary commitments section might be structured, and considered whether the typologies of subsidies listed under the </w:t>
      </w:r>
      <w:r w:rsidR="002A0B2B">
        <w:t>SDGs</w:t>
      </w:r>
      <w:r w:rsidRPr="005B144C">
        <w:t xml:space="preserve"> could be applied and how various approaches from existing subsidies frameworks might inform their work.</w:t>
      </w:r>
      <w:r w:rsidR="0035369C" w:rsidRPr="005B144C">
        <w:t xml:space="preserve"> </w:t>
      </w:r>
      <w:r w:rsidRPr="005B144C">
        <w:t xml:space="preserve">The group </w:t>
      </w:r>
      <w:r w:rsidR="00DE11FF">
        <w:t>would</w:t>
      </w:r>
      <w:r w:rsidRPr="005B144C">
        <w:t xml:space="preserve"> consider textual elements ahead of the next round. </w:t>
      </w:r>
    </w:p>
    <w:p w14:paraId="10986BC8" w14:textId="4A3FBD22" w:rsidR="003B0E0A" w:rsidRDefault="00363B04" w:rsidP="001750EA">
      <w:pPr>
        <w:pStyle w:val="BodyText"/>
      </w:pPr>
      <w:r>
        <w:t>New Zealand</w:t>
      </w:r>
      <w:r w:rsidR="003B0E0A" w:rsidRPr="005B144C">
        <w:t xml:space="preserve"> welcome</w:t>
      </w:r>
      <w:r>
        <w:t>d</w:t>
      </w:r>
      <w:r w:rsidR="003B0E0A" w:rsidRPr="005B144C">
        <w:t xml:space="preserve"> interest from WTO members on the Agreement and </w:t>
      </w:r>
      <w:r>
        <w:t xml:space="preserve">would </w:t>
      </w:r>
      <w:r w:rsidR="003B0E0A" w:rsidRPr="005B144C">
        <w:t xml:space="preserve">continue to keep interested Members informed on developments. The resulting Treaty-level and WTO-consistent instrument </w:t>
      </w:r>
      <w:r>
        <w:t>would</w:t>
      </w:r>
      <w:r w:rsidR="003B0E0A" w:rsidRPr="005B144C">
        <w:t xml:space="preserve"> be open to other Members to join, provided they </w:t>
      </w:r>
      <w:r>
        <w:t>were</w:t>
      </w:r>
      <w:r w:rsidR="003B0E0A" w:rsidRPr="005B144C">
        <w:t xml:space="preserve"> able to meet its obligations. More broadly, </w:t>
      </w:r>
      <w:r>
        <w:t>New Zealand</w:t>
      </w:r>
      <w:r w:rsidR="003B0E0A" w:rsidRPr="005B144C">
        <w:t xml:space="preserve"> remain</w:t>
      </w:r>
      <w:r>
        <w:t>ed</w:t>
      </w:r>
      <w:r w:rsidR="003B0E0A" w:rsidRPr="005B144C">
        <w:t xml:space="preserve"> committed to keeping this Committee informed of progress of the negotiations. </w:t>
      </w:r>
      <w:r>
        <w:t>The</w:t>
      </w:r>
      <w:r w:rsidR="003B0E0A" w:rsidRPr="005B144C">
        <w:t xml:space="preserve"> goal </w:t>
      </w:r>
      <w:r>
        <w:t>was</w:t>
      </w:r>
      <w:r w:rsidR="003B0E0A" w:rsidRPr="005B144C">
        <w:t xml:space="preserve"> that the ACCTS </w:t>
      </w:r>
      <w:r>
        <w:t>would</w:t>
      </w:r>
      <w:r w:rsidR="003B0E0A" w:rsidRPr="005B144C">
        <w:t xml:space="preserve"> help inform broader trade and environmental discussions at the WTO by demonstrating how trade actions </w:t>
      </w:r>
      <w:r>
        <w:t>could</w:t>
      </w:r>
      <w:r w:rsidR="003B0E0A" w:rsidRPr="005B144C">
        <w:t xml:space="preserve"> drive environmental outcomes. </w:t>
      </w:r>
    </w:p>
    <w:p w14:paraId="0EA18378" w14:textId="6759C41D" w:rsidR="00920EC6" w:rsidRPr="00920EC6" w:rsidRDefault="00920EC6" w:rsidP="00920EC6">
      <w:pPr>
        <w:pStyle w:val="Heading4"/>
      </w:pPr>
      <w:bookmarkStart w:id="43" w:name="_Toc74660673"/>
      <w:r>
        <w:t xml:space="preserve">Canada's report </w:t>
      </w:r>
      <w:r w:rsidRPr="006105FB">
        <w:t xml:space="preserve">on </w:t>
      </w:r>
      <w:r w:rsidRPr="00363B04">
        <w:rPr>
          <w:szCs w:val="18"/>
        </w:rPr>
        <w:t>webinar on Border Carbon Adjustments (BCAs): Issues, Options and Impacts</w:t>
      </w:r>
      <w:bookmarkEnd w:id="43"/>
    </w:p>
    <w:p w14:paraId="3D9C8192" w14:textId="71D165C7" w:rsidR="003B0E0A" w:rsidRPr="00363B04" w:rsidRDefault="00884659" w:rsidP="001750EA">
      <w:pPr>
        <w:pStyle w:val="BodyText"/>
        <w:rPr>
          <w:szCs w:val="18"/>
        </w:rPr>
      </w:pPr>
      <w:r w:rsidRPr="00DF5BF4">
        <w:t xml:space="preserve">The </w:t>
      </w:r>
      <w:r>
        <w:t xml:space="preserve">representative of </w:t>
      </w:r>
      <w:r w:rsidR="00B74992" w:rsidRPr="00363B04">
        <w:rPr>
          <w:u w:val="single"/>
        </w:rPr>
        <w:t>Canada</w:t>
      </w:r>
      <w:r w:rsidR="00B74992" w:rsidRPr="006105FB">
        <w:t xml:space="preserve"> report</w:t>
      </w:r>
      <w:r w:rsidR="00363B04">
        <w:t>ed</w:t>
      </w:r>
      <w:r w:rsidR="00B74992" w:rsidRPr="006105FB">
        <w:t xml:space="preserve"> </w:t>
      </w:r>
      <w:r w:rsidR="00920EC6" w:rsidRPr="006105FB">
        <w:t xml:space="preserve">on </w:t>
      </w:r>
      <w:r w:rsidR="00920EC6" w:rsidRPr="00363B04">
        <w:rPr>
          <w:szCs w:val="18"/>
        </w:rPr>
        <w:t xml:space="preserve">a webinar his delegation hosted on 4 March entitled "BCAs: Issues, Options and Impacts </w:t>
      </w:r>
      <w:r w:rsidR="00363B04" w:rsidRPr="00363B04">
        <w:rPr>
          <w:szCs w:val="18"/>
        </w:rPr>
        <w:t>"</w:t>
      </w:r>
      <w:r w:rsidR="003B0E0A" w:rsidRPr="00363B04">
        <w:rPr>
          <w:szCs w:val="18"/>
        </w:rPr>
        <w:t xml:space="preserve">. The main objective of the webinar was to increase the knowledge and understanding of what </w:t>
      </w:r>
      <w:r w:rsidR="00363B04" w:rsidRPr="00363B04">
        <w:rPr>
          <w:szCs w:val="18"/>
        </w:rPr>
        <w:t>BCAs</w:t>
      </w:r>
      <w:r w:rsidR="003B0E0A" w:rsidRPr="00363B04">
        <w:rPr>
          <w:szCs w:val="18"/>
        </w:rPr>
        <w:t xml:space="preserve"> </w:t>
      </w:r>
      <w:r w:rsidR="00363B04" w:rsidRPr="00363B04">
        <w:rPr>
          <w:szCs w:val="18"/>
        </w:rPr>
        <w:t>were</w:t>
      </w:r>
      <w:r w:rsidR="003B0E0A" w:rsidRPr="00363B04">
        <w:rPr>
          <w:szCs w:val="18"/>
        </w:rPr>
        <w:t xml:space="preserve">, and how they </w:t>
      </w:r>
      <w:r w:rsidR="00363B04" w:rsidRPr="00363B04">
        <w:rPr>
          <w:szCs w:val="18"/>
        </w:rPr>
        <w:t>might</w:t>
      </w:r>
      <w:r w:rsidR="003B0E0A" w:rsidRPr="00363B04">
        <w:rPr>
          <w:szCs w:val="18"/>
        </w:rPr>
        <w:t xml:space="preserve"> interact with trade rules.</w:t>
      </w:r>
      <w:r w:rsidR="00363B04" w:rsidRPr="00363B04">
        <w:rPr>
          <w:szCs w:val="18"/>
        </w:rPr>
        <w:t xml:space="preserve"> </w:t>
      </w:r>
      <w:r w:rsidR="003B0E0A" w:rsidRPr="00363B04">
        <w:rPr>
          <w:szCs w:val="18"/>
        </w:rPr>
        <w:lastRenderedPageBreak/>
        <w:t xml:space="preserve">There was overwhelming interest in the webinar – over 750 registrants – underscoring the growing interest to engage in further discussions on </w:t>
      </w:r>
      <w:r w:rsidR="00363B04" w:rsidRPr="00363B04">
        <w:rPr>
          <w:szCs w:val="18"/>
        </w:rPr>
        <w:t>BCAs</w:t>
      </w:r>
      <w:r w:rsidR="003B0E0A" w:rsidRPr="00363B04">
        <w:rPr>
          <w:szCs w:val="18"/>
        </w:rPr>
        <w:t xml:space="preserve">, including from a trade policy perspective. A recording of the webinar </w:t>
      </w:r>
      <w:r w:rsidR="00363B04" w:rsidRPr="00363B04">
        <w:rPr>
          <w:szCs w:val="18"/>
        </w:rPr>
        <w:t>was</w:t>
      </w:r>
      <w:r w:rsidR="003B0E0A" w:rsidRPr="00363B04">
        <w:rPr>
          <w:szCs w:val="18"/>
        </w:rPr>
        <w:t xml:space="preserve"> available on the Mission of Canada YouTube channel.</w:t>
      </w:r>
      <w:r w:rsidR="00363B04" w:rsidRPr="00363B04">
        <w:rPr>
          <w:szCs w:val="18"/>
        </w:rPr>
        <w:t xml:space="preserve"> Canada'</w:t>
      </w:r>
      <w:r w:rsidR="003B0E0A" w:rsidRPr="00363B04">
        <w:rPr>
          <w:szCs w:val="18"/>
        </w:rPr>
        <w:t xml:space="preserve">s Ambassador de Boer delivered opening and closing remarks, and the webinar was moderated by </w:t>
      </w:r>
      <w:r w:rsidR="00025E1C">
        <w:rPr>
          <w:szCs w:val="18"/>
        </w:rPr>
        <w:t>Dr</w:t>
      </w:r>
      <w:r w:rsidR="0035369C">
        <w:rPr>
          <w:szCs w:val="18"/>
        </w:rPr>
        <w:t> </w:t>
      </w:r>
      <w:r w:rsidR="003B0E0A" w:rsidRPr="00363B04">
        <w:rPr>
          <w:szCs w:val="18"/>
        </w:rPr>
        <w:t>Carolyn Deere</w:t>
      </w:r>
      <w:r w:rsidR="009F1F9A">
        <w:rPr>
          <w:szCs w:val="18"/>
        </w:rPr>
        <w:t xml:space="preserve"> </w:t>
      </w:r>
      <w:r w:rsidR="003B0E0A" w:rsidRPr="00363B04">
        <w:rPr>
          <w:szCs w:val="18"/>
        </w:rPr>
        <w:t>Birkbeck from the Graduate Institute Geneva. It also included 4</w:t>
      </w:r>
      <w:r w:rsidR="00363B04" w:rsidRPr="00363B04">
        <w:rPr>
          <w:szCs w:val="18"/>
        </w:rPr>
        <w:t> </w:t>
      </w:r>
      <w:r w:rsidR="0035369C" w:rsidRPr="00363B04">
        <w:rPr>
          <w:szCs w:val="18"/>
        </w:rPr>
        <w:t>panellists</w:t>
      </w:r>
      <w:r w:rsidR="003B0E0A" w:rsidRPr="00363B04">
        <w:rPr>
          <w:szCs w:val="18"/>
        </w:rPr>
        <w:t>:</w:t>
      </w:r>
      <w:r w:rsidR="00362ECA" w:rsidRPr="00363B04">
        <w:rPr>
          <w:szCs w:val="18"/>
        </w:rPr>
        <w:t xml:space="preserve"> </w:t>
      </w:r>
      <w:r w:rsidR="003B0E0A" w:rsidRPr="00363B04">
        <w:rPr>
          <w:szCs w:val="18"/>
        </w:rPr>
        <w:t>Andrei</w:t>
      </w:r>
      <w:r w:rsidR="0035369C">
        <w:rPr>
          <w:szCs w:val="18"/>
        </w:rPr>
        <w:t> </w:t>
      </w:r>
      <w:r w:rsidR="003B0E0A" w:rsidRPr="00363B04">
        <w:rPr>
          <w:szCs w:val="18"/>
        </w:rPr>
        <w:t>Marcu (European Roundtable on Climate Change and Sustainable Transition); Aaron Cosbey (International Institute for Sustainable Development);</w:t>
      </w:r>
      <w:r w:rsidR="00362ECA" w:rsidRPr="00363B04">
        <w:rPr>
          <w:szCs w:val="18"/>
        </w:rPr>
        <w:t xml:space="preserve"> </w:t>
      </w:r>
      <w:r w:rsidR="003B0E0A" w:rsidRPr="00363B04">
        <w:rPr>
          <w:szCs w:val="18"/>
        </w:rPr>
        <w:t>Catherine Cobden (Canadian Steel Producers Association); and Ludivine Tamiotti (WTO</w:t>
      </w:r>
      <w:r w:rsidR="00363B04" w:rsidRPr="00363B04">
        <w:rPr>
          <w:szCs w:val="18"/>
        </w:rPr>
        <w:t>)</w:t>
      </w:r>
      <w:r w:rsidR="003B0E0A" w:rsidRPr="00363B04">
        <w:rPr>
          <w:szCs w:val="18"/>
        </w:rPr>
        <w:t>.</w:t>
      </w:r>
    </w:p>
    <w:p w14:paraId="7A60C2F3" w14:textId="7199C2A7" w:rsidR="003B0E0A" w:rsidRPr="00363B04" w:rsidRDefault="003B0E0A" w:rsidP="001750EA">
      <w:pPr>
        <w:pStyle w:val="BodyText"/>
        <w:rPr>
          <w:szCs w:val="18"/>
        </w:rPr>
      </w:pPr>
      <w:r w:rsidRPr="00363B04">
        <w:rPr>
          <w:szCs w:val="18"/>
        </w:rPr>
        <w:t xml:space="preserve">The presentations addressed a range of issues pertaining to </w:t>
      </w:r>
      <w:r w:rsidR="00363B04" w:rsidRPr="00363B04">
        <w:rPr>
          <w:szCs w:val="18"/>
        </w:rPr>
        <w:t>BCAs</w:t>
      </w:r>
      <w:r w:rsidRPr="00363B04">
        <w:rPr>
          <w:szCs w:val="18"/>
        </w:rPr>
        <w:t xml:space="preserve">, including the linkages to climate targets and the Paris Agreement, design options, industry views and the relationship with WTO rules. A key takeaway from the webinar was that dialogue, transparency and coordination </w:t>
      </w:r>
      <w:r w:rsidR="00363B04" w:rsidRPr="00363B04">
        <w:rPr>
          <w:szCs w:val="18"/>
        </w:rPr>
        <w:t>we</w:t>
      </w:r>
      <w:r w:rsidRPr="00363B04">
        <w:rPr>
          <w:szCs w:val="18"/>
        </w:rPr>
        <w:t xml:space="preserve">re important, as efforts on </w:t>
      </w:r>
      <w:r w:rsidR="00363B04" w:rsidRPr="00363B04">
        <w:rPr>
          <w:szCs w:val="18"/>
        </w:rPr>
        <w:t>BCAs</w:t>
      </w:r>
      <w:r w:rsidRPr="00363B04">
        <w:rPr>
          <w:szCs w:val="18"/>
        </w:rPr>
        <w:t xml:space="preserve"> progress</w:t>
      </w:r>
      <w:r w:rsidR="00363B04" w:rsidRPr="00363B04">
        <w:rPr>
          <w:szCs w:val="18"/>
        </w:rPr>
        <w:t>ed</w:t>
      </w:r>
      <w:r w:rsidRPr="00363B04">
        <w:rPr>
          <w:szCs w:val="18"/>
        </w:rPr>
        <w:t>, especially from a trade policy perspective.</w:t>
      </w:r>
      <w:r w:rsidR="00363B04" w:rsidRPr="00363B04">
        <w:rPr>
          <w:szCs w:val="18"/>
        </w:rPr>
        <w:t xml:space="preserve"> </w:t>
      </w:r>
      <w:r w:rsidRPr="00363B04">
        <w:rPr>
          <w:szCs w:val="18"/>
        </w:rPr>
        <w:t>Effective coordination also mean</w:t>
      </w:r>
      <w:r w:rsidR="00363B04">
        <w:rPr>
          <w:szCs w:val="18"/>
        </w:rPr>
        <w:t>t</w:t>
      </w:r>
      <w:r w:rsidRPr="00363B04">
        <w:rPr>
          <w:szCs w:val="18"/>
        </w:rPr>
        <w:t xml:space="preserve"> a dialogue with stakeholders as this issue move</w:t>
      </w:r>
      <w:r w:rsidR="00363B04">
        <w:rPr>
          <w:szCs w:val="18"/>
        </w:rPr>
        <w:t>d</w:t>
      </w:r>
      <w:r w:rsidRPr="00363B04">
        <w:rPr>
          <w:szCs w:val="18"/>
        </w:rPr>
        <w:t xml:space="preserve"> forward.</w:t>
      </w:r>
      <w:r w:rsidR="00362ECA" w:rsidRPr="00363B04">
        <w:rPr>
          <w:szCs w:val="18"/>
        </w:rPr>
        <w:t xml:space="preserve"> </w:t>
      </w:r>
      <w:r w:rsidRPr="00363B04">
        <w:rPr>
          <w:szCs w:val="18"/>
        </w:rPr>
        <w:t xml:space="preserve">Canada fundamentally believes that Members </w:t>
      </w:r>
      <w:r w:rsidR="00363B04">
        <w:rPr>
          <w:szCs w:val="18"/>
        </w:rPr>
        <w:t>needed to</w:t>
      </w:r>
      <w:r w:rsidRPr="00363B04">
        <w:rPr>
          <w:szCs w:val="18"/>
        </w:rPr>
        <w:t xml:space="preserve"> work urgently to demonstrate how the multilateral trading system </w:t>
      </w:r>
      <w:r w:rsidR="00363B04">
        <w:rPr>
          <w:szCs w:val="18"/>
        </w:rPr>
        <w:t>could</w:t>
      </w:r>
      <w:r w:rsidRPr="00363B04">
        <w:rPr>
          <w:szCs w:val="18"/>
        </w:rPr>
        <w:t xml:space="preserve"> meaningfully and credibly contribute to achieving global environmental sustainability objectives.</w:t>
      </w:r>
      <w:r w:rsidR="00362ECA" w:rsidRPr="00363B04">
        <w:rPr>
          <w:szCs w:val="18"/>
        </w:rPr>
        <w:t xml:space="preserve"> </w:t>
      </w:r>
      <w:r w:rsidR="00363B04">
        <w:rPr>
          <w:szCs w:val="18"/>
        </w:rPr>
        <w:t>Canada would</w:t>
      </w:r>
      <w:r w:rsidRPr="00363B04">
        <w:rPr>
          <w:szCs w:val="18"/>
        </w:rPr>
        <w:t xml:space="preserve"> also be working with like-minded economies to consider how </w:t>
      </w:r>
      <w:r w:rsidR="00363B04">
        <w:rPr>
          <w:szCs w:val="18"/>
        </w:rPr>
        <w:t>BCAs</w:t>
      </w:r>
      <w:r w:rsidRPr="00363B04">
        <w:rPr>
          <w:szCs w:val="18"/>
        </w:rPr>
        <w:t xml:space="preserve"> could fit into a broader strategy to meet climate targets, while ensuring a fair environment for businesses.</w:t>
      </w:r>
    </w:p>
    <w:p w14:paraId="75B87977" w14:textId="4B0A2CBE" w:rsidR="003B0E0A" w:rsidRPr="000D4B6F" w:rsidRDefault="00362ECA" w:rsidP="00362ECA">
      <w:pPr>
        <w:pStyle w:val="BodyText"/>
        <w:rPr>
          <w:rFonts w:cstheme="minorHAnsi"/>
          <w:caps/>
          <w:szCs w:val="18"/>
        </w:rPr>
      </w:pPr>
      <w:r w:rsidRPr="005D231B">
        <w:t xml:space="preserve">The representative of the </w:t>
      </w:r>
      <w:r w:rsidRPr="005D231B">
        <w:rPr>
          <w:szCs w:val="18"/>
          <w:u w:val="single"/>
        </w:rPr>
        <w:t>United</w:t>
      </w:r>
      <w:r w:rsidR="00025E1C">
        <w:rPr>
          <w:szCs w:val="18"/>
          <w:u w:val="single"/>
        </w:rPr>
        <w:t> States</w:t>
      </w:r>
      <w:r w:rsidR="003B0E0A" w:rsidRPr="005D231B">
        <w:rPr>
          <w:rFonts w:cstheme="minorHAnsi"/>
          <w:szCs w:val="18"/>
        </w:rPr>
        <w:t xml:space="preserve"> appreciated the diversity of technical expertise and the detailed consideration of the technical, legal, and other issues that need</w:t>
      </w:r>
      <w:r w:rsidR="00363B04">
        <w:rPr>
          <w:rFonts w:cstheme="minorHAnsi"/>
          <w:szCs w:val="18"/>
        </w:rPr>
        <w:t>ed</w:t>
      </w:r>
      <w:r w:rsidR="003B0E0A" w:rsidRPr="005D231B">
        <w:rPr>
          <w:rFonts w:cstheme="minorHAnsi"/>
          <w:szCs w:val="18"/>
        </w:rPr>
        <w:t xml:space="preserve"> to be addressed and analysed during the design and implementation of a </w:t>
      </w:r>
      <w:r w:rsidR="00363B04">
        <w:rPr>
          <w:rFonts w:cstheme="minorHAnsi"/>
          <w:szCs w:val="18"/>
        </w:rPr>
        <w:t>BCA</w:t>
      </w:r>
      <w:r w:rsidR="003B0E0A" w:rsidRPr="005D231B">
        <w:rPr>
          <w:rFonts w:cstheme="minorHAnsi"/>
          <w:szCs w:val="18"/>
        </w:rPr>
        <w:t>.</w:t>
      </w:r>
      <w:r w:rsidRPr="005D231B">
        <w:rPr>
          <w:rFonts w:cstheme="minorHAnsi"/>
          <w:szCs w:val="18"/>
        </w:rPr>
        <w:t xml:space="preserve"> </w:t>
      </w:r>
      <w:r w:rsidR="00363B04">
        <w:rPr>
          <w:rFonts w:cstheme="minorHAnsi"/>
          <w:szCs w:val="18"/>
        </w:rPr>
        <w:t>The United</w:t>
      </w:r>
      <w:r w:rsidR="00025E1C">
        <w:rPr>
          <w:rFonts w:cstheme="minorHAnsi"/>
          <w:szCs w:val="18"/>
        </w:rPr>
        <w:t> States</w:t>
      </w:r>
      <w:r w:rsidR="003B0E0A" w:rsidRPr="005D231B">
        <w:rPr>
          <w:rFonts w:cstheme="minorHAnsi"/>
          <w:szCs w:val="18"/>
        </w:rPr>
        <w:t xml:space="preserve"> look</w:t>
      </w:r>
      <w:r w:rsidR="00363B04">
        <w:rPr>
          <w:rFonts w:cstheme="minorHAnsi"/>
          <w:szCs w:val="18"/>
        </w:rPr>
        <w:t>ed</w:t>
      </w:r>
      <w:r w:rsidR="003B0E0A" w:rsidRPr="005D231B">
        <w:rPr>
          <w:rFonts w:cstheme="minorHAnsi"/>
          <w:szCs w:val="18"/>
        </w:rPr>
        <w:t xml:space="preserve"> forward to continuing to engage with other Members on trade and climate change issues, including </w:t>
      </w:r>
      <w:r w:rsidR="00363B04">
        <w:rPr>
          <w:rFonts w:cstheme="minorHAnsi"/>
          <w:szCs w:val="18"/>
        </w:rPr>
        <w:t>BCAs</w:t>
      </w:r>
      <w:r w:rsidR="003B0E0A" w:rsidRPr="005D231B">
        <w:rPr>
          <w:rFonts w:cstheme="minorHAnsi"/>
          <w:szCs w:val="18"/>
        </w:rPr>
        <w:t xml:space="preserve"> as appropriate, and to explore where trade </w:t>
      </w:r>
      <w:r w:rsidR="00363B04">
        <w:rPr>
          <w:rFonts w:cstheme="minorHAnsi"/>
          <w:szCs w:val="18"/>
        </w:rPr>
        <w:t>could</w:t>
      </w:r>
      <w:r w:rsidR="003B0E0A" w:rsidRPr="005D231B">
        <w:rPr>
          <w:rFonts w:cstheme="minorHAnsi"/>
          <w:szCs w:val="18"/>
        </w:rPr>
        <w:t xml:space="preserve"> support efforts to tackle the climate crisis, including achieving net zero global emissions by 2050. </w:t>
      </w:r>
    </w:p>
    <w:p w14:paraId="1A589072" w14:textId="44990F4E" w:rsidR="000D4B6F" w:rsidRDefault="000D4B6F" w:rsidP="000D4B6F">
      <w:pPr>
        <w:pStyle w:val="Heading3"/>
      </w:pPr>
      <w:bookmarkStart w:id="44" w:name="_Toc71148932"/>
      <w:bookmarkStart w:id="45" w:name="_Toc74660674"/>
      <w:r>
        <w:t>MEAs dealing with chemicals and wastes (the Basel, Rotterdam and Stockholm (BRS) Conventions)</w:t>
      </w:r>
      <w:bookmarkEnd w:id="44"/>
      <w:bookmarkEnd w:id="45"/>
    </w:p>
    <w:p w14:paraId="3EECF528" w14:textId="78B7B406" w:rsidR="00BC1A49" w:rsidRPr="00BC1A49" w:rsidRDefault="00BC1A49" w:rsidP="00BC1A49">
      <w:pPr>
        <w:pStyle w:val="Heading4"/>
      </w:pPr>
      <w:bookmarkStart w:id="46" w:name="_Toc74660675"/>
      <w:r>
        <w:t>BRS</w:t>
      </w:r>
      <w:r w:rsidR="00561A52">
        <w:t xml:space="preserve"> Conventions</w:t>
      </w:r>
      <w:r>
        <w:t xml:space="preserve"> briefing on recent activities</w:t>
      </w:r>
      <w:bookmarkEnd w:id="46"/>
    </w:p>
    <w:p w14:paraId="52AA1D16" w14:textId="2C41B55E" w:rsidR="000D4B6F" w:rsidRPr="005B144C" w:rsidRDefault="000D4B6F" w:rsidP="000D4B6F">
      <w:pPr>
        <w:pStyle w:val="BodyText"/>
      </w:pPr>
      <w:r w:rsidRPr="00DF5BF4">
        <w:t xml:space="preserve">The </w:t>
      </w:r>
      <w:r w:rsidRPr="005D231B">
        <w:rPr>
          <w:u w:val="single"/>
        </w:rPr>
        <w:t>Basel, Rotterdam and Stockholm (BRS) Conventions (UNEP)</w:t>
      </w:r>
      <w:r w:rsidRPr="00DF5BF4">
        <w:t xml:space="preserve"> </w:t>
      </w:r>
      <w:r>
        <w:rPr>
          <w:szCs w:val="18"/>
        </w:rPr>
        <w:t xml:space="preserve">briefed delegations </w:t>
      </w:r>
      <w:r w:rsidRPr="00DF5BF4">
        <w:t>on latest developments</w:t>
      </w:r>
      <w:r>
        <w:t xml:space="preserve">, noting that </w:t>
      </w:r>
      <w:r w:rsidRPr="005B144C">
        <w:t xml:space="preserve">2021 </w:t>
      </w:r>
      <w:r>
        <w:t xml:space="preserve">had </w:t>
      </w:r>
      <w:r w:rsidRPr="005B144C">
        <w:t>started with a big leap forward for chemicals and wastes management.</w:t>
      </w:r>
      <w:r>
        <w:t xml:space="preserve"> </w:t>
      </w:r>
      <w:r w:rsidRPr="005B144C">
        <w:t xml:space="preserve">On 1 January 2021, the new entries introduced in the annexes to the Basel Convention following the </w:t>
      </w:r>
      <w:r w:rsidR="002A0B2B">
        <w:t>"</w:t>
      </w:r>
      <w:r w:rsidRPr="005B144C">
        <w:t>Plastic Waste Amendments</w:t>
      </w:r>
      <w:r w:rsidR="002A0B2B">
        <w:t>"</w:t>
      </w:r>
      <w:r w:rsidRPr="005B144C">
        <w:t xml:space="preserve"> </w:t>
      </w:r>
      <w:r>
        <w:t xml:space="preserve">had </w:t>
      </w:r>
      <w:r w:rsidRPr="005B144C">
        <w:t xml:space="preserve">become effective for 186 Parties. </w:t>
      </w:r>
      <w:r>
        <w:t>T</w:t>
      </w:r>
      <w:r w:rsidRPr="005B144C">
        <w:t xml:space="preserve">he Plastic Waste Amendments </w:t>
      </w:r>
      <w:r>
        <w:t xml:space="preserve">had been </w:t>
      </w:r>
      <w:r w:rsidRPr="005B144C">
        <w:t xml:space="preserve">adopted </w:t>
      </w:r>
      <w:r>
        <w:t>at</w:t>
      </w:r>
      <w:r w:rsidRPr="005B144C">
        <w:t xml:space="preserve"> </w:t>
      </w:r>
      <w:r w:rsidR="002A0B2B">
        <w:t>CoP 14</w:t>
      </w:r>
      <w:r w:rsidRPr="005B144C">
        <w:t xml:space="preserve"> to the Basel Convention held in May 2019, with the objective of enhancing the control of the transboundary movements of plastics waste and clarifying the scope of the Convention, as it applie</w:t>
      </w:r>
      <w:r w:rsidR="002A0B2B">
        <w:t>d</w:t>
      </w:r>
      <w:r w:rsidRPr="005B144C">
        <w:t xml:space="preserve"> to such waste. </w:t>
      </w:r>
    </w:p>
    <w:p w14:paraId="632AAD42" w14:textId="2428DCF1" w:rsidR="000D4B6F" w:rsidRPr="005B144C" w:rsidRDefault="000D4B6F" w:rsidP="000D4B6F">
      <w:pPr>
        <w:pStyle w:val="BodyText"/>
      </w:pPr>
      <w:r w:rsidRPr="005B144C">
        <w:t>C</w:t>
      </w:r>
      <w:r w:rsidR="009D3004">
        <w:t>o</w:t>
      </w:r>
      <w:r w:rsidRPr="005B144C">
        <w:t xml:space="preserve">P-14 </w:t>
      </w:r>
      <w:r>
        <w:t xml:space="preserve">had </w:t>
      </w:r>
      <w:r w:rsidRPr="005B144C">
        <w:t xml:space="preserve">established the Plastic Waste Partnership </w:t>
      </w:r>
      <w:r>
        <w:t xml:space="preserve">(PWP) </w:t>
      </w:r>
      <w:r w:rsidRPr="005B144C">
        <w:t xml:space="preserve">in May 2019, with the objective of improving and promoting the Environmentally Sound Management (ESM) of plastic waste at the global, regional and national levels and prevent and minimize their generation. At its first face-to-face meeting, </w:t>
      </w:r>
      <w:r>
        <w:t>held</w:t>
      </w:r>
      <w:r w:rsidRPr="005B144C">
        <w:t xml:space="preserve"> in the Seychelles</w:t>
      </w:r>
      <w:r>
        <w:t xml:space="preserve"> from</w:t>
      </w:r>
      <w:r w:rsidRPr="005B144C">
        <w:t xml:space="preserve"> 2-5 March 2020, the Partnership (PWP-1) working group</w:t>
      </w:r>
      <w:r>
        <w:t xml:space="preserve"> had</w:t>
      </w:r>
      <w:r w:rsidRPr="005B144C">
        <w:t xml:space="preserve"> agreed to a work plan and four project groups </w:t>
      </w:r>
      <w:r>
        <w:t>had been</w:t>
      </w:r>
      <w:r w:rsidRPr="005B144C">
        <w:t xml:space="preserve"> established on: i) prevention and minimization; ii) plastic waste collection, recycling and other recovery including financing and related markets; iii) transboundary movements (TBM)</w:t>
      </w:r>
      <w:r>
        <w:t xml:space="preserve"> </w:t>
      </w:r>
      <w:r w:rsidRPr="005B144C">
        <w:t xml:space="preserve">of plastic waste; </w:t>
      </w:r>
      <w:r>
        <w:t>iv)</w:t>
      </w:r>
      <w:r w:rsidRPr="005B144C">
        <w:t xml:space="preserve"> outreach, education and awareness raising. </w:t>
      </w:r>
    </w:p>
    <w:p w14:paraId="774595C3" w14:textId="6D87BD8F" w:rsidR="000D4B6F" w:rsidRPr="005B144C" w:rsidRDefault="000D4B6F" w:rsidP="000D4B6F">
      <w:pPr>
        <w:pStyle w:val="BodyText"/>
      </w:pPr>
      <w:r>
        <w:t>At that point</w:t>
      </w:r>
      <w:r w:rsidRPr="005B144C">
        <w:t>, 23 pilot projects ha</w:t>
      </w:r>
      <w:r>
        <w:t>d</w:t>
      </w:r>
      <w:r w:rsidRPr="005B144C">
        <w:t xml:space="preserve"> been selected under the </w:t>
      </w:r>
      <w:r>
        <w:t>PWP</w:t>
      </w:r>
      <w:r w:rsidRPr="005B144C">
        <w:t xml:space="preserve"> pilot project programme, and </w:t>
      </w:r>
      <w:r>
        <w:t>had</w:t>
      </w:r>
      <w:r w:rsidRPr="005B144C">
        <w:t xml:space="preserve"> start</w:t>
      </w:r>
      <w:r>
        <w:t>ed</w:t>
      </w:r>
      <w:r w:rsidRPr="005B144C">
        <w:t xml:space="preserve"> to support Parties in implementing the 3 pillars of the Basel Convention </w:t>
      </w:r>
      <w:r w:rsidR="00025E1C">
        <w:t>–</w:t>
      </w:r>
      <w:r w:rsidRPr="005B144C">
        <w:t xml:space="preserve"> TBM, ESM and prevention of plastics waste – as well as important cross-cutting awareness raising activities. </w:t>
      </w:r>
      <w:r>
        <w:t xml:space="preserve">The </w:t>
      </w:r>
      <w:r w:rsidRPr="005B144C">
        <w:t>pilot projects ha</w:t>
      </w:r>
      <w:r>
        <w:t>d</w:t>
      </w:r>
      <w:r w:rsidRPr="005B144C">
        <w:t xml:space="preserve"> been possible </w:t>
      </w:r>
      <w:r>
        <w:t>due</w:t>
      </w:r>
      <w:r w:rsidRPr="005B144C">
        <w:t xml:space="preserve"> to the generous funding by France, Norway/Norad, Sweden, Switzerland, the European</w:t>
      </w:r>
      <w:r w:rsidR="00025E1C">
        <w:t> Union</w:t>
      </w:r>
      <w:r w:rsidRPr="005B144C">
        <w:t xml:space="preserve">. As </w:t>
      </w:r>
      <w:r>
        <w:t>of</w:t>
      </w:r>
      <w:r w:rsidRPr="005B144C">
        <w:t xml:space="preserve"> 26 March 2021, the PWP </w:t>
      </w:r>
      <w:r>
        <w:t>had</w:t>
      </w:r>
      <w:r w:rsidRPr="005B144C">
        <w:t xml:space="preserve"> 110 members and 216 representatives</w:t>
      </w:r>
      <w:r>
        <w:t xml:space="preserve"> and </w:t>
      </w:r>
      <w:r w:rsidRPr="005B144C">
        <w:t>gather</w:t>
      </w:r>
      <w:r>
        <w:t>ed</w:t>
      </w:r>
      <w:r w:rsidRPr="005B144C">
        <w:t xml:space="preserve"> partners from approximately 50 governments, 13 international intergovernmental organisations, 15 civil society organisations, 20 private sector entities</w:t>
      </w:r>
      <w:r>
        <w:t xml:space="preserve"> and</w:t>
      </w:r>
      <w:r w:rsidRPr="005B144C">
        <w:t xml:space="preserve"> 11 Basel and Stockholm Convention Regional Centres.</w:t>
      </w:r>
      <w:r>
        <w:t xml:space="preserve"> PWP's </w:t>
      </w:r>
      <w:r w:rsidRPr="005B144C">
        <w:t xml:space="preserve">working group second meeting </w:t>
      </w:r>
      <w:r>
        <w:t>was</w:t>
      </w:r>
      <w:r w:rsidRPr="005B144C">
        <w:t xml:space="preserve"> scheduled </w:t>
      </w:r>
      <w:r>
        <w:t>for</w:t>
      </w:r>
      <w:r w:rsidRPr="005B144C">
        <w:t xml:space="preserve"> 14 to 16 June 2021. </w:t>
      </w:r>
    </w:p>
    <w:p w14:paraId="438F6369" w14:textId="6FB49340" w:rsidR="000D4B6F" w:rsidRPr="005B144C" w:rsidRDefault="000D4B6F" w:rsidP="000D4B6F">
      <w:pPr>
        <w:pStyle w:val="BodyText"/>
      </w:pPr>
      <w:r>
        <w:t>With the ratification by Nicaragua in e</w:t>
      </w:r>
      <w:r w:rsidRPr="005B144C">
        <w:t>arly in January</w:t>
      </w:r>
      <w:r>
        <w:t xml:space="preserve"> 2021</w:t>
      </w:r>
      <w:r w:rsidRPr="005B144C">
        <w:t xml:space="preserve">, </w:t>
      </w:r>
      <w:r>
        <w:t>there were now</w:t>
      </w:r>
      <w:r w:rsidRPr="005B144C">
        <w:t xml:space="preserve"> 100</w:t>
      </w:r>
      <w:r>
        <w:t xml:space="preserve"> p</w:t>
      </w:r>
      <w:r w:rsidRPr="005B144C">
        <w:t>art</w:t>
      </w:r>
      <w:r>
        <w:t>ies</w:t>
      </w:r>
      <w:r w:rsidRPr="005B144C">
        <w:t xml:space="preserve"> to the Basel Convention </w:t>
      </w:r>
      <w:r>
        <w:t>who had</w:t>
      </w:r>
      <w:r w:rsidRPr="005B144C">
        <w:t xml:space="preserve"> ratif</w:t>
      </w:r>
      <w:r>
        <w:t>ied</w:t>
      </w:r>
      <w:r w:rsidRPr="005B144C">
        <w:t xml:space="preserve"> the Ban Amendment. The Ban Amendment</w:t>
      </w:r>
      <w:r>
        <w:t>, which had</w:t>
      </w:r>
      <w:r w:rsidRPr="005B144C">
        <w:t xml:space="preserve"> entered </w:t>
      </w:r>
      <w:r w:rsidRPr="005B144C">
        <w:lastRenderedPageBreak/>
        <w:t>into force in December 2019</w:t>
      </w:r>
      <w:r>
        <w:t>,</w:t>
      </w:r>
      <w:r w:rsidRPr="005B144C">
        <w:t xml:space="preserve"> prohibi</w:t>
      </w:r>
      <w:r>
        <w:t>ted</w:t>
      </w:r>
      <w:r w:rsidRPr="005B144C">
        <w:t xml:space="preserve"> all transboundary movements of hazardous wastes destined for final disposal, from developed countries (OECD, </w:t>
      </w:r>
      <w:r w:rsidR="00F35F01">
        <w:t>European</w:t>
      </w:r>
      <w:r w:rsidR="00025E1C">
        <w:t> Union</w:t>
      </w:r>
      <w:r w:rsidRPr="005B144C">
        <w:t>, Liechtenstein) to developing countries.</w:t>
      </w:r>
      <w:r>
        <w:t xml:space="preserve"> It</w:t>
      </w:r>
      <w:r w:rsidRPr="005B144C">
        <w:t xml:space="preserve"> mean</w:t>
      </w:r>
      <w:r>
        <w:t>t</w:t>
      </w:r>
      <w:r w:rsidRPr="005B144C">
        <w:t xml:space="preserve"> that those 100 Parties that ha</w:t>
      </w:r>
      <w:r>
        <w:t>d</w:t>
      </w:r>
      <w:r w:rsidRPr="005B144C">
        <w:t xml:space="preserve"> agreed to be bound by the Amendment </w:t>
      </w:r>
      <w:r>
        <w:t xml:space="preserve">were </w:t>
      </w:r>
      <w:r w:rsidRPr="005B144C">
        <w:t xml:space="preserve">not recipients of hazardous wastes, which </w:t>
      </w:r>
      <w:r>
        <w:t>was</w:t>
      </w:r>
      <w:r w:rsidRPr="005B144C">
        <w:t xml:space="preserve"> particularly important for those Parties lacking the appropriate capacities to manage </w:t>
      </w:r>
      <w:r>
        <w:t>them</w:t>
      </w:r>
      <w:r w:rsidRPr="005B144C">
        <w:t>. The Ban Amendment ha</w:t>
      </w:r>
      <w:r>
        <w:t>d</w:t>
      </w:r>
      <w:r w:rsidRPr="005B144C">
        <w:t xml:space="preserve"> received strong support from many stakeholders, including civil society and inter</w:t>
      </w:r>
      <w:r w:rsidR="00025E1C">
        <w:t>governmental</w:t>
      </w:r>
      <w:r w:rsidRPr="005B144C">
        <w:t xml:space="preserve"> organisations.</w:t>
      </w:r>
    </w:p>
    <w:p w14:paraId="6EE57980" w14:textId="19F164C6" w:rsidR="000D4B6F" w:rsidRDefault="000D4B6F" w:rsidP="000D4B6F">
      <w:pPr>
        <w:pStyle w:val="BodyText"/>
      </w:pPr>
      <w:r>
        <w:t>The representative further briefed delegations on discussions held</w:t>
      </w:r>
      <w:r w:rsidRPr="007B4011">
        <w:t xml:space="preserve"> </w:t>
      </w:r>
      <w:r w:rsidRPr="005B144C">
        <w:t>in January 2021</w:t>
      </w:r>
      <w:r>
        <w:t xml:space="preserve"> a</w:t>
      </w:r>
      <w:r w:rsidRPr="005B144C">
        <w:t xml:space="preserve">t </w:t>
      </w:r>
      <w:r>
        <w:t>the</w:t>
      </w:r>
      <w:r w:rsidRPr="005B144C">
        <w:t xml:space="preserve"> last meeting </w:t>
      </w:r>
      <w:r>
        <w:t>of the</w:t>
      </w:r>
      <w:r w:rsidRPr="005B144C">
        <w:t xml:space="preserve"> Stockholm Convention</w:t>
      </w:r>
      <w:r w:rsidR="00F35F01">
        <w:t>'</w:t>
      </w:r>
      <w:r w:rsidRPr="005B144C">
        <w:t xml:space="preserve">s POPs Review Committee (POPRC) </w:t>
      </w:r>
      <w:r>
        <w:t xml:space="preserve">which included </w:t>
      </w:r>
      <w:r w:rsidRPr="005B144C">
        <w:t xml:space="preserve">among other chemicals, a proposal to list the ubiquitous plastic additive UV-328. UV-328 </w:t>
      </w:r>
      <w:r>
        <w:t>was</w:t>
      </w:r>
      <w:r w:rsidRPr="005B144C">
        <w:t xml:space="preserve"> a pervasive high-volume additive in plastic products typically found in personal care products, transparent plastics, and coatings.</w:t>
      </w:r>
      <w:r w:rsidR="0035369C" w:rsidRPr="005B144C">
        <w:t xml:space="preserve"> </w:t>
      </w:r>
      <w:r w:rsidRPr="005B144C">
        <w:t>It ha</w:t>
      </w:r>
      <w:r>
        <w:t>d</w:t>
      </w:r>
      <w:r w:rsidRPr="005B144C">
        <w:t xml:space="preserve"> been found in the environment and biota, including in remote areas such as the Arctic and the Pacific Ocean, far from its production and use. UV-328 ha</w:t>
      </w:r>
      <w:r>
        <w:t>d</w:t>
      </w:r>
      <w:r w:rsidRPr="005B144C">
        <w:t xml:space="preserve"> been found to be transported with, and </w:t>
      </w:r>
      <w:r>
        <w:t>could</w:t>
      </w:r>
      <w:r w:rsidRPr="005B144C">
        <w:t xml:space="preserve"> subsequently be released from plastic debris, which </w:t>
      </w:r>
      <w:r>
        <w:t>was</w:t>
      </w:r>
      <w:r w:rsidRPr="005B144C">
        <w:t xml:space="preserve"> taken up for example by seabirds with subsequent accumulation in their tissue. </w:t>
      </w:r>
    </w:p>
    <w:p w14:paraId="747312D7" w14:textId="69DE10D8" w:rsidR="000D4B6F" w:rsidRPr="005B144C" w:rsidRDefault="000D4B6F" w:rsidP="000D4B6F">
      <w:pPr>
        <w:pStyle w:val="BodyText"/>
      </w:pPr>
      <w:r w:rsidRPr="005B144C">
        <w:t xml:space="preserve">The POPRC concluded that the chemical </w:t>
      </w:r>
      <w:r>
        <w:t>satisfied</w:t>
      </w:r>
      <w:r w:rsidRPr="005B144C">
        <w:t xml:space="preserve"> the four screening criteria and </w:t>
      </w:r>
      <w:r>
        <w:t xml:space="preserve">would, </w:t>
      </w:r>
      <w:r w:rsidRPr="005B144C">
        <w:t xml:space="preserve">therefore, </w:t>
      </w:r>
      <w:r>
        <w:t>be</w:t>
      </w:r>
      <w:r w:rsidRPr="005B144C">
        <w:t xml:space="preserve"> further reviewed to decide whether the chemical </w:t>
      </w:r>
      <w:r>
        <w:t>was</w:t>
      </w:r>
      <w:r w:rsidRPr="005B144C">
        <w:t xml:space="preserve"> likely to lead to significant adverse effects due to its long-range environmental transport, opening up options for Parties to decide at future Stockholm Convention meetings to take measures with the view to reduce or eliminate it. </w:t>
      </w:r>
      <w:r>
        <w:t xml:space="preserve">It represented </w:t>
      </w:r>
      <w:r w:rsidRPr="005B144C">
        <w:t xml:space="preserve">an important milestone as the Stockholm Convention </w:t>
      </w:r>
      <w:r>
        <w:t>was</w:t>
      </w:r>
      <w:r w:rsidRPr="005B144C">
        <w:t xml:space="preserve"> therefore poised to become the second legally-binding international treaty to push for the sound management of plastics throughout their life cycle, especially at the design stage, where alternatives to hazardous chemicals </w:t>
      </w:r>
      <w:r>
        <w:t>would</w:t>
      </w:r>
      <w:r w:rsidRPr="005B144C">
        <w:t xml:space="preserve"> need to be identified.</w:t>
      </w:r>
      <w:r>
        <w:t xml:space="preserve"> The representative also recalled that May 2021 would mark </w:t>
      </w:r>
      <w:r w:rsidRPr="005B144C">
        <w:t>the 20</w:t>
      </w:r>
      <w:r w:rsidRPr="00F35F01">
        <w:rPr>
          <w:vertAlign w:val="superscript"/>
        </w:rPr>
        <w:t>th</w:t>
      </w:r>
      <w:r w:rsidRPr="005B144C">
        <w:t xml:space="preserve"> Anniversary of the adoption of the Stockholm Convention</w:t>
      </w:r>
      <w:r>
        <w:t xml:space="preserve"> and</w:t>
      </w:r>
      <w:r w:rsidRPr="005B144C">
        <w:t xml:space="preserve"> invite</w:t>
      </w:r>
      <w:r>
        <w:t xml:space="preserve">d delegations </w:t>
      </w:r>
      <w:r w:rsidRPr="005B144C">
        <w:t xml:space="preserve">to join </w:t>
      </w:r>
      <w:r>
        <w:t>BRS</w:t>
      </w:r>
      <w:r w:rsidRPr="005B144C">
        <w:t xml:space="preserve"> at different celebratory events that </w:t>
      </w:r>
      <w:r>
        <w:t>would</w:t>
      </w:r>
      <w:r w:rsidRPr="005B144C">
        <w:t xml:space="preserve"> be organiz</w:t>
      </w:r>
      <w:r>
        <w:t>ed starting</w:t>
      </w:r>
      <w:r w:rsidRPr="005B144C">
        <w:t xml:space="preserve"> on 21</w:t>
      </w:r>
      <w:r w:rsidRPr="009901D7">
        <w:rPr>
          <w:vertAlign w:val="superscript"/>
        </w:rPr>
        <w:t>st</w:t>
      </w:r>
      <w:r>
        <w:t xml:space="preserve"> </w:t>
      </w:r>
      <w:r w:rsidRPr="005B144C">
        <w:t xml:space="preserve">May. </w:t>
      </w:r>
    </w:p>
    <w:p w14:paraId="7DA6BF4F" w14:textId="1AC31AEA" w:rsidR="000D4B6F" w:rsidRDefault="000D4B6F" w:rsidP="000D4B6F">
      <w:pPr>
        <w:pStyle w:val="BodyText"/>
      </w:pPr>
      <w:r>
        <w:t>The representative recalled that</w:t>
      </w:r>
      <w:r w:rsidRPr="005B144C">
        <w:t xml:space="preserve"> the 2021 Meetings of the </w:t>
      </w:r>
      <w:r w:rsidR="009D3004">
        <w:t>CoP</w:t>
      </w:r>
      <w:r>
        <w:t>s</w:t>
      </w:r>
      <w:r w:rsidRPr="005B144C">
        <w:t xml:space="preserve"> to the </w:t>
      </w:r>
      <w:r>
        <w:t>BRS</w:t>
      </w:r>
      <w:r w:rsidRPr="005B144C">
        <w:t xml:space="preserve"> Conventions were scheduled to be held in Geneva from 19 to 30 July 2021. </w:t>
      </w:r>
      <w:r>
        <w:t>I</w:t>
      </w:r>
      <w:r w:rsidRPr="005B144C">
        <w:t>n light of the COVID-19 pandemic, the Bureaux of the conferences of the Parties ha</w:t>
      </w:r>
      <w:r>
        <w:t>d</w:t>
      </w:r>
      <w:r w:rsidRPr="005B144C">
        <w:t xml:space="preserve"> agreed </w:t>
      </w:r>
      <w:r>
        <w:t>to hold</w:t>
      </w:r>
      <w:r w:rsidRPr="005B144C">
        <w:t xml:space="preserve"> the 2021 </w:t>
      </w:r>
      <w:r w:rsidR="009D3004">
        <w:t>CoP</w:t>
      </w:r>
      <w:r>
        <w:t xml:space="preserve">s </w:t>
      </w:r>
      <w:r w:rsidRPr="005B144C">
        <w:t>meetings to the three conventions in two segments</w:t>
      </w:r>
      <w:r>
        <w:t>:</w:t>
      </w:r>
      <w:r w:rsidRPr="005B144C">
        <w:t xml:space="preserve"> </w:t>
      </w:r>
      <w:r>
        <w:t>a</w:t>
      </w:r>
      <w:r w:rsidRPr="005B144C">
        <w:t>n online segment from 26 to 30 July 2021</w:t>
      </w:r>
      <w:r>
        <w:t>;</w:t>
      </w:r>
      <w:r w:rsidRPr="005B144C">
        <w:t xml:space="preserve"> and a face-to-face segment tentatively scheduled </w:t>
      </w:r>
      <w:r>
        <w:t>for</w:t>
      </w:r>
      <w:r w:rsidRPr="005B144C">
        <w:t xml:space="preserve"> June 2022, in Geneva, under theme "Global Agreements for a Healthy Planet: Sound management of chemicals and waste</w:t>
      </w:r>
      <w:r>
        <w:t>.</w:t>
      </w:r>
      <w:r w:rsidRPr="005B144C">
        <w:t>"</w:t>
      </w:r>
    </w:p>
    <w:p w14:paraId="010627A0" w14:textId="6A20E1F8" w:rsidR="000D4B6F" w:rsidRPr="005B144C" w:rsidRDefault="000D4B6F" w:rsidP="000D4B6F">
      <w:pPr>
        <w:pStyle w:val="BodyText"/>
      </w:pPr>
      <w:r w:rsidRPr="005B144C">
        <w:t xml:space="preserve">Despite the challenges faced </w:t>
      </w:r>
      <w:r>
        <w:t>in 2020</w:t>
      </w:r>
      <w:r w:rsidRPr="005B144C">
        <w:t>, the Secretariat and the Parties to the BRS Conventions ha</w:t>
      </w:r>
      <w:r>
        <w:t>d</w:t>
      </w:r>
      <w:r w:rsidRPr="005B144C">
        <w:t xml:space="preserve"> accomplished small but constant steps as well as milestones</w:t>
      </w:r>
      <w:r>
        <w:t xml:space="preserve">, including through </w:t>
      </w:r>
      <w:r w:rsidRPr="005B144C">
        <w:t>webinars, awareness raising and technical assistance activities</w:t>
      </w:r>
      <w:r>
        <w:t xml:space="preserve">. However, </w:t>
      </w:r>
      <w:r w:rsidRPr="005B144C">
        <w:t xml:space="preserve">more work </w:t>
      </w:r>
      <w:r>
        <w:t>had</w:t>
      </w:r>
      <w:r w:rsidRPr="005B144C">
        <w:t xml:space="preserve"> to be done, notably at the forthcoming </w:t>
      </w:r>
      <w:r w:rsidR="009D3004">
        <w:t>CoP</w:t>
      </w:r>
      <w:r w:rsidRPr="005B144C">
        <w:t>s meetings in July 2021 and in 2022. Such work and achievements would not have been possible without the support from numerous government representatives, experts, NGOs, private sector and many other stakeholders that work</w:t>
      </w:r>
      <w:r>
        <w:t>ed</w:t>
      </w:r>
      <w:r w:rsidRPr="005B144C">
        <w:t xml:space="preserve"> together towards the common goal of addressing, through MEAs and thanks to multilateralism in general, a sustainable development for a more healthy and cleaner planet for all. </w:t>
      </w:r>
    </w:p>
    <w:p w14:paraId="642AC438" w14:textId="29C82348" w:rsidR="000D4B6F" w:rsidRPr="00362ECA" w:rsidRDefault="000D4B6F" w:rsidP="000D4B6F">
      <w:pPr>
        <w:pStyle w:val="BodyText"/>
        <w:rPr>
          <w:lang w:val="en-US"/>
        </w:rPr>
      </w:pPr>
      <w:r w:rsidRPr="004C1913">
        <w:rPr>
          <w:lang w:val="en-US"/>
        </w:rPr>
        <w:t xml:space="preserve">The representative of </w:t>
      </w:r>
      <w:r w:rsidRPr="004C1913">
        <w:rPr>
          <w:u w:val="single"/>
          <w:lang w:val="en-US"/>
        </w:rPr>
        <w:t>Switzerland</w:t>
      </w:r>
      <w:r w:rsidRPr="004C1913">
        <w:rPr>
          <w:b/>
          <w:bCs/>
          <w:lang w:val="en-US"/>
        </w:rPr>
        <w:t xml:space="preserve"> </w:t>
      </w:r>
      <w:r w:rsidRPr="004C1913">
        <w:rPr>
          <w:lang w:val="en-US"/>
        </w:rPr>
        <w:t>noted that the global environmental challenge of plastic pollution had received increasing attention not only in technical discussions but also in a political context such as that of the Basel Convention or the UNEA. Switzerland believed that the different entities dealing with this issue all had comparative advantages based on their respective mandates and operating procedures. Therefore, when delegations would work on the same issue, they had to strive to avoid duplication, and work towards establishing added value for informed decision</w:t>
      </w:r>
      <w:r w:rsidR="009F1F9A">
        <w:rPr>
          <w:lang w:val="en-US"/>
        </w:rPr>
        <w:t>-</w:t>
      </w:r>
      <w:r w:rsidRPr="004C1913">
        <w:rPr>
          <w:lang w:val="en-US"/>
        </w:rPr>
        <w:t xml:space="preserve">making. </w:t>
      </w:r>
    </w:p>
    <w:p w14:paraId="57B680CB" w14:textId="107ECC04" w:rsidR="000D4B6F" w:rsidRPr="00362ECA" w:rsidRDefault="000D4B6F" w:rsidP="000D4B6F">
      <w:pPr>
        <w:pStyle w:val="BodyText"/>
        <w:rPr>
          <w:szCs w:val="18"/>
        </w:rPr>
      </w:pPr>
      <w:r w:rsidRPr="00362ECA">
        <w:rPr>
          <w:lang w:val="en-US"/>
        </w:rPr>
        <w:t xml:space="preserve">The representative of the </w:t>
      </w:r>
      <w:r w:rsidRPr="00362ECA">
        <w:rPr>
          <w:u w:val="single"/>
          <w:lang w:val="en-US"/>
        </w:rPr>
        <w:t>European</w:t>
      </w:r>
      <w:r w:rsidR="00025E1C">
        <w:rPr>
          <w:u w:val="single"/>
          <w:lang w:val="en-US"/>
        </w:rPr>
        <w:t> Union</w:t>
      </w:r>
      <w:r w:rsidRPr="00362ECA">
        <w:rPr>
          <w:lang w:val="en-US"/>
        </w:rPr>
        <w:t xml:space="preserve"> </w:t>
      </w:r>
      <w:r>
        <w:rPr>
          <w:szCs w:val="18"/>
          <w:lang w:val="en-US"/>
        </w:rPr>
        <w:t>welcomed the entry into force of</w:t>
      </w:r>
      <w:r w:rsidRPr="00362ECA">
        <w:rPr>
          <w:szCs w:val="18"/>
        </w:rPr>
        <w:t xml:space="preserve"> the new rules on plastic waste </w:t>
      </w:r>
      <w:r>
        <w:rPr>
          <w:szCs w:val="18"/>
        </w:rPr>
        <w:t>under</w:t>
      </w:r>
      <w:r w:rsidRPr="00362ECA">
        <w:rPr>
          <w:szCs w:val="18"/>
        </w:rPr>
        <w:t xml:space="preserve"> the </w:t>
      </w:r>
      <w:r>
        <w:rPr>
          <w:szCs w:val="18"/>
        </w:rPr>
        <w:t>BRS</w:t>
      </w:r>
      <w:r w:rsidRPr="00362ECA">
        <w:rPr>
          <w:szCs w:val="18"/>
        </w:rPr>
        <w:t xml:space="preserve"> </w:t>
      </w:r>
      <w:r>
        <w:rPr>
          <w:szCs w:val="18"/>
        </w:rPr>
        <w:t xml:space="preserve">and </w:t>
      </w:r>
      <w:r w:rsidRPr="00362ECA">
        <w:rPr>
          <w:szCs w:val="18"/>
        </w:rPr>
        <w:t>invite</w:t>
      </w:r>
      <w:r>
        <w:rPr>
          <w:szCs w:val="18"/>
        </w:rPr>
        <w:t>d</w:t>
      </w:r>
      <w:r w:rsidRPr="00362ECA">
        <w:rPr>
          <w:szCs w:val="18"/>
        </w:rPr>
        <w:t xml:space="preserve"> all WTO </w:t>
      </w:r>
      <w:r w:rsidR="00D90F64">
        <w:rPr>
          <w:szCs w:val="18"/>
        </w:rPr>
        <w:t>M</w:t>
      </w:r>
      <w:r w:rsidRPr="00362ECA">
        <w:rPr>
          <w:szCs w:val="18"/>
        </w:rPr>
        <w:t xml:space="preserve">embers to implement them. </w:t>
      </w:r>
    </w:p>
    <w:p w14:paraId="0F77D8FF" w14:textId="0E4CFF20" w:rsidR="000D4B6F" w:rsidRPr="005D231B" w:rsidRDefault="000D4B6F" w:rsidP="000D4B6F">
      <w:pPr>
        <w:pStyle w:val="BodyText"/>
        <w:rPr>
          <w:bCs/>
          <w:szCs w:val="18"/>
          <w:lang w:val="en-US"/>
        </w:rPr>
      </w:pPr>
      <w:r w:rsidRPr="005D231B">
        <w:rPr>
          <w:lang w:val="en-US"/>
        </w:rPr>
        <w:t xml:space="preserve">The representative of </w:t>
      </w:r>
      <w:r w:rsidRPr="005D231B">
        <w:rPr>
          <w:szCs w:val="18"/>
          <w:u w:val="single"/>
        </w:rPr>
        <w:t>Colombia</w:t>
      </w:r>
      <w:r w:rsidRPr="005D231B">
        <w:rPr>
          <w:szCs w:val="18"/>
        </w:rPr>
        <w:t xml:space="preserve"> </w:t>
      </w:r>
      <w:r>
        <w:rPr>
          <w:szCs w:val="18"/>
        </w:rPr>
        <w:t>stressed his delegation's</w:t>
      </w:r>
      <w:r w:rsidRPr="005D231B">
        <w:rPr>
          <w:bCs/>
          <w:szCs w:val="18"/>
          <w:lang w:val="en-US"/>
        </w:rPr>
        <w:t xml:space="preserve"> active participation and determined </w:t>
      </w:r>
      <w:r>
        <w:rPr>
          <w:bCs/>
          <w:szCs w:val="18"/>
          <w:lang w:val="en-US"/>
        </w:rPr>
        <w:t xml:space="preserve">commitment and </w:t>
      </w:r>
      <w:r w:rsidRPr="005D231B">
        <w:rPr>
          <w:bCs/>
          <w:szCs w:val="18"/>
          <w:lang w:val="en-US"/>
        </w:rPr>
        <w:t xml:space="preserve">support for the implementation of the </w:t>
      </w:r>
      <w:r w:rsidR="00D90F64">
        <w:rPr>
          <w:bCs/>
          <w:szCs w:val="18"/>
          <w:lang w:val="en-US"/>
        </w:rPr>
        <w:t xml:space="preserve">BRS </w:t>
      </w:r>
      <w:r>
        <w:rPr>
          <w:bCs/>
          <w:szCs w:val="18"/>
          <w:lang w:val="en-US"/>
        </w:rPr>
        <w:t>C</w:t>
      </w:r>
      <w:r w:rsidRPr="005D231B">
        <w:rPr>
          <w:bCs/>
          <w:szCs w:val="18"/>
          <w:lang w:val="en-US"/>
        </w:rPr>
        <w:t>onventions</w:t>
      </w:r>
      <w:r>
        <w:rPr>
          <w:bCs/>
          <w:szCs w:val="18"/>
          <w:lang w:val="en-US"/>
        </w:rPr>
        <w:t xml:space="preserve">, </w:t>
      </w:r>
      <w:r w:rsidRPr="005D231B">
        <w:rPr>
          <w:bCs/>
          <w:szCs w:val="18"/>
          <w:lang w:val="en-US"/>
        </w:rPr>
        <w:t>including</w:t>
      </w:r>
      <w:r>
        <w:rPr>
          <w:bCs/>
          <w:szCs w:val="18"/>
          <w:lang w:val="en-US"/>
        </w:rPr>
        <w:t xml:space="preserve"> the</w:t>
      </w:r>
      <w:r w:rsidRPr="005D231B">
        <w:rPr>
          <w:bCs/>
          <w:szCs w:val="18"/>
          <w:lang w:val="en-US"/>
        </w:rPr>
        <w:t xml:space="preserve"> recent amendments on plastic waste. </w:t>
      </w:r>
      <w:r>
        <w:rPr>
          <w:bCs/>
          <w:szCs w:val="18"/>
          <w:lang w:val="en-US"/>
        </w:rPr>
        <w:t>There</w:t>
      </w:r>
      <w:r w:rsidRPr="005D231B">
        <w:rPr>
          <w:bCs/>
          <w:szCs w:val="18"/>
          <w:lang w:val="en-US"/>
        </w:rPr>
        <w:t xml:space="preserve"> </w:t>
      </w:r>
      <w:r>
        <w:rPr>
          <w:bCs/>
          <w:szCs w:val="18"/>
          <w:lang w:val="en-US"/>
        </w:rPr>
        <w:t>was</w:t>
      </w:r>
      <w:r w:rsidRPr="005D231B">
        <w:rPr>
          <w:bCs/>
          <w:szCs w:val="18"/>
          <w:lang w:val="en-US"/>
        </w:rPr>
        <w:t xml:space="preserve"> important work to be done in </w:t>
      </w:r>
      <w:r>
        <w:rPr>
          <w:bCs/>
          <w:szCs w:val="18"/>
          <w:lang w:val="en-US"/>
        </w:rPr>
        <w:t xml:space="preserve">implementation </w:t>
      </w:r>
      <w:r w:rsidRPr="005D231B">
        <w:rPr>
          <w:bCs/>
          <w:szCs w:val="18"/>
          <w:lang w:val="en-US"/>
        </w:rPr>
        <w:t>aspects that ha</w:t>
      </w:r>
      <w:r>
        <w:rPr>
          <w:bCs/>
          <w:szCs w:val="18"/>
          <w:lang w:val="en-US"/>
        </w:rPr>
        <w:t>d</w:t>
      </w:r>
      <w:r w:rsidRPr="005D231B">
        <w:rPr>
          <w:bCs/>
          <w:szCs w:val="18"/>
          <w:lang w:val="en-US"/>
        </w:rPr>
        <w:t xml:space="preserve"> a direct relationship with international trade</w:t>
      </w:r>
      <w:r>
        <w:rPr>
          <w:bCs/>
          <w:szCs w:val="18"/>
          <w:lang w:val="en-US"/>
        </w:rPr>
        <w:t>, i</w:t>
      </w:r>
      <w:r w:rsidRPr="005D231B">
        <w:rPr>
          <w:bCs/>
          <w:szCs w:val="18"/>
          <w:lang w:val="en-US"/>
        </w:rPr>
        <w:t>n particular in relation to the management of plastic waste</w:t>
      </w:r>
      <w:r>
        <w:rPr>
          <w:bCs/>
          <w:szCs w:val="18"/>
          <w:lang w:val="en-US"/>
        </w:rPr>
        <w:t xml:space="preserve">, </w:t>
      </w:r>
      <w:r w:rsidRPr="005D231B">
        <w:rPr>
          <w:bCs/>
          <w:szCs w:val="18"/>
          <w:lang w:val="en-US"/>
        </w:rPr>
        <w:t xml:space="preserve">including those wastes subject to the </w:t>
      </w:r>
      <w:r>
        <w:rPr>
          <w:bCs/>
          <w:szCs w:val="18"/>
          <w:lang w:val="en-US"/>
        </w:rPr>
        <w:t>prior informed consent (PIC)</w:t>
      </w:r>
      <w:r w:rsidRPr="005D231B">
        <w:rPr>
          <w:bCs/>
          <w:szCs w:val="18"/>
          <w:lang w:val="en-US"/>
        </w:rPr>
        <w:t xml:space="preserve"> procedure that require</w:t>
      </w:r>
      <w:r>
        <w:rPr>
          <w:bCs/>
          <w:szCs w:val="18"/>
          <w:lang w:val="en-US"/>
        </w:rPr>
        <w:t>d</w:t>
      </w:r>
      <w:r w:rsidRPr="005D231B">
        <w:rPr>
          <w:bCs/>
          <w:szCs w:val="18"/>
          <w:lang w:val="en-US"/>
        </w:rPr>
        <w:t xml:space="preserve"> special consideration, those that </w:t>
      </w:r>
      <w:r w:rsidR="00D90F64">
        <w:rPr>
          <w:bCs/>
          <w:szCs w:val="18"/>
          <w:lang w:val="en-US"/>
        </w:rPr>
        <w:t>we</w:t>
      </w:r>
      <w:r w:rsidRPr="005D231B">
        <w:rPr>
          <w:bCs/>
          <w:szCs w:val="18"/>
          <w:lang w:val="en-US"/>
        </w:rPr>
        <w:t xml:space="preserve">re presumed dangerous and those that </w:t>
      </w:r>
      <w:r w:rsidR="00D90F64">
        <w:rPr>
          <w:bCs/>
          <w:szCs w:val="18"/>
          <w:lang w:val="en-US"/>
        </w:rPr>
        <w:t>we</w:t>
      </w:r>
      <w:r w:rsidRPr="005D231B">
        <w:rPr>
          <w:bCs/>
          <w:szCs w:val="18"/>
          <w:lang w:val="en-US"/>
        </w:rPr>
        <w:t xml:space="preserve">re presumed non-dangerous. </w:t>
      </w:r>
      <w:r>
        <w:rPr>
          <w:bCs/>
          <w:szCs w:val="18"/>
          <w:lang w:val="en-US"/>
        </w:rPr>
        <w:t>Colombia</w:t>
      </w:r>
      <w:r w:rsidRPr="005D231B">
        <w:rPr>
          <w:bCs/>
          <w:szCs w:val="18"/>
          <w:lang w:val="en-US"/>
        </w:rPr>
        <w:t xml:space="preserve"> also support</w:t>
      </w:r>
      <w:r>
        <w:rPr>
          <w:bCs/>
          <w:szCs w:val="18"/>
          <w:lang w:val="en-US"/>
        </w:rPr>
        <w:t>ed</w:t>
      </w:r>
      <w:r w:rsidRPr="005D231B">
        <w:rPr>
          <w:bCs/>
          <w:szCs w:val="18"/>
          <w:lang w:val="en-US"/>
        </w:rPr>
        <w:t xml:space="preserve"> the amendment work on the treatment and description of </w:t>
      </w:r>
      <w:r w:rsidRPr="005D231B">
        <w:rPr>
          <w:bCs/>
          <w:szCs w:val="18"/>
          <w:lang w:val="en-US"/>
        </w:rPr>
        <w:lastRenderedPageBreak/>
        <w:t>electrical and electronic equipment waste</w:t>
      </w:r>
      <w:r>
        <w:rPr>
          <w:bCs/>
          <w:szCs w:val="18"/>
          <w:lang w:val="en-US"/>
        </w:rPr>
        <w:t>s.</w:t>
      </w:r>
      <w:r w:rsidRPr="005D231B">
        <w:rPr>
          <w:bCs/>
          <w:szCs w:val="18"/>
          <w:lang w:val="en-US"/>
        </w:rPr>
        <w:t xml:space="preserve"> </w:t>
      </w:r>
      <w:r>
        <w:rPr>
          <w:bCs/>
          <w:szCs w:val="18"/>
          <w:lang w:val="en-US"/>
        </w:rPr>
        <w:t>Such</w:t>
      </w:r>
      <w:r w:rsidRPr="005D231B">
        <w:rPr>
          <w:bCs/>
          <w:szCs w:val="18"/>
          <w:lang w:val="en-US"/>
        </w:rPr>
        <w:t xml:space="preserve"> initiatives </w:t>
      </w:r>
      <w:r>
        <w:rPr>
          <w:bCs/>
          <w:szCs w:val="18"/>
          <w:lang w:val="en-US"/>
        </w:rPr>
        <w:t>could</w:t>
      </w:r>
      <w:r w:rsidRPr="005D231B">
        <w:rPr>
          <w:bCs/>
          <w:szCs w:val="18"/>
          <w:lang w:val="en-US"/>
        </w:rPr>
        <w:t xml:space="preserve"> bring important benefits and improve the control of transboundary movement</w:t>
      </w:r>
      <w:r>
        <w:rPr>
          <w:bCs/>
          <w:szCs w:val="18"/>
          <w:lang w:val="en-US"/>
        </w:rPr>
        <w:t xml:space="preserve">s. </w:t>
      </w:r>
    </w:p>
    <w:p w14:paraId="03CC5BAC" w14:textId="5EF4E315" w:rsidR="000D4B6F" w:rsidRDefault="000D4B6F" w:rsidP="000D4B6F">
      <w:pPr>
        <w:pStyle w:val="Heading2"/>
      </w:pPr>
      <w:bookmarkStart w:id="47" w:name="_Toc71148933"/>
      <w:bookmarkStart w:id="48" w:name="_Toc74660676"/>
      <w:r>
        <w:t>Other</w:t>
      </w:r>
      <w:bookmarkEnd w:id="47"/>
      <w:bookmarkEnd w:id="48"/>
    </w:p>
    <w:p w14:paraId="73B874AB" w14:textId="5CD2C4D1" w:rsidR="00143375" w:rsidRPr="00143375" w:rsidRDefault="00143375" w:rsidP="00143375">
      <w:pPr>
        <w:pStyle w:val="Heading3"/>
      </w:pPr>
      <w:bookmarkStart w:id="49" w:name="_Toc74660677"/>
      <w:r>
        <w:t>Presentation on the Updated WTO</w:t>
      </w:r>
      <w:r w:rsidRPr="003D00EB">
        <w:t xml:space="preserve"> Matrix on Trade</w:t>
      </w:r>
      <w:r w:rsidRPr="003D00EB">
        <w:noBreakHyphen/>
        <w:t>related Measures Pursuant to Selected MEA</w:t>
      </w:r>
      <w:r>
        <w:t>s</w:t>
      </w:r>
      <w:bookmarkEnd w:id="49"/>
    </w:p>
    <w:p w14:paraId="51E58F54" w14:textId="149D20B5" w:rsidR="000D4B6F" w:rsidRPr="003D00EB" w:rsidRDefault="000D4B6F" w:rsidP="000D4B6F">
      <w:pPr>
        <w:pStyle w:val="BodyText"/>
      </w:pPr>
      <w:r w:rsidRPr="003D00EB">
        <w:t xml:space="preserve">The </w:t>
      </w:r>
      <w:r w:rsidRPr="003D00EB">
        <w:rPr>
          <w:u w:val="single"/>
        </w:rPr>
        <w:t>WTO Secretariat</w:t>
      </w:r>
      <w:r w:rsidRPr="003D00EB">
        <w:t xml:space="preserve"> introduced the updated Matrix on Trade</w:t>
      </w:r>
      <w:r w:rsidRPr="003D00EB">
        <w:noBreakHyphen/>
        <w:t>related Measures Pursuant to Selected Multilateral Environmental Agreements (MEA Matrix).</w:t>
      </w:r>
      <w:r w:rsidRPr="003D00EB">
        <w:rPr>
          <w:rStyle w:val="FootnoteReference"/>
        </w:rPr>
        <w:footnoteReference w:id="6"/>
      </w:r>
      <w:r w:rsidRPr="003D00EB">
        <w:rPr>
          <w:b/>
          <w:bCs/>
          <w:szCs w:val="18"/>
        </w:rPr>
        <w:t xml:space="preserve"> </w:t>
      </w:r>
      <w:r w:rsidRPr="003D00EB">
        <w:t>The MEA Matrix was compiled by the Secretariat in consultation with MEA Secretariats and provided background information on trade-related measures pursuant to 15 MEAs. It included general information on the covered MEAs (e.g.</w:t>
      </w:r>
      <w:r w:rsidR="0035369C" w:rsidRPr="003D00EB">
        <w:t xml:space="preserve"> </w:t>
      </w:r>
      <w:r w:rsidRPr="003D00EB">
        <w:t>objective, entry into force, number of parties and number of WTO members that are parties to the MEA) as well as specific information on provisions relevant to WTO Members, including amendments, decisions and other documents adopted by the MEA, supportive measures (e.g. technology transfer, financial and technical assistance), non</w:t>
      </w:r>
      <w:r w:rsidR="00D90F64">
        <w:t>-</w:t>
      </w:r>
      <w:r w:rsidRPr="003D00EB">
        <w:t>compliance and dispute settlement mechanisms.</w:t>
      </w:r>
      <w:r w:rsidR="0035369C" w:rsidRPr="003D00EB">
        <w:t xml:space="preserve"> </w:t>
      </w:r>
      <w:r w:rsidRPr="003D00EB">
        <w:t xml:space="preserve">The Matrix included an annex indicating which WTO Members were parties to each covered MEA. </w:t>
      </w:r>
    </w:p>
    <w:p w14:paraId="6EB86C0B" w14:textId="77777777" w:rsidR="000D4B6F" w:rsidRPr="003D00EB" w:rsidRDefault="000D4B6F" w:rsidP="000D4B6F">
      <w:pPr>
        <w:pStyle w:val="BodyText"/>
      </w:pPr>
      <w:r w:rsidRPr="003D00EB">
        <w:t xml:space="preserve">The WTO Secretariat periodically updated the Matrix in light of developments. As its coverage continued to be updated and streamlined to focus on multilateral agreements, some agreements with a regional focus were no longer covered, namely the Convention on the Conservation of Antarctic Marine Living Resources (CCAMLR) and the International Convention for the Conservation of Atlantic Tunas (ICCAT). Finally, in the context of the Secretariat's cooperation with UNEP, work had been developed to explore synergies between the MEA Matrix and the InforMEA tool. The Secretariat had contributed to UNEP's project to reflect in the InforMEA the information contained in the MEA matrix. </w:t>
      </w:r>
      <w:r>
        <w:t>UNEP</w:t>
      </w:r>
      <w:r w:rsidRPr="003D00EB">
        <w:t xml:space="preserve"> had been invited to the meeting and would present the project.</w:t>
      </w:r>
      <w:r>
        <w:t xml:space="preserve"> </w:t>
      </w:r>
    </w:p>
    <w:p w14:paraId="3415DCBB" w14:textId="71BCEAEB" w:rsidR="000D4B6F" w:rsidRDefault="000D4B6F" w:rsidP="000D4B6F">
      <w:pPr>
        <w:pStyle w:val="BodyText"/>
        <w:rPr>
          <w:szCs w:val="18"/>
        </w:rPr>
      </w:pPr>
      <w:r w:rsidRPr="00362ECA">
        <w:rPr>
          <w:lang w:val="en-US"/>
        </w:rPr>
        <w:t xml:space="preserve">The representative of </w:t>
      </w:r>
      <w:r>
        <w:rPr>
          <w:lang w:val="en-US"/>
        </w:rPr>
        <w:t xml:space="preserve">the </w:t>
      </w:r>
      <w:r w:rsidRPr="00362ECA">
        <w:rPr>
          <w:u w:val="single"/>
          <w:lang w:val="en-US"/>
        </w:rPr>
        <w:t>European</w:t>
      </w:r>
      <w:r w:rsidR="00025E1C">
        <w:rPr>
          <w:u w:val="single"/>
          <w:lang w:val="en-US"/>
        </w:rPr>
        <w:t> Union</w:t>
      </w:r>
      <w:r>
        <w:rPr>
          <w:lang w:val="en-US"/>
        </w:rPr>
        <w:t xml:space="preserve"> </w:t>
      </w:r>
      <w:r w:rsidRPr="003D00EB">
        <w:rPr>
          <w:szCs w:val="18"/>
        </w:rPr>
        <w:t>noted</w:t>
      </w:r>
      <w:r>
        <w:rPr>
          <w:szCs w:val="18"/>
        </w:rPr>
        <w:t xml:space="preserve"> the MEA Matrix was a</w:t>
      </w:r>
      <w:r w:rsidRPr="00362ECA">
        <w:rPr>
          <w:szCs w:val="18"/>
        </w:rPr>
        <w:t xml:space="preserve"> unique and very useful tool and</w:t>
      </w:r>
      <w:r>
        <w:rPr>
          <w:szCs w:val="18"/>
        </w:rPr>
        <w:t xml:space="preserve"> a</w:t>
      </w:r>
      <w:r w:rsidRPr="00362ECA">
        <w:rPr>
          <w:szCs w:val="18"/>
        </w:rPr>
        <w:t xml:space="preserve"> comprehensive source of information to understand the nexus between trade and environment</w:t>
      </w:r>
      <w:r>
        <w:rPr>
          <w:szCs w:val="18"/>
        </w:rPr>
        <w:t xml:space="preserve">. The </w:t>
      </w:r>
      <w:r w:rsidR="00D90F64">
        <w:rPr>
          <w:szCs w:val="18"/>
        </w:rPr>
        <w:t>European</w:t>
      </w:r>
      <w:r w:rsidR="00025E1C">
        <w:rPr>
          <w:szCs w:val="18"/>
        </w:rPr>
        <w:t> Union</w:t>
      </w:r>
      <w:r w:rsidRPr="00362ECA">
        <w:rPr>
          <w:szCs w:val="18"/>
        </w:rPr>
        <w:t xml:space="preserve"> encourage</w:t>
      </w:r>
      <w:r>
        <w:rPr>
          <w:szCs w:val="18"/>
        </w:rPr>
        <w:t>d</w:t>
      </w:r>
      <w:r w:rsidRPr="00362ECA">
        <w:rPr>
          <w:szCs w:val="18"/>
        </w:rPr>
        <w:t xml:space="preserve"> the Secretariat to continue</w:t>
      </w:r>
      <w:r>
        <w:rPr>
          <w:szCs w:val="18"/>
        </w:rPr>
        <w:t xml:space="preserve"> updating the tool</w:t>
      </w:r>
      <w:r w:rsidRPr="00362ECA">
        <w:rPr>
          <w:szCs w:val="18"/>
        </w:rPr>
        <w:t>.</w:t>
      </w:r>
    </w:p>
    <w:p w14:paraId="3FD2B8E2" w14:textId="093A7962" w:rsidR="00D90F64" w:rsidRPr="00362ECA" w:rsidRDefault="00D90F64" w:rsidP="00D90F64">
      <w:pPr>
        <w:pStyle w:val="Heading3"/>
      </w:pPr>
      <w:bookmarkStart w:id="50" w:name="_Toc74660678"/>
      <w:r>
        <w:t>Presentation by UNEP on the InforMEA Initiative</w:t>
      </w:r>
      <w:bookmarkEnd w:id="50"/>
    </w:p>
    <w:p w14:paraId="45C1B9CA" w14:textId="13BF6153" w:rsidR="000D4B6F" w:rsidRPr="00ED3E31" w:rsidRDefault="000D4B6F" w:rsidP="000D4B6F">
      <w:pPr>
        <w:pStyle w:val="BodyText"/>
        <w:rPr>
          <w:szCs w:val="18"/>
        </w:rPr>
      </w:pPr>
      <w:r w:rsidRPr="00ED3E31">
        <w:rPr>
          <w:szCs w:val="18"/>
        </w:rPr>
        <w:t xml:space="preserve">The representative of </w:t>
      </w:r>
      <w:r w:rsidRPr="00ED3E31">
        <w:rPr>
          <w:szCs w:val="18"/>
          <w:u w:val="single"/>
        </w:rPr>
        <w:t>UNEP</w:t>
      </w:r>
      <w:r w:rsidRPr="00ED3E31">
        <w:rPr>
          <w:szCs w:val="18"/>
        </w:rPr>
        <w:t xml:space="preserve"> introduced the InforMEA</w:t>
      </w:r>
      <w:r>
        <w:rPr>
          <w:rStyle w:val="FootnoteReference"/>
          <w:szCs w:val="18"/>
        </w:rPr>
        <w:footnoteReference w:id="7"/>
      </w:r>
      <w:r w:rsidRPr="00ED3E31">
        <w:rPr>
          <w:szCs w:val="18"/>
        </w:rPr>
        <w:t xml:space="preserve"> initiative, a collaboration between several MEAs, co-chaired by UNEP</w:t>
      </w:r>
      <w:r>
        <w:rPr>
          <w:szCs w:val="18"/>
        </w:rPr>
        <w:t>'s</w:t>
      </w:r>
      <w:r w:rsidRPr="00ED3E31">
        <w:rPr>
          <w:szCs w:val="18"/>
        </w:rPr>
        <w:t xml:space="preserve"> Law Division and </w:t>
      </w:r>
      <w:r w:rsidR="00507AAE">
        <w:rPr>
          <w:szCs w:val="18"/>
        </w:rPr>
        <w:t xml:space="preserve">the </w:t>
      </w:r>
      <w:r w:rsidR="00507AAE" w:rsidRPr="00507AAE">
        <w:rPr>
          <w:szCs w:val="18"/>
        </w:rPr>
        <w:t>Convention on International Trade in Endangered Species of Wild Fauna and Flora</w:t>
      </w:r>
      <w:r w:rsidR="00507AAE">
        <w:rPr>
          <w:szCs w:val="18"/>
        </w:rPr>
        <w:t xml:space="preserve"> (CITES</w:t>
      </w:r>
      <w:r w:rsidR="00507AAE" w:rsidRPr="00507AAE">
        <w:rPr>
          <w:szCs w:val="18"/>
        </w:rPr>
        <w:t>)</w:t>
      </w:r>
      <w:r w:rsidRPr="00ED3E31">
        <w:rPr>
          <w:szCs w:val="18"/>
        </w:rPr>
        <w:t xml:space="preserve">. </w:t>
      </w:r>
      <w:r>
        <w:rPr>
          <w:szCs w:val="18"/>
        </w:rPr>
        <w:t>It involved</w:t>
      </w:r>
      <w:r w:rsidRPr="00ED3E31">
        <w:rPr>
          <w:szCs w:val="18"/>
        </w:rPr>
        <w:t xml:space="preserve"> 25 Secretariats within </w:t>
      </w:r>
      <w:r>
        <w:rPr>
          <w:szCs w:val="18"/>
        </w:rPr>
        <w:t>five</w:t>
      </w:r>
      <w:r w:rsidRPr="00ED3E31">
        <w:rPr>
          <w:szCs w:val="18"/>
        </w:rPr>
        <w:t xml:space="preserve"> U</w:t>
      </w:r>
      <w:r>
        <w:rPr>
          <w:szCs w:val="18"/>
        </w:rPr>
        <w:t>nited</w:t>
      </w:r>
      <w:r w:rsidR="00507AAE">
        <w:rPr>
          <w:szCs w:val="18"/>
        </w:rPr>
        <w:t> </w:t>
      </w:r>
      <w:r>
        <w:rPr>
          <w:szCs w:val="18"/>
        </w:rPr>
        <w:t>Nations</w:t>
      </w:r>
      <w:r w:rsidRPr="00ED3E31">
        <w:rPr>
          <w:szCs w:val="18"/>
        </w:rPr>
        <w:t xml:space="preserve"> organization</w:t>
      </w:r>
      <w:r>
        <w:rPr>
          <w:szCs w:val="18"/>
        </w:rPr>
        <w:t>s</w:t>
      </w:r>
      <w:r w:rsidRPr="00ED3E31">
        <w:rPr>
          <w:szCs w:val="18"/>
        </w:rPr>
        <w:t xml:space="preserve"> and</w:t>
      </w:r>
      <w:r>
        <w:rPr>
          <w:szCs w:val="18"/>
        </w:rPr>
        <w:t xml:space="preserve"> the </w:t>
      </w:r>
      <w:r w:rsidRPr="00ED3E31">
        <w:rPr>
          <w:szCs w:val="18"/>
        </w:rPr>
        <w:t>International Union for Conservation of Nature</w:t>
      </w:r>
      <w:r>
        <w:rPr>
          <w:szCs w:val="18"/>
        </w:rPr>
        <w:t xml:space="preserve"> (</w:t>
      </w:r>
      <w:r w:rsidRPr="00ED3E31">
        <w:rPr>
          <w:szCs w:val="18"/>
        </w:rPr>
        <w:t>IUCN</w:t>
      </w:r>
      <w:r>
        <w:rPr>
          <w:szCs w:val="18"/>
        </w:rPr>
        <w:t>)</w:t>
      </w:r>
      <w:r w:rsidRPr="00ED3E31">
        <w:rPr>
          <w:szCs w:val="18"/>
        </w:rPr>
        <w:t xml:space="preserve">. The </w:t>
      </w:r>
      <w:r>
        <w:rPr>
          <w:szCs w:val="18"/>
        </w:rPr>
        <w:t>main objective</w:t>
      </w:r>
      <w:r w:rsidRPr="00ED3E31">
        <w:rPr>
          <w:szCs w:val="18"/>
        </w:rPr>
        <w:t xml:space="preserve"> of InforMEA </w:t>
      </w:r>
      <w:r>
        <w:rPr>
          <w:szCs w:val="18"/>
        </w:rPr>
        <w:t>was to provide</w:t>
      </w:r>
      <w:r w:rsidRPr="00ED3E31">
        <w:rPr>
          <w:szCs w:val="18"/>
        </w:rPr>
        <w:t xml:space="preserve"> a central</w:t>
      </w:r>
      <w:r>
        <w:rPr>
          <w:szCs w:val="18"/>
        </w:rPr>
        <w:t>ized</w:t>
      </w:r>
      <w:r w:rsidRPr="00ED3E31">
        <w:rPr>
          <w:szCs w:val="18"/>
        </w:rPr>
        <w:t xml:space="preserve"> searchable database </w:t>
      </w:r>
      <w:r>
        <w:rPr>
          <w:szCs w:val="18"/>
        </w:rPr>
        <w:t xml:space="preserve">linking </w:t>
      </w:r>
      <w:r w:rsidRPr="00ED3E31">
        <w:rPr>
          <w:szCs w:val="18"/>
        </w:rPr>
        <w:t xml:space="preserve">all </w:t>
      </w:r>
      <w:r>
        <w:rPr>
          <w:szCs w:val="18"/>
        </w:rPr>
        <w:t xml:space="preserve">MEA </w:t>
      </w:r>
      <w:r w:rsidRPr="00ED3E31">
        <w:rPr>
          <w:szCs w:val="18"/>
        </w:rPr>
        <w:t>databases and websites</w:t>
      </w:r>
      <w:r>
        <w:rPr>
          <w:szCs w:val="18"/>
        </w:rPr>
        <w:t xml:space="preserve"> and ensuring their interoperability. It included MEA</w:t>
      </w:r>
      <w:r w:rsidRPr="00ED3E31">
        <w:rPr>
          <w:szCs w:val="18"/>
        </w:rPr>
        <w:t xml:space="preserve"> treaty text</w:t>
      </w:r>
      <w:r>
        <w:rPr>
          <w:szCs w:val="18"/>
        </w:rPr>
        <w:t>s</w:t>
      </w:r>
      <w:r w:rsidRPr="00ED3E31">
        <w:rPr>
          <w:szCs w:val="18"/>
        </w:rPr>
        <w:t>, as well associated information such as CoP decisions, national reports, contacts, national legislations,</w:t>
      </w:r>
      <w:r>
        <w:rPr>
          <w:szCs w:val="18"/>
        </w:rPr>
        <w:t xml:space="preserve"> and</w:t>
      </w:r>
      <w:r w:rsidRPr="00ED3E31">
        <w:rPr>
          <w:szCs w:val="18"/>
        </w:rPr>
        <w:t xml:space="preserve"> jurisprudence. </w:t>
      </w:r>
      <w:r>
        <w:rPr>
          <w:szCs w:val="18"/>
        </w:rPr>
        <w:t>Information was</w:t>
      </w:r>
      <w:r w:rsidRPr="00ED3E31">
        <w:rPr>
          <w:szCs w:val="18"/>
        </w:rPr>
        <w:t xml:space="preserve"> organized into environmental topics </w:t>
      </w:r>
      <w:r>
        <w:rPr>
          <w:szCs w:val="18"/>
        </w:rPr>
        <w:t xml:space="preserve">and </w:t>
      </w:r>
      <w:r w:rsidRPr="00ED3E31">
        <w:rPr>
          <w:szCs w:val="18"/>
        </w:rPr>
        <w:t>the website</w:t>
      </w:r>
      <w:r>
        <w:rPr>
          <w:szCs w:val="18"/>
        </w:rPr>
        <w:t xml:space="preserve"> also</w:t>
      </w:r>
      <w:r w:rsidRPr="00ED3E31">
        <w:rPr>
          <w:szCs w:val="18"/>
        </w:rPr>
        <w:t xml:space="preserve"> </w:t>
      </w:r>
      <w:r>
        <w:rPr>
          <w:szCs w:val="18"/>
        </w:rPr>
        <w:t xml:space="preserve">served </w:t>
      </w:r>
      <w:r w:rsidRPr="00ED3E31">
        <w:rPr>
          <w:szCs w:val="18"/>
        </w:rPr>
        <w:t xml:space="preserve">as a glossary </w:t>
      </w:r>
      <w:r>
        <w:rPr>
          <w:szCs w:val="18"/>
        </w:rPr>
        <w:t>for</w:t>
      </w:r>
      <w:r w:rsidRPr="00ED3E31">
        <w:rPr>
          <w:szCs w:val="18"/>
        </w:rPr>
        <w:t xml:space="preserve"> free text search for legal environmental information around MEAs. Wherever possible, data </w:t>
      </w:r>
      <w:r>
        <w:rPr>
          <w:szCs w:val="18"/>
        </w:rPr>
        <w:t>was extracted a</w:t>
      </w:r>
      <w:r w:rsidRPr="00ED3E31">
        <w:rPr>
          <w:szCs w:val="18"/>
        </w:rPr>
        <w:t xml:space="preserve">utomatically and </w:t>
      </w:r>
      <w:r>
        <w:rPr>
          <w:szCs w:val="18"/>
        </w:rPr>
        <w:t xml:space="preserve">kept </w:t>
      </w:r>
      <w:r w:rsidRPr="00ED3E31">
        <w:rPr>
          <w:szCs w:val="18"/>
        </w:rPr>
        <w:t xml:space="preserve">completely in line </w:t>
      </w:r>
      <w:r>
        <w:rPr>
          <w:szCs w:val="18"/>
        </w:rPr>
        <w:t xml:space="preserve">with the information contained in each </w:t>
      </w:r>
      <w:r w:rsidRPr="00ED3E31">
        <w:rPr>
          <w:szCs w:val="18"/>
        </w:rPr>
        <w:t>MEA</w:t>
      </w:r>
      <w:r>
        <w:rPr>
          <w:szCs w:val="18"/>
        </w:rPr>
        <w:t xml:space="preserve"> </w:t>
      </w:r>
      <w:r w:rsidRPr="00ED3E31">
        <w:rPr>
          <w:szCs w:val="18"/>
        </w:rPr>
        <w:t xml:space="preserve">website. </w:t>
      </w:r>
    </w:p>
    <w:p w14:paraId="34015BA4" w14:textId="77777777" w:rsidR="000D4B6F" w:rsidRPr="00ED3E31" w:rsidRDefault="000D4B6F" w:rsidP="000D4B6F">
      <w:pPr>
        <w:pStyle w:val="BodyText"/>
        <w:rPr>
          <w:szCs w:val="18"/>
        </w:rPr>
      </w:pPr>
      <w:r>
        <w:rPr>
          <w:szCs w:val="18"/>
        </w:rPr>
        <w:t xml:space="preserve">UNEP had been considering </w:t>
      </w:r>
      <w:r w:rsidRPr="00ED3E31">
        <w:rPr>
          <w:szCs w:val="18"/>
        </w:rPr>
        <w:t xml:space="preserve">how to capture the universe of international environmental law </w:t>
      </w:r>
      <w:r>
        <w:rPr>
          <w:szCs w:val="18"/>
        </w:rPr>
        <w:t xml:space="preserve">and </w:t>
      </w:r>
      <w:r w:rsidRPr="00ED3E31">
        <w:rPr>
          <w:szCs w:val="18"/>
        </w:rPr>
        <w:t>how it inte</w:t>
      </w:r>
      <w:r>
        <w:rPr>
          <w:szCs w:val="18"/>
        </w:rPr>
        <w:t>r</w:t>
      </w:r>
      <w:r w:rsidRPr="00ED3E31">
        <w:rPr>
          <w:szCs w:val="18"/>
        </w:rPr>
        <w:t>act</w:t>
      </w:r>
      <w:r>
        <w:rPr>
          <w:szCs w:val="18"/>
        </w:rPr>
        <w:t>ed</w:t>
      </w:r>
      <w:r w:rsidRPr="00ED3E31">
        <w:rPr>
          <w:szCs w:val="18"/>
        </w:rPr>
        <w:t xml:space="preserve"> with other areas of public international law, especially trade. </w:t>
      </w:r>
      <w:r>
        <w:rPr>
          <w:szCs w:val="18"/>
        </w:rPr>
        <w:t xml:space="preserve">A recent InforMEA </w:t>
      </w:r>
      <w:r w:rsidRPr="00ED3E31">
        <w:rPr>
          <w:szCs w:val="18"/>
        </w:rPr>
        <w:t>Steering Committee</w:t>
      </w:r>
      <w:r>
        <w:rPr>
          <w:szCs w:val="18"/>
        </w:rPr>
        <w:t xml:space="preserve"> meeting had approved </w:t>
      </w:r>
      <w:r w:rsidRPr="00ED3E31">
        <w:rPr>
          <w:szCs w:val="18"/>
        </w:rPr>
        <w:t xml:space="preserve">a </w:t>
      </w:r>
      <w:r>
        <w:rPr>
          <w:szCs w:val="18"/>
        </w:rPr>
        <w:t>r</w:t>
      </w:r>
      <w:r w:rsidRPr="00ED3E31">
        <w:rPr>
          <w:szCs w:val="18"/>
        </w:rPr>
        <w:t xml:space="preserve">ecommendation to </w:t>
      </w:r>
      <w:r>
        <w:rPr>
          <w:szCs w:val="18"/>
        </w:rPr>
        <w:t>explore a solution to integrate trade information in the platform.</w:t>
      </w:r>
      <w:r w:rsidRPr="00ED3E31">
        <w:rPr>
          <w:szCs w:val="18"/>
        </w:rPr>
        <w:t xml:space="preserve"> </w:t>
      </w:r>
      <w:r>
        <w:rPr>
          <w:szCs w:val="18"/>
        </w:rPr>
        <w:t>Two options had been devised</w:t>
      </w:r>
      <w:r w:rsidRPr="00ED3E31">
        <w:rPr>
          <w:szCs w:val="18"/>
        </w:rPr>
        <w:t xml:space="preserve">: </w:t>
      </w:r>
      <w:r>
        <w:rPr>
          <w:szCs w:val="18"/>
        </w:rPr>
        <w:t>linking the InforMEA to MEA information available in the WTO</w:t>
      </w:r>
      <w:r w:rsidRPr="00ED3E31">
        <w:rPr>
          <w:szCs w:val="18"/>
        </w:rPr>
        <w:t xml:space="preserve"> MEA Matrix</w:t>
      </w:r>
      <w:r>
        <w:rPr>
          <w:szCs w:val="18"/>
        </w:rPr>
        <w:t xml:space="preserve">; or identifying </w:t>
      </w:r>
      <w:r w:rsidRPr="00ED3E31">
        <w:rPr>
          <w:szCs w:val="18"/>
        </w:rPr>
        <w:t xml:space="preserve">where environment </w:t>
      </w:r>
      <w:r>
        <w:rPr>
          <w:szCs w:val="18"/>
        </w:rPr>
        <w:t>was</w:t>
      </w:r>
      <w:r w:rsidRPr="00ED3E31">
        <w:rPr>
          <w:szCs w:val="18"/>
        </w:rPr>
        <w:t xml:space="preserve"> reflected in trade agreements. </w:t>
      </w:r>
      <w:r>
        <w:rPr>
          <w:szCs w:val="18"/>
        </w:rPr>
        <w:t>UNEP had decided to start with the MEA Matrix as a</w:t>
      </w:r>
      <w:r w:rsidRPr="00ED3E31">
        <w:rPr>
          <w:szCs w:val="18"/>
        </w:rPr>
        <w:t xml:space="preserve"> first pilot</w:t>
      </w:r>
      <w:r>
        <w:rPr>
          <w:szCs w:val="18"/>
        </w:rPr>
        <w:t xml:space="preserve"> solution.</w:t>
      </w:r>
      <w:r w:rsidRPr="00ED3E31">
        <w:rPr>
          <w:szCs w:val="18"/>
        </w:rPr>
        <w:t xml:space="preserve"> </w:t>
      </w:r>
    </w:p>
    <w:p w14:paraId="33257394" w14:textId="1B40D819" w:rsidR="000D4B6F" w:rsidRPr="00ED3E31" w:rsidRDefault="000D4B6F" w:rsidP="000D4B6F">
      <w:pPr>
        <w:pStyle w:val="BodyText"/>
        <w:rPr>
          <w:szCs w:val="18"/>
        </w:rPr>
      </w:pPr>
      <w:r>
        <w:rPr>
          <w:szCs w:val="18"/>
        </w:rPr>
        <w:t xml:space="preserve">The objective was </w:t>
      </w:r>
      <w:r w:rsidRPr="00ED3E31">
        <w:rPr>
          <w:szCs w:val="18"/>
        </w:rPr>
        <w:t>to digitize the MEA matrix</w:t>
      </w:r>
      <w:r>
        <w:rPr>
          <w:szCs w:val="18"/>
        </w:rPr>
        <w:t xml:space="preserve">, which was a </w:t>
      </w:r>
      <w:r w:rsidRPr="00ED3E31">
        <w:rPr>
          <w:szCs w:val="18"/>
        </w:rPr>
        <w:t>very</w:t>
      </w:r>
      <w:r>
        <w:rPr>
          <w:szCs w:val="18"/>
        </w:rPr>
        <w:t xml:space="preserve"> comprehensive and</w:t>
      </w:r>
      <w:r w:rsidRPr="00ED3E31">
        <w:rPr>
          <w:szCs w:val="18"/>
        </w:rPr>
        <w:t xml:space="preserve"> useful resource</w:t>
      </w:r>
      <w:r>
        <w:rPr>
          <w:szCs w:val="18"/>
        </w:rPr>
        <w:t xml:space="preserve">, by transforming it into a </w:t>
      </w:r>
      <w:r w:rsidRPr="00ED3E31">
        <w:rPr>
          <w:szCs w:val="18"/>
        </w:rPr>
        <w:t xml:space="preserve">digital version </w:t>
      </w:r>
      <w:r>
        <w:rPr>
          <w:szCs w:val="18"/>
        </w:rPr>
        <w:t xml:space="preserve">that would be linked to </w:t>
      </w:r>
      <w:r w:rsidRPr="00ED3E31">
        <w:rPr>
          <w:szCs w:val="18"/>
        </w:rPr>
        <w:t xml:space="preserve">the broader set of legal information </w:t>
      </w:r>
      <w:r>
        <w:rPr>
          <w:szCs w:val="18"/>
        </w:rPr>
        <w:t>in</w:t>
      </w:r>
      <w:r w:rsidRPr="00ED3E31">
        <w:rPr>
          <w:szCs w:val="18"/>
        </w:rPr>
        <w:t xml:space="preserve"> the InforMEA. </w:t>
      </w:r>
      <w:r>
        <w:rPr>
          <w:szCs w:val="18"/>
        </w:rPr>
        <w:t>This would allow for information to be more easily accessible in the platform, in particular for a non-trade audience, as well as to link it to other information and tags provided by InforMEA, improving navigability and user friendliness. Most of</w:t>
      </w:r>
      <w:r w:rsidRPr="00ED3E31">
        <w:rPr>
          <w:szCs w:val="18"/>
        </w:rPr>
        <w:t xml:space="preserve"> the information c</w:t>
      </w:r>
      <w:r>
        <w:rPr>
          <w:szCs w:val="18"/>
        </w:rPr>
        <w:t xml:space="preserve">ame from </w:t>
      </w:r>
      <w:r w:rsidRPr="00ED3E31">
        <w:rPr>
          <w:szCs w:val="18"/>
        </w:rPr>
        <w:t xml:space="preserve">MEAs themselves </w:t>
      </w:r>
      <w:r>
        <w:rPr>
          <w:szCs w:val="18"/>
        </w:rPr>
        <w:t xml:space="preserve">and the project would also seek ways to streamline its update process since </w:t>
      </w:r>
      <w:r>
        <w:rPr>
          <w:szCs w:val="18"/>
        </w:rPr>
        <w:lastRenderedPageBreak/>
        <w:t>covered MEAs were also part of the InforMEA</w:t>
      </w:r>
      <w:r w:rsidRPr="00ED3E31">
        <w:rPr>
          <w:szCs w:val="18"/>
        </w:rPr>
        <w:t xml:space="preserve"> initiative. </w:t>
      </w:r>
      <w:r>
        <w:rPr>
          <w:szCs w:val="18"/>
        </w:rPr>
        <w:t xml:space="preserve">In theory, once all information was integrated, updates to the MEA Matrix would be possible in real time as MEA Secretariats updated their own information in the InforMEA database. </w:t>
      </w:r>
    </w:p>
    <w:p w14:paraId="3ECFB5CE" w14:textId="537BB9B5" w:rsidR="000D4B6F" w:rsidRPr="00773484" w:rsidRDefault="000D4B6F" w:rsidP="000D4B6F">
      <w:pPr>
        <w:pStyle w:val="BodyText"/>
        <w:rPr>
          <w:szCs w:val="18"/>
        </w:rPr>
      </w:pPr>
      <w:r w:rsidRPr="00ED3E31">
        <w:rPr>
          <w:szCs w:val="18"/>
        </w:rPr>
        <w:t xml:space="preserve"> </w:t>
      </w:r>
      <w:r w:rsidRPr="00773484">
        <w:rPr>
          <w:szCs w:val="18"/>
        </w:rPr>
        <w:t>InforMEA used A</w:t>
      </w:r>
      <w:r w:rsidRPr="00ED3E31">
        <w:rPr>
          <w:szCs w:val="18"/>
        </w:rPr>
        <w:t xml:space="preserve">koma Ntoso, </w:t>
      </w:r>
      <w:r w:rsidRPr="00773484">
        <w:rPr>
          <w:szCs w:val="18"/>
        </w:rPr>
        <w:t>the</w:t>
      </w:r>
      <w:r w:rsidRPr="00ED3E31">
        <w:rPr>
          <w:szCs w:val="18"/>
        </w:rPr>
        <w:t xml:space="preserve"> UN standard machine-readable format. </w:t>
      </w:r>
      <w:r w:rsidRPr="00773484">
        <w:rPr>
          <w:szCs w:val="18"/>
        </w:rPr>
        <w:t>It had several ad</w:t>
      </w:r>
      <w:r w:rsidRPr="00ED3E31">
        <w:rPr>
          <w:szCs w:val="18"/>
        </w:rPr>
        <w:t>vantages</w:t>
      </w:r>
      <w:r w:rsidRPr="00773484">
        <w:rPr>
          <w:szCs w:val="18"/>
        </w:rPr>
        <w:t xml:space="preserve"> including</w:t>
      </w:r>
      <w:r w:rsidRPr="00ED3E31">
        <w:rPr>
          <w:szCs w:val="18"/>
        </w:rPr>
        <w:t xml:space="preserve">: </w:t>
      </w:r>
      <w:r w:rsidRPr="00773484">
        <w:rPr>
          <w:szCs w:val="18"/>
        </w:rPr>
        <w:t>allowing</w:t>
      </w:r>
      <w:r w:rsidRPr="00ED3E31">
        <w:rPr>
          <w:szCs w:val="18"/>
        </w:rPr>
        <w:t xml:space="preserve"> for more simultaneous translation of documents rather than multiple PDFs</w:t>
      </w:r>
      <w:r w:rsidRPr="00773484">
        <w:rPr>
          <w:szCs w:val="18"/>
        </w:rPr>
        <w:t>; providing</w:t>
      </w:r>
      <w:r w:rsidRPr="00ED3E31">
        <w:rPr>
          <w:szCs w:val="18"/>
        </w:rPr>
        <w:t xml:space="preserve"> the histor</w:t>
      </w:r>
      <w:r w:rsidRPr="00773484">
        <w:rPr>
          <w:szCs w:val="18"/>
        </w:rPr>
        <w:t>ical evolution</w:t>
      </w:r>
      <w:r w:rsidRPr="00ED3E31">
        <w:rPr>
          <w:szCs w:val="18"/>
        </w:rPr>
        <w:t xml:space="preserve"> of documents; and</w:t>
      </w:r>
      <w:r w:rsidRPr="00773484">
        <w:rPr>
          <w:szCs w:val="18"/>
        </w:rPr>
        <w:t>,</w:t>
      </w:r>
      <w:r w:rsidRPr="00ED3E31">
        <w:rPr>
          <w:szCs w:val="18"/>
        </w:rPr>
        <w:t xml:space="preserve"> for the purposes of trade and investment portal, it </w:t>
      </w:r>
      <w:r w:rsidRPr="00773484">
        <w:rPr>
          <w:szCs w:val="18"/>
        </w:rPr>
        <w:t>allowed</w:t>
      </w:r>
      <w:r w:rsidRPr="00ED3E31">
        <w:rPr>
          <w:szCs w:val="18"/>
        </w:rPr>
        <w:t xml:space="preserve"> </w:t>
      </w:r>
      <w:r w:rsidRPr="00773484">
        <w:rPr>
          <w:szCs w:val="18"/>
        </w:rPr>
        <w:t>the system</w:t>
      </w:r>
      <w:r w:rsidRPr="00ED3E31">
        <w:rPr>
          <w:szCs w:val="18"/>
        </w:rPr>
        <w:t xml:space="preserve"> to tag</w:t>
      </w:r>
      <w:r w:rsidRPr="00773484">
        <w:rPr>
          <w:szCs w:val="18"/>
        </w:rPr>
        <w:t xml:space="preserve"> information</w:t>
      </w:r>
      <w:r w:rsidRPr="00ED3E31">
        <w:rPr>
          <w:szCs w:val="18"/>
        </w:rPr>
        <w:t xml:space="preserve"> at the provision level. </w:t>
      </w:r>
      <w:r w:rsidRPr="00773484">
        <w:rPr>
          <w:szCs w:val="18"/>
        </w:rPr>
        <w:t>With the standard</w:t>
      </w:r>
      <w:r w:rsidRPr="00ED3E31">
        <w:rPr>
          <w:szCs w:val="18"/>
        </w:rPr>
        <w:t xml:space="preserve">, rather than tagging the entire document as trade-related, </w:t>
      </w:r>
      <w:r w:rsidRPr="00773484">
        <w:rPr>
          <w:szCs w:val="18"/>
        </w:rPr>
        <w:t>it would be possible</w:t>
      </w:r>
      <w:r>
        <w:rPr>
          <w:szCs w:val="18"/>
        </w:rPr>
        <w:t xml:space="preserve"> to</w:t>
      </w:r>
      <w:r w:rsidRPr="00ED3E31">
        <w:rPr>
          <w:szCs w:val="18"/>
        </w:rPr>
        <w:t xml:space="preserve"> tag specific provision</w:t>
      </w:r>
      <w:r w:rsidRPr="00773484">
        <w:rPr>
          <w:szCs w:val="18"/>
        </w:rPr>
        <w:t>s</w:t>
      </w:r>
      <w:r w:rsidRPr="00ED3E31">
        <w:rPr>
          <w:szCs w:val="18"/>
        </w:rPr>
        <w:t xml:space="preserve">, </w:t>
      </w:r>
      <w:r w:rsidRPr="00773484">
        <w:rPr>
          <w:szCs w:val="18"/>
        </w:rPr>
        <w:t>allowing it to be linked to other information in</w:t>
      </w:r>
      <w:r w:rsidRPr="00ED3E31">
        <w:rPr>
          <w:szCs w:val="18"/>
        </w:rPr>
        <w:t xml:space="preserve"> </w:t>
      </w:r>
      <w:r w:rsidR="0035369C">
        <w:rPr>
          <w:szCs w:val="18"/>
        </w:rPr>
        <w:t>I</w:t>
      </w:r>
      <w:r w:rsidRPr="00ED3E31">
        <w:rPr>
          <w:szCs w:val="18"/>
        </w:rPr>
        <w:t xml:space="preserve">nforMEA. </w:t>
      </w:r>
      <w:r w:rsidRPr="00773484">
        <w:rPr>
          <w:szCs w:val="18"/>
        </w:rPr>
        <w:t>The implementation was still a</w:t>
      </w:r>
      <w:r w:rsidRPr="00ED3E31">
        <w:rPr>
          <w:szCs w:val="18"/>
        </w:rPr>
        <w:t xml:space="preserve"> prototype, </w:t>
      </w:r>
      <w:r w:rsidRPr="00773484">
        <w:rPr>
          <w:szCs w:val="18"/>
        </w:rPr>
        <w:t xml:space="preserve">but once implemented it would allow the user to </w:t>
      </w:r>
      <w:r w:rsidRPr="00ED3E31">
        <w:rPr>
          <w:szCs w:val="18"/>
        </w:rPr>
        <w:t xml:space="preserve">highlight </w:t>
      </w:r>
      <w:r w:rsidRPr="00773484">
        <w:rPr>
          <w:szCs w:val="18"/>
        </w:rPr>
        <w:t>a</w:t>
      </w:r>
      <w:r w:rsidRPr="00ED3E31">
        <w:rPr>
          <w:szCs w:val="18"/>
        </w:rPr>
        <w:t xml:space="preserve"> specific </w:t>
      </w:r>
      <w:r w:rsidRPr="00773484">
        <w:rPr>
          <w:szCs w:val="18"/>
        </w:rPr>
        <w:t>provision or tag</w:t>
      </w:r>
      <w:r w:rsidRPr="00ED3E31">
        <w:rPr>
          <w:szCs w:val="18"/>
        </w:rPr>
        <w:t xml:space="preserve"> and </w:t>
      </w:r>
      <w:r w:rsidRPr="00773484">
        <w:rPr>
          <w:szCs w:val="18"/>
        </w:rPr>
        <w:t>find its broader</w:t>
      </w:r>
      <w:r w:rsidRPr="00ED3E31">
        <w:rPr>
          <w:szCs w:val="18"/>
        </w:rPr>
        <w:t xml:space="preserve"> context </w:t>
      </w:r>
      <w:r w:rsidRPr="00773484">
        <w:rPr>
          <w:szCs w:val="18"/>
        </w:rPr>
        <w:t>in the database</w:t>
      </w:r>
      <w:r w:rsidRPr="00ED3E31">
        <w:rPr>
          <w:szCs w:val="18"/>
        </w:rPr>
        <w:t xml:space="preserve">. </w:t>
      </w:r>
      <w:r w:rsidRPr="00773484">
        <w:rPr>
          <w:szCs w:val="18"/>
        </w:rPr>
        <w:t>The representative provided delegations with a brief presentation of a mock-up of what the integrated trade information in InforMEA would look like. UNEP was enthusiastic about the project and the cooperation with the WTO Secretariat and looked forward to further collaboration on the MEA Matrix.</w:t>
      </w:r>
    </w:p>
    <w:p w14:paraId="03413020" w14:textId="77777777" w:rsidR="00B360E6" w:rsidRDefault="00B360E6" w:rsidP="00B360E6">
      <w:pPr>
        <w:pStyle w:val="Heading2"/>
      </w:pPr>
      <w:bookmarkStart w:id="51" w:name="_Toc74660679"/>
      <w:r>
        <w:t>Transparency of environment-related trade measures (Item 4 of the CTE Work Programme)</w:t>
      </w:r>
      <w:bookmarkEnd w:id="51"/>
    </w:p>
    <w:p w14:paraId="76DFDC24" w14:textId="77777777" w:rsidR="00B360E6" w:rsidRDefault="00B360E6" w:rsidP="00B360E6">
      <w:pPr>
        <w:pStyle w:val="Quotation"/>
        <w:keepNext/>
        <w:keepLines/>
        <w:rPr>
          <w:i/>
          <w:iCs/>
        </w:rPr>
      </w:pPr>
      <w:r>
        <w:rPr>
          <w:i/>
          <w:iCs/>
        </w:rPr>
        <w:t>"The provisions of the multilateral trading system with respect to the transparency of trade measures used for environmental purposes and environmental measures and requirements which have significant trade effects."</w:t>
      </w:r>
    </w:p>
    <w:p w14:paraId="050D4AD8" w14:textId="77777777" w:rsidR="00B360E6" w:rsidRDefault="00B360E6" w:rsidP="00B360E6">
      <w:pPr>
        <w:pStyle w:val="Heading3"/>
      </w:pPr>
      <w:bookmarkStart w:id="52" w:name="_Toc74660680"/>
      <w:r>
        <w:t>WTO Environmental Database</w:t>
      </w:r>
      <w:bookmarkEnd w:id="52"/>
    </w:p>
    <w:p w14:paraId="494A13E3" w14:textId="16DB7EC8" w:rsidR="00B360E6" w:rsidRPr="00B360E6" w:rsidRDefault="00B360E6" w:rsidP="00B360E6">
      <w:pPr>
        <w:pStyle w:val="BodyText"/>
        <w:rPr>
          <w:rFonts w:cstheme="minorHAnsi"/>
          <w:caps/>
          <w:szCs w:val="18"/>
        </w:rPr>
      </w:pPr>
      <w:r>
        <w:t xml:space="preserve">The </w:t>
      </w:r>
      <w:r w:rsidRPr="00B360E6">
        <w:rPr>
          <w:u w:val="single"/>
        </w:rPr>
        <w:t>WTO Secretariat</w:t>
      </w:r>
      <w:r>
        <w:t xml:space="preserve"> provided an update</w:t>
      </w:r>
      <w:r>
        <w:rPr>
          <w:vertAlign w:val="superscript"/>
        </w:rPr>
        <w:footnoteReference w:id="8"/>
      </w:r>
      <w:r>
        <w:t xml:space="preserve"> on the WTO Environmental Database (EDB).</w:t>
      </w:r>
      <w:r>
        <w:rPr>
          <w:vertAlign w:val="superscript"/>
        </w:rPr>
        <w:footnoteReference w:id="9"/>
      </w:r>
      <w:r>
        <w:t xml:space="preserve"> The EDB 2019 report had been circulated in document WT/CTE/EDB/19. Data collection for 2020 was under way using a new EDB data entry platform. The EDB web</w:t>
      </w:r>
      <w:r w:rsidR="009F1F9A">
        <w:t xml:space="preserve"> </w:t>
      </w:r>
      <w:r>
        <w:t>portal covered information on over 13</w:t>
      </w:r>
      <w:r w:rsidR="00025E1C">
        <w:t>,200</w:t>
      </w:r>
      <w:r>
        <w:t xml:space="preserve"> environment-related measures notified under WTO</w:t>
      </w:r>
      <w:r w:rsidR="00025E1C">
        <w:t> Agreement</w:t>
      </w:r>
      <w:r>
        <w:t>s and more than 8</w:t>
      </w:r>
      <w:r w:rsidR="00025E1C">
        <w:t>,600</w:t>
      </w:r>
      <w:r>
        <w:t xml:space="preserve"> environment-related entries drawn from the Trade Policy Reviews (TPRs) of WTO Members. Each year more than 600 new environment-related notifications, 1</w:t>
      </w:r>
      <w:r w:rsidR="00025E1C">
        <w:t>,000</w:t>
      </w:r>
      <w:r>
        <w:t xml:space="preserve"> new measures and 750 TPR entries were added to the database. An additional section had been added to the EDB 2019 report to provide topic-specific analysis. In 2019, 103 WTO members from all regions and at levels of development had submitted environment-related notifications. The European</w:t>
      </w:r>
      <w:r w:rsidR="00025E1C">
        <w:t> Union</w:t>
      </w:r>
      <w:r>
        <w:t xml:space="preserve"> had the most environment-related notifications. Rwanda and Uganda were also among the top 10 notifiers in 2019. Overall, the number and share of environment-related notifications and measures had increased over time with 672 notifications and 1</w:t>
      </w:r>
      <w:r w:rsidR="00025E1C">
        <w:t>,764</w:t>
      </w:r>
      <w:r>
        <w:t xml:space="preserve"> environment-related measures in 2019. The WTO TBT</w:t>
      </w:r>
      <w:r w:rsidR="00025E1C">
        <w:t> Agreement</w:t>
      </w:r>
      <w:r>
        <w:t xml:space="preserve"> had the most environment-related notifications while the Agreement on Subsidies and Countervailing Measures (ASCM) accounted for the most environment-related measures in the database.</w:t>
      </w:r>
      <w:r w:rsidR="0035369C">
        <w:t xml:space="preserve"> </w:t>
      </w:r>
      <w:r>
        <w:t xml:space="preserve">Support measures had grown in recent years and constituted about 60% of all EDB measures with grants and direct payments the single biggest category among the type of measures. On the type of sectors in 2019, manufacturing and agriculture each accounted for a quarter (25%) of the notified measures. Other sectors included chemicals (13%), energy (12%) and fisheries with 9% of the EDB measures. On types of environment-related objectives, chemical, toxic and hazardous substances management was still the top objective (17%) in 2019 and sustainable fisheries management was also in the top </w:t>
      </w:r>
      <w:r w:rsidR="00025E1C">
        <w:t>five</w:t>
      </w:r>
      <w:r>
        <w:t xml:space="preserve"> (9%). Fisheries was the topic-specific focus in Section 3 of the EDB 2019 report. The ASCM was the WTO</w:t>
      </w:r>
      <w:r w:rsidR="00025E1C">
        <w:t> Agreement</w:t>
      </w:r>
      <w:r>
        <w:t xml:space="preserve"> with the most notified environment-related measures under the fisheries sector, with grants and direct payments the single largest type of measure. He also presented data on TPR entries affecting the fisheries sector and examples of notified sustainable fisheries management measures included in the EDB. </w:t>
      </w:r>
    </w:p>
    <w:p w14:paraId="39E9C395" w14:textId="77777777" w:rsidR="00B360E6" w:rsidRDefault="00B360E6" w:rsidP="00B360E6">
      <w:pPr>
        <w:pStyle w:val="BodyText"/>
        <w:rPr>
          <w:lang w:val="en-US"/>
        </w:rPr>
      </w:pPr>
      <w:r>
        <w:rPr>
          <w:lang w:val="en-US"/>
        </w:rPr>
        <w:t xml:space="preserve">The representative of </w:t>
      </w:r>
      <w:r>
        <w:rPr>
          <w:szCs w:val="18"/>
          <w:u w:val="single"/>
          <w:lang w:val="en-US"/>
        </w:rPr>
        <w:t>Switzerland</w:t>
      </w:r>
      <w:r>
        <w:rPr>
          <w:szCs w:val="18"/>
          <w:lang w:val="en-US"/>
        </w:rPr>
        <w:t xml:space="preserve"> </w:t>
      </w:r>
      <w:r>
        <w:rPr>
          <w:lang w:val="en-US"/>
        </w:rPr>
        <w:t>thanked the Secretariat for the presentation on the EDB. She referred to questions on plastic pollution raised earlier and at the informal dialogue. The questions were: (i) what kind of data would complement data presented by the WTO Secretariat to cover releases, distribution, movements, production and consumption of plastics? (ii) How could the notification on the different plastics be improved? The WTO Secretariat had pointed out that the notifications available to the WTO were partial data.</w:t>
      </w:r>
    </w:p>
    <w:p w14:paraId="5800F5FB" w14:textId="0E044E67" w:rsidR="00B360E6" w:rsidRDefault="00B360E6" w:rsidP="00B360E6">
      <w:pPr>
        <w:pStyle w:val="BodyText"/>
        <w:rPr>
          <w:szCs w:val="18"/>
        </w:rPr>
      </w:pPr>
      <w:r>
        <w:lastRenderedPageBreak/>
        <w:t xml:space="preserve">In response to the query from Switzerland, the representative of the </w:t>
      </w:r>
      <w:r>
        <w:rPr>
          <w:u w:val="single"/>
        </w:rPr>
        <w:t>WTO Secretariat</w:t>
      </w:r>
      <w:r>
        <w:t xml:space="preserve"> said that Annex</w:t>
      </w:r>
      <w:r w:rsidR="00E13A66">
        <w:t>es</w:t>
      </w:r>
      <w:r>
        <w:t xml:space="preserve"> I and III of the EDB 2019 report provided the list of keywords and harmonized categories used to tag the EDB data. EDB data collection and entry involved tagging environment-related measures by type of sector, measures, objectives and keywords which allowed for topic-specific analysis. For fisheries, the topic of the EDB 2019 report, the data was tagged and could be analysed by sector (fisheries), keyword (fish), and environment-related objective (sustainable fisheries management). Plastics had been added as a EDB keyword in 2020. Data on plastics could also be searched using the "free text" search option in the database. Other relevant harmoni</w:t>
      </w:r>
      <w:r w:rsidR="00025E1C">
        <w:t>z</w:t>
      </w:r>
      <w:r>
        <w:t xml:space="preserve">ed categories in the EDB could include "waste management and recycling". He added that other topics such as climate change or biodiversity could also be analysed for reports using data from the EDB. </w:t>
      </w:r>
    </w:p>
    <w:p w14:paraId="79F8DDCD" w14:textId="79C57CC6" w:rsidR="00E21F03" w:rsidRDefault="00E21F03" w:rsidP="006C4688">
      <w:pPr>
        <w:pStyle w:val="Heading1"/>
      </w:pPr>
      <w:bookmarkStart w:id="53" w:name="_Toc74660681"/>
      <w:r w:rsidRPr="00DC7009">
        <w:t>Other business</w:t>
      </w:r>
      <w:bookmarkEnd w:id="53"/>
    </w:p>
    <w:p w14:paraId="2850BBE1" w14:textId="13CCE9AE" w:rsidR="00920EC6" w:rsidRPr="00920EC6" w:rsidRDefault="00920EC6" w:rsidP="00920EC6">
      <w:pPr>
        <w:pStyle w:val="Heading2"/>
      </w:pPr>
      <w:bookmarkStart w:id="54" w:name="_Toc74660682"/>
      <w:r>
        <w:t xml:space="preserve">Canada's briefing on the </w:t>
      </w:r>
      <w:r w:rsidRPr="006105FB">
        <w:t>Trade and Environmental Sustainability Structured Discussions</w:t>
      </w:r>
      <w:r>
        <w:t xml:space="preserve"> (TESSD)</w:t>
      </w:r>
      <w:bookmarkEnd w:id="54"/>
    </w:p>
    <w:p w14:paraId="000AD0D7" w14:textId="075A7B09" w:rsidR="005237D4" w:rsidRPr="008F21C3" w:rsidRDefault="005237D4" w:rsidP="005237D4">
      <w:pPr>
        <w:pStyle w:val="BodyText"/>
        <w:numPr>
          <w:ilvl w:val="6"/>
          <w:numId w:val="39"/>
        </w:numPr>
        <w:rPr>
          <w:rFonts w:cs="Arial"/>
          <w:szCs w:val="18"/>
        </w:rPr>
      </w:pPr>
      <w:r w:rsidRPr="00D25C14">
        <w:rPr>
          <w:rFonts w:eastAsiaTheme="minorHAnsi" w:cs="Arial"/>
          <w:szCs w:val="18"/>
        </w:rPr>
        <w:t xml:space="preserve">The representative of </w:t>
      </w:r>
      <w:r w:rsidRPr="005237D4">
        <w:rPr>
          <w:rFonts w:eastAsiaTheme="minorHAnsi" w:cs="Arial"/>
          <w:szCs w:val="18"/>
          <w:u w:val="single"/>
        </w:rPr>
        <w:t>Canada</w:t>
      </w:r>
      <w:r w:rsidRPr="00D25C14">
        <w:rPr>
          <w:rFonts w:eastAsiaTheme="minorHAnsi" w:cs="Arial"/>
          <w:szCs w:val="18"/>
        </w:rPr>
        <w:t xml:space="preserve">, on behalf of </w:t>
      </w:r>
      <w:r w:rsidRPr="005237D4">
        <w:rPr>
          <w:rFonts w:eastAsiaTheme="minorHAnsi" w:cs="Arial"/>
          <w:szCs w:val="18"/>
          <w:u w:val="single"/>
        </w:rPr>
        <w:t>Canada</w:t>
      </w:r>
      <w:r w:rsidRPr="00D25C14">
        <w:rPr>
          <w:rFonts w:eastAsiaTheme="minorHAnsi" w:cs="Arial"/>
          <w:szCs w:val="18"/>
        </w:rPr>
        <w:t xml:space="preserve"> and </w:t>
      </w:r>
      <w:r w:rsidRPr="005237D4">
        <w:rPr>
          <w:rFonts w:eastAsiaTheme="minorHAnsi" w:cs="Arial"/>
          <w:szCs w:val="18"/>
          <w:u w:val="single"/>
        </w:rPr>
        <w:t>Costa Rica</w:t>
      </w:r>
      <w:r w:rsidRPr="00D25C14">
        <w:rPr>
          <w:rFonts w:eastAsiaTheme="minorHAnsi" w:cs="Arial"/>
          <w:szCs w:val="18"/>
        </w:rPr>
        <w:t xml:space="preserve"> (coordinators of the </w:t>
      </w:r>
      <w:r w:rsidR="00920EC6" w:rsidRPr="006105FB">
        <w:t>Trade and Environmental Sustainability Structured Discussions</w:t>
      </w:r>
      <w:r w:rsidR="00920EC6">
        <w:t xml:space="preserve"> or TESSD</w:t>
      </w:r>
      <w:r>
        <w:t xml:space="preserve">), recalled that </w:t>
      </w:r>
      <w:r>
        <w:rPr>
          <w:rFonts w:cs="Arial"/>
          <w:szCs w:val="18"/>
        </w:rPr>
        <w:t>in</w:t>
      </w:r>
      <w:r w:rsidRPr="00D25C14">
        <w:rPr>
          <w:rFonts w:cs="Arial"/>
          <w:szCs w:val="18"/>
        </w:rPr>
        <w:t xml:space="preserve"> the margins of the CTE meeting in November 2020, a group of some 20 co-sponsors had issued a communication on Trade and Environmental Sustainability</w:t>
      </w:r>
      <w:r>
        <w:rPr>
          <w:rFonts w:cs="Arial"/>
          <w:szCs w:val="18"/>
        </w:rPr>
        <w:t xml:space="preserve"> launching TESSD</w:t>
      </w:r>
      <w:r w:rsidRPr="00D25C14">
        <w:rPr>
          <w:rFonts w:cs="Arial"/>
          <w:szCs w:val="18"/>
        </w:rPr>
        <w:t>.</w:t>
      </w:r>
      <w:r>
        <w:rPr>
          <w:rStyle w:val="FootnoteReference"/>
          <w:rFonts w:cs="Arial"/>
          <w:szCs w:val="18"/>
        </w:rPr>
        <w:footnoteReference w:id="10"/>
      </w:r>
      <w:r w:rsidRPr="00D25C14">
        <w:rPr>
          <w:rFonts w:cs="Arial"/>
          <w:szCs w:val="18"/>
        </w:rPr>
        <w:t xml:space="preserve"> Since then, the number of co-sponsors had risen to 26, representing over 50 WTO Members.</w:t>
      </w:r>
      <w:r>
        <w:rPr>
          <w:rFonts w:cs="Arial"/>
          <w:szCs w:val="18"/>
        </w:rPr>
        <w:t xml:space="preserve"> </w:t>
      </w:r>
      <w:r w:rsidRPr="00D25C14">
        <w:rPr>
          <w:rFonts w:cs="Arial"/>
          <w:szCs w:val="18"/>
        </w:rPr>
        <w:t xml:space="preserve">TESSD </w:t>
      </w:r>
      <w:r>
        <w:rPr>
          <w:rFonts w:cs="Arial"/>
          <w:szCs w:val="18"/>
        </w:rPr>
        <w:t>co-sponsors recogni</w:t>
      </w:r>
      <w:r w:rsidR="00025E1C">
        <w:rPr>
          <w:rFonts w:cs="Arial"/>
          <w:szCs w:val="18"/>
        </w:rPr>
        <w:t>s</w:t>
      </w:r>
      <w:r>
        <w:rPr>
          <w:rFonts w:cs="Arial"/>
          <w:szCs w:val="18"/>
        </w:rPr>
        <w:t xml:space="preserve">ed that </w:t>
      </w:r>
      <w:r w:rsidRPr="00D25C14">
        <w:rPr>
          <w:rFonts w:cs="Arial"/>
          <w:szCs w:val="18"/>
        </w:rPr>
        <w:t xml:space="preserve">action on environmental sustainability </w:t>
      </w:r>
      <w:r>
        <w:rPr>
          <w:rFonts w:cs="Arial"/>
          <w:szCs w:val="18"/>
        </w:rPr>
        <w:t xml:space="preserve">was </w:t>
      </w:r>
      <w:r w:rsidRPr="00D25C14">
        <w:rPr>
          <w:rFonts w:cs="Arial"/>
          <w:szCs w:val="18"/>
        </w:rPr>
        <w:t>urgent</w:t>
      </w:r>
      <w:r>
        <w:rPr>
          <w:rFonts w:cs="Arial"/>
          <w:szCs w:val="18"/>
        </w:rPr>
        <w:t xml:space="preserve">. TESSD provided </w:t>
      </w:r>
      <w:r w:rsidRPr="00D25C14">
        <w:rPr>
          <w:rFonts w:cs="Arial"/>
          <w:szCs w:val="18"/>
        </w:rPr>
        <w:t xml:space="preserve">a forum for interested WTO </w:t>
      </w:r>
      <w:r>
        <w:rPr>
          <w:rFonts w:cs="Arial"/>
          <w:szCs w:val="18"/>
        </w:rPr>
        <w:t>M</w:t>
      </w:r>
      <w:r w:rsidRPr="00D25C14">
        <w:rPr>
          <w:rFonts w:cs="Arial"/>
          <w:szCs w:val="18"/>
        </w:rPr>
        <w:t xml:space="preserve">embers to explore ways </w:t>
      </w:r>
      <w:r>
        <w:rPr>
          <w:rFonts w:cs="Arial"/>
          <w:szCs w:val="18"/>
        </w:rPr>
        <w:t xml:space="preserve">to ensure that trade policy would contribute to environmental sustainability. Following </w:t>
      </w:r>
      <w:r w:rsidRPr="008F21C3">
        <w:rPr>
          <w:rFonts w:cs="Arial"/>
          <w:szCs w:val="18"/>
        </w:rPr>
        <w:t xml:space="preserve">a first discussion on agenda setting </w:t>
      </w:r>
      <w:r>
        <w:rPr>
          <w:rFonts w:cs="Arial"/>
          <w:szCs w:val="18"/>
        </w:rPr>
        <w:t>in January 2021, c</w:t>
      </w:r>
      <w:r w:rsidRPr="008F21C3">
        <w:rPr>
          <w:rFonts w:cs="Arial"/>
          <w:szCs w:val="18"/>
        </w:rPr>
        <w:t xml:space="preserve">o-sponsors </w:t>
      </w:r>
      <w:r>
        <w:rPr>
          <w:rFonts w:cs="Arial"/>
          <w:szCs w:val="18"/>
        </w:rPr>
        <w:t xml:space="preserve">had presented </w:t>
      </w:r>
      <w:r w:rsidRPr="008F21C3">
        <w:rPr>
          <w:rFonts w:cs="Arial"/>
          <w:szCs w:val="18"/>
        </w:rPr>
        <w:t>proposals</w:t>
      </w:r>
      <w:r>
        <w:rPr>
          <w:rFonts w:cs="Arial"/>
          <w:szCs w:val="18"/>
        </w:rPr>
        <w:t xml:space="preserve"> and ideas on </w:t>
      </w:r>
      <w:r w:rsidRPr="008F21C3">
        <w:rPr>
          <w:rFonts w:cs="Arial"/>
          <w:szCs w:val="18"/>
        </w:rPr>
        <w:t>work that TESSD could undertake</w:t>
      </w:r>
      <w:r>
        <w:rPr>
          <w:rFonts w:cs="Arial"/>
          <w:szCs w:val="18"/>
        </w:rPr>
        <w:t xml:space="preserve"> in 2021</w:t>
      </w:r>
      <w:r w:rsidRPr="008F21C3">
        <w:rPr>
          <w:rFonts w:cs="Arial"/>
          <w:szCs w:val="18"/>
        </w:rPr>
        <w:t xml:space="preserve">. </w:t>
      </w:r>
      <w:r>
        <w:rPr>
          <w:rFonts w:cs="Arial"/>
          <w:szCs w:val="18"/>
        </w:rPr>
        <w:t xml:space="preserve">All proposals had been posted on a web portal available to all </w:t>
      </w:r>
      <w:r w:rsidRPr="008F21C3">
        <w:rPr>
          <w:rFonts w:cs="Arial"/>
          <w:szCs w:val="18"/>
        </w:rPr>
        <w:t>WTO members</w:t>
      </w:r>
      <w:r>
        <w:rPr>
          <w:rFonts w:cs="Arial"/>
          <w:szCs w:val="18"/>
        </w:rPr>
        <w:t>.</w:t>
      </w:r>
      <w:r>
        <w:rPr>
          <w:rStyle w:val="FootnoteReference"/>
          <w:rFonts w:cs="Arial"/>
          <w:szCs w:val="18"/>
        </w:rPr>
        <w:footnoteReference w:id="11"/>
      </w:r>
    </w:p>
    <w:p w14:paraId="39FA6D15" w14:textId="11901D83" w:rsidR="005237D4" w:rsidRPr="006F0793" w:rsidRDefault="005237D4" w:rsidP="005237D4">
      <w:pPr>
        <w:pStyle w:val="BodyText"/>
        <w:rPr>
          <w:rFonts w:cs="Arial"/>
          <w:szCs w:val="18"/>
        </w:rPr>
      </w:pPr>
      <w:r w:rsidRPr="006F0793">
        <w:rPr>
          <w:rFonts w:cs="Arial"/>
          <w:szCs w:val="18"/>
        </w:rPr>
        <w:t xml:space="preserve">TESSD held its first regular meeting </w:t>
      </w:r>
      <w:r w:rsidR="00E13A66">
        <w:rPr>
          <w:rFonts w:cs="Arial"/>
          <w:szCs w:val="18"/>
        </w:rPr>
        <w:t xml:space="preserve">on </w:t>
      </w:r>
      <w:r w:rsidRPr="006F0793">
        <w:rPr>
          <w:rFonts w:cs="Arial"/>
          <w:szCs w:val="18"/>
        </w:rPr>
        <w:t>5 March 2021. The purpose of this meeting, which was co-chaired by Ambassador de Boer (Canada) and Ambassador Abraham Peralta (Costa Rica) was to discuss ideas to help inform the development of a work plan for the year</w:t>
      </w:r>
      <w:r>
        <w:rPr>
          <w:rFonts w:cs="Arial"/>
          <w:szCs w:val="18"/>
        </w:rPr>
        <w:t xml:space="preserve"> 2021</w:t>
      </w:r>
      <w:r w:rsidRPr="006F0793">
        <w:rPr>
          <w:rFonts w:cs="Arial"/>
          <w:szCs w:val="18"/>
        </w:rPr>
        <w:t>. In addition to interventions from co-sponsors, several other WTO Members had taken the floor to provide views and thoughts and to express interest in further exploring issues at the nexus of trade and environmental sustainability. Recogni</w:t>
      </w:r>
      <w:r w:rsidR="00025E1C">
        <w:rPr>
          <w:rFonts w:cs="Arial"/>
          <w:szCs w:val="18"/>
        </w:rPr>
        <w:t>s</w:t>
      </w:r>
      <w:r w:rsidRPr="006F0793">
        <w:rPr>
          <w:rFonts w:cs="Arial"/>
          <w:szCs w:val="18"/>
        </w:rPr>
        <w:t>ing the importance and relevance of ensuring coherence and consistency with efforts in other for</w:t>
      </w:r>
      <w:r>
        <w:rPr>
          <w:rFonts w:cs="Arial"/>
          <w:szCs w:val="18"/>
        </w:rPr>
        <w:t>ums</w:t>
      </w:r>
      <w:r w:rsidRPr="006F0793">
        <w:rPr>
          <w:rFonts w:cs="Arial"/>
          <w:szCs w:val="18"/>
        </w:rPr>
        <w:t xml:space="preserve"> </w:t>
      </w:r>
      <w:r>
        <w:rPr>
          <w:rFonts w:cs="Arial"/>
          <w:szCs w:val="18"/>
        </w:rPr>
        <w:t xml:space="preserve">and </w:t>
      </w:r>
      <w:r w:rsidRPr="006F0793">
        <w:rPr>
          <w:rFonts w:cs="Arial"/>
          <w:szCs w:val="18"/>
        </w:rPr>
        <w:t xml:space="preserve">the need to work horizontally, the </w:t>
      </w:r>
      <w:r>
        <w:rPr>
          <w:rFonts w:cs="Arial"/>
          <w:szCs w:val="18"/>
        </w:rPr>
        <w:t xml:space="preserve">March </w:t>
      </w:r>
      <w:r w:rsidRPr="006F0793">
        <w:rPr>
          <w:rFonts w:cs="Arial"/>
          <w:szCs w:val="18"/>
        </w:rPr>
        <w:t xml:space="preserve">meeting </w:t>
      </w:r>
      <w:r>
        <w:rPr>
          <w:rFonts w:cs="Arial"/>
          <w:szCs w:val="18"/>
        </w:rPr>
        <w:t xml:space="preserve">had benefited from </w:t>
      </w:r>
      <w:r w:rsidRPr="006F0793">
        <w:rPr>
          <w:rFonts w:cs="Arial"/>
          <w:szCs w:val="18"/>
        </w:rPr>
        <w:t>the participation of a small group of stakeholders</w:t>
      </w:r>
      <w:r>
        <w:rPr>
          <w:rFonts w:cs="Arial"/>
          <w:szCs w:val="18"/>
        </w:rPr>
        <w:t xml:space="preserve"> representing </w:t>
      </w:r>
      <w:r w:rsidRPr="006F0793">
        <w:rPr>
          <w:rFonts w:cs="Arial"/>
          <w:szCs w:val="18"/>
        </w:rPr>
        <w:t>industry</w:t>
      </w:r>
      <w:r>
        <w:rPr>
          <w:rFonts w:cs="Arial"/>
          <w:szCs w:val="18"/>
        </w:rPr>
        <w:t>,</w:t>
      </w:r>
      <w:r w:rsidRPr="006F0793">
        <w:rPr>
          <w:rFonts w:cs="Arial"/>
          <w:szCs w:val="18"/>
        </w:rPr>
        <w:t xml:space="preserve"> academia</w:t>
      </w:r>
      <w:r>
        <w:rPr>
          <w:rFonts w:cs="Arial"/>
          <w:szCs w:val="18"/>
        </w:rPr>
        <w:t xml:space="preserve">, non-governmental organizations, and </w:t>
      </w:r>
      <w:r w:rsidRPr="006F0793">
        <w:rPr>
          <w:rFonts w:cs="Arial"/>
          <w:szCs w:val="18"/>
        </w:rPr>
        <w:t xml:space="preserve">other international organizations. </w:t>
      </w:r>
      <w:r>
        <w:rPr>
          <w:rFonts w:cs="Arial"/>
          <w:szCs w:val="18"/>
        </w:rPr>
        <w:t xml:space="preserve">Stakeholders </w:t>
      </w:r>
      <w:r w:rsidRPr="006F0793">
        <w:rPr>
          <w:rFonts w:cs="Arial"/>
          <w:szCs w:val="18"/>
        </w:rPr>
        <w:t xml:space="preserve">had </w:t>
      </w:r>
      <w:r>
        <w:rPr>
          <w:rFonts w:cs="Arial"/>
          <w:szCs w:val="18"/>
        </w:rPr>
        <w:t xml:space="preserve">had </w:t>
      </w:r>
      <w:r w:rsidRPr="006F0793">
        <w:rPr>
          <w:rFonts w:cs="Arial"/>
          <w:szCs w:val="18"/>
        </w:rPr>
        <w:t>the opportunity to provide views and thoughts on the importance of meaningfully advancing efforts on trade and environmental sustainability at the WTO and on the priorities that could be considered for TESSD. Ensuring an inclusiv</w:t>
      </w:r>
      <w:r>
        <w:rPr>
          <w:rFonts w:cs="Arial"/>
          <w:szCs w:val="18"/>
        </w:rPr>
        <w:t xml:space="preserve">ity and transparency was of utmost importance to TESSD coordinators, who were </w:t>
      </w:r>
      <w:r w:rsidRPr="006F0793">
        <w:rPr>
          <w:rFonts w:cs="Arial"/>
          <w:szCs w:val="18"/>
        </w:rPr>
        <w:t xml:space="preserve">committed to work with co-sponsors and stakeholders to find </w:t>
      </w:r>
      <w:r>
        <w:rPr>
          <w:rFonts w:cs="Arial"/>
          <w:szCs w:val="18"/>
        </w:rPr>
        <w:t xml:space="preserve">a </w:t>
      </w:r>
      <w:r w:rsidRPr="006F0793">
        <w:rPr>
          <w:rFonts w:cs="Arial"/>
          <w:szCs w:val="18"/>
        </w:rPr>
        <w:t>balance between</w:t>
      </w:r>
      <w:r>
        <w:rPr>
          <w:rFonts w:cs="Arial"/>
          <w:szCs w:val="18"/>
        </w:rPr>
        <w:t>, on the one hand,</w:t>
      </w:r>
      <w:r w:rsidRPr="006F0793">
        <w:rPr>
          <w:rFonts w:cs="Arial"/>
          <w:szCs w:val="18"/>
        </w:rPr>
        <w:t xml:space="preserve"> ensuring that stakeholder </w:t>
      </w:r>
      <w:r>
        <w:rPr>
          <w:rFonts w:cs="Arial"/>
          <w:szCs w:val="18"/>
        </w:rPr>
        <w:t xml:space="preserve">could </w:t>
      </w:r>
      <w:r w:rsidRPr="006F0793">
        <w:rPr>
          <w:rFonts w:cs="Arial"/>
          <w:szCs w:val="18"/>
        </w:rPr>
        <w:t xml:space="preserve">help inform </w:t>
      </w:r>
      <w:r>
        <w:rPr>
          <w:rFonts w:cs="Arial"/>
          <w:szCs w:val="18"/>
        </w:rPr>
        <w:t xml:space="preserve">TESSD </w:t>
      </w:r>
      <w:r w:rsidRPr="006F0793">
        <w:rPr>
          <w:rFonts w:cs="Arial"/>
          <w:szCs w:val="18"/>
        </w:rPr>
        <w:t>deliberations and</w:t>
      </w:r>
      <w:r>
        <w:rPr>
          <w:rFonts w:cs="Arial"/>
          <w:szCs w:val="18"/>
        </w:rPr>
        <w:t xml:space="preserve"> on the other, </w:t>
      </w:r>
      <w:r w:rsidRPr="006F0793">
        <w:rPr>
          <w:rFonts w:cs="Arial"/>
          <w:szCs w:val="18"/>
        </w:rPr>
        <w:t xml:space="preserve">ensuring that WTO </w:t>
      </w:r>
      <w:r>
        <w:rPr>
          <w:rFonts w:cs="Arial"/>
          <w:szCs w:val="18"/>
        </w:rPr>
        <w:t xml:space="preserve">Members could </w:t>
      </w:r>
      <w:r w:rsidRPr="006F0793">
        <w:rPr>
          <w:rFonts w:cs="Arial"/>
          <w:szCs w:val="18"/>
        </w:rPr>
        <w:t>effectively and efficiently</w:t>
      </w:r>
      <w:r>
        <w:rPr>
          <w:rFonts w:cs="Arial"/>
          <w:szCs w:val="18"/>
        </w:rPr>
        <w:t xml:space="preserve"> advance their work</w:t>
      </w:r>
      <w:r w:rsidRPr="006F0793">
        <w:rPr>
          <w:rFonts w:cs="Arial"/>
          <w:szCs w:val="18"/>
        </w:rPr>
        <w:t>.</w:t>
      </w:r>
    </w:p>
    <w:p w14:paraId="57379DD3" w14:textId="77777777" w:rsidR="005237D4" w:rsidRPr="005D231B" w:rsidRDefault="005237D4" w:rsidP="005237D4">
      <w:pPr>
        <w:pStyle w:val="BodyText"/>
        <w:rPr>
          <w:rFonts w:cs="Arial"/>
          <w:szCs w:val="18"/>
        </w:rPr>
      </w:pPr>
      <w:r w:rsidRPr="007946ED">
        <w:rPr>
          <w:rFonts w:cs="Arial"/>
          <w:szCs w:val="18"/>
        </w:rPr>
        <w:t>The TESSD coordinators planned to circulate to co-sponsors a draft work plan for the year. They would work towards articulating a vision for TESSD work for the post-MC 12 period, most likely in the form of a ministerial statement issued at MC 12. Such a statement should be consistent and supportive of other statements on trade and environmental sustainability issued at MC 12.</w:t>
      </w:r>
      <w:r>
        <w:rPr>
          <w:rFonts w:cs="Arial"/>
          <w:szCs w:val="18"/>
        </w:rPr>
        <w:t xml:space="preserve"> WTO Members supporting </w:t>
      </w:r>
      <w:r w:rsidRPr="007946ED">
        <w:rPr>
          <w:rFonts w:cs="Arial"/>
          <w:szCs w:val="18"/>
        </w:rPr>
        <w:t xml:space="preserve">the TESSD statement would not </w:t>
      </w:r>
      <w:r>
        <w:rPr>
          <w:rFonts w:cs="Arial"/>
          <w:szCs w:val="18"/>
        </w:rPr>
        <w:t xml:space="preserve">be </w:t>
      </w:r>
      <w:r w:rsidRPr="007946ED">
        <w:rPr>
          <w:rFonts w:cs="Arial"/>
          <w:szCs w:val="18"/>
        </w:rPr>
        <w:t>obligate</w:t>
      </w:r>
      <w:r>
        <w:rPr>
          <w:rFonts w:cs="Arial"/>
          <w:szCs w:val="18"/>
        </w:rPr>
        <w:t xml:space="preserve">d </w:t>
      </w:r>
      <w:r w:rsidRPr="007946ED">
        <w:rPr>
          <w:rFonts w:cs="Arial"/>
          <w:szCs w:val="18"/>
        </w:rPr>
        <w:t xml:space="preserve">to support other trade and environmental sustainability statements. </w:t>
      </w:r>
      <w:r>
        <w:rPr>
          <w:rFonts w:cs="Arial"/>
          <w:szCs w:val="18"/>
        </w:rPr>
        <w:t xml:space="preserve">The future direction of </w:t>
      </w:r>
      <w:r w:rsidRPr="007946ED">
        <w:rPr>
          <w:rFonts w:cs="Arial"/>
          <w:szCs w:val="18"/>
        </w:rPr>
        <w:t xml:space="preserve">TESSD </w:t>
      </w:r>
      <w:r>
        <w:rPr>
          <w:rFonts w:cs="Arial"/>
          <w:szCs w:val="18"/>
        </w:rPr>
        <w:t xml:space="preserve">work would </w:t>
      </w:r>
      <w:r w:rsidRPr="007946ED">
        <w:rPr>
          <w:rFonts w:cs="Arial"/>
          <w:szCs w:val="18"/>
        </w:rPr>
        <w:t xml:space="preserve">be decided by </w:t>
      </w:r>
      <w:r>
        <w:rPr>
          <w:rFonts w:cs="Arial"/>
          <w:szCs w:val="18"/>
        </w:rPr>
        <w:t xml:space="preserve">TESSD </w:t>
      </w:r>
      <w:r w:rsidRPr="007946ED">
        <w:rPr>
          <w:rFonts w:cs="Arial"/>
          <w:szCs w:val="18"/>
        </w:rPr>
        <w:t>co-sponsors</w:t>
      </w:r>
      <w:r>
        <w:rPr>
          <w:rFonts w:cs="Arial"/>
          <w:szCs w:val="18"/>
        </w:rPr>
        <w:t>. The next regular meeting was scheduled for end-May.</w:t>
      </w:r>
    </w:p>
    <w:p w14:paraId="0BAE99B2" w14:textId="2808D628" w:rsidR="005237D4" w:rsidRPr="00D82B0D" w:rsidRDefault="005237D4" w:rsidP="005237D4">
      <w:pPr>
        <w:pStyle w:val="BodyText"/>
        <w:rPr>
          <w:rFonts w:eastAsia="AppleSystemUIFontItalic"/>
          <w:lang w:val="en-US"/>
        </w:rPr>
      </w:pPr>
      <w:r w:rsidRPr="00D82B0D">
        <w:rPr>
          <w:szCs w:val="18"/>
        </w:rPr>
        <w:t xml:space="preserve">The representative of </w:t>
      </w:r>
      <w:r w:rsidRPr="00D82B0D">
        <w:rPr>
          <w:szCs w:val="18"/>
          <w:u w:val="single"/>
        </w:rPr>
        <w:t>Saudi Arabia</w:t>
      </w:r>
      <w:r w:rsidRPr="00D82B0D">
        <w:rPr>
          <w:szCs w:val="18"/>
        </w:rPr>
        <w:t xml:space="preserve"> </w:t>
      </w:r>
      <w:bookmarkStart w:id="55" w:name="_Hlk68111645"/>
      <w:r w:rsidRPr="00D82B0D">
        <w:rPr>
          <w:lang w:val="en-US"/>
        </w:rPr>
        <w:t xml:space="preserve">said that her delegation had participated in the first TESSD meeting. Her delegation was aware of the importance of sustainable development in its economic, social and environmental dimensions. Sustainable development was a fundamental goal of the WTO enshrined in the Marrakesh Agreement. </w:t>
      </w:r>
      <w:r w:rsidRPr="00D82B0D">
        <w:rPr>
          <w:rFonts w:eastAsia="AppleSystemUIFont"/>
          <w:color w:val="000000"/>
          <w:lang w:val="en-US"/>
        </w:rPr>
        <w:t xml:space="preserve">The CTE was the WTO's standing forum for dialogue between Members on the impact of trade policies on the environment. Since its creation, the Committee had followed a comprehensive and inclusive work </w:t>
      </w:r>
      <w:r w:rsidRPr="00D82B0D">
        <w:rPr>
          <w:rFonts w:eastAsia="AppleSystemUIFont"/>
          <w:lang w:val="en-US"/>
        </w:rPr>
        <w:t>program</w:t>
      </w:r>
      <w:r w:rsidRPr="00D82B0D">
        <w:rPr>
          <w:rFonts w:eastAsia="AppleSystemUIFont"/>
          <w:color w:val="000000"/>
          <w:lang w:val="en-US"/>
        </w:rPr>
        <w:t xml:space="preserve"> that encouraged information and experience sharing on the effects of environmental measures on market access, the relevant provisions of the Agreement on Trade-Related Aspects of Intellectual Property Rights and labelling requirements for </w:t>
      </w:r>
      <w:r w:rsidRPr="00D82B0D">
        <w:rPr>
          <w:rFonts w:eastAsia="AppleSystemUIFont"/>
          <w:color w:val="000000"/>
          <w:lang w:val="en-US"/>
        </w:rPr>
        <w:lastRenderedPageBreak/>
        <w:t>environmental purposes. It was very important to stick to the CTE's mandate for exploratory discussions. N</w:t>
      </w:r>
      <w:r w:rsidRPr="00D82B0D">
        <w:rPr>
          <w:color w:val="000000"/>
          <w:shd w:val="clear" w:color="auto" w:fill="FFFFFF"/>
          <w:lang w:val="en-US"/>
        </w:rPr>
        <w:t xml:space="preserve">egotiations on environmental goods and services, which sought to enhance mutual supportiveness between trade and environmental policies, should take place in the CTE Special Session. The WTO was a Member-driven organization. WTO Members' common goal was to strengthen and safeguard the multilateral trading system. She asked whether WTO Members would replicate discussions on the same topics in the CTE, TESSD and other WTO bodies. Moreover, she asked what was going to happen to the negotiations in the CTE – Special Session given her delegation's understanding that TESSD discussions would move to a negotiating phase. Finally, she asked what the value added was of negotiating broad environmental topics such as climate change or fossil fuel subsidies which had been discussed in a holistic manner in other organizations. Discussions on the relation </w:t>
      </w:r>
      <w:r w:rsidRPr="00D82B0D">
        <w:rPr>
          <w:lang w:val="en-US"/>
        </w:rPr>
        <w:t xml:space="preserve">between trade and </w:t>
      </w:r>
      <w:r>
        <w:rPr>
          <w:lang w:val="en-US"/>
        </w:rPr>
        <w:t xml:space="preserve">the </w:t>
      </w:r>
      <w:r w:rsidRPr="00D82B0D">
        <w:rPr>
          <w:lang w:val="en-US"/>
        </w:rPr>
        <w:t xml:space="preserve">environment </w:t>
      </w:r>
      <w:r>
        <w:rPr>
          <w:lang w:val="en-US"/>
        </w:rPr>
        <w:t xml:space="preserve">had to </w:t>
      </w:r>
      <w:r w:rsidRPr="00D82B0D">
        <w:rPr>
          <w:lang w:val="en-US"/>
        </w:rPr>
        <w:t xml:space="preserve">be inclusive of all technological innovations and </w:t>
      </w:r>
      <w:r>
        <w:rPr>
          <w:lang w:val="en-US"/>
        </w:rPr>
        <w:t xml:space="preserve">the </w:t>
      </w:r>
      <w:r w:rsidRPr="00D82B0D">
        <w:rPr>
          <w:lang w:val="en-US"/>
        </w:rPr>
        <w:t xml:space="preserve">development dimension to broaden the coverage of benefits. </w:t>
      </w:r>
      <w:r>
        <w:rPr>
          <w:lang w:val="en-US"/>
        </w:rPr>
        <w:t>In addition</w:t>
      </w:r>
      <w:r w:rsidR="00E13A66">
        <w:rPr>
          <w:lang w:val="en-US"/>
        </w:rPr>
        <w:t>,</w:t>
      </w:r>
      <w:r>
        <w:rPr>
          <w:lang w:val="en-US"/>
        </w:rPr>
        <w:t xml:space="preserve"> such discussions </w:t>
      </w:r>
      <w:r w:rsidRPr="00D82B0D">
        <w:rPr>
          <w:rFonts w:eastAsia="AppleSystemUIFont" w:cstheme="majorBidi"/>
          <w:bCs/>
          <w:color w:val="000000"/>
          <w:szCs w:val="18"/>
          <w:lang w:val="en-US"/>
        </w:rPr>
        <w:t xml:space="preserve">should be open, transparent and inclusive to all WTO </w:t>
      </w:r>
      <w:r>
        <w:rPr>
          <w:rFonts w:eastAsia="AppleSystemUIFont" w:cstheme="majorBidi"/>
          <w:bCs/>
          <w:color w:val="000000"/>
          <w:szCs w:val="18"/>
          <w:lang w:val="en-US"/>
        </w:rPr>
        <w:t>M</w:t>
      </w:r>
      <w:r w:rsidRPr="00D82B0D">
        <w:rPr>
          <w:rFonts w:eastAsia="AppleSystemUIFont" w:cstheme="majorBidi"/>
          <w:bCs/>
          <w:color w:val="000000"/>
          <w:szCs w:val="18"/>
          <w:lang w:val="en-US"/>
        </w:rPr>
        <w:t>embers and without prejudice to their rights and obligation</w:t>
      </w:r>
      <w:r>
        <w:rPr>
          <w:rFonts w:eastAsia="AppleSystemUIFont" w:cstheme="majorBidi"/>
          <w:bCs/>
          <w:color w:val="000000"/>
          <w:szCs w:val="18"/>
          <w:lang w:val="en-US"/>
        </w:rPr>
        <w:t>s</w:t>
      </w:r>
      <w:r w:rsidRPr="00D82B0D">
        <w:rPr>
          <w:rFonts w:eastAsia="AppleSystemUIFont" w:cstheme="majorBidi"/>
          <w:bCs/>
          <w:color w:val="000000"/>
          <w:szCs w:val="18"/>
          <w:lang w:val="en-US"/>
        </w:rPr>
        <w:t>.</w:t>
      </w:r>
    </w:p>
    <w:p w14:paraId="444B06AC" w14:textId="00D61ADB" w:rsidR="005237D4" w:rsidRPr="00167FF5" w:rsidRDefault="005237D4" w:rsidP="005237D4">
      <w:pPr>
        <w:pStyle w:val="BodyText"/>
        <w:rPr>
          <w:rFonts w:eastAsia="AppleSystemUIFont" w:cstheme="majorBidi"/>
          <w:bCs/>
          <w:color w:val="000000"/>
          <w:szCs w:val="18"/>
          <w:lang w:val="en-US"/>
        </w:rPr>
      </w:pPr>
      <w:r w:rsidRPr="00167FF5">
        <w:rPr>
          <w:szCs w:val="18"/>
        </w:rPr>
        <w:t xml:space="preserve">The representative of </w:t>
      </w:r>
      <w:r w:rsidRPr="00167FF5">
        <w:rPr>
          <w:szCs w:val="18"/>
          <w:u w:val="single"/>
        </w:rPr>
        <w:t>Venezuela</w:t>
      </w:r>
      <w:r w:rsidRPr="00167FF5">
        <w:rPr>
          <w:szCs w:val="18"/>
        </w:rPr>
        <w:t xml:space="preserve"> </w:t>
      </w:r>
      <w:bookmarkEnd w:id="55"/>
      <w:r w:rsidRPr="00167FF5">
        <w:rPr>
          <w:szCs w:val="18"/>
        </w:rPr>
        <w:t xml:space="preserve">said that his delegation was concerned about the proliferation of </w:t>
      </w:r>
      <w:r w:rsidRPr="00167FF5">
        <w:rPr>
          <w:rFonts w:eastAsia="AppleSystemUIFont" w:cstheme="majorBidi"/>
          <w:bCs/>
          <w:color w:val="000000"/>
          <w:szCs w:val="18"/>
          <w:lang w:val="en-US"/>
        </w:rPr>
        <w:t xml:space="preserve">initiatives </w:t>
      </w:r>
      <w:r>
        <w:rPr>
          <w:rFonts w:eastAsia="AppleSystemUIFont" w:cstheme="majorBidi"/>
          <w:bCs/>
          <w:color w:val="000000"/>
          <w:szCs w:val="18"/>
          <w:lang w:val="en-US"/>
        </w:rPr>
        <w:t xml:space="preserve">outside of </w:t>
      </w:r>
      <w:r w:rsidRPr="00167FF5">
        <w:rPr>
          <w:rFonts w:eastAsia="AppleSystemUIFont" w:cstheme="majorBidi"/>
          <w:bCs/>
          <w:color w:val="000000"/>
          <w:szCs w:val="18"/>
          <w:lang w:val="en-US"/>
        </w:rPr>
        <w:t xml:space="preserve">the </w:t>
      </w:r>
      <w:r>
        <w:rPr>
          <w:rFonts w:eastAsia="AppleSystemUIFont" w:cstheme="majorBidi"/>
          <w:bCs/>
          <w:color w:val="000000"/>
          <w:szCs w:val="18"/>
          <w:lang w:val="en-US"/>
        </w:rPr>
        <w:t xml:space="preserve">WTO's </w:t>
      </w:r>
      <w:r w:rsidRPr="00167FF5">
        <w:rPr>
          <w:rFonts w:eastAsia="AppleSystemUIFont" w:cstheme="majorBidi"/>
          <w:bCs/>
          <w:color w:val="000000"/>
          <w:szCs w:val="18"/>
          <w:lang w:val="en-US"/>
        </w:rPr>
        <w:t xml:space="preserve">formal structure to address issues that should be considered within the </w:t>
      </w:r>
      <w:r>
        <w:rPr>
          <w:rFonts w:eastAsia="AppleSystemUIFont" w:cstheme="majorBidi"/>
          <w:bCs/>
          <w:color w:val="000000"/>
          <w:szCs w:val="18"/>
          <w:lang w:val="en-US"/>
        </w:rPr>
        <w:t xml:space="preserve">WTO's </w:t>
      </w:r>
      <w:r w:rsidRPr="00167FF5">
        <w:rPr>
          <w:rFonts w:eastAsia="AppleSystemUIFont" w:cstheme="majorBidi"/>
          <w:bCs/>
          <w:color w:val="000000"/>
          <w:szCs w:val="18"/>
          <w:lang w:val="en-US"/>
        </w:rPr>
        <w:t xml:space="preserve">formal structure. </w:t>
      </w:r>
      <w:r>
        <w:rPr>
          <w:rFonts w:eastAsia="AppleSystemUIFont" w:cstheme="majorBidi"/>
          <w:bCs/>
          <w:color w:val="000000"/>
          <w:szCs w:val="18"/>
          <w:lang w:val="en-US"/>
        </w:rPr>
        <w:t xml:space="preserve">The CTE, which had a clear mandate and a work programme, was the formal forum for </w:t>
      </w:r>
      <w:r w:rsidRPr="00167FF5">
        <w:rPr>
          <w:rFonts w:eastAsia="AppleSystemUIFont" w:cstheme="majorBidi"/>
          <w:bCs/>
          <w:color w:val="000000"/>
          <w:szCs w:val="18"/>
          <w:lang w:val="en-US"/>
        </w:rPr>
        <w:t xml:space="preserve">dialogue among Members on the impact of trade policies on the environment. Any exploratory debate should be approached within the framework of the </w:t>
      </w:r>
      <w:r>
        <w:rPr>
          <w:rFonts w:eastAsia="AppleSystemUIFont" w:cstheme="majorBidi"/>
          <w:bCs/>
          <w:color w:val="000000"/>
          <w:szCs w:val="18"/>
          <w:lang w:val="en-US"/>
        </w:rPr>
        <w:t xml:space="preserve">CTE – Special Session and should give priority to </w:t>
      </w:r>
      <w:r w:rsidRPr="00167FF5">
        <w:rPr>
          <w:rFonts w:eastAsia="AppleSystemUIFont" w:cstheme="majorBidi"/>
          <w:bCs/>
          <w:color w:val="000000"/>
          <w:szCs w:val="18"/>
          <w:lang w:val="en-US"/>
        </w:rPr>
        <w:t>topics</w:t>
      </w:r>
      <w:r>
        <w:rPr>
          <w:rFonts w:eastAsia="AppleSystemUIFont" w:cstheme="majorBidi"/>
          <w:bCs/>
          <w:color w:val="000000"/>
          <w:szCs w:val="18"/>
          <w:lang w:val="en-US"/>
        </w:rPr>
        <w:t xml:space="preserve"> where Members' views converged</w:t>
      </w:r>
      <w:r w:rsidRPr="00167FF5">
        <w:rPr>
          <w:rFonts w:eastAsia="AppleSystemUIFont" w:cstheme="majorBidi"/>
          <w:bCs/>
          <w:color w:val="000000"/>
          <w:szCs w:val="18"/>
          <w:lang w:val="en-US"/>
        </w:rPr>
        <w:t xml:space="preserve">. Discussions </w:t>
      </w:r>
      <w:r>
        <w:rPr>
          <w:rFonts w:eastAsia="AppleSystemUIFont" w:cstheme="majorBidi"/>
          <w:bCs/>
          <w:color w:val="000000"/>
          <w:szCs w:val="18"/>
          <w:lang w:val="en-US"/>
        </w:rPr>
        <w:t xml:space="preserve">had to </w:t>
      </w:r>
      <w:r w:rsidRPr="00167FF5">
        <w:rPr>
          <w:rFonts w:eastAsia="AppleSystemUIFont" w:cstheme="majorBidi"/>
          <w:bCs/>
          <w:color w:val="000000"/>
          <w:szCs w:val="18"/>
          <w:lang w:val="en-US"/>
        </w:rPr>
        <w:t>be open, transparent and inclusive</w:t>
      </w:r>
      <w:r>
        <w:rPr>
          <w:rFonts w:eastAsia="AppleSystemUIFont" w:cstheme="majorBidi"/>
          <w:bCs/>
          <w:color w:val="000000"/>
          <w:szCs w:val="18"/>
          <w:lang w:val="en-US"/>
        </w:rPr>
        <w:t>,</w:t>
      </w:r>
      <w:r w:rsidRPr="00167FF5">
        <w:rPr>
          <w:rFonts w:eastAsia="AppleSystemUIFont" w:cstheme="majorBidi"/>
          <w:bCs/>
          <w:color w:val="000000"/>
          <w:szCs w:val="18"/>
          <w:lang w:val="en-US"/>
        </w:rPr>
        <w:t xml:space="preserve"> without prejudice to </w:t>
      </w:r>
      <w:r>
        <w:rPr>
          <w:rFonts w:eastAsia="AppleSystemUIFont" w:cstheme="majorBidi"/>
          <w:bCs/>
          <w:color w:val="000000"/>
          <w:szCs w:val="18"/>
          <w:lang w:val="en-US"/>
        </w:rPr>
        <w:t xml:space="preserve">Members' </w:t>
      </w:r>
      <w:r w:rsidRPr="00167FF5">
        <w:rPr>
          <w:rFonts w:eastAsia="AppleSystemUIFont" w:cstheme="majorBidi"/>
          <w:bCs/>
          <w:color w:val="000000"/>
          <w:szCs w:val="18"/>
          <w:lang w:val="en-US"/>
        </w:rPr>
        <w:t xml:space="preserve">rights and obligations. </w:t>
      </w:r>
      <w:r>
        <w:rPr>
          <w:rFonts w:eastAsia="AppleSystemUIFont" w:cstheme="majorBidi"/>
          <w:bCs/>
          <w:color w:val="000000"/>
          <w:szCs w:val="18"/>
          <w:lang w:val="en-US"/>
        </w:rPr>
        <w:t xml:space="preserve">Moreover, </w:t>
      </w:r>
      <w:r w:rsidRPr="00167FF5">
        <w:rPr>
          <w:rFonts w:eastAsia="AppleSystemUIFont" w:cstheme="majorBidi"/>
          <w:bCs/>
          <w:color w:val="000000"/>
          <w:szCs w:val="18"/>
          <w:lang w:val="en-US"/>
        </w:rPr>
        <w:t>discussion</w:t>
      </w:r>
      <w:r>
        <w:rPr>
          <w:rFonts w:eastAsia="AppleSystemUIFont" w:cstheme="majorBidi"/>
          <w:bCs/>
          <w:color w:val="000000"/>
          <w:szCs w:val="18"/>
          <w:lang w:val="en-US"/>
        </w:rPr>
        <w:t>s</w:t>
      </w:r>
      <w:r w:rsidRPr="00167FF5">
        <w:rPr>
          <w:rFonts w:eastAsia="AppleSystemUIFont" w:cstheme="majorBidi"/>
          <w:bCs/>
          <w:color w:val="000000"/>
          <w:szCs w:val="18"/>
          <w:lang w:val="en-US"/>
        </w:rPr>
        <w:t xml:space="preserve"> </w:t>
      </w:r>
      <w:r>
        <w:rPr>
          <w:rFonts w:eastAsia="AppleSystemUIFont" w:cstheme="majorBidi"/>
          <w:bCs/>
          <w:color w:val="000000"/>
          <w:szCs w:val="18"/>
          <w:lang w:val="en-US"/>
        </w:rPr>
        <w:t xml:space="preserve">had to </w:t>
      </w:r>
      <w:r w:rsidRPr="00167FF5">
        <w:rPr>
          <w:rFonts w:eastAsia="AppleSystemUIFont" w:cstheme="majorBidi"/>
          <w:bCs/>
          <w:color w:val="000000"/>
          <w:szCs w:val="18"/>
          <w:lang w:val="en-US"/>
        </w:rPr>
        <w:t xml:space="preserve">take into account </w:t>
      </w:r>
      <w:r>
        <w:rPr>
          <w:rFonts w:eastAsia="AppleSystemUIFont" w:cstheme="majorBidi"/>
          <w:bCs/>
          <w:color w:val="000000"/>
          <w:szCs w:val="18"/>
          <w:lang w:val="en-US"/>
        </w:rPr>
        <w:t xml:space="preserve">Members' </w:t>
      </w:r>
      <w:r w:rsidRPr="00167FF5">
        <w:rPr>
          <w:rFonts w:eastAsia="AppleSystemUIFont" w:cstheme="majorBidi"/>
          <w:bCs/>
          <w:color w:val="000000"/>
          <w:szCs w:val="18"/>
          <w:lang w:val="en-US"/>
        </w:rPr>
        <w:t xml:space="preserve">policy space and </w:t>
      </w:r>
      <w:r>
        <w:rPr>
          <w:rFonts w:eastAsia="AppleSystemUIFont" w:cstheme="majorBidi"/>
          <w:bCs/>
          <w:color w:val="000000"/>
          <w:szCs w:val="18"/>
          <w:lang w:val="en-US"/>
        </w:rPr>
        <w:t xml:space="preserve">each Members' </w:t>
      </w:r>
      <w:r w:rsidRPr="00167FF5">
        <w:rPr>
          <w:rFonts w:eastAsia="AppleSystemUIFont" w:cstheme="majorBidi"/>
          <w:bCs/>
          <w:color w:val="000000"/>
          <w:szCs w:val="18"/>
          <w:lang w:val="en-US"/>
        </w:rPr>
        <w:t xml:space="preserve">development dimension. </w:t>
      </w:r>
      <w:r>
        <w:rPr>
          <w:rFonts w:eastAsia="AppleSystemUIFont" w:cstheme="majorBidi"/>
          <w:bCs/>
          <w:color w:val="000000"/>
          <w:szCs w:val="18"/>
          <w:lang w:val="en-US"/>
        </w:rPr>
        <w:t xml:space="preserve">His delegation </w:t>
      </w:r>
      <w:r w:rsidRPr="00167FF5">
        <w:rPr>
          <w:rFonts w:eastAsia="AppleSystemUIFont" w:cstheme="majorBidi"/>
          <w:bCs/>
          <w:color w:val="000000"/>
          <w:szCs w:val="18"/>
          <w:lang w:val="en-US"/>
        </w:rPr>
        <w:t>recogni</w:t>
      </w:r>
      <w:r w:rsidR="00025E1C">
        <w:rPr>
          <w:rFonts w:eastAsia="AppleSystemUIFont" w:cstheme="majorBidi"/>
          <w:bCs/>
          <w:color w:val="000000"/>
          <w:szCs w:val="18"/>
          <w:lang w:val="en-US"/>
        </w:rPr>
        <w:t>s</w:t>
      </w:r>
      <w:r w:rsidRPr="00167FF5">
        <w:rPr>
          <w:rFonts w:eastAsia="AppleSystemUIFont" w:cstheme="majorBidi"/>
          <w:bCs/>
          <w:color w:val="000000"/>
          <w:szCs w:val="18"/>
          <w:lang w:val="en-US"/>
        </w:rPr>
        <w:t>e</w:t>
      </w:r>
      <w:r>
        <w:rPr>
          <w:rFonts w:eastAsia="AppleSystemUIFont" w:cstheme="majorBidi"/>
          <w:bCs/>
          <w:color w:val="000000"/>
          <w:szCs w:val="18"/>
          <w:lang w:val="en-US"/>
        </w:rPr>
        <w:t>d</w:t>
      </w:r>
      <w:r w:rsidRPr="00167FF5">
        <w:rPr>
          <w:rFonts w:eastAsia="AppleSystemUIFont" w:cstheme="majorBidi"/>
          <w:bCs/>
          <w:color w:val="000000"/>
          <w:szCs w:val="18"/>
          <w:lang w:val="en-US"/>
        </w:rPr>
        <w:t xml:space="preserve"> the legitimate right of Members to meet and advance on issues where the</w:t>
      </w:r>
      <w:r>
        <w:rPr>
          <w:rFonts w:eastAsia="AppleSystemUIFont" w:cstheme="majorBidi"/>
          <w:bCs/>
          <w:color w:val="000000"/>
          <w:szCs w:val="18"/>
          <w:lang w:val="en-US"/>
        </w:rPr>
        <w:t xml:space="preserve">ir views converged. At the same time, it was important </w:t>
      </w:r>
      <w:r w:rsidRPr="00167FF5">
        <w:rPr>
          <w:rFonts w:eastAsia="AppleSystemUIFont" w:cstheme="majorBidi"/>
          <w:bCs/>
          <w:color w:val="000000"/>
          <w:szCs w:val="18"/>
          <w:lang w:val="en-US"/>
        </w:rPr>
        <w:t>not to create spaces for parallel negotiations that conflict</w:t>
      </w:r>
      <w:r>
        <w:rPr>
          <w:rFonts w:eastAsia="AppleSystemUIFont" w:cstheme="majorBidi"/>
          <w:bCs/>
          <w:color w:val="000000"/>
          <w:szCs w:val="18"/>
          <w:lang w:val="en-US"/>
        </w:rPr>
        <w:t>ed</w:t>
      </w:r>
      <w:r w:rsidRPr="00167FF5">
        <w:rPr>
          <w:rFonts w:eastAsia="AppleSystemUIFont" w:cstheme="majorBidi"/>
          <w:bCs/>
          <w:color w:val="000000"/>
          <w:szCs w:val="18"/>
          <w:lang w:val="en-US"/>
        </w:rPr>
        <w:t xml:space="preserve"> with the mandate of </w:t>
      </w:r>
      <w:r>
        <w:rPr>
          <w:rFonts w:eastAsia="AppleSystemUIFont" w:cstheme="majorBidi"/>
          <w:bCs/>
          <w:color w:val="000000"/>
          <w:szCs w:val="18"/>
          <w:lang w:val="en-US"/>
        </w:rPr>
        <w:t xml:space="preserve">the CTE </w:t>
      </w:r>
      <w:r w:rsidRPr="00167FF5">
        <w:rPr>
          <w:rFonts w:eastAsia="AppleSystemUIFont" w:cstheme="majorBidi"/>
          <w:bCs/>
          <w:color w:val="000000"/>
          <w:szCs w:val="18"/>
          <w:lang w:val="en-US"/>
        </w:rPr>
        <w:t>and that, far from helping to advance on this important issue, create</w:t>
      </w:r>
      <w:r>
        <w:rPr>
          <w:rFonts w:eastAsia="AppleSystemUIFont" w:cstheme="majorBidi"/>
          <w:bCs/>
          <w:color w:val="000000"/>
          <w:szCs w:val="18"/>
          <w:lang w:val="en-US"/>
        </w:rPr>
        <w:t>d</w:t>
      </w:r>
      <w:r w:rsidRPr="00167FF5">
        <w:rPr>
          <w:rFonts w:eastAsia="AppleSystemUIFont" w:cstheme="majorBidi"/>
          <w:bCs/>
          <w:color w:val="000000"/>
          <w:szCs w:val="18"/>
          <w:lang w:val="en-US"/>
        </w:rPr>
        <w:t xml:space="preserve"> greater divergences.</w:t>
      </w:r>
      <w:bookmarkStart w:id="56" w:name="_Hlk68111655"/>
    </w:p>
    <w:p w14:paraId="0D4BD97E" w14:textId="77777777" w:rsidR="005237D4" w:rsidRPr="005B144C" w:rsidRDefault="005237D4" w:rsidP="005237D4">
      <w:pPr>
        <w:pStyle w:val="BodyText"/>
      </w:pPr>
      <w:r w:rsidRPr="005D231B">
        <w:rPr>
          <w:szCs w:val="18"/>
        </w:rPr>
        <w:t xml:space="preserve">The representative of the </w:t>
      </w:r>
      <w:r w:rsidRPr="005D231B">
        <w:rPr>
          <w:szCs w:val="18"/>
          <w:u w:val="single"/>
        </w:rPr>
        <w:t>Republic of Korea</w:t>
      </w:r>
      <w:r w:rsidRPr="005D231B">
        <w:rPr>
          <w:szCs w:val="18"/>
        </w:rPr>
        <w:t xml:space="preserve"> </w:t>
      </w:r>
      <w:r>
        <w:rPr>
          <w:szCs w:val="18"/>
        </w:rPr>
        <w:t xml:space="preserve">said that TESSD was </w:t>
      </w:r>
      <w:bookmarkEnd w:id="56"/>
      <w:r>
        <w:rPr>
          <w:szCs w:val="18"/>
        </w:rPr>
        <w:t xml:space="preserve">an </w:t>
      </w:r>
      <w:r w:rsidRPr="005B144C">
        <w:t xml:space="preserve">important and valuable forum </w:t>
      </w:r>
      <w:r>
        <w:t xml:space="preserve">for </w:t>
      </w:r>
      <w:r w:rsidRPr="005B144C">
        <w:t xml:space="preserve">trade and environment issues </w:t>
      </w:r>
      <w:r>
        <w:t xml:space="preserve">at </w:t>
      </w:r>
      <w:r w:rsidRPr="005B144C">
        <w:t xml:space="preserve">the WTO. </w:t>
      </w:r>
      <w:r>
        <w:t xml:space="preserve">At the first regular meeting, her delegation, along with Australia and Singapore, had </w:t>
      </w:r>
      <w:r w:rsidRPr="005B144C">
        <w:t>submitted a proposal to contribute to active discussions and collaboration among</w:t>
      </w:r>
      <w:r>
        <w:t xml:space="preserve"> Members</w:t>
      </w:r>
      <w:r w:rsidRPr="005B144C">
        <w:t xml:space="preserve">. </w:t>
      </w:r>
      <w:r>
        <w:t xml:space="preserve">It was </w:t>
      </w:r>
      <w:r w:rsidRPr="005B144C">
        <w:t>essential for like-minded countries to cooperate in response to trade and environmental sustainability</w:t>
      </w:r>
      <w:r>
        <w:t xml:space="preserve"> challenges and to deliver at MC 1</w:t>
      </w:r>
      <w:r w:rsidRPr="005B144C">
        <w:t xml:space="preserve">2. </w:t>
      </w:r>
      <w:r>
        <w:t xml:space="preserve">Her delegation was </w:t>
      </w:r>
      <w:r w:rsidRPr="005B144C">
        <w:t xml:space="preserve">committed to </w:t>
      </w:r>
      <w:r>
        <w:t>contributing to this goal.</w:t>
      </w:r>
    </w:p>
    <w:p w14:paraId="31E3648E" w14:textId="5DD64850" w:rsidR="005237D4" w:rsidRPr="005B144C" w:rsidRDefault="005237D4" w:rsidP="005237D4">
      <w:pPr>
        <w:pStyle w:val="BodyText"/>
      </w:pPr>
      <w:r w:rsidRPr="00362ECA">
        <w:rPr>
          <w:szCs w:val="18"/>
        </w:rPr>
        <w:t xml:space="preserve">The representative of </w:t>
      </w:r>
      <w:r w:rsidRPr="005237D4">
        <w:rPr>
          <w:u w:val="single"/>
        </w:rPr>
        <w:t>Japan</w:t>
      </w:r>
      <w:r>
        <w:t xml:space="preserve"> noted </w:t>
      </w:r>
      <w:r w:rsidRPr="007759DB">
        <w:t>the</w:t>
      </w:r>
      <w:r w:rsidRPr="005B144C">
        <w:t xml:space="preserve"> importance of the WTO</w:t>
      </w:r>
      <w:r>
        <w:t>'</w:t>
      </w:r>
      <w:r w:rsidRPr="005B144C">
        <w:t xml:space="preserve">s role in realizing global carbon neutrality by facilitating the widespread adoption of </w:t>
      </w:r>
      <w:r>
        <w:t xml:space="preserve">the </w:t>
      </w:r>
      <w:r w:rsidRPr="005B144C">
        <w:t xml:space="preserve">products and technologies </w:t>
      </w:r>
      <w:r>
        <w:t xml:space="preserve">that </w:t>
      </w:r>
      <w:r w:rsidRPr="005B144C">
        <w:t>contribute</w:t>
      </w:r>
      <w:r>
        <w:t>d</w:t>
      </w:r>
      <w:r w:rsidRPr="005B144C">
        <w:t xml:space="preserve"> to </w:t>
      </w:r>
      <w:r>
        <w:t>this goal</w:t>
      </w:r>
      <w:r w:rsidRPr="005B144C">
        <w:t xml:space="preserve">. </w:t>
      </w:r>
      <w:r>
        <w:t xml:space="preserve">His delegation </w:t>
      </w:r>
      <w:r w:rsidRPr="005B144C">
        <w:t>proposed the elimination of tariffs on goods that directly contribute</w:t>
      </w:r>
      <w:r>
        <w:t>d</w:t>
      </w:r>
      <w:r w:rsidRPr="005B144C">
        <w:t xml:space="preserve"> to the reduction of greenhouse gas </w:t>
      </w:r>
      <w:r w:rsidRPr="00163F31">
        <w:t>emissions</w:t>
      </w:r>
      <w:r w:rsidRPr="005B144C">
        <w:t xml:space="preserve"> </w:t>
      </w:r>
      <w:r>
        <w:t xml:space="preserve">and further work on </w:t>
      </w:r>
      <w:r w:rsidRPr="005B144C">
        <w:t xml:space="preserve">rule-making </w:t>
      </w:r>
      <w:r>
        <w:t xml:space="preserve">towards the </w:t>
      </w:r>
      <w:r w:rsidRPr="005B144C">
        <w:t xml:space="preserve">harmonization </w:t>
      </w:r>
      <w:r>
        <w:t xml:space="preserve">of </w:t>
      </w:r>
      <w:r w:rsidRPr="005B144C">
        <w:t xml:space="preserve">domestic regulations </w:t>
      </w:r>
      <w:r>
        <w:t xml:space="preserve">with </w:t>
      </w:r>
      <w:r w:rsidRPr="005B144C">
        <w:t xml:space="preserve">international standards. </w:t>
      </w:r>
      <w:r>
        <w:t xml:space="preserve">Discussions </w:t>
      </w:r>
      <w:r w:rsidRPr="005B144C">
        <w:t>in forums such as the TESSD</w:t>
      </w:r>
      <w:r>
        <w:t xml:space="preserve"> should be deepened</w:t>
      </w:r>
      <w:r w:rsidRPr="005B144C">
        <w:t>.</w:t>
      </w:r>
    </w:p>
    <w:p w14:paraId="645832CE" w14:textId="500C095B" w:rsidR="00920EC6" w:rsidRPr="00920EC6" w:rsidRDefault="00920EC6" w:rsidP="00143375">
      <w:pPr>
        <w:pStyle w:val="Heading2"/>
      </w:pPr>
      <w:bookmarkStart w:id="57" w:name="_Toc74660683"/>
      <w:r>
        <w:t xml:space="preserve">Barbados' report on the </w:t>
      </w:r>
      <w:bookmarkStart w:id="58" w:name="_Hlk74519044"/>
      <w:r w:rsidRPr="00530A7E">
        <w:t>High-Level Panel Discussion on "Trade, the Environment and Sustainability: A Focus on Green Recovery in a COVID-19 Era</w:t>
      </w:r>
      <w:r>
        <w:t>"</w:t>
      </w:r>
      <w:bookmarkEnd w:id="58"/>
      <w:bookmarkEnd w:id="57"/>
    </w:p>
    <w:p w14:paraId="526F2A78" w14:textId="7F414CDA" w:rsidR="00530A7E" w:rsidRPr="00530A7E" w:rsidRDefault="00163F31" w:rsidP="001750EA">
      <w:pPr>
        <w:pStyle w:val="BodyText"/>
      </w:pPr>
      <w:r w:rsidRPr="00530A7E">
        <w:rPr>
          <w:szCs w:val="18"/>
        </w:rPr>
        <w:t xml:space="preserve">The representative of </w:t>
      </w:r>
      <w:r w:rsidR="005B6BBB" w:rsidRPr="00530A7E">
        <w:rPr>
          <w:u w:val="single"/>
        </w:rPr>
        <w:t>Barbados</w:t>
      </w:r>
      <w:r w:rsidR="005B6BBB" w:rsidRPr="00AE56D3">
        <w:t xml:space="preserve"> </w:t>
      </w:r>
      <w:r w:rsidR="00B479C3" w:rsidRPr="00AE56D3">
        <w:t>report</w:t>
      </w:r>
      <w:r w:rsidR="00530A7E">
        <w:t>ed</w:t>
      </w:r>
      <w:r w:rsidR="00B479C3" w:rsidRPr="00AE56D3">
        <w:t xml:space="preserve"> </w:t>
      </w:r>
      <w:r w:rsidR="005B6BBB" w:rsidRPr="00AE56D3">
        <w:t xml:space="preserve">on </w:t>
      </w:r>
      <w:r w:rsidR="00530A7E">
        <w:t>a</w:t>
      </w:r>
      <w:r w:rsidR="00B479C3" w:rsidRPr="00AE56D3">
        <w:t xml:space="preserve"> </w:t>
      </w:r>
      <w:r w:rsidR="00530A7E" w:rsidRPr="00530A7E">
        <w:rPr>
          <w:bCs/>
          <w:szCs w:val="18"/>
        </w:rPr>
        <w:t>high-level panel discussion on "</w:t>
      </w:r>
      <w:r w:rsidR="00530A7E" w:rsidRPr="00530A7E">
        <w:rPr>
          <w:bCs/>
          <w:iCs/>
          <w:szCs w:val="18"/>
        </w:rPr>
        <w:t>Trade, the Environment and Sustainability: A Focus on Green Recovery in a COVID-19 Era"</w:t>
      </w:r>
      <w:r w:rsidR="00530A7E" w:rsidRPr="00530A7E">
        <w:rPr>
          <w:bCs/>
          <w:szCs w:val="18"/>
        </w:rPr>
        <w:t xml:space="preserve"> </w:t>
      </w:r>
      <w:r w:rsidR="00530A7E">
        <w:t xml:space="preserve">co-hosted </w:t>
      </w:r>
      <w:r w:rsidR="00530A7E" w:rsidRPr="00530A7E">
        <w:rPr>
          <w:bCs/>
          <w:szCs w:val="18"/>
        </w:rPr>
        <w:t xml:space="preserve">on 29 March 2021 </w:t>
      </w:r>
      <w:r w:rsidR="00530A7E">
        <w:t>by the</w:t>
      </w:r>
      <w:r w:rsidR="00913076" w:rsidRPr="00530A7E">
        <w:rPr>
          <w:bCs/>
          <w:szCs w:val="18"/>
        </w:rPr>
        <w:t xml:space="preserve"> Permanent Mission of Barbados to the United Nations and other International Organisations at Geneva and the Permanent Mission of the Maldives to the United Nations and other International Organisations at Geneva</w:t>
      </w:r>
      <w:r w:rsidR="00530A7E" w:rsidRPr="00530A7E">
        <w:rPr>
          <w:bCs/>
          <w:szCs w:val="18"/>
        </w:rPr>
        <w:t xml:space="preserve">. </w:t>
      </w:r>
      <w:r w:rsidR="00913076" w:rsidRPr="00530A7E">
        <w:rPr>
          <w:bCs/>
          <w:szCs w:val="18"/>
        </w:rPr>
        <w:t>Th</w:t>
      </w:r>
      <w:r w:rsidR="00530A7E">
        <w:rPr>
          <w:bCs/>
          <w:szCs w:val="18"/>
        </w:rPr>
        <w:t>e</w:t>
      </w:r>
      <w:r w:rsidR="00913076" w:rsidRPr="00530A7E">
        <w:rPr>
          <w:bCs/>
          <w:szCs w:val="18"/>
        </w:rPr>
        <w:t xml:space="preserve"> </w:t>
      </w:r>
      <w:r w:rsidR="00530A7E" w:rsidRPr="00530A7E">
        <w:rPr>
          <w:bCs/>
          <w:szCs w:val="18"/>
        </w:rPr>
        <w:t>high-level panel</w:t>
      </w:r>
      <w:r w:rsidR="00530A7E">
        <w:rPr>
          <w:bCs/>
          <w:szCs w:val="18"/>
        </w:rPr>
        <w:t>,</w:t>
      </w:r>
      <w:r w:rsidR="00913076" w:rsidRPr="00530A7E">
        <w:rPr>
          <w:bCs/>
          <w:szCs w:val="18"/>
        </w:rPr>
        <w:t xml:space="preserve"> </w:t>
      </w:r>
      <w:r w:rsidR="00530A7E" w:rsidRPr="005B144C">
        <w:t>moderated by H. E. Mr Chad Blackman</w:t>
      </w:r>
      <w:r w:rsidR="00530A7E">
        <w:t xml:space="preserve"> (Barbados),</w:t>
      </w:r>
      <w:r w:rsidR="00530A7E" w:rsidRPr="00530A7E">
        <w:rPr>
          <w:bCs/>
          <w:szCs w:val="18"/>
        </w:rPr>
        <w:t xml:space="preserve"> </w:t>
      </w:r>
      <w:r w:rsidR="00913076" w:rsidRPr="00530A7E">
        <w:rPr>
          <w:bCs/>
          <w:szCs w:val="18"/>
        </w:rPr>
        <w:t>was divided into two segments. During the opening segment participants benefit</w:t>
      </w:r>
      <w:r w:rsidR="00025E1C">
        <w:rPr>
          <w:bCs/>
          <w:szCs w:val="18"/>
        </w:rPr>
        <w:t>ed</w:t>
      </w:r>
      <w:r w:rsidR="00913076" w:rsidRPr="00530A7E">
        <w:rPr>
          <w:bCs/>
          <w:szCs w:val="18"/>
        </w:rPr>
        <w:t xml:space="preserve"> from the perspectives of an esteemed list of high-level leaders in the areas of trade, the environment and sustainability, namely </w:t>
      </w:r>
      <w:r w:rsidR="00025E1C">
        <w:rPr>
          <w:bCs/>
          <w:szCs w:val="18"/>
        </w:rPr>
        <w:t>Dr</w:t>
      </w:r>
      <w:r w:rsidR="00913076" w:rsidRPr="00530A7E">
        <w:rPr>
          <w:bCs/>
          <w:szCs w:val="18"/>
        </w:rPr>
        <w:t xml:space="preserve"> Ngozi Okonjo-Iweala, Director</w:t>
      </w:r>
      <w:r w:rsidR="009F1F9A">
        <w:rPr>
          <w:bCs/>
          <w:szCs w:val="18"/>
        </w:rPr>
        <w:t>-</w:t>
      </w:r>
      <w:r w:rsidR="00913076" w:rsidRPr="00530A7E">
        <w:rPr>
          <w:bCs/>
          <w:szCs w:val="18"/>
        </w:rPr>
        <w:t>General of the World Trade Organisation (WTO); Ms</w:t>
      </w:r>
      <w:r w:rsidR="0035369C">
        <w:rPr>
          <w:bCs/>
          <w:szCs w:val="18"/>
        </w:rPr>
        <w:t> </w:t>
      </w:r>
      <w:r w:rsidR="00913076" w:rsidRPr="00530A7E">
        <w:rPr>
          <w:bCs/>
          <w:szCs w:val="18"/>
        </w:rPr>
        <w:t>Amina Mohammed, Deputy Secretary-General of the United Nations and Chair of the United Nations Sustainable Development Group; and Ms</w:t>
      </w:r>
      <w:r w:rsidR="0035369C">
        <w:rPr>
          <w:bCs/>
          <w:szCs w:val="18"/>
        </w:rPr>
        <w:t> </w:t>
      </w:r>
      <w:r w:rsidR="00913076" w:rsidRPr="00530A7E">
        <w:rPr>
          <w:bCs/>
          <w:szCs w:val="18"/>
        </w:rPr>
        <w:t xml:space="preserve">Pamela Coke-Hamilton, Executive Director of the International Trade Centre. Participants were then afforded the opportunity to benefit from the keynote </w:t>
      </w:r>
      <w:r w:rsidR="00530A7E" w:rsidRPr="00530A7E">
        <w:rPr>
          <w:bCs/>
          <w:szCs w:val="18"/>
        </w:rPr>
        <w:t>address,</w:t>
      </w:r>
      <w:r w:rsidR="00913076" w:rsidRPr="00530A7E">
        <w:rPr>
          <w:bCs/>
          <w:szCs w:val="18"/>
        </w:rPr>
        <w:t xml:space="preserve"> which </w:t>
      </w:r>
      <w:r w:rsidR="00530A7E" w:rsidRPr="00530A7E">
        <w:rPr>
          <w:bCs/>
          <w:szCs w:val="18"/>
        </w:rPr>
        <w:t>was</w:t>
      </w:r>
      <w:r w:rsidR="00913076" w:rsidRPr="00530A7E">
        <w:rPr>
          <w:bCs/>
          <w:szCs w:val="18"/>
        </w:rPr>
        <w:t xml:space="preserve"> delivered by the Honourable Abdulla Shahid, Minister of Foreign Affairs of the Maldives.</w:t>
      </w:r>
      <w:r w:rsidR="00530A7E">
        <w:rPr>
          <w:bCs/>
          <w:szCs w:val="18"/>
        </w:rPr>
        <w:t xml:space="preserve"> </w:t>
      </w:r>
      <w:r w:rsidR="00913076" w:rsidRPr="00530A7E">
        <w:rPr>
          <w:bCs/>
          <w:szCs w:val="18"/>
        </w:rPr>
        <w:t>During the second segment of the programme, participants had an opportunity to engage with a distinguished panel of speakers comprising of Ms</w:t>
      </w:r>
      <w:r w:rsidR="0035369C">
        <w:rPr>
          <w:bCs/>
          <w:szCs w:val="18"/>
        </w:rPr>
        <w:t> </w:t>
      </w:r>
      <w:r w:rsidR="00913076" w:rsidRPr="00530A7E">
        <w:rPr>
          <w:bCs/>
          <w:szCs w:val="18"/>
        </w:rPr>
        <w:t xml:space="preserve">Abimbola Olufore, Special Advisor to the Minister of Industry Trade and Investment of Nigeria; </w:t>
      </w:r>
      <w:r w:rsidR="00025E1C">
        <w:rPr>
          <w:bCs/>
          <w:szCs w:val="18"/>
        </w:rPr>
        <w:t>Mr</w:t>
      </w:r>
      <w:r w:rsidR="00913076" w:rsidRPr="00530A7E">
        <w:rPr>
          <w:bCs/>
          <w:szCs w:val="18"/>
        </w:rPr>
        <w:t xml:space="preserve"> Maximo Torero Cullen, Chief Economist, Food and Agriculture Organisation (FAO); and Ms Yuefen Li, United Nations Independent Expert on Foreign Debt.</w:t>
      </w:r>
      <w:r w:rsidR="00530A7E" w:rsidRPr="00530A7E">
        <w:rPr>
          <w:bCs/>
          <w:szCs w:val="18"/>
        </w:rPr>
        <w:t xml:space="preserve"> </w:t>
      </w:r>
    </w:p>
    <w:p w14:paraId="7BABC4A7" w14:textId="5E7C733B" w:rsidR="003E5FC6" w:rsidRDefault="00913076" w:rsidP="001750EA">
      <w:pPr>
        <w:pStyle w:val="BodyText"/>
      </w:pPr>
      <w:r w:rsidRPr="005B144C">
        <w:lastRenderedPageBreak/>
        <w:t xml:space="preserve">The high-level event was aimed at expanding the policy dialogue on trade and its nexus with the environment and sustainability as well as green recovery in the aftermath of the COVID-19 pandemic, and placed a specific focus on the issues of food security, promoting global and regional </w:t>
      </w:r>
      <w:r w:rsidRPr="003E5FC6">
        <w:t xml:space="preserve">supply and value chains. </w:t>
      </w:r>
      <w:r w:rsidR="00530A7E" w:rsidRPr="003E5FC6">
        <w:t>I</w:t>
      </w:r>
      <w:r w:rsidRPr="003E5FC6">
        <w:t>n her remarks to the event, the WTO Director</w:t>
      </w:r>
      <w:r w:rsidR="009F1F9A">
        <w:t>-</w:t>
      </w:r>
      <w:r w:rsidRPr="003E5FC6">
        <w:t xml:space="preserve">General informed attendees that the crises presented an opportunity to build back greener and better, not only in terms of rebooting international trade </w:t>
      </w:r>
      <w:r w:rsidR="003E5FC6" w:rsidRPr="003E5FC6">
        <w:t>but also to find</w:t>
      </w:r>
      <w:r w:rsidRPr="003E5FC6">
        <w:t xml:space="preserve"> pathways to sustainable trade that </w:t>
      </w:r>
      <w:r w:rsidR="001750EA" w:rsidRPr="003E5FC6">
        <w:t>could</w:t>
      </w:r>
      <w:r w:rsidRPr="003E5FC6">
        <w:t xml:space="preserve"> assist </w:t>
      </w:r>
      <w:r w:rsidR="003E5FC6" w:rsidRPr="003E5FC6">
        <w:t xml:space="preserve">both </w:t>
      </w:r>
      <w:r w:rsidRPr="003E5FC6">
        <w:t>the environment and the economy.</w:t>
      </w:r>
      <w:r w:rsidRPr="005B144C">
        <w:t xml:space="preserve"> </w:t>
      </w:r>
    </w:p>
    <w:p w14:paraId="5ED541F8" w14:textId="74A70754" w:rsidR="00913076" w:rsidRPr="001750EA" w:rsidRDefault="003E5FC6" w:rsidP="009F1F9A">
      <w:pPr>
        <w:pStyle w:val="BodyText"/>
      </w:pPr>
      <w:r w:rsidRPr="003E5FC6">
        <w:t xml:space="preserve">Some of these pathways </w:t>
      </w:r>
      <w:r>
        <w:t>could</w:t>
      </w:r>
      <w:r w:rsidRPr="003E5FC6">
        <w:t xml:space="preserve"> be linked to work that ha</w:t>
      </w:r>
      <w:r>
        <w:t>d</w:t>
      </w:r>
      <w:r w:rsidRPr="003E5FC6">
        <w:t xml:space="preserve"> already been initiated </w:t>
      </w:r>
      <w:r>
        <w:t>in the CTE</w:t>
      </w:r>
      <w:r w:rsidRPr="003E5FC6">
        <w:t xml:space="preserve">, initiatives launched by </w:t>
      </w:r>
      <w:r>
        <w:t>M</w:t>
      </w:r>
      <w:r w:rsidRPr="003E5FC6">
        <w:t>embers and other on</w:t>
      </w:r>
      <w:r w:rsidR="00025E1C">
        <w:t>going</w:t>
      </w:r>
      <w:r w:rsidRPr="003E5FC6">
        <w:t xml:space="preserve"> work.</w:t>
      </w:r>
      <w:r w:rsidR="0035369C" w:rsidRPr="003E5FC6">
        <w:t xml:space="preserve"> </w:t>
      </w:r>
      <w:r w:rsidR="00913076" w:rsidRPr="005B144C">
        <w:t xml:space="preserve">She gave four examples of </w:t>
      </w:r>
      <w:r>
        <w:t>such pathways. First,</w:t>
      </w:r>
      <w:r w:rsidR="001750EA">
        <w:t xml:space="preserve"> </w:t>
      </w:r>
      <w:r w:rsidR="00913076" w:rsidRPr="003E5FC6">
        <w:rPr>
          <w:bCs/>
          <w:szCs w:val="18"/>
        </w:rPr>
        <w:t xml:space="preserve">trade policies </w:t>
      </w:r>
      <w:r w:rsidR="001750EA" w:rsidRPr="003E5FC6">
        <w:rPr>
          <w:bCs/>
          <w:szCs w:val="18"/>
        </w:rPr>
        <w:t>could</w:t>
      </w:r>
      <w:r w:rsidR="00913076" w:rsidRPr="003E5FC6">
        <w:rPr>
          <w:bCs/>
          <w:szCs w:val="18"/>
        </w:rPr>
        <w:t xml:space="preserve"> help unlock the green investment and innovation needed to diversify and decarbonize economies to create the jobs of the future</w:t>
      </w:r>
      <w:r>
        <w:rPr>
          <w:bCs/>
          <w:szCs w:val="18"/>
        </w:rPr>
        <w:t>. Second,</w:t>
      </w:r>
      <w:r w:rsidR="001750EA" w:rsidRPr="003E5FC6">
        <w:rPr>
          <w:bCs/>
          <w:szCs w:val="18"/>
        </w:rPr>
        <w:t xml:space="preserve"> </w:t>
      </w:r>
      <w:r w:rsidR="00913076" w:rsidRPr="003E5FC6">
        <w:rPr>
          <w:bCs/>
          <w:szCs w:val="18"/>
        </w:rPr>
        <w:t xml:space="preserve">the jobs and diversification agenda </w:t>
      </w:r>
      <w:r w:rsidR="001750EA" w:rsidRPr="003E5FC6">
        <w:rPr>
          <w:bCs/>
          <w:szCs w:val="18"/>
        </w:rPr>
        <w:t>was</w:t>
      </w:r>
      <w:r w:rsidR="00913076" w:rsidRPr="003E5FC6">
        <w:rPr>
          <w:bCs/>
          <w:szCs w:val="18"/>
        </w:rPr>
        <w:t xml:space="preserve"> linked to many of the issues that </w:t>
      </w:r>
      <w:r w:rsidR="001750EA" w:rsidRPr="003E5FC6">
        <w:rPr>
          <w:bCs/>
          <w:szCs w:val="18"/>
        </w:rPr>
        <w:t>we</w:t>
      </w:r>
      <w:r w:rsidR="00913076" w:rsidRPr="003E5FC6">
        <w:rPr>
          <w:bCs/>
          <w:szCs w:val="18"/>
        </w:rPr>
        <w:t>re already being discussed in the WTO such as e-commerce, investment facilitation, women in trade, micro-small and medium enterprises</w:t>
      </w:r>
      <w:r>
        <w:rPr>
          <w:bCs/>
          <w:szCs w:val="18"/>
        </w:rPr>
        <w:t>. Third,</w:t>
      </w:r>
      <w:r w:rsidR="001750EA" w:rsidRPr="003E5FC6">
        <w:rPr>
          <w:bCs/>
          <w:szCs w:val="18"/>
        </w:rPr>
        <w:t xml:space="preserve"> </w:t>
      </w:r>
      <w:r w:rsidR="00913076" w:rsidRPr="003E5FC6">
        <w:rPr>
          <w:bCs/>
          <w:szCs w:val="18"/>
        </w:rPr>
        <w:t xml:space="preserve">trade policy </w:t>
      </w:r>
      <w:r w:rsidR="001750EA" w:rsidRPr="003E5FC6">
        <w:rPr>
          <w:bCs/>
          <w:szCs w:val="18"/>
        </w:rPr>
        <w:t>needed to</w:t>
      </w:r>
      <w:r w:rsidR="00913076" w:rsidRPr="003E5FC6">
        <w:rPr>
          <w:bCs/>
          <w:szCs w:val="18"/>
        </w:rPr>
        <w:t xml:space="preserve"> go hand in hand with a rebuilding process that ensure</w:t>
      </w:r>
      <w:r w:rsidR="001750EA" w:rsidRPr="003E5FC6">
        <w:rPr>
          <w:bCs/>
          <w:szCs w:val="18"/>
        </w:rPr>
        <w:t>d</w:t>
      </w:r>
      <w:r w:rsidR="00913076" w:rsidRPr="003E5FC6">
        <w:rPr>
          <w:bCs/>
          <w:szCs w:val="18"/>
        </w:rPr>
        <w:t xml:space="preserve"> that SIDS an</w:t>
      </w:r>
      <w:r>
        <w:rPr>
          <w:bCs/>
          <w:szCs w:val="18"/>
        </w:rPr>
        <w:t xml:space="preserve">d </w:t>
      </w:r>
      <w:r w:rsidR="00913076" w:rsidRPr="003E5FC6">
        <w:rPr>
          <w:bCs/>
          <w:szCs w:val="18"/>
        </w:rPr>
        <w:t>other developing nations ha</w:t>
      </w:r>
      <w:r w:rsidR="001750EA" w:rsidRPr="003E5FC6">
        <w:rPr>
          <w:bCs/>
          <w:szCs w:val="18"/>
        </w:rPr>
        <w:t>d</w:t>
      </w:r>
      <w:r w:rsidR="00913076" w:rsidRPr="003E5FC6">
        <w:rPr>
          <w:bCs/>
          <w:szCs w:val="18"/>
        </w:rPr>
        <w:t xml:space="preserve"> the capacity to ensure food security access to essential </w:t>
      </w:r>
      <w:r w:rsidR="001750EA" w:rsidRPr="003E5FC6">
        <w:rPr>
          <w:bCs/>
          <w:szCs w:val="18"/>
        </w:rPr>
        <w:t>g</w:t>
      </w:r>
      <w:r w:rsidR="00913076" w:rsidRPr="003E5FC6">
        <w:rPr>
          <w:bCs/>
          <w:szCs w:val="18"/>
        </w:rPr>
        <w:t>oods and also to bolster their own productive capacity</w:t>
      </w:r>
      <w:r>
        <w:rPr>
          <w:bCs/>
          <w:szCs w:val="18"/>
        </w:rPr>
        <w:t>. And fourth,</w:t>
      </w:r>
      <w:r w:rsidR="001750EA" w:rsidRPr="003E5FC6">
        <w:rPr>
          <w:bCs/>
          <w:szCs w:val="18"/>
        </w:rPr>
        <w:t xml:space="preserve"> </w:t>
      </w:r>
      <w:r w:rsidR="00913076" w:rsidRPr="003E5FC6">
        <w:rPr>
          <w:bCs/>
          <w:szCs w:val="18"/>
        </w:rPr>
        <w:t xml:space="preserve">keeping global markets open </w:t>
      </w:r>
      <w:r w:rsidR="001750EA" w:rsidRPr="003E5FC6">
        <w:rPr>
          <w:bCs/>
          <w:szCs w:val="18"/>
        </w:rPr>
        <w:t>was</w:t>
      </w:r>
      <w:r w:rsidR="00913076" w:rsidRPr="003E5FC6">
        <w:rPr>
          <w:bCs/>
          <w:szCs w:val="18"/>
        </w:rPr>
        <w:t xml:space="preserve"> essential for a strong and sustained during recovery and for a blue recovery</w:t>
      </w:r>
      <w:r>
        <w:rPr>
          <w:bCs/>
          <w:szCs w:val="18"/>
        </w:rPr>
        <w:t>.</w:t>
      </w:r>
    </w:p>
    <w:p w14:paraId="4FB3518E" w14:textId="721D659A" w:rsidR="00913076" w:rsidRPr="005B144C" w:rsidRDefault="00913076" w:rsidP="001750EA">
      <w:pPr>
        <w:pStyle w:val="BodyText"/>
      </w:pPr>
      <w:r w:rsidRPr="005B144C">
        <w:t>The issue of debt, particularly as it relate</w:t>
      </w:r>
      <w:r w:rsidR="001750EA">
        <w:t>d</w:t>
      </w:r>
      <w:r w:rsidRPr="005B144C">
        <w:t xml:space="preserve"> to SIDS was highlighted during the meeting.</w:t>
      </w:r>
      <w:r w:rsidR="0035369C" w:rsidRPr="005B144C">
        <w:t xml:space="preserve"> </w:t>
      </w:r>
      <w:r w:rsidRPr="005B144C">
        <w:t xml:space="preserve">The meeting was informed that 17 SIDS </w:t>
      </w:r>
      <w:r w:rsidR="001750EA">
        <w:t>we</w:t>
      </w:r>
      <w:r w:rsidRPr="005B144C">
        <w:t xml:space="preserve">re at high risk of debt distress, which </w:t>
      </w:r>
      <w:r w:rsidR="001750EA">
        <w:t>wa</w:t>
      </w:r>
      <w:r w:rsidRPr="005B144C">
        <w:t>s compounding many the existing challenges including extreme vulnerability to climate impact and reinforced the need for SIDS to be provided with the tools they need</w:t>
      </w:r>
      <w:r w:rsidR="001750EA">
        <w:t>ed</w:t>
      </w:r>
      <w:r w:rsidRPr="005B144C">
        <w:t xml:space="preserve"> to strengthen their resilience, including greater access to financial support and debt relief. There was also a call for more to be done for SIDS in his area. It was also highlighted that as the world recover</w:t>
      </w:r>
      <w:r w:rsidR="001750EA">
        <w:t>ed</w:t>
      </w:r>
      <w:r w:rsidRPr="005B144C">
        <w:t xml:space="preserve"> from the pandemic there was also a need to rethink trade itself and seize the current opportunity to achieve sustainable trade compatible with a net zero emissions pathway and sustainable blue economies.</w:t>
      </w:r>
    </w:p>
    <w:p w14:paraId="4A961028" w14:textId="591DE46D" w:rsidR="00913076" w:rsidRPr="005B144C" w:rsidRDefault="00913076" w:rsidP="001750EA">
      <w:pPr>
        <w:pStyle w:val="BodyText"/>
      </w:pPr>
      <w:r w:rsidRPr="005B144C">
        <w:t>The role of Aid For Trade in assisting in green recovery was highlighted, particularly in ensuring that trade policy work hand</w:t>
      </w:r>
      <w:r w:rsidR="009F1F9A">
        <w:t xml:space="preserve"> </w:t>
      </w:r>
      <w:r w:rsidRPr="005B144C">
        <w:t>in</w:t>
      </w:r>
      <w:r w:rsidR="009F1F9A">
        <w:t xml:space="preserve"> </w:t>
      </w:r>
      <w:r w:rsidRPr="005B144C">
        <w:t>hand with environmental sustainability</w:t>
      </w:r>
      <w:r w:rsidR="001750EA">
        <w:t>, f</w:t>
      </w:r>
      <w:r w:rsidRPr="005B144C">
        <w:t>or example</w:t>
      </w:r>
      <w:r w:rsidR="001750EA">
        <w:t>,</w:t>
      </w:r>
      <w:r w:rsidRPr="005B144C">
        <w:t xml:space="preserve"> in providing support</w:t>
      </w:r>
      <w:r w:rsidR="00C37395">
        <w:t xml:space="preserve"> </w:t>
      </w:r>
      <w:r w:rsidR="00C37395" w:rsidRPr="00C37395">
        <w:t xml:space="preserve">Micro-, Small and Medium-sized Enterprises (MSMEs) </w:t>
      </w:r>
      <w:r w:rsidRPr="005B144C">
        <w:t>in developing countries, in terms of technical assistance and innovative financing mechanisms to support greener development pathways and job creation. By directing Aid for Trade to these high impact areas, it was possible to accelerate recovery, safeguard against future shocks and ultimately create a sustainable future.</w:t>
      </w:r>
      <w:r w:rsidR="001750EA">
        <w:t xml:space="preserve"> </w:t>
      </w:r>
      <w:r w:rsidRPr="005B144C">
        <w:t>The meeting also presented useful examples of ongoing projects and experience sharing in terms of sustainable methods. One example of this was in terms of the blue economy and more specifically the fisheries industry. The Maldives Minister informed the meeting that, as a SIDS or a Big Ocean State, they ha</w:t>
      </w:r>
      <w:r w:rsidR="001750EA">
        <w:t>d</w:t>
      </w:r>
      <w:r w:rsidRPr="005B144C">
        <w:t xml:space="preserve"> been using sustainable and environment-friendly fishing methods to catch tuna for centuries. </w:t>
      </w:r>
      <w:r w:rsidR="00C37395">
        <w:t>It was</w:t>
      </w:r>
      <w:r w:rsidRPr="005B144C">
        <w:t xml:space="preserve"> ensure</w:t>
      </w:r>
      <w:r w:rsidR="001750EA">
        <w:t>d</w:t>
      </w:r>
      <w:r w:rsidRPr="005B144C">
        <w:t xml:space="preserve"> that waste products from the tuna processing process </w:t>
      </w:r>
      <w:r w:rsidR="001750EA">
        <w:t>was</w:t>
      </w:r>
      <w:r w:rsidRPr="005B144C">
        <w:t xml:space="preserve"> utili</w:t>
      </w:r>
      <w:r w:rsidR="00025E1C">
        <w:t>z</w:t>
      </w:r>
      <w:r w:rsidRPr="005B144C">
        <w:t>ed for example as agricultural fertilizers and raw material export, thereby providing the economy with a fall-back to generate primary income.</w:t>
      </w:r>
      <w:r w:rsidR="001750EA">
        <w:t xml:space="preserve"> </w:t>
      </w:r>
      <w:r w:rsidRPr="005B144C">
        <w:t>The need to reconsider the criteria for the graduation of SIDS was also highlighted as well as the need for a multidimensional index, which would among other things include economic and environmental variables.</w:t>
      </w:r>
    </w:p>
    <w:p w14:paraId="3A0BDBE4" w14:textId="3AEFF2E1" w:rsidR="00913076" w:rsidRDefault="00913076" w:rsidP="001750EA">
      <w:pPr>
        <w:pStyle w:val="BodyText"/>
      </w:pPr>
      <w:r w:rsidRPr="005B144C">
        <w:t xml:space="preserve">In essence, the high-level event outlined the challenges faced by the international community with the onset of the crisis and more specifically, the challenges faced by </w:t>
      </w:r>
      <w:r w:rsidR="001750EA">
        <w:t>SIDS</w:t>
      </w:r>
      <w:r w:rsidRPr="005B144C">
        <w:t>, which ha</w:t>
      </w:r>
      <w:r w:rsidR="001750EA">
        <w:t>d</w:t>
      </w:r>
      <w:r w:rsidRPr="005B144C">
        <w:t xml:space="preserve"> been severely impacted by the twin crises: induced by the pandemic and climate change. During the meeting</w:t>
      </w:r>
      <w:r w:rsidR="001750EA">
        <w:t>, it was said</w:t>
      </w:r>
      <w:r w:rsidRPr="005B144C">
        <w:t xml:space="preserve"> that recovery from the twin challenges facing the global community </w:t>
      </w:r>
      <w:r w:rsidR="001750EA">
        <w:t>would</w:t>
      </w:r>
      <w:r w:rsidRPr="005B144C">
        <w:t xml:space="preserve"> require a shift from the traditional towards new and innovative avenues. It was recognised that this therefore created an opportunity </w:t>
      </w:r>
      <w:r w:rsidR="001750EA">
        <w:t xml:space="preserve">to </w:t>
      </w:r>
      <w:r w:rsidRPr="005B144C">
        <w:t xml:space="preserve">focus on green recovery and given the role that trade </w:t>
      </w:r>
      <w:r w:rsidR="001750EA">
        <w:t>needed to</w:t>
      </w:r>
      <w:r w:rsidRPr="005B144C">
        <w:t xml:space="preserve"> play in economic recovery</w:t>
      </w:r>
      <w:r w:rsidR="001750EA">
        <w:t xml:space="preserve">, </w:t>
      </w:r>
      <w:r w:rsidRPr="005B144C">
        <w:t xml:space="preserve">the WTO </w:t>
      </w:r>
      <w:r w:rsidR="001750EA">
        <w:t>could</w:t>
      </w:r>
      <w:r w:rsidRPr="005B144C">
        <w:t xml:space="preserve"> play </w:t>
      </w:r>
      <w:r w:rsidR="001750EA">
        <w:t xml:space="preserve">an important role in </w:t>
      </w:r>
      <w:r w:rsidRPr="005B144C">
        <w:t>green recovery.</w:t>
      </w:r>
      <w:r w:rsidR="001750EA">
        <w:t xml:space="preserve"> </w:t>
      </w:r>
    </w:p>
    <w:p w14:paraId="5570E4AC" w14:textId="4E728CF4" w:rsidR="00920EC6" w:rsidRPr="00920EC6" w:rsidRDefault="00920EC6" w:rsidP="00143375">
      <w:pPr>
        <w:pStyle w:val="Heading2"/>
      </w:pPr>
      <w:bookmarkStart w:id="59" w:name="_Toc74660684"/>
      <w:r>
        <w:t xml:space="preserve">Guatemala's report on event </w:t>
      </w:r>
      <w:r w:rsidRPr="001750EA">
        <w:rPr>
          <w:rFonts w:eastAsia="Times New Roman"/>
        </w:rPr>
        <w:t xml:space="preserve">co-hosted </w:t>
      </w:r>
      <w:r>
        <w:rPr>
          <w:rFonts w:eastAsia="Times New Roman"/>
        </w:rPr>
        <w:t>with</w:t>
      </w:r>
      <w:r w:rsidRPr="001750EA">
        <w:rPr>
          <w:rFonts w:eastAsia="Times New Roman"/>
        </w:rPr>
        <w:t xml:space="preserve"> Finland on "Sustainable business and circularity</w:t>
      </w:r>
      <w:r w:rsidR="00025E1C">
        <w:rPr>
          <w:rFonts w:eastAsia="Times New Roman"/>
        </w:rPr>
        <w:t xml:space="preserve"> – </w:t>
      </w:r>
      <w:r w:rsidRPr="001750EA">
        <w:rPr>
          <w:rFonts w:eastAsia="Times New Roman"/>
        </w:rPr>
        <w:t>why does sustainability make business sense</w:t>
      </w:r>
      <w:r>
        <w:rPr>
          <w:rFonts w:eastAsia="Times New Roman"/>
        </w:rPr>
        <w:t>"</w:t>
      </w:r>
      <w:bookmarkEnd w:id="59"/>
    </w:p>
    <w:p w14:paraId="7E82A009" w14:textId="6EEEB556" w:rsidR="00163F31" w:rsidRPr="005B144C" w:rsidRDefault="00163F31" w:rsidP="001750EA">
      <w:pPr>
        <w:pStyle w:val="BodyText"/>
      </w:pPr>
      <w:r w:rsidRPr="001750EA">
        <w:rPr>
          <w:szCs w:val="18"/>
        </w:rPr>
        <w:t xml:space="preserve">The representative of </w:t>
      </w:r>
      <w:r w:rsidRPr="001750EA">
        <w:rPr>
          <w:szCs w:val="18"/>
          <w:u w:val="single"/>
        </w:rPr>
        <w:t>Guatemala</w:t>
      </w:r>
      <w:r w:rsidRPr="001750EA">
        <w:rPr>
          <w:szCs w:val="18"/>
        </w:rPr>
        <w:t xml:space="preserve"> </w:t>
      </w:r>
      <w:r w:rsidRPr="001750EA">
        <w:rPr>
          <w:rFonts w:eastAsia="Times New Roman"/>
          <w:szCs w:val="18"/>
        </w:rPr>
        <w:t>brief</w:t>
      </w:r>
      <w:r w:rsidR="00B6465D">
        <w:rPr>
          <w:rFonts w:eastAsia="Times New Roman"/>
          <w:szCs w:val="18"/>
        </w:rPr>
        <w:t>ed</w:t>
      </w:r>
      <w:r w:rsidRPr="001750EA">
        <w:rPr>
          <w:rFonts w:eastAsia="Times New Roman"/>
          <w:szCs w:val="18"/>
        </w:rPr>
        <w:t xml:space="preserve"> the </w:t>
      </w:r>
      <w:r w:rsidR="001750EA" w:rsidRPr="001750EA">
        <w:rPr>
          <w:rFonts w:eastAsia="Times New Roman"/>
          <w:szCs w:val="18"/>
        </w:rPr>
        <w:t>CTE</w:t>
      </w:r>
      <w:r w:rsidRPr="001750EA">
        <w:rPr>
          <w:rFonts w:eastAsia="Times New Roman"/>
          <w:szCs w:val="18"/>
        </w:rPr>
        <w:t xml:space="preserve"> on the joint event </w:t>
      </w:r>
      <w:r w:rsidR="001750EA" w:rsidRPr="001750EA">
        <w:rPr>
          <w:rFonts w:eastAsia="Times New Roman"/>
          <w:szCs w:val="18"/>
        </w:rPr>
        <w:t>co-hosted by</w:t>
      </w:r>
      <w:r w:rsidRPr="001750EA">
        <w:rPr>
          <w:rFonts w:eastAsia="Times New Roman"/>
          <w:szCs w:val="18"/>
        </w:rPr>
        <w:t xml:space="preserve"> the Permanent Missions of Guatemala and </w:t>
      </w:r>
      <w:r w:rsidR="001750EA" w:rsidRPr="001750EA">
        <w:rPr>
          <w:rFonts w:eastAsia="Times New Roman"/>
          <w:szCs w:val="18"/>
        </w:rPr>
        <w:t>Finland on "</w:t>
      </w:r>
      <w:r w:rsidRPr="001750EA">
        <w:rPr>
          <w:rFonts w:eastAsia="Times New Roman"/>
          <w:szCs w:val="18"/>
        </w:rPr>
        <w:t>Sustainable business and circularity- why does sustainability make business sense</w:t>
      </w:r>
      <w:r w:rsidR="001750EA" w:rsidRPr="001750EA">
        <w:rPr>
          <w:rFonts w:eastAsia="Times New Roman"/>
          <w:szCs w:val="18"/>
        </w:rPr>
        <w:t>"</w:t>
      </w:r>
      <w:r w:rsidRPr="001750EA">
        <w:rPr>
          <w:rFonts w:eastAsia="Times New Roman"/>
          <w:szCs w:val="18"/>
        </w:rPr>
        <w:t xml:space="preserve">, which was organized in collaboration with the </w:t>
      </w:r>
      <w:r w:rsidR="00B6465D" w:rsidRPr="001750EA">
        <w:rPr>
          <w:rFonts w:eastAsia="Times New Roman"/>
          <w:szCs w:val="18"/>
        </w:rPr>
        <w:t xml:space="preserve">International Chamber Of Commerce </w:t>
      </w:r>
      <w:r w:rsidRPr="001750EA">
        <w:rPr>
          <w:rFonts w:eastAsia="Times New Roman"/>
          <w:szCs w:val="18"/>
        </w:rPr>
        <w:t>(ICC).</w:t>
      </w:r>
      <w:r w:rsidR="001750EA" w:rsidRPr="001750EA">
        <w:rPr>
          <w:rFonts w:eastAsia="Times New Roman"/>
          <w:szCs w:val="18"/>
        </w:rPr>
        <w:t xml:space="preserve"> </w:t>
      </w:r>
      <w:r w:rsidRPr="005B144C">
        <w:t>Nations ha</w:t>
      </w:r>
      <w:r w:rsidR="001750EA">
        <w:t>d</w:t>
      </w:r>
      <w:r w:rsidRPr="005B144C">
        <w:t xml:space="preserve"> only 10 years left to </w:t>
      </w:r>
      <w:r w:rsidR="001750EA" w:rsidRPr="005B144C">
        <w:t>fulfil</w:t>
      </w:r>
      <w:r w:rsidRPr="005B144C">
        <w:t xml:space="preserve"> the</w:t>
      </w:r>
      <w:r w:rsidR="00B6465D">
        <w:t xml:space="preserve"> </w:t>
      </w:r>
      <w:r w:rsidR="001750EA">
        <w:t>SDGs</w:t>
      </w:r>
      <w:r w:rsidRPr="005B144C">
        <w:t xml:space="preserve">. </w:t>
      </w:r>
      <w:r w:rsidR="001750EA">
        <w:t>T</w:t>
      </w:r>
      <w:r w:rsidRPr="005B144C">
        <w:t>o achieve th</w:t>
      </w:r>
      <w:r w:rsidR="001750EA">
        <w:t>ese</w:t>
      </w:r>
      <w:r w:rsidRPr="005B144C">
        <w:t xml:space="preserve"> ambitious goal</w:t>
      </w:r>
      <w:r w:rsidR="001750EA">
        <w:t>s</w:t>
      </w:r>
      <w:r w:rsidRPr="005B144C">
        <w:t xml:space="preserve">, it </w:t>
      </w:r>
      <w:r w:rsidR="001750EA">
        <w:t>was</w:t>
      </w:r>
      <w:r w:rsidRPr="005B144C">
        <w:t xml:space="preserve"> clear that every player ha</w:t>
      </w:r>
      <w:r w:rsidR="001750EA">
        <w:t>d</w:t>
      </w:r>
      <w:r w:rsidRPr="005B144C">
        <w:t xml:space="preserve"> to play its role. Private sector </w:t>
      </w:r>
      <w:r w:rsidR="001750EA">
        <w:t>was</w:t>
      </w:r>
      <w:r w:rsidRPr="005B144C">
        <w:t xml:space="preserve"> a particularly important player and often even a pathfinder in promoting sustainability in their production and distribution processes. This </w:t>
      </w:r>
      <w:r w:rsidR="001750EA">
        <w:t>was the reason</w:t>
      </w:r>
      <w:r w:rsidRPr="005B144C">
        <w:t xml:space="preserve"> why the event focused precisely on the contributions and </w:t>
      </w:r>
      <w:r w:rsidRPr="005B144C">
        <w:lastRenderedPageBreak/>
        <w:t xml:space="preserve">efforts that companies in Guatemala and Finland </w:t>
      </w:r>
      <w:r w:rsidR="001750EA">
        <w:t>we</w:t>
      </w:r>
      <w:r w:rsidRPr="005B144C">
        <w:t xml:space="preserve">re </w:t>
      </w:r>
      <w:r w:rsidR="001750EA">
        <w:t>making</w:t>
      </w:r>
      <w:r w:rsidRPr="005B144C">
        <w:t xml:space="preserve"> to become more sustainable, their role in advancing the transition to a circular economy and how trade factor</w:t>
      </w:r>
      <w:r w:rsidR="001750EA">
        <w:t>ed</w:t>
      </w:r>
      <w:r w:rsidRPr="005B144C">
        <w:t xml:space="preserve"> in their work.</w:t>
      </w:r>
    </w:p>
    <w:p w14:paraId="328907BE" w14:textId="62E925D0" w:rsidR="00163F31" w:rsidRPr="005B144C" w:rsidRDefault="00163F31" w:rsidP="00BC1A49">
      <w:pPr>
        <w:pStyle w:val="BodyText"/>
      </w:pPr>
      <w:r w:rsidRPr="005B144C">
        <w:t>During the event, representatives from the sugar sector, cement and exporters association from Guatemala, and from renewable fuel and textiles sectors from Finland shared concrete examples of how through research, innovation and creativity, their production and distribution processes ha</w:t>
      </w:r>
      <w:r w:rsidR="001739C6">
        <w:t>d</w:t>
      </w:r>
      <w:r w:rsidRPr="005B144C">
        <w:t xml:space="preserve"> evolved in order to become more sustainable and circular. </w:t>
      </w:r>
      <w:r w:rsidR="001739C6">
        <w:t>A k</w:t>
      </w:r>
      <w:r w:rsidRPr="005B144C">
        <w:t xml:space="preserve">ey element </w:t>
      </w:r>
      <w:r w:rsidR="001739C6">
        <w:t>was</w:t>
      </w:r>
      <w:r w:rsidRPr="005B144C">
        <w:t xml:space="preserve"> also the dedication of the companies to find new solutions that ma</w:t>
      </w:r>
      <w:r w:rsidR="001739C6">
        <w:t>d</w:t>
      </w:r>
      <w:r w:rsidRPr="005B144C">
        <w:t>e their business more sustainable.</w:t>
      </w:r>
      <w:r w:rsidR="001739C6">
        <w:t xml:space="preserve"> </w:t>
      </w:r>
      <w:r w:rsidRPr="005B144C">
        <w:t xml:space="preserve">One of the key messages from the event was that transitioning to a more sustainable economy, </w:t>
      </w:r>
      <w:r w:rsidR="001739C6">
        <w:t>wa</w:t>
      </w:r>
      <w:r w:rsidRPr="005B144C">
        <w:t xml:space="preserve">s not only beneficial to the environment and the </w:t>
      </w:r>
      <w:r w:rsidR="001739C6" w:rsidRPr="005B144C">
        <w:t>well</w:t>
      </w:r>
      <w:r w:rsidR="00025E1C">
        <w:t>being</w:t>
      </w:r>
      <w:r w:rsidRPr="005B144C">
        <w:t xml:space="preserve"> of humanity but it also </w:t>
      </w:r>
      <w:r w:rsidR="001739C6">
        <w:t>brought</w:t>
      </w:r>
      <w:r w:rsidRPr="005B144C">
        <w:t xml:space="preserve"> benefits </w:t>
      </w:r>
      <w:r w:rsidR="001739C6">
        <w:t>to</w:t>
      </w:r>
      <w:r w:rsidRPr="005B144C">
        <w:t xml:space="preserve"> the companies that </w:t>
      </w:r>
      <w:r w:rsidR="001739C6">
        <w:t xml:space="preserve">took </w:t>
      </w:r>
      <w:r w:rsidRPr="005B144C">
        <w:t xml:space="preserve">part </w:t>
      </w:r>
      <w:r w:rsidR="001739C6">
        <w:t>in</w:t>
      </w:r>
      <w:r w:rsidRPr="005B144C">
        <w:t xml:space="preserve"> this transition. Focusing on goals such as reducing carbon emissions, reducing waste and reducing water consumption reduce</w:t>
      </w:r>
      <w:r w:rsidR="001739C6">
        <w:t>d</w:t>
      </w:r>
      <w:r w:rsidRPr="005B144C">
        <w:t xml:space="preserve"> costs, create</w:t>
      </w:r>
      <w:r w:rsidR="001739C6">
        <w:t>d</w:t>
      </w:r>
      <w:r w:rsidRPr="005B144C">
        <w:t xml:space="preserve"> added value and promote</w:t>
      </w:r>
      <w:r w:rsidR="001739C6">
        <w:t>d</w:t>
      </w:r>
      <w:r w:rsidRPr="005B144C">
        <w:t xml:space="preserve"> innovation that ma</w:t>
      </w:r>
      <w:r w:rsidR="001739C6">
        <w:t>d</w:t>
      </w:r>
      <w:r w:rsidRPr="005B144C">
        <w:t>e business sense. As a consequence of the pursuance of these objectives, companies became more efficient, more competitive and better prepared to face future challenges in a way that contribute</w:t>
      </w:r>
      <w:r w:rsidR="001739C6">
        <w:t>d</w:t>
      </w:r>
      <w:r w:rsidRPr="005B144C">
        <w:t xml:space="preserve"> to the resilience of the societies. The companies also share</w:t>
      </w:r>
      <w:r w:rsidR="001739C6">
        <w:t>d</w:t>
      </w:r>
      <w:r w:rsidRPr="005B144C">
        <w:t xml:space="preserve"> experiences regarding trade-related challenges </w:t>
      </w:r>
      <w:r w:rsidR="00B6465D">
        <w:t>such as</w:t>
      </w:r>
      <w:r w:rsidRPr="005B144C">
        <w:t xml:space="preserve"> non-tariff barriers, classifications, standards, trade of secondary materials and waste as well as challenges caused by the COVID pandemic.</w:t>
      </w:r>
      <w:r>
        <w:t xml:space="preserve"> </w:t>
      </w:r>
      <w:r w:rsidRPr="005B144C">
        <w:t xml:space="preserve">During the event, the </w:t>
      </w:r>
      <w:r w:rsidR="001739C6">
        <w:t>ICC</w:t>
      </w:r>
      <w:r w:rsidRPr="005B144C">
        <w:t xml:space="preserve"> also shared some initiatives that the private sector </w:t>
      </w:r>
      <w:r w:rsidR="001739C6">
        <w:t>was</w:t>
      </w:r>
      <w:r w:rsidRPr="005B144C">
        <w:t xml:space="preserve"> working </w:t>
      </w:r>
      <w:r w:rsidR="001739C6">
        <w:t xml:space="preserve">on </w:t>
      </w:r>
      <w:r w:rsidRPr="005B144C">
        <w:t>at a global level to promote sustainability and circularity.</w:t>
      </w:r>
      <w:r w:rsidR="005D231B">
        <w:t xml:space="preserve"> </w:t>
      </w:r>
      <w:r w:rsidRPr="005B144C">
        <w:t xml:space="preserve">The event </w:t>
      </w:r>
      <w:r w:rsidR="001739C6">
        <w:t>was</w:t>
      </w:r>
      <w:r w:rsidRPr="005B144C">
        <w:t xml:space="preserve"> yet another example of how the participation of the private sector </w:t>
      </w:r>
      <w:r w:rsidR="001739C6">
        <w:t>could</w:t>
      </w:r>
      <w:r w:rsidRPr="005B144C">
        <w:t xml:space="preserve"> contribute to the deliberations and debates taking place in the CTE and other committees in WTO.</w:t>
      </w:r>
    </w:p>
    <w:p w14:paraId="4DFADC10" w14:textId="370E072D" w:rsidR="00163F31" w:rsidRDefault="00163F31" w:rsidP="00163F31">
      <w:pPr>
        <w:pStyle w:val="BodyText"/>
      </w:pPr>
      <w:r w:rsidRPr="005B144C">
        <w:t xml:space="preserve">On a final note, </w:t>
      </w:r>
      <w:r w:rsidR="001739C6">
        <w:t>Guatemala</w:t>
      </w:r>
      <w:r w:rsidRPr="005B144C">
        <w:t xml:space="preserve"> mention</w:t>
      </w:r>
      <w:r w:rsidR="001739C6">
        <w:t>ed</w:t>
      </w:r>
      <w:r w:rsidRPr="005B144C">
        <w:t xml:space="preserve"> </w:t>
      </w:r>
      <w:r w:rsidR="001739C6">
        <w:t>that even</w:t>
      </w:r>
      <w:r w:rsidRPr="005B144C">
        <w:t xml:space="preserve"> though Guatemala and Finland </w:t>
      </w:r>
      <w:r w:rsidR="001739C6">
        <w:t>we</w:t>
      </w:r>
      <w:r w:rsidRPr="005B144C">
        <w:t>re so distant and different countries, it was impressive to see how companies from these t</w:t>
      </w:r>
      <w:r w:rsidR="001739C6">
        <w:t>w</w:t>
      </w:r>
      <w:r w:rsidRPr="005B144C">
        <w:t xml:space="preserve">o countries </w:t>
      </w:r>
      <w:r w:rsidR="001739C6">
        <w:t>we</w:t>
      </w:r>
      <w:r w:rsidRPr="005B144C">
        <w:t xml:space="preserve">re tackling in their own way the challenges posed by climate change and environmental degradation. It was evident that no matter where they </w:t>
      </w:r>
      <w:r w:rsidR="001739C6">
        <w:t>we</w:t>
      </w:r>
      <w:r w:rsidRPr="005B144C">
        <w:t>re located, many companies underst</w:t>
      </w:r>
      <w:r w:rsidR="001739C6">
        <w:t>oo</w:t>
      </w:r>
      <w:r w:rsidRPr="005B144C">
        <w:t xml:space="preserve">d their important role and </w:t>
      </w:r>
      <w:r w:rsidR="001739C6">
        <w:t>we</w:t>
      </w:r>
      <w:r w:rsidRPr="005B144C">
        <w:t xml:space="preserve">re committed to make their contribution for a better world. </w:t>
      </w:r>
      <w:r w:rsidR="001739C6" w:rsidRPr="005B144C">
        <w:t>These kinds of discussions</w:t>
      </w:r>
      <w:r w:rsidRPr="005B144C">
        <w:t xml:space="preserve"> </w:t>
      </w:r>
      <w:r w:rsidR="001739C6">
        <w:t>brought</w:t>
      </w:r>
      <w:r w:rsidRPr="005B144C">
        <w:t xml:space="preserve"> added value to </w:t>
      </w:r>
      <w:r w:rsidR="001739C6">
        <w:t>the</w:t>
      </w:r>
      <w:r w:rsidRPr="005B144C">
        <w:t xml:space="preserve"> work </w:t>
      </w:r>
      <w:r w:rsidR="001739C6">
        <w:t xml:space="preserve">here </w:t>
      </w:r>
      <w:r w:rsidRPr="005B144C">
        <w:t>and help</w:t>
      </w:r>
      <w:r w:rsidR="001739C6">
        <w:t>ed</w:t>
      </w:r>
      <w:r w:rsidRPr="005B144C">
        <w:t xml:space="preserve"> understand better the trading practices as well as the </w:t>
      </w:r>
      <w:r w:rsidR="00B6465D" w:rsidRPr="005B144C">
        <w:t xml:space="preserve">trade </w:t>
      </w:r>
      <w:r w:rsidRPr="005B144C">
        <w:t>barriers faced by companies, which trade negotiators could help solve.</w:t>
      </w:r>
    </w:p>
    <w:p w14:paraId="744D6926" w14:textId="77777777" w:rsidR="000E3FDA" w:rsidRDefault="000E3FDA" w:rsidP="000E3FDA">
      <w:pPr>
        <w:pStyle w:val="Heading2"/>
        <w:tabs>
          <w:tab w:val="num" w:pos="360"/>
        </w:tabs>
        <w:rPr>
          <w:lang w:eastAsia="en-GB"/>
        </w:rPr>
      </w:pPr>
      <w:bookmarkStart w:id="60" w:name="_Toc74660685"/>
      <w:r>
        <w:rPr>
          <w:lang w:eastAsia="en-GB"/>
        </w:rPr>
        <w:t>Briefings by other observer organizations</w:t>
      </w:r>
      <w:bookmarkEnd w:id="60"/>
    </w:p>
    <w:p w14:paraId="4832925F" w14:textId="5F1A822E" w:rsidR="00515BE6" w:rsidRPr="00515BE6" w:rsidRDefault="00515BE6" w:rsidP="00515BE6">
      <w:pPr>
        <w:pStyle w:val="Heading3"/>
        <w:rPr>
          <w:lang w:val="en-US"/>
        </w:rPr>
      </w:pPr>
      <w:bookmarkStart w:id="61" w:name="_Toc74660686"/>
      <w:r w:rsidRPr="00515BE6">
        <w:rPr>
          <w:lang w:val="en-US"/>
        </w:rPr>
        <w:t>World Customs Organization (</w:t>
      </w:r>
      <w:r w:rsidRPr="00515BE6">
        <w:rPr>
          <w:szCs w:val="18"/>
        </w:rPr>
        <w:t>WCO)</w:t>
      </w:r>
      <w:bookmarkEnd w:id="61"/>
      <w:r>
        <w:rPr>
          <w:szCs w:val="18"/>
        </w:rPr>
        <w:t xml:space="preserve"> </w:t>
      </w:r>
    </w:p>
    <w:p w14:paraId="57262C6A" w14:textId="77777777" w:rsidR="00515BE6" w:rsidRPr="005B144C" w:rsidRDefault="00515BE6" w:rsidP="00515BE6">
      <w:pPr>
        <w:pStyle w:val="BodyText"/>
      </w:pPr>
      <w:r w:rsidRPr="00367E1C">
        <w:rPr>
          <w:lang w:val="en-US"/>
        </w:rPr>
        <w:t xml:space="preserve">The representative of the </w:t>
      </w:r>
      <w:r w:rsidRPr="00367E1C">
        <w:rPr>
          <w:u w:val="single"/>
          <w:lang w:val="en-US"/>
        </w:rPr>
        <w:t>World Customs Organization (</w:t>
      </w:r>
      <w:r w:rsidRPr="00367E1C">
        <w:rPr>
          <w:szCs w:val="18"/>
          <w:u w:val="single"/>
        </w:rPr>
        <w:t>WCO)</w:t>
      </w:r>
      <w:r w:rsidRPr="00367E1C">
        <w:rPr>
          <w:szCs w:val="18"/>
        </w:rPr>
        <w:t xml:space="preserve"> explained that the</w:t>
      </w:r>
      <w:r w:rsidRPr="005B144C">
        <w:t xml:space="preserve"> WCO ha</w:t>
      </w:r>
      <w:r>
        <w:t>d</w:t>
      </w:r>
      <w:r w:rsidRPr="005B144C">
        <w:t xml:space="preserve"> launched a new theme for 2021</w:t>
      </w:r>
      <w:r>
        <w:t>, u</w:t>
      </w:r>
      <w:r w:rsidRPr="005B144C">
        <w:t xml:space="preserve">nder the slogan </w:t>
      </w:r>
      <w:r>
        <w:t>"</w:t>
      </w:r>
      <w:r w:rsidRPr="005B144C">
        <w:t>Customs bolstering Recovery, Renewal and Resilience for a sustainable supply chain</w:t>
      </w:r>
      <w:r>
        <w:t>"</w:t>
      </w:r>
      <w:r w:rsidRPr="005B144C">
        <w:t xml:space="preserve">, </w:t>
      </w:r>
      <w:r>
        <w:t xml:space="preserve">leading </w:t>
      </w:r>
      <w:r w:rsidRPr="005B144C">
        <w:t>the global Customs community to the sustainability of supply chains by enhancing collaboration with stakeholders, using innovative technology and focusing on resilience and preparedness.</w:t>
      </w:r>
      <w:r>
        <w:t xml:space="preserve"> </w:t>
      </w:r>
      <w:r w:rsidRPr="005B144C">
        <w:t xml:space="preserve">As a look back on the WCO theme for 2020, the recent publication </w:t>
      </w:r>
      <w:r>
        <w:t>"</w:t>
      </w:r>
      <w:r w:rsidRPr="005B144C">
        <w:t>Customs fostering sustainability for People, Prosperity and the Planet</w:t>
      </w:r>
      <w:r>
        <w:t>"</w:t>
      </w:r>
      <w:r w:rsidRPr="005B144C">
        <w:rPr>
          <w:vertAlign w:val="superscript"/>
        </w:rPr>
        <w:footnoteReference w:id="12"/>
      </w:r>
      <w:r w:rsidRPr="00367E1C">
        <w:rPr>
          <w:vertAlign w:val="superscript"/>
        </w:rPr>
        <w:t xml:space="preserve"> </w:t>
      </w:r>
      <w:r w:rsidRPr="005B144C">
        <w:t>present</w:t>
      </w:r>
      <w:r>
        <w:t>ed</w:t>
      </w:r>
      <w:r w:rsidRPr="005B144C">
        <w:t xml:space="preserve"> the related WCO tools and initiatives to reflect on Customs</w:t>
      </w:r>
      <w:r>
        <w:t>'</w:t>
      </w:r>
      <w:r w:rsidRPr="005B144C">
        <w:t xml:space="preserve"> role in ensuring an equitable transition towards a more inclusive, sustainable and greener supply chain. </w:t>
      </w:r>
    </w:p>
    <w:p w14:paraId="6E82B98B" w14:textId="04B1B4AF" w:rsidR="00515BE6" w:rsidRPr="005B144C" w:rsidRDefault="00515BE6" w:rsidP="00515BE6">
      <w:pPr>
        <w:pStyle w:val="BodyText"/>
        <w:rPr>
          <w:rFonts w:eastAsia="Times New Roman"/>
        </w:rPr>
      </w:pPr>
      <w:r w:rsidRPr="005B144C">
        <w:t>Since the last year, the Secretariat ha</w:t>
      </w:r>
      <w:r>
        <w:t>d</w:t>
      </w:r>
      <w:r w:rsidRPr="005B144C">
        <w:t xml:space="preserve"> been actively engaging in various activities to promote and raise awareness on how Customs </w:t>
      </w:r>
      <w:r>
        <w:t>could</w:t>
      </w:r>
      <w:r w:rsidRPr="005B144C">
        <w:t xml:space="preserve"> facilitate trade in transition towards a circular economy and Reverse Chain Logistics.</w:t>
      </w:r>
      <w:r w:rsidR="0035369C" w:rsidRPr="005B144C">
        <w:t xml:space="preserve"> </w:t>
      </w:r>
      <w:r w:rsidRPr="005B144C">
        <w:rPr>
          <w:rFonts w:eastAsia="Times New Roman"/>
        </w:rPr>
        <w:t xml:space="preserve">In terms of trade facilitation, the WCO instruments and tools already </w:t>
      </w:r>
      <w:r w:rsidRPr="001B4E42">
        <w:rPr>
          <w:rFonts w:eastAsia="Times New Roman"/>
        </w:rPr>
        <w:t>offered to trade opportunities for voluntary compliance and harmonized, simplified and rapid release</w:t>
      </w:r>
      <w:r w:rsidRPr="005B144C">
        <w:rPr>
          <w:rFonts w:eastAsia="Times New Roman"/>
        </w:rPr>
        <w:t xml:space="preserve"> procedures for compliant companies, subject to the provision of a minimum of information. However</w:t>
      </w:r>
      <w:r>
        <w:rPr>
          <w:rFonts w:eastAsia="Times New Roman"/>
        </w:rPr>
        <w:t>,</w:t>
      </w:r>
      <w:r w:rsidRPr="005B144C">
        <w:rPr>
          <w:rFonts w:eastAsia="Times New Roman"/>
        </w:rPr>
        <w:t xml:space="preserve"> the Circular Economy ha</w:t>
      </w:r>
      <w:r>
        <w:rPr>
          <w:rFonts w:eastAsia="Times New Roman"/>
        </w:rPr>
        <w:t>d</w:t>
      </w:r>
      <w:r w:rsidRPr="005B144C">
        <w:rPr>
          <w:rFonts w:eastAsia="Times New Roman"/>
        </w:rPr>
        <w:t xml:space="preserve"> specificities that need</w:t>
      </w:r>
      <w:r>
        <w:rPr>
          <w:rFonts w:eastAsia="Times New Roman"/>
        </w:rPr>
        <w:t>ed</w:t>
      </w:r>
      <w:r w:rsidRPr="005B144C">
        <w:rPr>
          <w:rFonts w:eastAsia="Times New Roman"/>
        </w:rPr>
        <w:t xml:space="preserve"> to be addressed and studied thoroughly, including the </w:t>
      </w:r>
      <w:r w:rsidRPr="005B144C">
        <w:t>identification issues and the balance between the facilitation and compliance perspectives</w:t>
      </w:r>
      <w:r w:rsidRPr="005B144C">
        <w:rPr>
          <w:rFonts w:eastAsia="Times New Roman"/>
        </w:rPr>
        <w:t xml:space="preserve">. </w:t>
      </w:r>
    </w:p>
    <w:p w14:paraId="2814FDF0" w14:textId="77777777" w:rsidR="00515BE6" w:rsidRPr="005B144C" w:rsidRDefault="00515BE6" w:rsidP="00515BE6">
      <w:pPr>
        <w:pStyle w:val="BodyText"/>
        <w:rPr>
          <w:rFonts w:eastAsia="Times New Roman"/>
        </w:rPr>
      </w:pPr>
      <w:r w:rsidRPr="005B144C">
        <w:rPr>
          <w:rFonts w:eastAsia="Times New Roman"/>
        </w:rPr>
        <w:t xml:space="preserve">In this respect, synergies with other international organizations </w:t>
      </w:r>
      <w:r>
        <w:rPr>
          <w:rFonts w:eastAsia="Times New Roman"/>
        </w:rPr>
        <w:t>we</w:t>
      </w:r>
      <w:r w:rsidRPr="005B144C">
        <w:rPr>
          <w:rFonts w:eastAsia="Times New Roman"/>
        </w:rPr>
        <w:t>re obviously vitally important to join efforts to tackle the complexity of the circular economy paradigm and transversally address its inherent challenges. In this framework, the panel discussion that the WCO organized during the 229</w:t>
      </w:r>
      <w:r w:rsidRPr="001B4E42">
        <w:rPr>
          <w:rFonts w:eastAsia="Times New Roman"/>
          <w:vertAlign w:val="superscript"/>
        </w:rPr>
        <w:t>th</w:t>
      </w:r>
      <w:r w:rsidRPr="005B144C">
        <w:rPr>
          <w:rFonts w:eastAsia="Times New Roman"/>
        </w:rPr>
        <w:t>/230</w:t>
      </w:r>
      <w:r w:rsidRPr="001B4E42">
        <w:rPr>
          <w:rFonts w:eastAsia="Times New Roman"/>
          <w:vertAlign w:val="superscript"/>
        </w:rPr>
        <w:t>th</w:t>
      </w:r>
      <w:r w:rsidRPr="005B144C">
        <w:rPr>
          <w:rFonts w:eastAsia="Times New Roman"/>
        </w:rPr>
        <w:t xml:space="preserve"> Session of the WCO Permanent Technical Committee had built up background for a study proposal on </w:t>
      </w:r>
      <w:r>
        <w:rPr>
          <w:rFonts w:eastAsia="Times New Roman"/>
        </w:rPr>
        <w:t>"</w:t>
      </w:r>
      <w:r w:rsidRPr="005B144C">
        <w:rPr>
          <w:rFonts w:eastAsia="Times New Roman"/>
        </w:rPr>
        <w:t>Customs in transition towards a circular economy</w:t>
      </w:r>
      <w:r>
        <w:rPr>
          <w:rFonts w:eastAsia="Times New Roman"/>
        </w:rPr>
        <w:t>"</w:t>
      </w:r>
      <w:r w:rsidRPr="005B144C">
        <w:rPr>
          <w:rFonts w:eastAsia="Times New Roman"/>
        </w:rPr>
        <w:t xml:space="preserve">. The WCO Secretariat </w:t>
      </w:r>
      <w:r>
        <w:rPr>
          <w:rFonts w:eastAsia="Times New Roman"/>
        </w:rPr>
        <w:t>was</w:t>
      </w:r>
      <w:r w:rsidRPr="005B144C">
        <w:rPr>
          <w:rFonts w:eastAsia="Times New Roman"/>
        </w:rPr>
        <w:t xml:space="preserve"> currently working on a business case to evaluate the possibilities to proceed on this, including evaluating the opportunities to coordinate with interested organizations, especially the WTO.</w:t>
      </w:r>
    </w:p>
    <w:p w14:paraId="485E9E27" w14:textId="24137A07" w:rsidR="00515BE6" w:rsidRPr="005B144C" w:rsidRDefault="00515BE6" w:rsidP="00515BE6">
      <w:pPr>
        <w:pStyle w:val="BodyText"/>
        <w:rPr>
          <w:rFonts w:eastAsia="Times New Roman"/>
        </w:rPr>
      </w:pPr>
      <w:r w:rsidRPr="005B144C">
        <w:rPr>
          <w:rFonts w:eastAsia="Times New Roman"/>
        </w:rPr>
        <w:lastRenderedPageBreak/>
        <w:t xml:space="preserve">In this direction, </w:t>
      </w:r>
      <w:r>
        <w:rPr>
          <w:rFonts w:eastAsia="Times New Roman"/>
        </w:rPr>
        <w:t>the WCO</w:t>
      </w:r>
      <w:r w:rsidRPr="005B144C">
        <w:rPr>
          <w:rFonts w:eastAsia="Times New Roman"/>
        </w:rPr>
        <w:t xml:space="preserve"> provide</w:t>
      </w:r>
      <w:r>
        <w:rPr>
          <w:rFonts w:eastAsia="Times New Roman"/>
        </w:rPr>
        <w:t>d</w:t>
      </w:r>
      <w:r w:rsidRPr="005B144C">
        <w:rPr>
          <w:rFonts w:eastAsia="Times New Roman"/>
        </w:rPr>
        <w:t xml:space="preserve"> updates on the WCO</w:t>
      </w:r>
      <w:r>
        <w:rPr>
          <w:rFonts w:eastAsia="Times New Roman"/>
        </w:rPr>
        <w:t>'</w:t>
      </w:r>
      <w:r w:rsidRPr="005B144C">
        <w:rPr>
          <w:rFonts w:eastAsia="Times New Roman"/>
        </w:rPr>
        <w:t>s Asia</w:t>
      </w:r>
      <w:r w:rsidR="009F1F9A">
        <w:rPr>
          <w:rFonts w:eastAsia="Times New Roman"/>
        </w:rPr>
        <w:t>-</w:t>
      </w:r>
      <w:r w:rsidRPr="005B144C">
        <w:rPr>
          <w:rFonts w:eastAsia="Times New Roman"/>
        </w:rPr>
        <w:t xml:space="preserve">Pacific Plastic Waste Border Management Project which </w:t>
      </w:r>
      <w:r>
        <w:rPr>
          <w:rFonts w:eastAsia="Times New Roman"/>
        </w:rPr>
        <w:t>was</w:t>
      </w:r>
      <w:r w:rsidRPr="005B144C">
        <w:rPr>
          <w:rFonts w:eastAsia="Times New Roman"/>
        </w:rPr>
        <w:t xml:space="preserve"> in progress under the auspices of the WCO Environmental Programme (EP). The Project aim</w:t>
      </w:r>
      <w:r>
        <w:rPr>
          <w:rFonts w:eastAsia="Times New Roman"/>
        </w:rPr>
        <w:t>ed</w:t>
      </w:r>
      <w:r w:rsidRPr="005B144C">
        <w:rPr>
          <w:rFonts w:eastAsia="Times New Roman"/>
        </w:rPr>
        <w:t xml:space="preserve"> to strengthen the capacity of </w:t>
      </w:r>
      <w:r>
        <w:rPr>
          <w:rFonts w:eastAsia="Times New Roman"/>
        </w:rPr>
        <w:t>c</w:t>
      </w:r>
      <w:r w:rsidRPr="005B144C">
        <w:rPr>
          <w:rFonts w:eastAsia="Times New Roman"/>
        </w:rPr>
        <w:t xml:space="preserve">ustoms administrations to mitigate and appropriately respond to environmental threats in the Asia/Pacific region, with a special focus on the implementation of the </w:t>
      </w:r>
      <w:r w:rsidRPr="003E5FC6">
        <w:rPr>
          <w:rFonts w:eastAsia="Times New Roman"/>
        </w:rPr>
        <w:t>Basel Convention.</w:t>
      </w:r>
      <w:r w:rsidRPr="005B144C">
        <w:rPr>
          <w:rFonts w:eastAsia="Times New Roman"/>
        </w:rPr>
        <w:t xml:space="preserve"> In the next phase, the Project </w:t>
      </w:r>
      <w:r>
        <w:rPr>
          <w:rFonts w:eastAsia="Times New Roman"/>
        </w:rPr>
        <w:t>would</w:t>
      </w:r>
      <w:r w:rsidRPr="005B144C">
        <w:rPr>
          <w:rFonts w:eastAsia="Times New Roman"/>
        </w:rPr>
        <w:t xml:space="preserve"> organize a regional Conference to present a possible strategic framework to enhance </w:t>
      </w:r>
      <w:r>
        <w:rPr>
          <w:rFonts w:eastAsia="Times New Roman"/>
        </w:rPr>
        <w:t>c</w:t>
      </w:r>
      <w:r w:rsidRPr="005B144C">
        <w:rPr>
          <w:rFonts w:eastAsia="Times New Roman"/>
        </w:rPr>
        <w:t>ustoms control capacity on the transboundary movement of plastic waste.</w:t>
      </w:r>
      <w:r>
        <w:rPr>
          <w:rFonts w:eastAsia="Times New Roman"/>
        </w:rPr>
        <w:t xml:space="preserve"> </w:t>
      </w:r>
    </w:p>
    <w:p w14:paraId="70E62052" w14:textId="77777777" w:rsidR="00515BE6" w:rsidRPr="00B77B28" w:rsidRDefault="00515BE6" w:rsidP="00515BE6">
      <w:pPr>
        <w:pStyle w:val="BodyText"/>
        <w:rPr>
          <w:rFonts w:eastAsia="Times New Roman"/>
        </w:rPr>
      </w:pPr>
      <w:r w:rsidRPr="00B77B28">
        <w:rPr>
          <w:rFonts w:eastAsia="Times New Roman"/>
        </w:rPr>
        <w:t>Moreover, in 2020 the WCO Environment Programme (EP) bec</w:t>
      </w:r>
      <w:r>
        <w:rPr>
          <w:rFonts w:eastAsia="Times New Roman"/>
        </w:rPr>
        <w:t>a</w:t>
      </w:r>
      <w:r w:rsidRPr="00B77B28">
        <w:rPr>
          <w:rFonts w:eastAsia="Times New Roman"/>
        </w:rPr>
        <w:t xml:space="preserve">me a member of the Basel Convention Environmental Network for Optimizing Regulatory Compliance on Illegal Traffic (ENFORCE). In this framework and provided funding </w:t>
      </w:r>
      <w:r>
        <w:rPr>
          <w:rFonts w:eastAsia="Times New Roman"/>
        </w:rPr>
        <w:t>was</w:t>
      </w:r>
      <w:r w:rsidRPr="00B77B28">
        <w:rPr>
          <w:rFonts w:eastAsia="Times New Roman"/>
        </w:rPr>
        <w:t xml:space="preserve"> secured, various initiatives </w:t>
      </w:r>
      <w:r>
        <w:rPr>
          <w:rFonts w:eastAsia="Times New Roman"/>
        </w:rPr>
        <w:t>would</w:t>
      </w:r>
      <w:r w:rsidRPr="00B77B28">
        <w:rPr>
          <w:rFonts w:eastAsia="Times New Roman"/>
        </w:rPr>
        <w:t xml:space="preserve"> be implemented in cooperation with other ENFORCE partners, including technical and enforcement capacity building and training, as well as the planning and execution of and small-scale enforcement operations. </w:t>
      </w:r>
    </w:p>
    <w:p w14:paraId="4772E80B" w14:textId="4B641071" w:rsidR="00515BE6" w:rsidRPr="005B144C" w:rsidRDefault="00515BE6" w:rsidP="00515BE6">
      <w:pPr>
        <w:pStyle w:val="BodyText"/>
      </w:pPr>
      <w:r w:rsidRPr="00B77B28">
        <w:rPr>
          <w:rFonts w:eastAsia="Times New Roman"/>
        </w:rPr>
        <w:t>The WCO EP</w:t>
      </w:r>
      <w:r w:rsidRPr="00955503">
        <w:rPr>
          <w:rFonts w:eastAsia="Times New Roman"/>
        </w:rPr>
        <w:t xml:space="preserve"> </w:t>
      </w:r>
      <w:r w:rsidRPr="00B77B28">
        <w:rPr>
          <w:rFonts w:eastAsia="Times New Roman"/>
        </w:rPr>
        <w:t xml:space="preserve">was also leading the efforts of the Basel Convention Plastic Waste Partnership (PWP) sub-group preparing a plastic waste enforcement guide. </w:t>
      </w:r>
      <w:r w:rsidRPr="005B144C">
        <w:t xml:space="preserve">The efforts by the WCO and its partners to address environmental risks </w:t>
      </w:r>
      <w:r>
        <w:t>would</w:t>
      </w:r>
      <w:r w:rsidRPr="005B144C">
        <w:t xml:space="preserve"> continue to intensify, with more enforcement initiatives planned for the future, including the WCO's flagship enforcement operation (Operation DEMETER) reaching its VII edition in 2021.</w:t>
      </w:r>
      <w:r>
        <w:t xml:space="preserve"> WCO</w:t>
      </w:r>
      <w:r w:rsidRPr="005B144C">
        <w:t xml:space="preserve"> believe</w:t>
      </w:r>
      <w:r>
        <w:t>d</w:t>
      </w:r>
      <w:r w:rsidRPr="005B144C">
        <w:t xml:space="preserve"> that awareness raising </w:t>
      </w:r>
      <w:r>
        <w:t>was</w:t>
      </w:r>
      <w:r w:rsidRPr="005B144C">
        <w:t xml:space="preserve"> of outmost importance to enable cross</w:t>
      </w:r>
      <w:r w:rsidR="009F1F9A">
        <w:t>-</w:t>
      </w:r>
      <w:r w:rsidRPr="005B144C">
        <w:t>border and multi-stakeholder cooperation, streamline regulatory requirements, foster the efficiency of the transboundary movements of environmental goods and facilitate legal trade.</w:t>
      </w:r>
      <w:r>
        <w:t xml:space="preserve"> </w:t>
      </w:r>
      <w:r w:rsidRPr="005B144C">
        <w:t>Additionally, as pointed out in the occasion of the recent meeting of the Trade and Environmental Sustainability Structured Discussion, evidence-based policy making might be another key aspect to progress in this domain. Having data and analysis on costs and benefits of the transition towards circular economy, including regulatory costs, would be an asset for decision</w:t>
      </w:r>
      <w:r w:rsidR="009F1F9A">
        <w:noBreakHyphen/>
      </w:r>
      <w:r w:rsidRPr="005B144C">
        <w:t>making in all the relevant arenas.</w:t>
      </w:r>
    </w:p>
    <w:p w14:paraId="58C7B9DC" w14:textId="77777777" w:rsidR="000E3FDA" w:rsidRDefault="000E3FDA" w:rsidP="000E3FDA">
      <w:pPr>
        <w:pStyle w:val="Heading3"/>
        <w:rPr>
          <w:lang w:eastAsia="en-GB"/>
        </w:rPr>
      </w:pPr>
      <w:bookmarkStart w:id="62" w:name="_Toc74660687"/>
      <w:r>
        <w:rPr>
          <w:lang w:eastAsia="en-GB"/>
        </w:rPr>
        <w:t>United Nations Conference on Trade and Development (UNCTAD)</w:t>
      </w:r>
      <w:bookmarkEnd w:id="62"/>
    </w:p>
    <w:p w14:paraId="77FDAFB7" w14:textId="04CFCE23" w:rsidR="000E3FDA" w:rsidRPr="000E3FDA" w:rsidRDefault="000E3FDA" w:rsidP="00BC1A49">
      <w:pPr>
        <w:pStyle w:val="BodyText"/>
        <w:rPr>
          <w:lang w:val="en-US"/>
        </w:rPr>
      </w:pPr>
      <w:r w:rsidRPr="000E3FDA">
        <w:rPr>
          <w:szCs w:val="18"/>
        </w:rPr>
        <w:t xml:space="preserve">The representative of the </w:t>
      </w:r>
      <w:r w:rsidRPr="000E3FDA">
        <w:rPr>
          <w:szCs w:val="18"/>
          <w:u w:val="single"/>
        </w:rPr>
        <w:t>United Nations Conference on Trade and Development (UNCTAD)</w:t>
      </w:r>
      <w:r w:rsidRPr="000E3FDA">
        <w:rPr>
          <w:szCs w:val="18"/>
        </w:rPr>
        <w:t xml:space="preserve"> </w:t>
      </w:r>
      <w:r w:rsidRPr="000E3FDA">
        <w:rPr>
          <w:lang w:val="en-US"/>
        </w:rPr>
        <w:t xml:space="preserve">drew attention to UNCTAD's activities relating to climate change, oceans economy, circular economy and BioTrade. The recently published 2021 edition of the Trade and Environment Review examined the physical impacts of </w:t>
      </w:r>
      <w:r w:rsidRPr="000E3FDA">
        <w:rPr>
          <w:szCs w:val="18"/>
        </w:rPr>
        <w:t>climate</w:t>
      </w:r>
      <w:r w:rsidRPr="000E3FDA">
        <w:rPr>
          <w:lang w:val="en-US"/>
        </w:rPr>
        <w:t xml:space="preserve"> change and their effects on developing country economies and trade; the vulnerabilities of developing countries to climate change; costs and finance for climate change adaptation; and, finally, ways that developing countries could enhance their trade-climate readiness, i.e. enhance the resilience of their trade to climate change through adaptation actions and economic diversification.</w:t>
      </w:r>
    </w:p>
    <w:p w14:paraId="5A4AF38B" w14:textId="3F03FCF3" w:rsidR="000E3FDA" w:rsidRDefault="000E3FDA" w:rsidP="000E3FDA">
      <w:pPr>
        <w:pStyle w:val="BodyText"/>
        <w:rPr>
          <w:lang w:val="en-US"/>
        </w:rPr>
      </w:pPr>
      <w:r>
        <w:rPr>
          <w:lang w:val="en-US"/>
        </w:rPr>
        <w:t>So far, most initiatives for attaining Sustainable Development Goal 14 (Life Below Water) had focused on the sustainability of ocean eco</w:t>
      </w:r>
      <w:r w:rsidR="00025E1C">
        <w:rPr>
          <w:lang w:val="en-US"/>
        </w:rPr>
        <w:t>systems</w:t>
      </w:r>
      <w:r>
        <w:rPr>
          <w:lang w:val="en-US"/>
        </w:rPr>
        <w:t xml:space="preserve"> and ocean management. Limited work had been done to identify oceans-based trade sectors, trade volumes and value. Recently, UNCTAD had published a first ever oceans economy classification. The classification featured three categories: goods, services and energy. Each category was divided into chapters and 52 sub</w:t>
      </w:r>
      <w:r>
        <w:rPr>
          <w:lang w:val="en-US"/>
        </w:rPr>
        <w:noBreakHyphen/>
        <w:t>sectors, making use of the Harmonized Commodity Description and Coding System (HS), the WTO Services Sectoral Classification List (W/120), and the UN Central Product Classification (CPC). The classification could be used at the national, regional and international level for designing trade strategies and policies specific to ocean economy.</w:t>
      </w:r>
    </w:p>
    <w:p w14:paraId="086E0ED0" w14:textId="77777777" w:rsidR="000E3FDA" w:rsidRDefault="000E3FDA" w:rsidP="000E3FDA">
      <w:pPr>
        <w:pStyle w:val="BodyText"/>
        <w:rPr>
          <w:lang w:val="en-US"/>
        </w:rPr>
      </w:pPr>
      <w:r>
        <w:rPr>
          <w:lang w:val="en-US"/>
        </w:rPr>
        <w:t>UNCTAD's ongoing work on plastic pollution and related trade flows had yielded several insights that could inform policymaking. Somewhat counterintuitively, scrap plastics could occasionally stream from developing to developed countries. Improving sustainable materials management required strengthening global and regional recycling and upcycling infrastructure. In this regard, attention should be given to key countries acting as global and regional hubs for trade in plastic scrap. Also, it was important to work on frameworks that were flexible enough to include secondary materials, other than plastics, that were important for a cross-border circular economy.</w:t>
      </w:r>
    </w:p>
    <w:p w14:paraId="013B09F3" w14:textId="77777777" w:rsidR="000E3FDA" w:rsidRDefault="000E3FDA" w:rsidP="000E3FDA">
      <w:pPr>
        <w:pStyle w:val="BodyText"/>
        <w:rPr>
          <w:lang w:val="en-US"/>
        </w:rPr>
      </w:pPr>
      <w:r>
        <w:rPr>
          <w:lang w:val="en-US"/>
        </w:rPr>
        <w:t xml:space="preserve">As part of the Sustainable Manufacturing and Environmental Pollution (SMEP) programme, supported by the Foreign, Commonwealth and Development Office (FCDO) of the United Kingdom, UNCTAD was working with the Graduate Institute of International Studies on a study of alternatives to single-use plastics, focusing on Sub-Saharan Africa and South Asia. The study would propose </w:t>
      </w:r>
      <w:r>
        <w:rPr>
          <w:lang w:val="en-US"/>
        </w:rPr>
        <w:lastRenderedPageBreak/>
        <w:t>options for plastic substitution and serve as a basis for research calls for further work on plastic pollution mitigation, expected for late 2021 under the SMEP Programme. It would also provide technical assistance opportunities for countries in Sub-Saharan Africa and South Asia.</w:t>
      </w:r>
    </w:p>
    <w:p w14:paraId="50F94E39" w14:textId="77777777" w:rsidR="000E3FDA" w:rsidRDefault="000E3FDA" w:rsidP="000E3FDA">
      <w:pPr>
        <w:pStyle w:val="BodyText"/>
        <w:rPr>
          <w:lang w:val="en-US"/>
        </w:rPr>
      </w:pPr>
      <w:r>
        <w:rPr>
          <w:lang w:val="en-US"/>
        </w:rPr>
        <w:t xml:space="preserve">In 2020, UNCTAD completed updating its BioTrade Principles and Criteria: a set of guidelines for the sustainable sourcing, transformation and commercialization of goods and services derived from biodiversity. Anchored on the three pillars of sustainability – economy, society and the environment – these principles guided governments, businesses and civil society in some 80 countries on the path towards sustainability. </w:t>
      </w:r>
      <w:r>
        <w:rPr>
          <w:color w:val="000000" w:themeColor="text1"/>
          <w:lang w:val="en-US"/>
        </w:rPr>
        <w:t>The updated version was aligned with key development processes, including the 2030 Agenda for Sustainable Development and multilateral environmental agreements. New elements included climate resilience, marine biodiversity, and sustainable tourism. The experiences, best practices and lessons learned by partners and practitioners since the first edition in 2007 had also been considered.</w:t>
      </w:r>
    </w:p>
    <w:p w14:paraId="073ABB3A" w14:textId="14F32E49" w:rsidR="000E3FDA" w:rsidRDefault="000E3FDA" w:rsidP="000E3FDA">
      <w:pPr>
        <w:pStyle w:val="BodyText"/>
        <w:rPr>
          <w:lang w:val="en-US"/>
        </w:rPr>
      </w:pPr>
      <w:r>
        <w:rPr>
          <w:lang w:val="en-US"/>
        </w:rPr>
        <w:t>UNCTAD was due to publish an analytical study on climate change, green recovery and trade. The study dwelt on trends towards carbon neutrality, green recovery packages, the rise of low</w:t>
      </w:r>
      <w:r>
        <w:rPr>
          <w:lang w:val="en-US"/>
        </w:rPr>
        <w:noBreakHyphen/>
        <w:t>contact economy, resource security in supply chains and the role of trade in creating new markets and improving access to climate positive goods, services and technologies. These issues were being considered against the evolving economic and political background, particularly with respect to the questions of climate finance, subsidies and border carbon adjustments.</w:t>
      </w:r>
    </w:p>
    <w:p w14:paraId="748085CF" w14:textId="77777777" w:rsidR="001B4E42" w:rsidRPr="00EF0D6E" w:rsidRDefault="001B4E42" w:rsidP="001B4E42">
      <w:pPr>
        <w:pStyle w:val="Heading2"/>
      </w:pPr>
      <w:bookmarkStart w:id="63" w:name="_Toc33605208"/>
      <w:bookmarkStart w:id="64" w:name="_Toc34995355"/>
      <w:bookmarkStart w:id="65" w:name="_Toc74660688"/>
      <w:r w:rsidRPr="00EF0D6E">
        <w:t>Other matters</w:t>
      </w:r>
      <w:bookmarkEnd w:id="63"/>
      <w:bookmarkEnd w:id="64"/>
      <w:bookmarkEnd w:id="65"/>
    </w:p>
    <w:p w14:paraId="0D5FF506" w14:textId="59F47096" w:rsidR="001B4E42" w:rsidRPr="00EF0D6E" w:rsidRDefault="001B4E42" w:rsidP="008C7C65">
      <w:pPr>
        <w:pStyle w:val="BodyText"/>
        <w:rPr>
          <w:lang w:val="en-US"/>
        </w:rPr>
      </w:pPr>
      <w:r w:rsidRPr="00EF0D6E">
        <w:t xml:space="preserve">The </w:t>
      </w:r>
      <w:r w:rsidRPr="00EF0D6E">
        <w:rPr>
          <w:u w:val="single"/>
        </w:rPr>
        <w:t>Chairperson</w:t>
      </w:r>
      <w:r w:rsidRPr="00EF0D6E">
        <w:t xml:space="preserve"> of the CTE informed Members that the next meeting of the CTE was scheduled for </w:t>
      </w:r>
      <w:r w:rsidRPr="00EF0D6E">
        <w:rPr>
          <w:lang w:val="en-US"/>
        </w:rPr>
        <w:t>23-24 June</w:t>
      </w:r>
      <w:r w:rsidRPr="00EF0D6E">
        <w:t xml:space="preserve"> 2021. </w:t>
      </w:r>
      <w:r w:rsidRPr="00EF0D6E">
        <w:rPr>
          <w:lang w:val="en-US"/>
        </w:rPr>
        <w:t>As this was his last meeting as Chair</w:t>
      </w:r>
      <w:r w:rsidR="005A0F2F" w:rsidRPr="00EF0D6E">
        <w:rPr>
          <w:lang w:val="en-US"/>
        </w:rPr>
        <w:t xml:space="preserve"> of the CTE</w:t>
      </w:r>
      <w:r w:rsidRPr="00EF0D6E">
        <w:rPr>
          <w:lang w:val="en-US"/>
        </w:rPr>
        <w:t xml:space="preserve">, he noted that the Committee had gone through a special year and despite challenges never faced before, he was pleased to have witnessed such an unprecedented engagement from delegations on a number of pressing trade and environment issues. He was of the view that </w:t>
      </w:r>
      <w:r w:rsidR="005A0F2F" w:rsidRPr="00EF0D6E">
        <w:rPr>
          <w:lang w:val="en-US"/>
        </w:rPr>
        <w:t xml:space="preserve">the </w:t>
      </w:r>
      <w:r w:rsidRPr="00EF0D6E">
        <w:rPr>
          <w:lang w:val="en-US"/>
        </w:rPr>
        <w:t xml:space="preserve">Committee should have a feeling of achievement as tremendous progress had been made in just a few months. Following on the significant work that had started before his tenure as chair, he believed the CTE was today back to its role of origin. It was now fully </w:t>
      </w:r>
      <w:r w:rsidR="0035369C" w:rsidRPr="00EF0D6E">
        <w:rPr>
          <w:lang w:val="en-US"/>
        </w:rPr>
        <w:t>recogni</w:t>
      </w:r>
      <w:r w:rsidR="0035369C">
        <w:rPr>
          <w:lang w:val="en-US"/>
        </w:rPr>
        <w:t>z</w:t>
      </w:r>
      <w:r w:rsidR="0035369C" w:rsidRPr="00EF0D6E">
        <w:rPr>
          <w:lang w:val="en-US"/>
        </w:rPr>
        <w:t>ed</w:t>
      </w:r>
      <w:r w:rsidRPr="00EF0D6E">
        <w:rPr>
          <w:lang w:val="en-US"/>
        </w:rPr>
        <w:t xml:space="preserve"> worldwide as the one and only relevant forum to discuss issues at the juncture of international trade and environment. He was confident that constructive discussions would continue and intensify even more and hoped that this would provide the necessary impetus to the preparations for MC12 and for the achievement of meaningful results.</w:t>
      </w:r>
      <w:r w:rsidR="008C7C65" w:rsidRPr="00EF0D6E">
        <w:rPr>
          <w:lang w:val="en-US"/>
        </w:rPr>
        <w:t xml:space="preserve"> Finally, the Chairperson welcomed the incoming Chairperson, </w:t>
      </w:r>
      <w:r w:rsidRPr="00EF0D6E">
        <w:rPr>
          <w:lang w:val="en-US"/>
        </w:rPr>
        <w:t>H</w:t>
      </w:r>
      <w:r w:rsidR="008C7C65" w:rsidRPr="00EF0D6E">
        <w:rPr>
          <w:lang w:val="en-US"/>
        </w:rPr>
        <w:t>.</w:t>
      </w:r>
      <w:r w:rsidRPr="00EF0D6E">
        <w:rPr>
          <w:lang w:val="en-US"/>
        </w:rPr>
        <w:t>E</w:t>
      </w:r>
      <w:r w:rsidR="008C7C65" w:rsidRPr="00EF0D6E">
        <w:rPr>
          <w:lang w:val="en-US"/>
        </w:rPr>
        <w:t>.</w:t>
      </w:r>
      <w:r w:rsidRPr="00EF0D6E">
        <w:rPr>
          <w:lang w:val="en-US"/>
        </w:rPr>
        <w:t xml:space="preserve"> Manuel A.J. Teehankee (Philippines)</w:t>
      </w:r>
      <w:r w:rsidR="008C7C65" w:rsidRPr="00EF0D6E">
        <w:rPr>
          <w:lang w:val="en-US"/>
        </w:rPr>
        <w:t xml:space="preserve"> and wished him</w:t>
      </w:r>
      <w:r w:rsidRPr="00EF0D6E">
        <w:rPr>
          <w:lang w:val="en-US"/>
        </w:rPr>
        <w:t xml:space="preserve"> all the very best of luck for what </w:t>
      </w:r>
      <w:r w:rsidR="008C7C65" w:rsidRPr="00EF0D6E">
        <w:rPr>
          <w:lang w:val="en-US"/>
        </w:rPr>
        <w:t>would</w:t>
      </w:r>
      <w:r w:rsidRPr="00EF0D6E">
        <w:rPr>
          <w:lang w:val="en-US"/>
        </w:rPr>
        <w:t xml:space="preserve"> most certainly be a key year on trade and environment issues.</w:t>
      </w:r>
      <w:r w:rsidR="005A0F2F" w:rsidRPr="00EF0D6E">
        <w:rPr>
          <w:lang w:val="en-US"/>
        </w:rPr>
        <w:t xml:space="preserve"> </w:t>
      </w:r>
    </w:p>
    <w:p w14:paraId="233F2B0B" w14:textId="791B982D" w:rsidR="001B4E42" w:rsidRPr="00EF0D6E" w:rsidRDefault="008C7C65" w:rsidP="008C7C65">
      <w:pPr>
        <w:pStyle w:val="BodyText"/>
        <w:rPr>
          <w:lang w:val="en-US"/>
        </w:rPr>
      </w:pPr>
      <w:r w:rsidRPr="00EF0D6E">
        <w:rPr>
          <w:lang w:val="en-US"/>
        </w:rPr>
        <w:t xml:space="preserve">The </w:t>
      </w:r>
      <w:r w:rsidRPr="00EF0D6E">
        <w:rPr>
          <w:u w:val="single"/>
          <w:lang w:val="en-US"/>
        </w:rPr>
        <w:t>incoming Chairperson</w:t>
      </w:r>
      <w:r w:rsidRPr="00EF0D6E">
        <w:rPr>
          <w:lang w:val="en-US"/>
        </w:rPr>
        <w:t xml:space="preserve"> </w:t>
      </w:r>
      <w:r w:rsidR="001B4E42" w:rsidRPr="00EF0D6E">
        <w:rPr>
          <w:lang w:val="en-US"/>
        </w:rPr>
        <w:t>thank</w:t>
      </w:r>
      <w:r w:rsidRPr="00EF0D6E">
        <w:rPr>
          <w:lang w:val="en-US"/>
        </w:rPr>
        <w:t>ed</w:t>
      </w:r>
      <w:r w:rsidR="001B4E42" w:rsidRPr="00EF0D6E">
        <w:rPr>
          <w:lang w:val="en-US"/>
        </w:rPr>
        <w:t xml:space="preserve"> delegations for their support and trust </w:t>
      </w:r>
      <w:r w:rsidRPr="00EF0D6E">
        <w:rPr>
          <w:lang w:val="en-US"/>
        </w:rPr>
        <w:t>and</w:t>
      </w:r>
      <w:r w:rsidR="001B4E42" w:rsidRPr="00EF0D6E">
        <w:rPr>
          <w:lang w:val="en-US"/>
        </w:rPr>
        <w:t xml:space="preserve"> look</w:t>
      </w:r>
      <w:r w:rsidRPr="00EF0D6E">
        <w:rPr>
          <w:lang w:val="en-US"/>
        </w:rPr>
        <w:t>ed</w:t>
      </w:r>
      <w:r w:rsidR="001B4E42" w:rsidRPr="00EF0D6E">
        <w:rPr>
          <w:lang w:val="en-US"/>
        </w:rPr>
        <w:t xml:space="preserve"> forward to </w:t>
      </w:r>
      <w:r w:rsidR="00EF0D6E" w:rsidRPr="00EF0D6E">
        <w:rPr>
          <w:lang w:val="en-US"/>
        </w:rPr>
        <w:t>output-oriented</w:t>
      </w:r>
      <w:r w:rsidR="001B4E42" w:rsidRPr="00EF0D6E">
        <w:rPr>
          <w:lang w:val="en-US"/>
        </w:rPr>
        <w:t xml:space="preserve"> and constructive discussions in the committee this year</w:t>
      </w:r>
      <w:r w:rsidR="00EF0D6E" w:rsidRPr="00EF0D6E">
        <w:rPr>
          <w:lang w:val="en-US"/>
        </w:rPr>
        <w:t>, building on the progress made by my predecessor</w:t>
      </w:r>
      <w:r w:rsidR="001B4E42" w:rsidRPr="00EF0D6E">
        <w:rPr>
          <w:lang w:val="en-US"/>
        </w:rPr>
        <w:t>.</w:t>
      </w:r>
      <w:r w:rsidRPr="00EF0D6E">
        <w:rPr>
          <w:lang w:val="en-US"/>
        </w:rPr>
        <w:t xml:space="preserve"> He </w:t>
      </w:r>
      <w:r w:rsidR="001B4E42" w:rsidRPr="00EF0D6E">
        <w:rPr>
          <w:lang w:val="en-US"/>
        </w:rPr>
        <w:t xml:space="preserve">also </w:t>
      </w:r>
      <w:r w:rsidR="00EF0D6E" w:rsidRPr="00EF0D6E">
        <w:rPr>
          <w:lang w:val="en-US"/>
        </w:rPr>
        <w:t>congratulated</w:t>
      </w:r>
      <w:r w:rsidR="001B4E42" w:rsidRPr="00EF0D6E">
        <w:rPr>
          <w:lang w:val="en-US"/>
        </w:rPr>
        <w:t xml:space="preserve"> Ambassador Chad Blackman on successfully completing </w:t>
      </w:r>
      <w:r w:rsidR="00EF0D6E" w:rsidRPr="00EF0D6E">
        <w:rPr>
          <w:lang w:val="en-US"/>
        </w:rPr>
        <w:t xml:space="preserve">a very active year </w:t>
      </w:r>
      <w:r w:rsidR="001B4E42" w:rsidRPr="00EF0D6E">
        <w:rPr>
          <w:lang w:val="en-US"/>
        </w:rPr>
        <w:t>as Chair of the CTE. A lot ha</w:t>
      </w:r>
      <w:r w:rsidRPr="00EF0D6E">
        <w:rPr>
          <w:lang w:val="en-US"/>
        </w:rPr>
        <w:t>d</w:t>
      </w:r>
      <w:r w:rsidR="001B4E42" w:rsidRPr="00EF0D6E">
        <w:rPr>
          <w:lang w:val="en-US"/>
        </w:rPr>
        <w:t xml:space="preserve"> been achieved under his chairmanship. </w:t>
      </w:r>
      <w:r w:rsidRPr="00EF0D6E">
        <w:rPr>
          <w:lang w:val="en-US"/>
        </w:rPr>
        <w:t>T</w:t>
      </w:r>
      <w:r w:rsidR="001B4E42" w:rsidRPr="00EF0D6E">
        <w:rPr>
          <w:lang w:val="en-US"/>
        </w:rPr>
        <w:t xml:space="preserve">he active participation of Members in this committee </w:t>
      </w:r>
      <w:r w:rsidRPr="00EF0D6E">
        <w:rPr>
          <w:lang w:val="en-US"/>
        </w:rPr>
        <w:t>was</w:t>
      </w:r>
      <w:r w:rsidR="001B4E42" w:rsidRPr="00EF0D6E">
        <w:rPr>
          <w:lang w:val="en-US"/>
        </w:rPr>
        <w:t xml:space="preserve"> very encouraging. Also, major progress ha</w:t>
      </w:r>
      <w:r w:rsidRPr="00EF0D6E">
        <w:rPr>
          <w:lang w:val="en-US"/>
        </w:rPr>
        <w:t>d</w:t>
      </w:r>
      <w:r w:rsidR="001B4E42" w:rsidRPr="00EF0D6E">
        <w:rPr>
          <w:lang w:val="en-US"/>
        </w:rPr>
        <w:t xml:space="preserve"> been achieved on several trade and environment topics and </w:t>
      </w:r>
      <w:r w:rsidRPr="00EF0D6E">
        <w:rPr>
          <w:lang w:val="en-US"/>
        </w:rPr>
        <w:t>he</w:t>
      </w:r>
      <w:r w:rsidR="001B4E42" w:rsidRPr="00EF0D6E">
        <w:rPr>
          <w:lang w:val="en-US"/>
        </w:rPr>
        <w:t xml:space="preserve"> hope</w:t>
      </w:r>
      <w:r w:rsidRPr="00EF0D6E">
        <w:rPr>
          <w:lang w:val="en-US"/>
        </w:rPr>
        <w:t>d</w:t>
      </w:r>
      <w:r w:rsidR="001B4E42" w:rsidRPr="00EF0D6E">
        <w:rPr>
          <w:lang w:val="en-US"/>
        </w:rPr>
        <w:t xml:space="preserve"> </w:t>
      </w:r>
      <w:r w:rsidRPr="00EF0D6E">
        <w:rPr>
          <w:lang w:val="en-US"/>
        </w:rPr>
        <w:t>that</w:t>
      </w:r>
      <w:r w:rsidR="001B4E42" w:rsidRPr="00EF0D6E">
        <w:rPr>
          <w:lang w:val="en-US"/>
        </w:rPr>
        <w:t xml:space="preserve"> together </w:t>
      </w:r>
      <w:r w:rsidRPr="00EF0D6E">
        <w:rPr>
          <w:lang w:val="en-US"/>
        </w:rPr>
        <w:t xml:space="preserve">the good work could </w:t>
      </w:r>
      <w:r w:rsidR="001B4E42" w:rsidRPr="00EF0D6E">
        <w:rPr>
          <w:lang w:val="en-US"/>
        </w:rPr>
        <w:t>continue</w:t>
      </w:r>
      <w:r w:rsidRPr="00EF0D6E">
        <w:rPr>
          <w:lang w:val="en-US"/>
        </w:rPr>
        <w:t>. He</w:t>
      </w:r>
      <w:r w:rsidR="001B4E42" w:rsidRPr="00EF0D6E">
        <w:rPr>
          <w:lang w:val="en-US"/>
        </w:rPr>
        <w:t xml:space="preserve"> look</w:t>
      </w:r>
      <w:r w:rsidRPr="00EF0D6E">
        <w:rPr>
          <w:lang w:val="en-US"/>
        </w:rPr>
        <w:t>ed</w:t>
      </w:r>
      <w:r w:rsidR="001B4E42" w:rsidRPr="00EF0D6E">
        <w:rPr>
          <w:lang w:val="en-US"/>
        </w:rPr>
        <w:t xml:space="preserve"> forward to active and fruitful discussions with all delegations in the year ahead. With the Secretariat, </w:t>
      </w:r>
      <w:r w:rsidRPr="00EF0D6E">
        <w:rPr>
          <w:lang w:val="en-US"/>
        </w:rPr>
        <w:t>he would</w:t>
      </w:r>
      <w:r w:rsidR="001B4E42" w:rsidRPr="00EF0D6E">
        <w:rPr>
          <w:lang w:val="en-US"/>
        </w:rPr>
        <w:t xml:space="preserve"> reach out to </w:t>
      </w:r>
      <w:r w:rsidRPr="00EF0D6E">
        <w:rPr>
          <w:lang w:val="en-US"/>
        </w:rPr>
        <w:t>delegations</w:t>
      </w:r>
      <w:r w:rsidR="001B4E42" w:rsidRPr="00EF0D6E">
        <w:rPr>
          <w:lang w:val="en-US"/>
        </w:rPr>
        <w:t xml:space="preserve"> ahead of the next meeting of the CTE.</w:t>
      </w:r>
    </w:p>
    <w:p w14:paraId="7AF87FEC" w14:textId="77777777" w:rsidR="00E21F03" w:rsidRDefault="00E21F03" w:rsidP="00E21F03">
      <w:pPr>
        <w:jc w:val="center"/>
        <w:rPr>
          <w:b/>
        </w:rPr>
      </w:pPr>
      <w:r>
        <w:rPr>
          <w:b/>
        </w:rPr>
        <w:t>_______________</w:t>
      </w:r>
    </w:p>
    <w:p w14:paraId="2A507074" w14:textId="7BAA2707" w:rsidR="00E21F03" w:rsidRDefault="00E21F03" w:rsidP="00E21F03">
      <w:pPr>
        <w:pStyle w:val="Title"/>
      </w:pPr>
      <w:r>
        <w:rPr>
          <w:szCs w:val="18"/>
        </w:rPr>
        <w:br w:type="page"/>
      </w:r>
      <w:r w:rsidRPr="00D12610">
        <w:lastRenderedPageBreak/>
        <w:t>Annex 1:</w:t>
      </w:r>
      <w:r w:rsidR="0035369C" w:rsidRPr="00D12610">
        <w:t xml:space="preserve"> </w:t>
      </w:r>
      <w:r w:rsidRPr="00D12610">
        <w:t>Items of the CTE Work Programme</w:t>
      </w:r>
      <w:r>
        <w:t xml:space="preserve"> (CTE WP)</w:t>
      </w:r>
    </w:p>
    <w:p w14:paraId="6AF6E562" w14:textId="77777777" w:rsidR="00E21F03" w:rsidRPr="00D12610" w:rsidRDefault="00E21F03" w:rsidP="00E21F03"/>
    <w:p w14:paraId="1CCAD93D" w14:textId="77777777" w:rsidR="00E21F03" w:rsidRDefault="00E21F03" w:rsidP="00E21F03">
      <w:pPr>
        <w:spacing w:after="240"/>
        <w:ind w:left="1440" w:hanging="1440"/>
        <w:rPr>
          <w:szCs w:val="18"/>
        </w:rPr>
      </w:pPr>
      <w:r>
        <w:rPr>
          <w:szCs w:val="18"/>
        </w:rPr>
        <w:t>Item 1:</w:t>
      </w:r>
      <w:r>
        <w:rPr>
          <w:szCs w:val="18"/>
        </w:rPr>
        <w:tab/>
        <w:t>The relationship between the provisions of the multilateral trading system and trade measures for environmental purposes, including those pursuant to multilateral environmental agreements.</w:t>
      </w:r>
    </w:p>
    <w:p w14:paraId="2CFCBDB9" w14:textId="77777777" w:rsidR="00E21F03" w:rsidRDefault="00E21F03" w:rsidP="00E21F03">
      <w:pPr>
        <w:spacing w:after="240"/>
        <w:ind w:left="1440" w:hanging="1440"/>
        <w:rPr>
          <w:szCs w:val="18"/>
        </w:rPr>
      </w:pPr>
      <w:r>
        <w:rPr>
          <w:szCs w:val="18"/>
        </w:rPr>
        <w:t>Item 2:</w:t>
      </w:r>
      <w:r>
        <w:rPr>
          <w:szCs w:val="18"/>
        </w:rPr>
        <w:tab/>
        <w:t>The relationship between environmental policies relevant to trade and environmental measures with significant trade effects and the provisions of the multilateral trading system.</w:t>
      </w:r>
    </w:p>
    <w:p w14:paraId="77071D66" w14:textId="77777777" w:rsidR="00E21F03" w:rsidRDefault="00E21F03" w:rsidP="00E21F03">
      <w:pPr>
        <w:spacing w:after="240"/>
        <w:ind w:left="1440" w:hanging="1440"/>
        <w:rPr>
          <w:szCs w:val="18"/>
        </w:rPr>
      </w:pPr>
      <w:r>
        <w:rPr>
          <w:szCs w:val="18"/>
        </w:rPr>
        <w:t>Item 3(a):</w:t>
      </w:r>
      <w:r>
        <w:rPr>
          <w:szCs w:val="18"/>
        </w:rPr>
        <w:tab/>
        <w:t>The relationship between the provisions of the multilateral trading system and charges and taxes for environmental purposes.</w:t>
      </w:r>
    </w:p>
    <w:p w14:paraId="66FFBEEC" w14:textId="77777777" w:rsidR="00E21F03" w:rsidRDefault="00E21F03" w:rsidP="00E21F03">
      <w:pPr>
        <w:spacing w:after="240"/>
        <w:ind w:left="1440" w:hanging="1440"/>
        <w:rPr>
          <w:szCs w:val="18"/>
        </w:rPr>
      </w:pPr>
      <w:r>
        <w:rPr>
          <w:szCs w:val="18"/>
        </w:rPr>
        <w:t>Item 3(b):</w:t>
      </w:r>
      <w:r>
        <w:rPr>
          <w:szCs w:val="18"/>
        </w:rPr>
        <w:tab/>
        <w:t>The relationship between the provisions of the multilateral trading system and requirements for environmental purposes relating to products, including standards and technical regulations, packaging, labelling and recycling.</w:t>
      </w:r>
    </w:p>
    <w:p w14:paraId="7C4C6116" w14:textId="77777777" w:rsidR="00E21F03" w:rsidRDefault="00E21F03" w:rsidP="00E21F03">
      <w:pPr>
        <w:spacing w:after="240"/>
        <w:ind w:left="1440" w:hanging="1440"/>
        <w:rPr>
          <w:szCs w:val="18"/>
        </w:rPr>
      </w:pPr>
      <w:r>
        <w:rPr>
          <w:szCs w:val="18"/>
        </w:rPr>
        <w:t>Item 4:</w:t>
      </w:r>
      <w:r>
        <w:rPr>
          <w:szCs w:val="18"/>
        </w:rPr>
        <w:tab/>
        <w:t>The provisions of the multilateral trading system with respect to the transparency of trade measures used for environmental purposes and environmental measures and requirements which have significant trade effects.</w:t>
      </w:r>
    </w:p>
    <w:p w14:paraId="193584C7" w14:textId="77777777" w:rsidR="00E21F03" w:rsidRDefault="00E21F03" w:rsidP="00E21F03">
      <w:pPr>
        <w:spacing w:after="240"/>
        <w:ind w:left="1440" w:hanging="1440"/>
        <w:rPr>
          <w:szCs w:val="18"/>
        </w:rPr>
      </w:pPr>
      <w:r>
        <w:rPr>
          <w:szCs w:val="18"/>
        </w:rPr>
        <w:t>Item 5:</w:t>
      </w:r>
      <w:r>
        <w:rPr>
          <w:szCs w:val="18"/>
        </w:rPr>
        <w:tab/>
        <w:t>The relationship between the dispute settlement mechanisms in the multilateral trading system and those found in multilateral environmental agreements.</w:t>
      </w:r>
    </w:p>
    <w:p w14:paraId="35337C78" w14:textId="77777777" w:rsidR="00E21F03" w:rsidRDefault="00E21F03" w:rsidP="00E21F03">
      <w:pPr>
        <w:spacing w:after="240"/>
        <w:ind w:left="1440" w:hanging="1440"/>
        <w:rPr>
          <w:szCs w:val="18"/>
        </w:rPr>
      </w:pPr>
      <w:r>
        <w:rPr>
          <w:szCs w:val="18"/>
        </w:rPr>
        <w:t>Item 6:</w:t>
      </w:r>
      <w:r>
        <w:rPr>
          <w:szCs w:val="18"/>
        </w:rPr>
        <w:tab/>
        <w:t>The effect of environmental measures on market access, especially in relation to developing countries, in particular to the least developed among them, and environmental benefits of removing trade restrictions and distortions.</w:t>
      </w:r>
    </w:p>
    <w:p w14:paraId="133AC796" w14:textId="77777777" w:rsidR="00E21F03" w:rsidRDefault="00E21F03" w:rsidP="00E21F03">
      <w:pPr>
        <w:spacing w:after="240"/>
        <w:ind w:left="1440" w:hanging="1440"/>
        <w:rPr>
          <w:szCs w:val="18"/>
        </w:rPr>
      </w:pPr>
      <w:r>
        <w:rPr>
          <w:szCs w:val="18"/>
        </w:rPr>
        <w:t>Item 7:</w:t>
      </w:r>
      <w:r>
        <w:rPr>
          <w:szCs w:val="18"/>
        </w:rPr>
        <w:tab/>
        <w:t>The issue of exports of domestically prohibited goods.</w:t>
      </w:r>
    </w:p>
    <w:p w14:paraId="51077D9D" w14:textId="77777777" w:rsidR="00E21F03" w:rsidRDefault="00E21F03" w:rsidP="00E21F03">
      <w:pPr>
        <w:spacing w:after="240"/>
        <w:ind w:left="1440" w:hanging="1440"/>
        <w:rPr>
          <w:szCs w:val="18"/>
        </w:rPr>
      </w:pPr>
      <w:r>
        <w:rPr>
          <w:szCs w:val="18"/>
        </w:rPr>
        <w:t>Item 8:</w:t>
      </w:r>
      <w:r>
        <w:rPr>
          <w:szCs w:val="18"/>
        </w:rPr>
        <w:tab/>
        <w:t>The relevant provisions of the Agreement on Trade-Related Aspects of Intellectual Property Rights.</w:t>
      </w:r>
    </w:p>
    <w:p w14:paraId="276ACBC0" w14:textId="77777777" w:rsidR="00E21F03" w:rsidRDefault="00E21F03" w:rsidP="00E21F03">
      <w:pPr>
        <w:spacing w:after="240"/>
        <w:ind w:left="1440" w:hanging="1440"/>
        <w:rPr>
          <w:szCs w:val="18"/>
        </w:rPr>
      </w:pPr>
      <w:r>
        <w:rPr>
          <w:szCs w:val="18"/>
        </w:rPr>
        <w:t>Item 9:</w:t>
      </w:r>
      <w:r>
        <w:rPr>
          <w:szCs w:val="18"/>
        </w:rPr>
        <w:tab/>
        <w:t>The work programme envisaged in the Decision on Trade in Services and the Environment.</w:t>
      </w:r>
    </w:p>
    <w:p w14:paraId="471744D0" w14:textId="77777777" w:rsidR="00E21F03" w:rsidRDefault="00E21F03" w:rsidP="00E21F03">
      <w:pPr>
        <w:ind w:left="1440" w:hanging="1440"/>
        <w:rPr>
          <w:szCs w:val="18"/>
        </w:rPr>
      </w:pPr>
      <w:r>
        <w:rPr>
          <w:szCs w:val="18"/>
        </w:rPr>
        <w:t>Item 10:</w:t>
      </w:r>
      <w:r>
        <w:rPr>
          <w:szCs w:val="18"/>
        </w:rPr>
        <w:tab/>
        <w:t>Input to the relevant bodies in respect of appropriate arrangements for relations with intergovernmental and non-governmental organizations referred to in Article V of the WTO.</w:t>
      </w:r>
    </w:p>
    <w:p w14:paraId="62B7C503" w14:textId="77777777" w:rsidR="00E21F03" w:rsidRDefault="00E21F03" w:rsidP="00E21F03">
      <w:pPr>
        <w:ind w:left="1440" w:hanging="1440"/>
        <w:rPr>
          <w:szCs w:val="18"/>
        </w:rPr>
      </w:pPr>
    </w:p>
    <w:p w14:paraId="3F0E020B" w14:textId="77777777" w:rsidR="00E21F03" w:rsidRDefault="00E21F03" w:rsidP="00E21F03">
      <w:pPr>
        <w:ind w:left="1440" w:hanging="1440"/>
        <w:jc w:val="center"/>
        <w:rPr>
          <w:b/>
          <w:szCs w:val="18"/>
        </w:rPr>
      </w:pPr>
      <w:r>
        <w:rPr>
          <w:b/>
          <w:szCs w:val="18"/>
        </w:rPr>
        <w:t>_______________</w:t>
      </w:r>
    </w:p>
    <w:p w14:paraId="177146CD" w14:textId="77777777" w:rsidR="00E21F03" w:rsidRPr="001759E3" w:rsidRDefault="00E21F03" w:rsidP="00E21F03">
      <w:pPr>
        <w:ind w:left="1440" w:hanging="1440"/>
        <w:rPr>
          <w:szCs w:val="18"/>
        </w:rPr>
      </w:pPr>
    </w:p>
    <w:p w14:paraId="6FB5E20A" w14:textId="77777777" w:rsidR="00E21F03" w:rsidRDefault="00E21F03" w:rsidP="00E21F03"/>
    <w:p w14:paraId="2FAD82FC" w14:textId="77777777" w:rsidR="00E21F03" w:rsidRDefault="00E21F03" w:rsidP="00E21F03">
      <w:pPr>
        <w:pStyle w:val="Title"/>
      </w:pPr>
      <w:r>
        <w:br w:type="page"/>
      </w:r>
      <w:r w:rsidRPr="004F0D2A">
        <w:lastRenderedPageBreak/>
        <w:t xml:space="preserve">Annex </w:t>
      </w:r>
      <w:r>
        <w:t xml:space="preserve">2: Parts of the </w:t>
      </w:r>
      <w:r w:rsidRPr="00C805A0">
        <w:t xml:space="preserve">Doha </w:t>
      </w:r>
      <w:r>
        <w:t>Ministerial Declaration (DMD) that relate to the work of the</w:t>
      </w:r>
      <w:r w:rsidRPr="004F0D2A">
        <w:t xml:space="preserve"> CTE </w:t>
      </w:r>
      <w:r>
        <w:t>Regular</w:t>
      </w:r>
    </w:p>
    <w:p w14:paraId="2E86C002" w14:textId="77777777" w:rsidR="00E21F03" w:rsidRPr="000224E9" w:rsidRDefault="00E21F03" w:rsidP="00E21F03">
      <w:pPr>
        <w:rPr>
          <w:lang w:eastAsia="en-GB"/>
        </w:rPr>
      </w:pPr>
    </w:p>
    <w:p w14:paraId="0280EAFE" w14:textId="636A95F2" w:rsidR="00E21F03" w:rsidRDefault="00E21F03" w:rsidP="00E21F03">
      <w:r w:rsidRPr="0019215E">
        <w:t>32.</w:t>
      </w:r>
      <w:r w:rsidR="0035369C" w:rsidRPr="0019215E">
        <w:t> </w:t>
      </w:r>
      <w:r w:rsidRPr="0019215E">
        <w:t>We instruct the Committee on Trade and Environment, in pursuing work on all items on its agenda within its current terms of reference, to give particular attention to:</w:t>
      </w:r>
    </w:p>
    <w:p w14:paraId="26C3B2B8" w14:textId="77777777" w:rsidR="00E21F03" w:rsidRPr="0019215E" w:rsidRDefault="00E21F03" w:rsidP="00E21F03"/>
    <w:p w14:paraId="3CAC0946" w14:textId="26CEFC5E" w:rsidR="00E21F03" w:rsidRDefault="00E21F03" w:rsidP="00E21F03">
      <w:pPr>
        <w:ind w:left="720"/>
      </w:pPr>
      <w:r w:rsidRPr="0019215E">
        <w:t>(i) the effect of environmental measures on market access, especially in relation to developing countries, in particular the least</w:t>
      </w:r>
      <w:r w:rsidR="009F1F9A">
        <w:t xml:space="preserve"> </w:t>
      </w:r>
      <w:r w:rsidRPr="0019215E">
        <w:t>developed among them, and those situations in which the elimination or reduction of trade restrictions and distortions would benefit trade, the environment and development;</w:t>
      </w:r>
    </w:p>
    <w:p w14:paraId="2EEC9766" w14:textId="77777777" w:rsidR="00E21F03" w:rsidRPr="0019215E" w:rsidRDefault="00E21F03" w:rsidP="00E21F03">
      <w:pPr>
        <w:ind w:left="720"/>
      </w:pPr>
    </w:p>
    <w:p w14:paraId="4578FD25" w14:textId="77777777" w:rsidR="00E21F03" w:rsidRDefault="00E21F03" w:rsidP="00E21F03">
      <w:pPr>
        <w:ind w:left="720"/>
      </w:pPr>
      <w:r w:rsidRPr="0019215E">
        <w:t>(ii) the relevant provisions of the Agreement on Trade-Related Aspects of Intellectual Property Rights; and</w:t>
      </w:r>
    </w:p>
    <w:p w14:paraId="4D944D28" w14:textId="77777777" w:rsidR="00E21F03" w:rsidRDefault="00E21F03" w:rsidP="00E21F03">
      <w:pPr>
        <w:ind w:left="720"/>
      </w:pPr>
    </w:p>
    <w:p w14:paraId="4D60D3C4" w14:textId="77777777" w:rsidR="00E21F03" w:rsidRDefault="00E21F03" w:rsidP="00E21F03">
      <w:pPr>
        <w:ind w:left="720"/>
      </w:pPr>
      <w:r w:rsidRPr="0019215E">
        <w:t>(iii) labelling requirements for environmental purposes.</w:t>
      </w:r>
    </w:p>
    <w:p w14:paraId="16A8F70C" w14:textId="77777777" w:rsidR="00E21F03" w:rsidRPr="0019215E" w:rsidRDefault="00E21F03" w:rsidP="00E21F03"/>
    <w:p w14:paraId="6B1A4FF6" w14:textId="786A9D26" w:rsidR="00E21F03" w:rsidRDefault="00E21F03" w:rsidP="00E21F03">
      <w:r w:rsidRPr="0019215E">
        <w:t>Work on these issues should include the identification of any need to clarify relevant WTO rules. The Committee shall report to the Fifth Session of the Ministerial Conference, and make recommendations, where appropriate, with respect to future action, including the desirability of negotiations. The outcome of this work as well as the negotiations carried out under paragraph 31</w:t>
      </w:r>
      <w:r>
        <w:t xml:space="preserve"> </w:t>
      </w:r>
      <w:r w:rsidRPr="0019215E">
        <w:t>(i) and (ii) shall be compatible with the open and non-discriminatory nature of the multilateral trading system, shall not add to or diminish the rights and obligations of members under existing WTO agreements, in particular the Agreement on the Application of Sanitary and Phytosanitary Measures, nor alter the balance of these rights and obligations, and will take into account the needs of developing and least</w:t>
      </w:r>
      <w:r w:rsidR="009F1F9A">
        <w:t xml:space="preserve"> </w:t>
      </w:r>
      <w:r w:rsidRPr="0019215E">
        <w:t>developed countries.</w:t>
      </w:r>
    </w:p>
    <w:p w14:paraId="6B7A90F1" w14:textId="77777777" w:rsidR="00E21F03" w:rsidRPr="0019215E" w:rsidRDefault="00E21F03" w:rsidP="00E21F03"/>
    <w:p w14:paraId="58176210" w14:textId="02A415B0" w:rsidR="00E21F03" w:rsidRDefault="00E21F03" w:rsidP="00E21F03">
      <w:r w:rsidRPr="0019215E">
        <w:t>33.</w:t>
      </w:r>
      <w:r w:rsidR="0035369C" w:rsidRPr="0019215E">
        <w:t> </w:t>
      </w:r>
      <w:r w:rsidRPr="0019215E">
        <w:t>We recogni</w:t>
      </w:r>
      <w:r w:rsidR="00025E1C">
        <w:t>s</w:t>
      </w:r>
      <w:r w:rsidRPr="0019215E">
        <w:t>e the importance of technical assistance and capacity building in the field of trade and environment to developing countries, in particular the least</w:t>
      </w:r>
      <w:r w:rsidR="009F1F9A">
        <w:t xml:space="preserve"> </w:t>
      </w:r>
      <w:r w:rsidRPr="0019215E">
        <w:t>developed among them. We also encourage that expertise and experience be shared with members wishing to perform environmental reviews at the national level. A report shall be prepared on these activities for the Fifth Session.</w:t>
      </w:r>
    </w:p>
    <w:p w14:paraId="1419EB0A" w14:textId="77777777" w:rsidR="00E21F03" w:rsidRDefault="00E21F03" w:rsidP="00E21F03"/>
    <w:p w14:paraId="415A8F56" w14:textId="505B0C62" w:rsidR="00E21F03" w:rsidRDefault="00E21F03" w:rsidP="00E21F03">
      <w:r w:rsidRPr="00437D43">
        <w:t>51.</w:t>
      </w:r>
      <w:r w:rsidR="0035369C" w:rsidRPr="00437D43">
        <w:t> </w:t>
      </w:r>
      <w:r w:rsidRPr="00437D43">
        <w:t>The Committee on Trade and Development and the Committee on Trade and Environment shall, within their respective mandates, each act as a forum to identify and debate developmental and environmental aspects of the negotiations, in order to help achieve the objective of having sustainable development appropriately reflected.</w:t>
      </w:r>
    </w:p>
    <w:p w14:paraId="4A39B2A1" w14:textId="77777777" w:rsidR="00E21F03" w:rsidRDefault="00E21F03" w:rsidP="00E21F03"/>
    <w:p w14:paraId="22245EA6" w14:textId="77777777" w:rsidR="00E21F03" w:rsidRPr="00FD5E81" w:rsidRDefault="00E21F03" w:rsidP="00E21F03"/>
    <w:p w14:paraId="684FBAE7" w14:textId="77777777" w:rsidR="00E21F03" w:rsidRDefault="00E21F03" w:rsidP="00E21F03">
      <w:pPr>
        <w:spacing w:after="240"/>
        <w:jc w:val="center"/>
        <w:rPr>
          <w:b/>
          <w:szCs w:val="18"/>
        </w:rPr>
      </w:pPr>
      <w:r>
        <w:rPr>
          <w:b/>
          <w:szCs w:val="18"/>
        </w:rPr>
        <w:t>__________</w:t>
      </w:r>
    </w:p>
    <w:p w14:paraId="55C21D63" w14:textId="77777777" w:rsidR="00E21F03" w:rsidRPr="0027067B" w:rsidRDefault="00E21F03" w:rsidP="00E21F03"/>
    <w:p w14:paraId="65376037" w14:textId="77777777" w:rsidR="007141CF" w:rsidRPr="0027067B" w:rsidRDefault="007141CF" w:rsidP="00B52738">
      <w:bookmarkStart w:id="66" w:name="tradeenvironment"/>
      <w:bookmarkStart w:id="67" w:name="32"/>
      <w:bookmarkStart w:id="68" w:name="32.1"/>
      <w:bookmarkStart w:id="69" w:name="32.2"/>
      <w:bookmarkStart w:id="70" w:name="32.3"/>
      <w:bookmarkStart w:id="71" w:name="ta_envir"/>
      <w:bookmarkEnd w:id="66"/>
      <w:bookmarkEnd w:id="67"/>
      <w:bookmarkEnd w:id="68"/>
      <w:bookmarkEnd w:id="69"/>
      <w:bookmarkEnd w:id="70"/>
      <w:bookmarkEnd w:id="71"/>
      <w:bookmarkEnd w:id="8"/>
    </w:p>
    <w:sectPr w:rsidR="007141CF" w:rsidRPr="0027067B" w:rsidSect="007D08CC">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A7B2" w14:textId="77777777" w:rsidR="0045021B" w:rsidRDefault="0045021B" w:rsidP="00ED54E0">
      <w:bookmarkStart w:id="4" w:name="_Hlk74745391"/>
      <w:bookmarkStart w:id="5" w:name="_Hlk74745392"/>
      <w:r>
        <w:separator/>
      </w:r>
      <w:bookmarkEnd w:id="4"/>
      <w:bookmarkEnd w:id="5"/>
    </w:p>
  </w:endnote>
  <w:endnote w:type="continuationSeparator" w:id="0">
    <w:p w14:paraId="3C1B1081" w14:textId="77777777" w:rsidR="0045021B" w:rsidRDefault="0045021B" w:rsidP="00ED54E0">
      <w:bookmarkStart w:id="6" w:name="_Hlk74745393"/>
      <w:bookmarkStart w:id="7" w:name="_Hlk74745394"/>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Sans 3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仿宋">
    <w:altName w:val="Microsoft YaHei"/>
    <w:charset w:val="86"/>
    <w:family w:val="modern"/>
    <w:pitch w:val="fixed"/>
    <w:sig w:usb0="800002BF" w:usb1="38CF7CFA" w:usb2="00000016" w:usb3="00000000" w:csb0="00040001" w:csb1="00000000"/>
  </w:font>
  <w:font w:name="AppleSystemUIFontItalic">
    <w:altName w:val="Calibri"/>
    <w:charset w:val="00"/>
    <w:family w:val="auto"/>
    <w:pitch w:val="default"/>
  </w:font>
  <w:font w:name="AppleSystemUIFon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0E73" w14:textId="43DFD052" w:rsidR="0045021B" w:rsidRPr="00C4183B" w:rsidRDefault="00C4183B" w:rsidP="00C4183B">
    <w:pPr>
      <w:pStyle w:val="Footer"/>
    </w:pPr>
    <w:bookmarkStart w:id="76" w:name="_Hlk74745381"/>
    <w:bookmarkStart w:id="77" w:name="_Hlk74745382"/>
    <w:r>
      <w:t xml:space="preserve"> </w:t>
    </w:r>
    <w:bookmarkEnd w:id="76"/>
    <w:bookmarkEnd w:id="7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38EB" w14:textId="41A10F50" w:rsidR="0045021B" w:rsidRPr="00C4183B" w:rsidRDefault="00C4183B" w:rsidP="00C4183B">
    <w:pPr>
      <w:pStyle w:val="Footer"/>
    </w:pPr>
    <w:bookmarkStart w:id="78" w:name="_Hlk74745383"/>
    <w:bookmarkStart w:id="79" w:name="_Hlk74745384"/>
    <w:r>
      <w:t xml:space="preserve"> </w:t>
    </w:r>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5495" w14:textId="77777777" w:rsidR="0045021B" w:rsidRDefault="0045021B" w:rsidP="00ED54E0">
      <w:bookmarkStart w:id="0" w:name="_Hlk74745387"/>
      <w:bookmarkStart w:id="1" w:name="_Hlk74745388"/>
      <w:r>
        <w:separator/>
      </w:r>
      <w:bookmarkEnd w:id="0"/>
      <w:bookmarkEnd w:id="1"/>
    </w:p>
  </w:footnote>
  <w:footnote w:type="continuationSeparator" w:id="0">
    <w:p w14:paraId="7A24A5FD" w14:textId="77777777" w:rsidR="0045021B" w:rsidRDefault="0045021B" w:rsidP="00ED54E0">
      <w:bookmarkStart w:id="2" w:name="_Hlk74745389"/>
      <w:bookmarkStart w:id="3" w:name="_Hlk74745390"/>
      <w:r>
        <w:continuationSeparator/>
      </w:r>
      <w:bookmarkEnd w:id="2"/>
      <w:bookmarkEnd w:id="3"/>
    </w:p>
  </w:footnote>
  <w:footnote w:id="1">
    <w:p w14:paraId="5349C164" w14:textId="77777777" w:rsidR="0045021B" w:rsidRDefault="0045021B" w:rsidP="00EB7232">
      <w:pPr>
        <w:pStyle w:val="FootnoteText"/>
        <w:jc w:val="both"/>
      </w:pPr>
      <w:r>
        <w:rPr>
          <w:rStyle w:val="FootnoteReference"/>
          <w:szCs w:val="16"/>
        </w:rPr>
        <w:footnoteRef/>
      </w:r>
      <w:r>
        <w:t xml:space="preserve"> This document has been prepared under the Secretariat's own responsibility and is without prejudice to the positions of Members or to their rights and obligations under the WTO.</w:t>
      </w:r>
    </w:p>
  </w:footnote>
  <w:footnote w:id="2">
    <w:p w14:paraId="44E3E391" w14:textId="59E79FD2" w:rsidR="0045021B" w:rsidRDefault="0045021B">
      <w:pPr>
        <w:pStyle w:val="FootnoteText"/>
      </w:pPr>
      <w:r>
        <w:rPr>
          <w:rStyle w:val="FootnoteReference"/>
        </w:rPr>
        <w:footnoteRef/>
      </w:r>
      <w:r>
        <w:t xml:space="preserve"> </w:t>
      </w:r>
      <w:r w:rsidRPr="001C68E0">
        <w:t xml:space="preserve">The detailed presentation is contained in document </w:t>
      </w:r>
      <w:r>
        <w:t>WT/CTE/GEN/25.</w:t>
      </w:r>
    </w:p>
  </w:footnote>
  <w:footnote w:id="3">
    <w:p w14:paraId="3BE40AEF" w14:textId="2E031511" w:rsidR="0045021B" w:rsidRPr="00210FFE" w:rsidRDefault="0045021B" w:rsidP="00B43564">
      <w:pPr>
        <w:pStyle w:val="FootnoteText"/>
      </w:pPr>
      <w:r>
        <w:rPr>
          <w:rStyle w:val="FootnoteReference"/>
        </w:rPr>
        <w:footnoteRef/>
      </w:r>
      <w:r>
        <w:t xml:space="preserve"> UNEP, Global Trade in Used Vehicles, 26 October 2020; available at: </w:t>
      </w:r>
      <w:hyperlink r:id="rId1" w:history="1">
        <w:r w:rsidRPr="00DA62CA">
          <w:rPr>
            <w:rStyle w:val="Hyperlink"/>
          </w:rPr>
          <w:t>https://www.unep.org/resources/report/global-trade-used-vehicles-report</w:t>
        </w:r>
      </w:hyperlink>
      <w:r w:rsidR="00DA62CA">
        <w:t>.</w:t>
      </w:r>
    </w:p>
  </w:footnote>
  <w:footnote w:id="4">
    <w:p w14:paraId="34776888" w14:textId="17E8F0EC" w:rsidR="0045021B" w:rsidRDefault="0045021B">
      <w:pPr>
        <w:pStyle w:val="FootnoteText"/>
      </w:pPr>
      <w:r>
        <w:rPr>
          <w:rStyle w:val="FootnoteReference"/>
        </w:rPr>
        <w:footnoteRef/>
      </w:r>
      <w:r>
        <w:t xml:space="preserve"> OECD </w:t>
      </w:r>
      <w:r>
        <w:rPr>
          <w:lang w:val="en-US"/>
        </w:rPr>
        <w:t>survey, "Policy Instruments for Sustainable Materials Management, Resource Efficiency, and the Circular Economy", 2017.</w:t>
      </w:r>
    </w:p>
  </w:footnote>
  <w:footnote w:id="5">
    <w:p w14:paraId="64352E04" w14:textId="7AF19D58" w:rsidR="0045021B" w:rsidRDefault="0045021B">
      <w:pPr>
        <w:pStyle w:val="FootnoteText"/>
      </w:pPr>
      <w:r>
        <w:rPr>
          <w:rStyle w:val="FootnoteReference"/>
        </w:rPr>
        <w:footnoteRef/>
      </w:r>
      <w:r>
        <w:t xml:space="preserve"> Mr Hassan Ehsan and Mr Omar Saeed from Service Industries Limited (Pakistan).</w:t>
      </w:r>
    </w:p>
  </w:footnote>
  <w:footnote w:id="6">
    <w:p w14:paraId="33BAA983" w14:textId="77777777" w:rsidR="0045021B" w:rsidRDefault="0045021B" w:rsidP="000D4B6F">
      <w:pPr>
        <w:pStyle w:val="FootnoteText"/>
      </w:pPr>
      <w:r>
        <w:rPr>
          <w:rStyle w:val="FootnoteReference"/>
        </w:rPr>
        <w:footnoteRef/>
      </w:r>
      <w:r>
        <w:t xml:space="preserve"> WT/CTE/W/160/Rev.9, TN/TE/S/5/Rev.7.</w:t>
      </w:r>
    </w:p>
  </w:footnote>
  <w:footnote w:id="7">
    <w:p w14:paraId="1B05E11B" w14:textId="5488696B" w:rsidR="0045021B" w:rsidRDefault="0045021B" w:rsidP="000D4B6F">
      <w:pPr>
        <w:pStyle w:val="FootnoteText"/>
      </w:pPr>
      <w:r>
        <w:rPr>
          <w:rStyle w:val="FootnoteReference"/>
        </w:rPr>
        <w:footnoteRef/>
      </w:r>
      <w:r>
        <w:t xml:space="preserve"> The tool can be accessed at: </w:t>
      </w:r>
      <w:hyperlink r:id="rId2" w:history="1">
        <w:r w:rsidRPr="00476009">
          <w:rPr>
            <w:rStyle w:val="Hyperlink"/>
          </w:rPr>
          <w:t>www.informea.org</w:t>
        </w:r>
      </w:hyperlink>
      <w:r w:rsidR="00D7527E">
        <w:t>.</w:t>
      </w:r>
    </w:p>
  </w:footnote>
  <w:footnote w:id="8">
    <w:p w14:paraId="37E989A2" w14:textId="77777777" w:rsidR="0045021B" w:rsidRPr="000E3FDA" w:rsidRDefault="0045021B" w:rsidP="00B360E6">
      <w:pPr>
        <w:pStyle w:val="FootnoteText"/>
      </w:pPr>
      <w:r>
        <w:rPr>
          <w:rStyle w:val="FootnoteReference"/>
          <w:szCs w:val="16"/>
        </w:rPr>
        <w:footnoteRef/>
      </w:r>
      <w:r w:rsidRPr="000E3FDA">
        <w:t xml:space="preserve"> See document RD/CTE/183. </w:t>
      </w:r>
    </w:p>
  </w:footnote>
  <w:footnote w:id="9">
    <w:p w14:paraId="1551D176" w14:textId="77777777" w:rsidR="0045021B" w:rsidRDefault="0045021B" w:rsidP="00B360E6">
      <w:pPr>
        <w:pStyle w:val="FootnoteText"/>
      </w:pPr>
      <w:r>
        <w:rPr>
          <w:rStyle w:val="FootnoteReference"/>
          <w:szCs w:val="16"/>
        </w:rPr>
        <w:footnoteRef/>
      </w:r>
      <w:r>
        <w:t xml:space="preserve"> </w:t>
      </w:r>
      <w:hyperlink r:id="rId3" w:history="1">
        <w:r>
          <w:rPr>
            <w:rStyle w:val="Hyperlink"/>
          </w:rPr>
          <w:t>https://edb.wto.org/</w:t>
        </w:r>
      </w:hyperlink>
      <w:r>
        <w:t>.</w:t>
      </w:r>
    </w:p>
  </w:footnote>
  <w:footnote w:id="10">
    <w:p w14:paraId="7B9574BF" w14:textId="77777777" w:rsidR="0045021B" w:rsidRPr="00D25C14" w:rsidRDefault="0045021B" w:rsidP="005237D4">
      <w:pPr>
        <w:pStyle w:val="FootnoteText"/>
        <w:rPr>
          <w:lang w:val="en-US"/>
        </w:rPr>
      </w:pPr>
      <w:r>
        <w:rPr>
          <w:rStyle w:val="FootnoteReference"/>
        </w:rPr>
        <w:footnoteRef/>
      </w:r>
      <w:r>
        <w:t xml:space="preserve"> See document </w:t>
      </w:r>
      <w:r w:rsidRPr="00D25C14">
        <w:t>WT/CTE/W/249/Rev.1</w:t>
      </w:r>
      <w:r>
        <w:t>.</w:t>
      </w:r>
    </w:p>
  </w:footnote>
  <w:footnote w:id="11">
    <w:p w14:paraId="2FACC96F" w14:textId="2B754FE9" w:rsidR="0045021B" w:rsidRPr="008F21C3" w:rsidRDefault="0045021B" w:rsidP="005237D4">
      <w:pPr>
        <w:pStyle w:val="FootnoteText"/>
        <w:rPr>
          <w:lang w:val="en-US"/>
        </w:rPr>
      </w:pPr>
      <w:r>
        <w:rPr>
          <w:rStyle w:val="FootnoteReference"/>
        </w:rPr>
        <w:footnoteRef/>
      </w:r>
      <w:r>
        <w:t xml:space="preserve"> </w:t>
      </w:r>
      <w:r>
        <w:rPr>
          <w:lang w:val="en-US"/>
        </w:rPr>
        <w:t xml:space="preserve">The TESDD web portal is available at: </w:t>
      </w:r>
      <w:hyperlink r:id="rId4" w:history="1">
        <w:r w:rsidRPr="00D26F16">
          <w:rPr>
            <w:rStyle w:val="Hyperlink"/>
            <w:lang w:val="en-US"/>
          </w:rPr>
          <w:t>https://www.wto.org/english/tratop_e/tessd_e/tessd_e.htm</w:t>
        </w:r>
      </w:hyperlink>
      <w:r w:rsidR="00D7527E">
        <w:rPr>
          <w:lang w:val="en-US"/>
        </w:rPr>
        <w:t>.</w:t>
      </w:r>
    </w:p>
  </w:footnote>
  <w:footnote w:id="12">
    <w:p w14:paraId="1E3CCA63" w14:textId="3A004FC2" w:rsidR="0045021B" w:rsidRDefault="0045021B" w:rsidP="00515BE6">
      <w:pPr>
        <w:pStyle w:val="FootnoteText"/>
      </w:pPr>
      <w:r>
        <w:rPr>
          <w:rStyle w:val="FootnoteReference"/>
        </w:rPr>
        <w:footnoteRef/>
      </w:r>
      <w:r>
        <w:t xml:space="preserve"> </w:t>
      </w:r>
      <w:hyperlink r:id="rId5" w:history="1">
        <w:r w:rsidRPr="008F2202">
          <w:rPr>
            <w:rStyle w:val="Hyperlink"/>
          </w:rPr>
          <w:t>http://www.wcoomd.org/en/media/newsroom/2021/february/looking-back-on-the-wco-theme-for-2020.aspx</w:t>
        </w:r>
      </w:hyperlink>
      <w:r w:rsidR="00D752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9996" w14:textId="77777777" w:rsidR="00C4183B" w:rsidRPr="00C4183B" w:rsidRDefault="00C4183B" w:rsidP="00C4183B">
    <w:pPr>
      <w:pStyle w:val="Header"/>
      <w:pBdr>
        <w:bottom w:val="single" w:sz="4" w:space="1" w:color="auto"/>
      </w:pBdr>
      <w:tabs>
        <w:tab w:val="clear" w:pos="4513"/>
        <w:tab w:val="clear" w:pos="9027"/>
      </w:tabs>
      <w:jc w:val="center"/>
    </w:pPr>
    <w:bookmarkStart w:id="72" w:name="_Hlk74745377"/>
    <w:bookmarkStart w:id="73" w:name="_Hlk74745378"/>
    <w:r w:rsidRPr="00C4183B">
      <w:t>WT/CTE/M/71</w:t>
    </w:r>
  </w:p>
  <w:p w14:paraId="38FB57D2" w14:textId="77777777" w:rsidR="00C4183B" w:rsidRPr="00C4183B" w:rsidRDefault="00C4183B" w:rsidP="00C4183B">
    <w:pPr>
      <w:pStyle w:val="Header"/>
      <w:pBdr>
        <w:bottom w:val="single" w:sz="4" w:space="1" w:color="auto"/>
      </w:pBdr>
      <w:tabs>
        <w:tab w:val="clear" w:pos="4513"/>
        <w:tab w:val="clear" w:pos="9027"/>
      </w:tabs>
      <w:jc w:val="center"/>
    </w:pPr>
  </w:p>
  <w:p w14:paraId="5F09473C" w14:textId="474EE6DC" w:rsidR="00C4183B" w:rsidRPr="00C4183B" w:rsidRDefault="00C4183B" w:rsidP="00C4183B">
    <w:pPr>
      <w:pStyle w:val="Header"/>
      <w:pBdr>
        <w:bottom w:val="single" w:sz="4" w:space="1" w:color="auto"/>
      </w:pBdr>
      <w:tabs>
        <w:tab w:val="clear" w:pos="4513"/>
        <w:tab w:val="clear" w:pos="9027"/>
      </w:tabs>
      <w:jc w:val="center"/>
    </w:pPr>
    <w:r w:rsidRPr="00C4183B">
      <w:t xml:space="preserve">- </w:t>
    </w:r>
    <w:r w:rsidRPr="00C4183B">
      <w:fldChar w:fldCharType="begin"/>
    </w:r>
    <w:r w:rsidRPr="00C4183B">
      <w:instrText xml:space="preserve"> PAGE </w:instrText>
    </w:r>
    <w:r w:rsidRPr="00C4183B">
      <w:fldChar w:fldCharType="separate"/>
    </w:r>
    <w:r w:rsidRPr="00C4183B">
      <w:rPr>
        <w:noProof/>
      </w:rPr>
      <w:t>2</w:t>
    </w:r>
    <w:r w:rsidRPr="00C4183B">
      <w:fldChar w:fldCharType="end"/>
    </w:r>
    <w:r w:rsidRPr="00C4183B">
      <w:t xml:space="preserve"> -</w:t>
    </w:r>
  </w:p>
  <w:bookmarkEnd w:id="72"/>
  <w:bookmarkEnd w:id="73"/>
  <w:p w14:paraId="58D64B4A" w14:textId="274A0E09" w:rsidR="0045021B" w:rsidRPr="00C4183B" w:rsidRDefault="0045021B" w:rsidP="00C418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541D" w14:textId="77777777" w:rsidR="00C4183B" w:rsidRPr="00C4183B" w:rsidRDefault="00C4183B" w:rsidP="00C4183B">
    <w:pPr>
      <w:pStyle w:val="Header"/>
      <w:pBdr>
        <w:bottom w:val="single" w:sz="4" w:space="1" w:color="auto"/>
      </w:pBdr>
      <w:tabs>
        <w:tab w:val="clear" w:pos="4513"/>
        <w:tab w:val="clear" w:pos="9027"/>
      </w:tabs>
      <w:jc w:val="center"/>
    </w:pPr>
    <w:bookmarkStart w:id="74" w:name="_Hlk74745379"/>
    <w:bookmarkStart w:id="75" w:name="_Hlk74745380"/>
    <w:r w:rsidRPr="00C4183B">
      <w:t>WT/CTE/M/71</w:t>
    </w:r>
  </w:p>
  <w:p w14:paraId="2C572C45" w14:textId="77777777" w:rsidR="00C4183B" w:rsidRPr="00C4183B" w:rsidRDefault="00C4183B" w:rsidP="00C4183B">
    <w:pPr>
      <w:pStyle w:val="Header"/>
      <w:pBdr>
        <w:bottom w:val="single" w:sz="4" w:space="1" w:color="auto"/>
      </w:pBdr>
      <w:tabs>
        <w:tab w:val="clear" w:pos="4513"/>
        <w:tab w:val="clear" w:pos="9027"/>
      </w:tabs>
      <w:jc w:val="center"/>
    </w:pPr>
  </w:p>
  <w:p w14:paraId="684F7BCD" w14:textId="6CFFCC8D" w:rsidR="00C4183B" w:rsidRPr="00C4183B" w:rsidRDefault="00C4183B" w:rsidP="00C4183B">
    <w:pPr>
      <w:pStyle w:val="Header"/>
      <w:pBdr>
        <w:bottom w:val="single" w:sz="4" w:space="1" w:color="auto"/>
      </w:pBdr>
      <w:tabs>
        <w:tab w:val="clear" w:pos="4513"/>
        <w:tab w:val="clear" w:pos="9027"/>
      </w:tabs>
      <w:jc w:val="center"/>
    </w:pPr>
    <w:r w:rsidRPr="00C4183B">
      <w:t xml:space="preserve">- </w:t>
    </w:r>
    <w:r w:rsidRPr="00C4183B">
      <w:fldChar w:fldCharType="begin"/>
    </w:r>
    <w:r w:rsidRPr="00C4183B">
      <w:instrText xml:space="preserve"> PAGE </w:instrText>
    </w:r>
    <w:r w:rsidRPr="00C4183B">
      <w:fldChar w:fldCharType="separate"/>
    </w:r>
    <w:r w:rsidRPr="00C4183B">
      <w:rPr>
        <w:noProof/>
      </w:rPr>
      <w:t>39</w:t>
    </w:r>
    <w:r w:rsidRPr="00C4183B">
      <w:fldChar w:fldCharType="end"/>
    </w:r>
    <w:r w:rsidRPr="00C4183B">
      <w:t xml:space="preserve"> -</w:t>
    </w:r>
  </w:p>
  <w:bookmarkEnd w:id="74"/>
  <w:bookmarkEnd w:id="75"/>
  <w:p w14:paraId="77600AFC" w14:textId="7C47C4A2" w:rsidR="0045021B" w:rsidRPr="00C4183B" w:rsidRDefault="0045021B" w:rsidP="00C418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021B" w:rsidRPr="00182B84" w14:paraId="739C73D8" w14:textId="77777777" w:rsidTr="00544326">
      <w:trPr>
        <w:trHeight w:val="240"/>
        <w:jc w:val="center"/>
      </w:trPr>
      <w:tc>
        <w:tcPr>
          <w:tcW w:w="3794" w:type="dxa"/>
          <w:shd w:val="clear" w:color="auto" w:fill="FFFFFF"/>
          <w:tcMar>
            <w:left w:w="108" w:type="dxa"/>
            <w:right w:w="108" w:type="dxa"/>
          </w:tcMar>
          <w:vAlign w:val="center"/>
        </w:tcPr>
        <w:p w14:paraId="065DF96E" w14:textId="77777777" w:rsidR="0045021B" w:rsidRPr="00182B84" w:rsidRDefault="0045021B" w:rsidP="006A1B9C">
          <w:pPr>
            <w:rPr>
              <w:noProof/>
              <w:lang w:eastAsia="en-GB"/>
            </w:rPr>
          </w:pPr>
          <w:bookmarkStart w:id="80" w:name="_Hlk74745385"/>
          <w:bookmarkStart w:id="81" w:name="_Hlk74745386"/>
        </w:p>
      </w:tc>
      <w:tc>
        <w:tcPr>
          <w:tcW w:w="5448" w:type="dxa"/>
          <w:gridSpan w:val="2"/>
          <w:shd w:val="clear" w:color="auto" w:fill="FFFFFF"/>
          <w:tcMar>
            <w:left w:w="108" w:type="dxa"/>
            <w:right w:w="108" w:type="dxa"/>
          </w:tcMar>
          <w:vAlign w:val="center"/>
        </w:tcPr>
        <w:p w14:paraId="5E36B3CC" w14:textId="029C8106" w:rsidR="0045021B" w:rsidRPr="00182B84" w:rsidRDefault="00C4183B" w:rsidP="006A1B9C">
          <w:pPr>
            <w:jc w:val="right"/>
            <w:rPr>
              <w:b/>
              <w:color w:val="FF0000"/>
              <w:szCs w:val="16"/>
            </w:rPr>
          </w:pPr>
          <w:bookmarkStart w:id="82" w:name="bmkRestricted"/>
          <w:r>
            <w:rPr>
              <w:b/>
              <w:color w:val="FF0000"/>
              <w:szCs w:val="16"/>
            </w:rPr>
            <w:t>RESTRICTED</w:t>
          </w:r>
          <w:bookmarkEnd w:id="82"/>
        </w:p>
      </w:tc>
    </w:tr>
    <w:tr w:rsidR="0045021B" w:rsidRPr="00182B84" w14:paraId="1BEBD486" w14:textId="77777777" w:rsidTr="00544326">
      <w:trPr>
        <w:trHeight w:val="213"/>
        <w:jc w:val="center"/>
      </w:trPr>
      <w:tc>
        <w:tcPr>
          <w:tcW w:w="3794" w:type="dxa"/>
          <w:vMerge w:val="restart"/>
          <w:shd w:val="clear" w:color="auto" w:fill="FFFFFF"/>
          <w:tcMar>
            <w:left w:w="0" w:type="dxa"/>
            <w:right w:w="0" w:type="dxa"/>
          </w:tcMar>
        </w:tcPr>
        <w:p w14:paraId="54152465" w14:textId="77777777" w:rsidR="0045021B" w:rsidRPr="00182B84" w:rsidRDefault="0045021B" w:rsidP="006A1B9C">
          <w:pPr>
            <w:jc w:val="left"/>
          </w:pPr>
          <w:r w:rsidRPr="00182B84">
            <w:rPr>
              <w:noProof/>
              <w:lang w:val="en-US"/>
            </w:rPr>
            <w:drawing>
              <wp:inline distT="0" distB="0" distL="0" distR="0" wp14:anchorId="77267177" wp14:editId="18DBCE48">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222B81" w14:textId="77777777" w:rsidR="0045021B" w:rsidRPr="00182B84" w:rsidRDefault="0045021B" w:rsidP="006A1B9C">
          <w:pPr>
            <w:jc w:val="right"/>
            <w:rPr>
              <w:b/>
              <w:szCs w:val="16"/>
            </w:rPr>
          </w:pPr>
        </w:p>
      </w:tc>
    </w:tr>
    <w:tr w:rsidR="0045021B" w:rsidRPr="00182B84" w14:paraId="1747393B" w14:textId="77777777" w:rsidTr="00544326">
      <w:trPr>
        <w:trHeight w:val="868"/>
        <w:jc w:val="center"/>
      </w:trPr>
      <w:tc>
        <w:tcPr>
          <w:tcW w:w="3794" w:type="dxa"/>
          <w:vMerge/>
          <w:shd w:val="clear" w:color="auto" w:fill="FFFFFF"/>
          <w:tcMar>
            <w:left w:w="108" w:type="dxa"/>
            <w:right w:w="108" w:type="dxa"/>
          </w:tcMar>
        </w:tcPr>
        <w:p w14:paraId="4144D84B" w14:textId="77777777" w:rsidR="0045021B" w:rsidRPr="00182B84" w:rsidRDefault="0045021B" w:rsidP="006A1B9C">
          <w:pPr>
            <w:jc w:val="left"/>
            <w:rPr>
              <w:noProof/>
              <w:lang w:eastAsia="en-GB"/>
            </w:rPr>
          </w:pPr>
        </w:p>
      </w:tc>
      <w:tc>
        <w:tcPr>
          <w:tcW w:w="5448" w:type="dxa"/>
          <w:gridSpan w:val="2"/>
          <w:shd w:val="clear" w:color="auto" w:fill="FFFFFF"/>
          <w:tcMar>
            <w:left w:w="108" w:type="dxa"/>
            <w:right w:w="108" w:type="dxa"/>
          </w:tcMar>
        </w:tcPr>
        <w:p w14:paraId="01574C8E" w14:textId="77777777" w:rsidR="00C4183B" w:rsidRDefault="00C4183B" w:rsidP="005463F3">
          <w:pPr>
            <w:jc w:val="right"/>
            <w:rPr>
              <w:b/>
              <w:szCs w:val="16"/>
            </w:rPr>
          </w:pPr>
          <w:bookmarkStart w:id="83" w:name="bmkSymbols"/>
          <w:r>
            <w:rPr>
              <w:b/>
              <w:szCs w:val="16"/>
            </w:rPr>
            <w:t>WT/CTE/M/71</w:t>
          </w:r>
        </w:p>
        <w:bookmarkEnd w:id="83"/>
        <w:p w14:paraId="41F96291" w14:textId="5C854FE8" w:rsidR="0045021B" w:rsidRPr="00182B84" w:rsidRDefault="0045021B" w:rsidP="005463F3">
          <w:pPr>
            <w:jc w:val="right"/>
            <w:rPr>
              <w:b/>
              <w:szCs w:val="16"/>
            </w:rPr>
          </w:pPr>
        </w:p>
      </w:tc>
    </w:tr>
    <w:tr w:rsidR="0045021B" w:rsidRPr="00182B84" w14:paraId="4555112D" w14:textId="77777777" w:rsidTr="00544326">
      <w:trPr>
        <w:trHeight w:val="240"/>
        <w:jc w:val="center"/>
      </w:trPr>
      <w:tc>
        <w:tcPr>
          <w:tcW w:w="3794" w:type="dxa"/>
          <w:vMerge/>
          <w:shd w:val="clear" w:color="auto" w:fill="FFFFFF"/>
          <w:tcMar>
            <w:left w:w="108" w:type="dxa"/>
            <w:right w:w="108" w:type="dxa"/>
          </w:tcMar>
          <w:vAlign w:val="center"/>
        </w:tcPr>
        <w:p w14:paraId="226B5D22" w14:textId="77777777" w:rsidR="0045021B" w:rsidRPr="00182B84" w:rsidRDefault="0045021B" w:rsidP="006A1B9C"/>
      </w:tc>
      <w:tc>
        <w:tcPr>
          <w:tcW w:w="5448" w:type="dxa"/>
          <w:gridSpan w:val="2"/>
          <w:shd w:val="clear" w:color="auto" w:fill="FFFFFF"/>
          <w:tcMar>
            <w:left w:w="108" w:type="dxa"/>
            <w:right w:w="108" w:type="dxa"/>
          </w:tcMar>
          <w:vAlign w:val="center"/>
        </w:tcPr>
        <w:p w14:paraId="0BE0ACE2" w14:textId="17B144F4" w:rsidR="0045021B" w:rsidRPr="00A12735" w:rsidRDefault="0045021B" w:rsidP="004D1F25">
          <w:pPr>
            <w:jc w:val="right"/>
            <w:rPr>
              <w:bCs/>
              <w:szCs w:val="16"/>
            </w:rPr>
          </w:pPr>
          <w:r>
            <w:rPr>
              <w:bCs/>
              <w:szCs w:val="16"/>
            </w:rPr>
            <w:t>16 June 2021</w:t>
          </w:r>
        </w:p>
      </w:tc>
    </w:tr>
    <w:tr w:rsidR="0045021B" w:rsidRPr="00182B84" w14:paraId="5583818C" w14:textId="77777777" w:rsidTr="00544326">
      <w:trPr>
        <w:trHeight w:val="240"/>
        <w:jc w:val="center"/>
      </w:trPr>
      <w:tc>
        <w:tcPr>
          <w:tcW w:w="3794" w:type="dxa"/>
          <w:shd w:val="clear" w:color="auto" w:fill="FFFFFF"/>
          <w:tcMar>
            <w:left w:w="108" w:type="dxa"/>
            <w:right w:w="108" w:type="dxa"/>
          </w:tcMar>
          <w:vAlign w:val="center"/>
        </w:tcPr>
        <w:p w14:paraId="346D2DE6" w14:textId="47C05480" w:rsidR="0045021B" w:rsidRPr="00C26621" w:rsidRDefault="0045021B" w:rsidP="00343EB0">
          <w:pPr>
            <w:rPr>
              <w:b/>
              <w:bCs/>
            </w:rPr>
          </w:pPr>
        </w:p>
      </w:tc>
      <w:tc>
        <w:tcPr>
          <w:tcW w:w="5448" w:type="dxa"/>
          <w:gridSpan w:val="2"/>
          <w:shd w:val="clear" w:color="auto" w:fill="FFFFFF"/>
          <w:tcMar>
            <w:left w:w="108" w:type="dxa"/>
            <w:right w:w="108" w:type="dxa"/>
          </w:tcMar>
          <w:vAlign w:val="center"/>
        </w:tcPr>
        <w:p w14:paraId="5B869809" w14:textId="77777777" w:rsidR="0045021B" w:rsidRDefault="0045021B" w:rsidP="004D1F25">
          <w:pPr>
            <w:jc w:val="right"/>
            <w:rPr>
              <w:bCs/>
              <w:szCs w:val="16"/>
            </w:rPr>
          </w:pPr>
        </w:p>
      </w:tc>
    </w:tr>
    <w:tr w:rsidR="0045021B" w:rsidRPr="00182B84" w14:paraId="62BD294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80B23A" w14:textId="116221A0" w:rsidR="0045021B" w:rsidRPr="00182B84" w:rsidRDefault="0045021B" w:rsidP="003A7BC2">
          <w:pPr>
            <w:jc w:val="left"/>
            <w:rPr>
              <w:b/>
            </w:rPr>
          </w:pPr>
          <w:bookmarkStart w:id="84" w:name="bmkSerial" w:colFirst="0" w:colLast="0"/>
          <w:r>
            <w:rPr>
              <w:color w:val="FF0000"/>
              <w:szCs w:val="16"/>
            </w:rPr>
            <w:t>(21-</w:t>
          </w:r>
          <w:r w:rsidR="00A275BA">
            <w:rPr>
              <w:color w:val="FF0000"/>
              <w:szCs w:val="16"/>
            </w:rPr>
            <w:t>4943</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34254D4" w14:textId="77777777" w:rsidR="0045021B" w:rsidRPr="00182B84" w:rsidRDefault="0045021B" w:rsidP="006A1B9C">
          <w:pPr>
            <w:jc w:val="right"/>
            <w:rPr>
              <w:szCs w:val="16"/>
            </w:rPr>
          </w:pPr>
          <w:bookmarkStart w:id="8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4</w:t>
          </w:r>
          <w:r w:rsidRPr="00182B84">
            <w:rPr>
              <w:bCs/>
              <w:szCs w:val="16"/>
            </w:rPr>
            <w:fldChar w:fldCharType="end"/>
          </w:r>
          <w:bookmarkEnd w:id="85"/>
        </w:p>
      </w:tc>
    </w:tr>
    <w:tr w:rsidR="0045021B" w:rsidRPr="00182B84" w14:paraId="213DF35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E6321D" w14:textId="0558C4B8" w:rsidR="0045021B" w:rsidRPr="00182B84" w:rsidRDefault="00C4183B" w:rsidP="006A1B9C">
          <w:pPr>
            <w:jc w:val="left"/>
            <w:rPr>
              <w:sz w:val="14"/>
              <w:szCs w:val="16"/>
            </w:rPr>
          </w:pPr>
          <w:bookmarkStart w:id="86" w:name="bmkCommittee"/>
          <w:bookmarkEnd w:id="84"/>
          <w:r>
            <w:rPr>
              <w:b/>
            </w:rPr>
            <w:t>Committee on Trade and Environment</w:t>
          </w:r>
          <w:bookmarkEnd w:id="86"/>
        </w:p>
      </w:tc>
      <w:tc>
        <w:tcPr>
          <w:tcW w:w="3325" w:type="dxa"/>
          <w:tcBorders>
            <w:top w:val="single" w:sz="4" w:space="0" w:color="auto"/>
          </w:tcBorders>
          <w:tcMar>
            <w:top w:w="113" w:type="dxa"/>
            <w:left w:w="108" w:type="dxa"/>
            <w:bottom w:w="57" w:type="dxa"/>
            <w:right w:w="108" w:type="dxa"/>
          </w:tcMar>
          <w:vAlign w:val="center"/>
        </w:tcPr>
        <w:p w14:paraId="531D2C6B" w14:textId="1739051F" w:rsidR="0045021B" w:rsidRPr="00182B84" w:rsidRDefault="00C4183B" w:rsidP="006A1B9C">
          <w:pPr>
            <w:jc w:val="right"/>
            <w:rPr>
              <w:bCs/>
              <w:szCs w:val="18"/>
            </w:rPr>
          </w:pPr>
          <w:bookmarkStart w:id="87" w:name="bmkLanguage"/>
          <w:r>
            <w:rPr>
              <w:szCs w:val="18"/>
            </w:rPr>
            <w:t xml:space="preserve"> </w:t>
          </w:r>
          <w:bookmarkEnd w:id="87"/>
        </w:p>
      </w:tc>
    </w:tr>
    <w:bookmarkEnd w:id="80"/>
    <w:bookmarkEnd w:id="81"/>
  </w:tbl>
  <w:p w14:paraId="60AC3A39" w14:textId="77777777" w:rsidR="0045021B" w:rsidRDefault="0045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0317BD6"/>
    <w:multiLevelType w:val="hybridMultilevel"/>
    <w:tmpl w:val="241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A2446"/>
    <w:multiLevelType w:val="hybridMultilevel"/>
    <w:tmpl w:val="99A0F818"/>
    <w:lvl w:ilvl="0" w:tplc="52A03BFC">
      <w:start w:val="1"/>
      <w:numFmt w:val="bullet"/>
      <w:lvlText w:val="•"/>
      <w:lvlJc w:val="left"/>
      <w:pPr>
        <w:tabs>
          <w:tab w:val="num" w:pos="720"/>
        </w:tabs>
        <w:ind w:left="720" w:hanging="360"/>
      </w:pPr>
      <w:rPr>
        <w:rFonts w:ascii="Arial" w:hAnsi="Arial" w:hint="default"/>
      </w:rPr>
    </w:lvl>
    <w:lvl w:ilvl="1" w:tplc="ABBAB358" w:tentative="1">
      <w:start w:val="1"/>
      <w:numFmt w:val="bullet"/>
      <w:lvlText w:val="•"/>
      <w:lvlJc w:val="left"/>
      <w:pPr>
        <w:tabs>
          <w:tab w:val="num" w:pos="1440"/>
        </w:tabs>
        <w:ind w:left="1440" w:hanging="360"/>
      </w:pPr>
      <w:rPr>
        <w:rFonts w:ascii="Arial" w:hAnsi="Arial" w:hint="default"/>
      </w:rPr>
    </w:lvl>
    <w:lvl w:ilvl="2" w:tplc="CC625C46" w:tentative="1">
      <w:start w:val="1"/>
      <w:numFmt w:val="bullet"/>
      <w:lvlText w:val="•"/>
      <w:lvlJc w:val="left"/>
      <w:pPr>
        <w:tabs>
          <w:tab w:val="num" w:pos="2160"/>
        </w:tabs>
        <w:ind w:left="2160" w:hanging="360"/>
      </w:pPr>
      <w:rPr>
        <w:rFonts w:ascii="Arial" w:hAnsi="Arial" w:hint="default"/>
      </w:rPr>
    </w:lvl>
    <w:lvl w:ilvl="3" w:tplc="70A8658A" w:tentative="1">
      <w:start w:val="1"/>
      <w:numFmt w:val="bullet"/>
      <w:lvlText w:val="•"/>
      <w:lvlJc w:val="left"/>
      <w:pPr>
        <w:tabs>
          <w:tab w:val="num" w:pos="2880"/>
        </w:tabs>
        <w:ind w:left="2880" w:hanging="360"/>
      </w:pPr>
      <w:rPr>
        <w:rFonts w:ascii="Arial" w:hAnsi="Arial" w:hint="default"/>
      </w:rPr>
    </w:lvl>
    <w:lvl w:ilvl="4" w:tplc="B3D0E56C" w:tentative="1">
      <w:start w:val="1"/>
      <w:numFmt w:val="bullet"/>
      <w:lvlText w:val="•"/>
      <w:lvlJc w:val="left"/>
      <w:pPr>
        <w:tabs>
          <w:tab w:val="num" w:pos="3600"/>
        </w:tabs>
        <w:ind w:left="3600" w:hanging="360"/>
      </w:pPr>
      <w:rPr>
        <w:rFonts w:ascii="Arial" w:hAnsi="Arial" w:hint="default"/>
      </w:rPr>
    </w:lvl>
    <w:lvl w:ilvl="5" w:tplc="00A4CDAE" w:tentative="1">
      <w:start w:val="1"/>
      <w:numFmt w:val="bullet"/>
      <w:lvlText w:val="•"/>
      <w:lvlJc w:val="left"/>
      <w:pPr>
        <w:tabs>
          <w:tab w:val="num" w:pos="4320"/>
        </w:tabs>
        <w:ind w:left="4320" w:hanging="360"/>
      </w:pPr>
      <w:rPr>
        <w:rFonts w:ascii="Arial" w:hAnsi="Arial" w:hint="default"/>
      </w:rPr>
    </w:lvl>
    <w:lvl w:ilvl="6" w:tplc="4AD41CF6" w:tentative="1">
      <w:start w:val="1"/>
      <w:numFmt w:val="bullet"/>
      <w:lvlText w:val="•"/>
      <w:lvlJc w:val="left"/>
      <w:pPr>
        <w:tabs>
          <w:tab w:val="num" w:pos="5040"/>
        </w:tabs>
        <w:ind w:left="5040" w:hanging="360"/>
      </w:pPr>
      <w:rPr>
        <w:rFonts w:ascii="Arial" w:hAnsi="Arial" w:hint="default"/>
      </w:rPr>
    </w:lvl>
    <w:lvl w:ilvl="7" w:tplc="7E0AD1C4" w:tentative="1">
      <w:start w:val="1"/>
      <w:numFmt w:val="bullet"/>
      <w:lvlText w:val="•"/>
      <w:lvlJc w:val="left"/>
      <w:pPr>
        <w:tabs>
          <w:tab w:val="num" w:pos="5760"/>
        </w:tabs>
        <w:ind w:left="5760" w:hanging="360"/>
      </w:pPr>
      <w:rPr>
        <w:rFonts w:ascii="Arial" w:hAnsi="Arial" w:hint="default"/>
      </w:rPr>
    </w:lvl>
    <w:lvl w:ilvl="8" w:tplc="F9AAAC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941ED2"/>
    <w:multiLevelType w:val="hybridMultilevel"/>
    <w:tmpl w:val="3022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E696D"/>
    <w:multiLevelType w:val="hybridMultilevel"/>
    <w:tmpl w:val="5394A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73F73AE"/>
    <w:multiLevelType w:val="hybridMultilevel"/>
    <w:tmpl w:val="AD0895F2"/>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423EB6"/>
    <w:multiLevelType w:val="hybridMultilevel"/>
    <w:tmpl w:val="07AE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65848"/>
    <w:multiLevelType w:val="hybridMultilevel"/>
    <w:tmpl w:val="04E4DE6E"/>
    <w:lvl w:ilvl="0" w:tplc="BD5E5C84">
      <w:start w:val="1"/>
      <w:numFmt w:val="bullet"/>
      <w:lvlText w:val=""/>
      <w:lvlJc w:val="left"/>
      <w:pPr>
        <w:ind w:left="8015"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18655C6"/>
    <w:multiLevelType w:val="hybridMultilevel"/>
    <w:tmpl w:val="AC06D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17090B"/>
    <w:multiLevelType w:val="hybridMultilevel"/>
    <w:tmpl w:val="68E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1347C"/>
    <w:multiLevelType w:val="multilevel"/>
    <w:tmpl w:val="6C74FC88"/>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b/>
      </w:rPr>
    </w:lvl>
    <w:lvl w:ilvl="2">
      <w:start w:val="1"/>
      <w:numFmt w:val="decimal"/>
      <w:pStyle w:val="Heading3"/>
      <w:isLgl/>
      <w:suff w:val="nothing"/>
      <w:lvlText w:val="%1.%2.%3  "/>
      <w:lvlJc w:val="left"/>
      <w:pPr>
        <w:ind w:left="0" w:firstLine="0"/>
      </w:pPr>
      <w:rPr>
        <w:rFonts w:hint="default"/>
        <w:b/>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szCs w:val="18"/>
        <w:lang w:eastAsia="zh-CN"/>
      </w:rPr>
    </w:lvl>
    <w:lvl w:ilvl="6">
      <w:start w:val="1"/>
      <w:numFmt w:val="decimal"/>
      <w:lvlRestart w:val="1"/>
      <w:pStyle w:val="BodyText"/>
      <w:isLgl/>
      <w:suff w:val="nothing"/>
      <w:lvlText w:val="%1.%7.  "/>
      <w:lvlJc w:val="left"/>
      <w:pPr>
        <w:ind w:left="0" w:firstLine="0"/>
      </w:pPr>
      <w:rPr>
        <w:rFonts w:hint="default"/>
        <w:lang w:val="en-US"/>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32581822"/>
    <w:multiLevelType w:val="hybridMultilevel"/>
    <w:tmpl w:val="F3FEEC10"/>
    <w:lvl w:ilvl="0" w:tplc="77DA84EC">
      <w:start w:val="1"/>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440D9"/>
    <w:multiLevelType w:val="hybridMultilevel"/>
    <w:tmpl w:val="CCFED876"/>
    <w:lvl w:ilvl="0" w:tplc="31CA8F2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84B40"/>
    <w:multiLevelType w:val="hybridMultilevel"/>
    <w:tmpl w:val="D706A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221522"/>
    <w:multiLevelType w:val="hybridMultilevel"/>
    <w:tmpl w:val="122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73478"/>
    <w:multiLevelType w:val="hybridMultilevel"/>
    <w:tmpl w:val="1CC07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1" w15:restartNumberingAfterBreak="0">
    <w:nsid w:val="57551E12"/>
    <w:multiLevelType w:val="multilevel"/>
    <w:tmpl w:val="5F1C1E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2" w15:restartNumberingAfterBreak="0">
    <w:nsid w:val="596F341B"/>
    <w:multiLevelType w:val="hybridMultilevel"/>
    <w:tmpl w:val="176E2A8C"/>
    <w:lvl w:ilvl="0" w:tplc="08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2295C"/>
    <w:multiLevelType w:val="hybridMultilevel"/>
    <w:tmpl w:val="F1B0731C"/>
    <w:lvl w:ilvl="0" w:tplc="04090001">
      <w:start w:val="1"/>
      <w:numFmt w:val="bullet"/>
      <w:lvlText w:val=""/>
      <w:lvlJc w:val="left"/>
      <w:pPr>
        <w:ind w:left="720" w:hanging="360"/>
      </w:pPr>
      <w:rPr>
        <w:rFonts w:ascii="Symbol" w:hAnsi="Symbol" w:hint="default"/>
      </w:rPr>
    </w:lvl>
    <w:lvl w:ilvl="1" w:tplc="9126E63A">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8F11F6"/>
    <w:multiLevelType w:val="hybridMultilevel"/>
    <w:tmpl w:val="4EC0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183468">
      <w:numFmt w:val="bullet"/>
      <w:lvlText w:val="•"/>
      <w:lvlJc w:val="left"/>
      <w:pPr>
        <w:ind w:left="2160" w:hanging="360"/>
      </w:pPr>
      <w:rPr>
        <w:rFonts w:ascii="Verdana" w:eastAsiaTheme="minorHAnsi" w:hAnsi="Verdana"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9091E"/>
    <w:multiLevelType w:val="hybridMultilevel"/>
    <w:tmpl w:val="CBE00E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5D14CF3"/>
    <w:multiLevelType w:val="hybridMultilevel"/>
    <w:tmpl w:val="1194BA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7E100A4"/>
    <w:multiLevelType w:val="hybridMultilevel"/>
    <w:tmpl w:val="652A6BFA"/>
    <w:lvl w:ilvl="0" w:tplc="04090001">
      <w:start w:val="1"/>
      <w:numFmt w:val="bullet"/>
      <w:lvlText w:val=""/>
      <w:lvlJc w:val="left"/>
      <w:pPr>
        <w:ind w:left="720" w:hanging="360"/>
      </w:pPr>
      <w:rPr>
        <w:rFonts w:ascii="Symbol" w:hAnsi="Symbol"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B354F"/>
    <w:multiLevelType w:val="hybridMultilevel"/>
    <w:tmpl w:val="45E85ED6"/>
    <w:lvl w:ilvl="0" w:tplc="3D02DE28">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E172C"/>
    <w:multiLevelType w:val="hybridMultilevel"/>
    <w:tmpl w:val="E46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F1741"/>
    <w:multiLevelType w:val="hybridMultilevel"/>
    <w:tmpl w:val="93825EEA"/>
    <w:lvl w:ilvl="0" w:tplc="34608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9120529"/>
    <w:multiLevelType w:val="hybridMultilevel"/>
    <w:tmpl w:val="1AB4BAFC"/>
    <w:lvl w:ilvl="0" w:tplc="F44A55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30D16"/>
    <w:multiLevelType w:val="hybridMultilevel"/>
    <w:tmpl w:val="AD0E688C"/>
    <w:lvl w:ilvl="0" w:tplc="50BC8CF8">
      <w:start w:val="9"/>
      <w:numFmt w:val="bullet"/>
      <w:lvlText w:val="-"/>
      <w:lvlJc w:val="left"/>
      <w:pPr>
        <w:ind w:left="720" w:hanging="360"/>
      </w:pPr>
      <w:rPr>
        <w:rFonts w:ascii="Museo Sans 300" w:eastAsiaTheme="minorHAnsi" w:hAnsi="Museo Sans 3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4"/>
  </w:num>
  <w:num w:numId="5">
    <w:abstractNumId w:val="3"/>
  </w:num>
  <w:num w:numId="6">
    <w:abstractNumId w:val="2"/>
  </w:num>
  <w:num w:numId="7">
    <w:abstractNumId w:val="1"/>
  </w:num>
  <w:num w:numId="8">
    <w:abstractNumId w:val="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27"/>
  </w:num>
  <w:num w:numId="14">
    <w:abstractNumId w:val="7"/>
  </w:num>
  <w:num w:numId="15">
    <w:abstractNumId w:val="26"/>
  </w:num>
  <w:num w:numId="16">
    <w:abstractNumId w:val="11"/>
  </w:num>
  <w:num w:numId="17">
    <w:abstractNumId w:val="18"/>
  </w:num>
  <w:num w:numId="18">
    <w:abstractNumId w:val="10"/>
  </w:num>
  <w:num w:numId="19">
    <w:abstractNumId w:val="30"/>
  </w:num>
  <w:num w:numId="20">
    <w:abstractNumId w:val="25"/>
  </w:num>
  <w:num w:numId="21">
    <w:abstractNumId w:val="17"/>
  </w:num>
  <w:num w:numId="22">
    <w:abstractNumId w:val="33"/>
  </w:num>
  <w:num w:numId="23">
    <w:abstractNumId w:val="29"/>
  </w:num>
  <w:num w:numId="24">
    <w:abstractNumId w:val="9"/>
  </w:num>
  <w:num w:numId="25">
    <w:abstractNumId w:val="22"/>
  </w:num>
  <w:num w:numId="26">
    <w:abstractNumId w:val="15"/>
  </w:num>
  <w:num w:numId="27">
    <w:abstractNumId w:val="19"/>
  </w:num>
  <w:num w:numId="28">
    <w:abstractNumId w:val="8"/>
  </w:num>
  <w:num w:numId="29">
    <w:abstractNumId w:val="13"/>
  </w:num>
  <w:num w:numId="30">
    <w:abstractNumId w:val="5"/>
  </w:num>
  <w:num w:numId="31">
    <w:abstractNumId w:val="23"/>
  </w:num>
  <w:num w:numId="32">
    <w:abstractNumId w:val="31"/>
  </w:num>
  <w:num w:numId="33">
    <w:abstractNumId w:val="16"/>
  </w:num>
  <w:num w:numId="34">
    <w:abstractNumId w:val="3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32"/>
    <w:rsid w:val="00002284"/>
    <w:rsid w:val="00003022"/>
    <w:rsid w:val="000076FB"/>
    <w:rsid w:val="00011555"/>
    <w:rsid w:val="00020433"/>
    <w:rsid w:val="00022822"/>
    <w:rsid w:val="0002350B"/>
    <w:rsid w:val="00025E1C"/>
    <w:rsid w:val="000272F6"/>
    <w:rsid w:val="000273D4"/>
    <w:rsid w:val="0003003B"/>
    <w:rsid w:val="0003137C"/>
    <w:rsid w:val="00031548"/>
    <w:rsid w:val="00037AC4"/>
    <w:rsid w:val="000423BF"/>
    <w:rsid w:val="00044558"/>
    <w:rsid w:val="0004669C"/>
    <w:rsid w:val="00052891"/>
    <w:rsid w:val="00053E6D"/>
    <w:rsid w:val="000552D6"/>
    <w:rsid w:val="00055F3C"/>
    <w:rsid w:val="0006211B"/>
    <w:rsid w:val="00063DC9"/>
    <w:rsid w:val="00066E12"/>
    <w:rsid w:val="00067735"/>
    <w:rsid w:val="000722D0"/>
    <w:rsid w:val="000726BD"/>
    <w:rsid w:val="000732B4"/>
    <w:rsid w:val="000770C4"/>
    <w:rsid w:val="0008135E"/>
    <w:rsid w:val="00082AE0"/>
    <w:rsid w:val="00084B3B"/>
    <w:rsid w:val="0008761E"/>
    <w:rsid w:val="00094A6C"/>
    <w:rsid w:val="000A167A"/>
    <w:rsid w:val="000A4945"/>
    <w:rsid w:val="000A4F13"/>
    <w:rsid w:val="000B091C"/>
    <w:rsid w:val="000B31E1"/>
    <w:rsid w:val="000C2077"/>
    <w:rsid w:val="000C257F"/>
    <w:rsid w:val="000C29EB"/>
    <w:rsid w:val="000C5935"/>
    <w:rsid w:val="000D1F98"/>
    <w:rsid w:val="000D32EF"/>
    <w:rsid w:val="000D4B6F"/>
    <w:rsid w:val="000E1BA0"/>
    <w:rsid w:val="000E295F"/>
    <w:rsid w:val="000E3FDA"/>
    <w:rsid w:val="000F0A50"/>
    <w:rsid w:val="000F2319"/>
    <w:rsid w:val="000F689C"/>
    <w:rsid w:val="001011B5"/>
    <w:rsid w:val="0010512F"/>
    <w:rsid w:val="00106AA3"/>
    <w:rsid w:val="0011294D"/>
    <w:rsid w:val="0011356B"/>
    <w:rsid w:val="00113A60"/>
    <w:rsid w:val="0011709E"/>
    <w:rsid w:val="00120223"/>
    <w:rsid w:val="00121C6D"/>
    <w:rsid w:val="00124290"/>
    <w:rsid w:val="00124DCE"/>
    <w:rsid w:val="001255CA"/>
    <w:rsid w:val="00126BC6"/>
    <w:rsid w:val="00132AF5"/>
    <w:rsid w:val="0013337F"/>
    <w:rsid w:val="0013542A"/>
    <w:rsid w:val="00136239"/>
    <w:rsid w:val="0013743A"/>
    <w:rsid w:val="001374FE"/>
    <w:rsid w:val="00142839"/>
    <w:rsid w:val="00143375"/>
    <w:rsid w:val="001433E2"/>
    <w:rsid w:val="00147E0B"/>
    <w:rsid w:val="00153DE0"/>
    <w:rsid w:val="0016002D"/>
    <w:rsid w:val="00162D31"/>
    <w:rsid w:val="00163F31"/>
    <w:rsid w:val="00170441"/>
    <w:rsid w:val="0017044F"/>
    <w:rsid w:val="001739C6"/>
    <w:rsid w:val="001750EA"/>
    <w:rsid w:val="00182B84"/>
    <w:rsid w:val="0019450A"/>
    <w:rsid w:val="00194524"/>
    <w:rsid w:val="001A1684"/>
    <w:rsid w:val="001A5657"/>
    <w:rsid w:val="001A751F"/>
    <w:rsid w:val="001A77E3"/>
    <w:rsid w:val="001B04BF"/>
    <w:rsid w:val="001B36CA"/>
    <w:rsid w:val="001B4E42"/>
    <w:rsid w:val="001C369D"/>
    <w:rsid w:val="001C68E0"/>
    <w:rsid w:val="001D4C12"/>
    <w:rsid w:val="001E1313"/>
    <w:rsid w:val="001E17CD"/>
    <w:rsid w:val="001E1C59"/>
    <w:rsid w:val="001E291F"/>
    <w:rsid w:val="001E59F1"/>
    <w:rsid w:val="001E5CD8"/>
    <w:rsid w:val="001E6C2F"/>
    <w:rsid w:val="001E6CFB"/>
    <w:rsid w:val="001F593F"/>
    <w:rsid w:val="001F660C"/>
    <w:rsid w:val="002008A0"/>
    <w:rsid w:val="00201C22"/>
    <w:rsid w:val="00202065"/>
    <w:rsid w:val="0020527F"/>
    <w:rsid w:val="00206A51"/>
    <w:rsid w:val="002079C9"/>
    <w:rsid w:val="002205AB"/>
    <w:rsid w:val="002216A3"/>
    <w:rsid w:val="00233408"/>
    <w:rsid w:val="00243DB3"/>
    <w:rsid w:val="002466F5"/>
    <w:rsid w:val="00251444"/>
    <w:rsid w:val="0027067B"/>
    <w:rsid w:val="00270A4C"/>
    <w:rsid w:val="0028109C"/>
    <w:rsid w:val="0028492A"/>
    <w:rsid w:val="00285E50"/>
    <w:rsid w:val="00292747"/>
    <w:rsid w:val="00294949"/>
    <w:rsid w:val="00296BB0"/>
    <w:rsid w:val="002A010B"/>
    <w:rsid w:val="002A0B2B"/>
    <w:rsid w:val="002A0D0C"/>
    <w:rsid w:val="002A4897"/>
    <w:rsid w:val="002A59F5"/>
    <w:rsid w:val="002A60E8"/>
    <w:rsid w:val="002B29CD"/>
    <w:rsid w:val="002B6A11"/>
    <w:rsid w:val="002C2ADD"/>
    <w:rsid w:val="002C614C"/>
    <w:rsid w:val="002D1229"/>
    <w:rsid w:val="002D4748"/>
    <w:rsid w:val="002E6856"/>
    <w:rsid w:val="002E798D"/>
    <w:rsid w:val="002F0481"/>
    <w:rsid w:val="002F14A0"/>
    <w:rsid w:val="002F4FAF"/>
    <w:rsid w:val="002F7B07"/>
    <w:rsid w:val="00300018"/>
    <w:rsid w:val="00303937"/>
    <w:rsid w:val="003156C6"/>
    <w:rsid w:val="00320C82"/>
    <w:rsid w:val="00322044"/>
    <w:rsid w:val="00330862"/>
    <w:rsid w:val="0033190F"/>
    <w:rsid w:val="00331B2B"/>
    <w:rsid w:val="00332A85"/>
    <w:rsid w:val="00341042"/>
    <w:rsid w:val="00343EB0"/>
    <w:rsid w:val="00351245"/>
    <w:rsid w:val="0035369C"/>
    <w:rsid w:val="00356731"/>
    <w:rsid w:val="003572B4"/>
    <w:rsid w:val="00357D48"/>
    <w:rsid w:val="0036109E"/>
    <w:rsid w:val="00362ECA"/>
    <w:rsid w:val="00363843"/>
    <w:rsid w:val="00363B04"/>
    <w:rsid w:val="00367DF4"/>
    <w:rsid w:val="00367E1C"/>
    <w:rsid w:val="00371D19"/>
    <w:rsid w:val="00373B52"/>
    <w:rsid w:val="00375C7B"/>
    <w:rsid w:val="003771B1"/>
    <w:rsid w:val="00377C5A"/>
    <w:rsid w:val="0038150C"/>
    <w:rsid w:val="003A081B"/>
    <w:rsid w:val="003A3DBB"/>
    <w:rsid w:val="003A4B38"/>
    <w:rsid w:val="003A7BC2"/>
    <w:rsid w:val="003B0E0A"/>
    <w:rsid w:val="003B74EE"/>
    <w:rsid w:val="003C0A4D"/>
    <w:rsid w:val="003C329C"/>
    <w:rsid w:val="003C71C4"/>
    <w:rsid w:val="003C7964"/>
    <w:rsid w:val="003D2B82"/>
    <w:rsid w:val="003E398D"/>
    <w:rsid w:val="003E5FC6"/>
    <w:rsid w:val="003E7293"/>
    <w:rsid w:val="003E78DE"/>
    <w:rsid w:val="003F1FFF"/>
    <w:rsid w:val="003F318A"/>
    <w:rsid w:val="003F44D4"/>
    <w:rsid w:val="004006F8"/>
    <w:rsid w:val="00400D3A"/>
    <w:rsid w:val="0040307C"/>
    <w:rsid w:val="00415206"/>
    <w:rsid w:val="004168FD"/>
    <w:rsid w:val="00425119"/>
    <w:rsid w:val="004318A0"/>
    <w:rsid w:val="004350ED"/>
    <w:rsid w:val="004352DB"/>
    <w:rsid w:val="0045021B"/>
    <w:rsid w:val="00452F0B"/>
    <w:rsid w:val="00457AAA"/>
    <w:rsid w:val="00465C58"/>
    <w:rsid w:val="004661AA"/>
    <w:rsid w:val="00467032"/>
    <w:rsid w:val="0046754A"/>
    <w:rsid w:val="004708D2"/>
    <w:rsid w:val="004753B3"/>
    <w:rsid w:val="00482247"/>
    <w:rsid w:val="00486673"/>
    <w:rsid w:val="00486951"/>
    <w:rsid w:val="004945A6"/>
    <w:rsid w:val="00496EC4"/>
    <w:rsid w:val="004A7C21"/>
    <w:rsid w:val="004B253E"/>
    <w:rsid w:val="004B2A6A"/>
    <w:rsid w:val="004D1F25"/>
    <w:rsid w:val="004E0D9A"/>
    <w:rsid w:val="004E763C"/>
    <w:rsid w:val="004F056B"/>
    <w:rsid w:val="004F203A"/>
    <w:rsid w:val="004F22A1"/>
    <w:rsid w:val="004F7557"/>
    <w:rsid w:val="00501AD3"/>
    <w:rsid w:val="00502783"/>
    <w:rsid w:val="00507AAE"/>
    <w:rsid w:val="0051118E"/>
    <w:rsid w:val="0051148A"/>
    <w:rsid w:val="00512794"/>
    <w:rsid w:val="00515BE6"/>
    <w:rsid w:val="0051640D"/>
    <w:rsid w:val="005237D4"/>
    <w:rsid w:val="005241C8"/>
    <w:rsid w:val="00527791"/>
    <w:rsid w:val="005306CE"/>
    <w:rsid w:val="00530A7E"/>
    <w:rsid w:val="00531665"/>
    <w:rsid w:val="005336B8"/>
    <w:rsid w:val="00544326"/>
    <w:rsid w:val="00546181"/>
    <w:rsid w:val="005463F3"/>
    <w:rsid w:val="00547B5F"/>
    <w:rsid w:val="005502C0"/>
    <w:rsid w:val="005512AE"/>
    <w:rsid w:val="00555DDB"/>
    <w:rsid w:val="0055766A"/>
    <w:rsid w:val="0056081C"/>
    <w:rsid w:val="00560AED"/>
    <w:rsid w:val="00561A52"/>
    <w:rsid w:val="00561D21"/>
    <w:rsid w:val="00570434"/>
    <w:rsid w:val="005737DA"/>
    <w:rsid w:val="00574DA9"/>
    <w:rsid w:val="00582949"/>
    <w:rsid w:val="00582CBD"/>
    <w:rsid w:val="00582D7C"/>
    <w:rsid w:val="00583618"/>
    <w:rsid w:val="00583AC6"/>
    <w:rsid w:val="00591F3A"/>
    <w:rsid w:val="005948E6"/>
    <w:rsid w:val="005A0F2F"/>
    <w:rsid w:val="005A1A22"/>
    <w:rsid w:val="005A2703"/>
    <w:rsid w:val="005A2B48"/>
    <w:rsid w:val="005A303B"/>
    <w:rsid w:val="005A360D"/>
    <w:rsid w:val="005A565F"/>
    <w:rsid w:val="005A722C"/>
    <w:rsid w:val="005A7A77"/>
    <w:rsid w:val="005B04B9"/>
    <w:rsid w:val="005B2276"/>
    <w:rsid w:val="005B3A92"/>
    <w:rsid w:val="005B3B78"/>
    <w:rsid w:val="005B68C7"/>
    <w:rsid w:val="005B6BBB"/>
    <w:rsid w:val="005B7054"/>
    <w:rsid w:val="005B7C75"/>
    <w:rsid w:val="005B7DB2"/>
    <w:rsid w:val="005C3150"/>
    <w:rsid w:val="005C5ADF"/>
    <w:rsid w:val="005D231B"/>
    <w:rsid w:val="005D31F1"/>
    <w:rsid w:val="005D381F"/>
    <w:rsid w:val="005D390D"/>
    <w:rsid w:val="005D443F"/>
    <w:rsid w:val="005D477C"/>
    <w:rsid w:val="005D5981"/>
    <w:rsid w:val="005D626B"/>
    <w:rsid w:val="005F077D"/>
    <w:rsid w:val="005F30CB"/>
    <w:rsid w:val="006006C6"/>
    <w:rsid w:val="006022D4"/>
    <w:rsid w:val="0060308F"/>
    <w:rsid w:val="00607797"/>
    <w:rsid w:val="006105FB"/>
    <w:rsid w:val="00612644"/>
    <w:rsid w:val="0061551E"/>
    <w:rsid w:val="00617226"/>
    <w:rsid w:val="00626AE2"/>
    <w:rsid w:val="00633961"/>
    <w:rsid w:val="00633DFF"/>
    <w:rsid w:val="00637D29"/>
    <w:rsid w:val="00645396"/>
    <w:rsid w:val="0064612E"/>
    <w:rsid w:val="00646D89"/>
    <w:rsid w:val="006500C1"/>
    <w:rsid w:val="00650AA0"/>
    <w:rsid w:val="006531A4"/>
    <w:rsid w:val="006534B1"/>
    <w:rsid w:val="0067054C"/>
    <w:rsid w:val="006746C8"/>
    <w:rsid w:val="00674C9E"/>
    <w:rsid w:val="00674CCD"/>
    <w:rsid w:val="00690020"/>
    <w:rsid w:val="006912D1"/>
    <w:rsid w:val="006937D1"/>
    <w:rsid w:val="00696C9F"/>
    <w:rsid w:val="006A04C9"/>
    <w:rsid w:val="006A1B9C"/>
    <w:rsid w:val="006A461C"/>
    <w:rsid w:val="006A6D2A"/>
    <w:rsid w:val="006B50F3"/>
    <w:rsid w:val="006C14D2"/>
    <w:rsid w:val="006C4688"/>
    <w:rsid w:val="006D21F1"/>
    <w:rsid w:val="006D3069"/>
    <w:rsid w:val="006D31FC"/>
    <w:rsid w:val="006D471D"/>
    <w:rsid w:val="006E0458"/>
    <w:rsid w:val="006E0904"/>
    <w:rsid w:val="006E287A"/>
    <w:rsid w:val="006E37D6"/>
    <w:rsid w:val="006E51C6"/>
    <w:rsid w:val="006E6BAF"/>
    <w:rsid w:val="006F0BCA"/>
    <w:rsid w:val="006F1822"/>
    <w:rsid w:val="006F27B1"/>
    <w:rsid w:val="006F5826"/>
    <w:rsid w:val="00700181"/>
    <w:rsid w:val="00700658"/>
    <w:rsid w:val="0070149D"/>
    <w:rsid w:val="00701682"/>
    <w:rsid w:val="00701AEF"/>
    <w:rsid w:val="00705F0F"/>
    <w:rsid w:val="007068EB"/>
    <w:rsid w:val="00706F69"/>
    <w:rsid w:val="0070742E"/>
    <w:rsid w:val="007141CF"/>
    <w:rsid w:val="00714483"/>
    <w:rsid w:val="00720F1F"/>
    <w:rsid w:val="00723009"/>
    <w:rsid w:val="00726C95"/>
    <w:rsid w:val="0072787D"/>
    <w:rsid w:val="007373DB"/>
    <w:rsid w:val="00740FBB"/>
    <w:rsid w:val="007418E7"/>
    <w:rsid w:val="00745146"/>
    <w:rsid w:val="00756AEC"/>
    <w:rsid w:val="007577E3"/>
    <w:rsid w:val="00760DB3"/>
    <w:rsid w:val="00761809"/>
    <w:rsid w:val="0076355D"/>
    <w:rsid w:val="0076374D"/>
    <w:rsid w:val="0077396A"/>
    <w:rsid w:val="0078092B"/>
    <w:rsid w:val="00782DD5"/>
    <w:rsid w:val="00790279"/>
    <w:rsid w:val="007925DF"/>
    <w:rsid w:val="007A449C"/>
    <w:rsid w:val="007A6848"/>
    <w:rsid w:val="007A7299"/>
    <w:rsid w:val="007B4DCB"/>
    <w:rsid w:val="007C3796"/>
    <w:rsid w:val="007D08CC"/>
    <w:rsid w:val="007D4E85"/>
    <w:rsid w:val="007E0E99"/>
    <w:rsid w:val="007E1DAB"/>
    <w:rsid w:val="007E3680"/>
    <w:rsid w:val="007E6507"/>
    <w:rsid w:val="007F1150"/>
    <w:rsid w:val="007F219A"/>
    <w:rsid w:val="007F2B8E"/>
    <w:rsid w:val="007F32D1"/>
    <w:rsid w:val="00800D8F"/>
    <w:rsid w:val="00803B0F"/>
    <w:rsid w:val="00807247"/>
    <w:rsid w:val="00816CBC"/>
    <w:rsid w:val="00820B58"/>
    <w:rsid w:val="00825274"/>
    <w:rsid w:val="00833816"/>
    <w:rsid w:val="00836D92"/>
    <w:rsid w:val="00840C2B"/>
    <w:rsid w:val="00840D4F"/>
    <w:rsid w:val="008515BB"/>
    <w:rsid w:val="00851FB5"/>
    <w:rsid w:val="0085251D"/>
    <w:rsid w:val="008627F7"/>
    <w:rsid w:val="00863EAE"/>
    <w:rsid w:val="00867C85"/>
    <w:rsid w:val="008709FD"/>
    <w:rsid w:val="008739FD"/>
    <w:rsid w:val="00874EF2"/>
    <w:rsid w:val="00874F6A"/>
    <w:rsid w:val="0087536A"/>
    <w:rsid w:val="00881C61"/>
    <w:rsid w:val="00884659"/>
    <w:rsid w:val="008846F5"/>
    <w:rsid w:val="008851CC"/>
    <w:rsid w:val="008922A1"/>
    <w:rsid w:val="00892D3F"/>
    <w:rsid w:val="00893E85"/>
    <w:rsid w:val="008949F4"/>
    <w:rsid w:val="008963AC"/>
    <w:rsid w:val="008A38A8"/>
    <w:rsid w:val="008A5E2B"/>
    <w:rsid w:val="008A64AE"/>
    <w:rsid w:val="008B64D6"/>
    <w:rsid w:val="008C181A"/>
    <w:rsid w:val="008C253D"/>
    <w:rsid w:val="008C33A8"/>
    <w:rsid w:val="008C5CBC"/>
    <w:rsid w:val="008C7AAF"/>
    <w:rsid w:val="008C7C65"/>
    <w:rsid w:val="008C7D26"/>
    <w:rsid w:val="008D5728"/>
    <w:rsid w:val="008E372C"/>
    <w:rsid w:val="008E6589"/>
    <w:rsid w:val="008F08DC"/>
    <w:rsid w:val="008F4D9C"/>
    <w:rsid w:val="00903D5B"/>
    <w:rsid w:val="00912D5E"/>
    <w:rsid w:val="00913076"/>
    <w:rsid w:val="00914F0B"/>
    <w:rsid w:val="00920EC6"/>
    <w:rsid w:val="00923F55"/>
    <w:rsid w:val="00925F96"/>
    <w:rsid w:val="00926F30"/>
    <w:rsid w:val="009326A4"/>
    <w:rsid w:val="00935CA8"/>
    <w:rsid w:val="00952323"/>
    <w:rsid w:val="00954CB7"/>
    <w:rsid w:val="00955343"/>
    <w:rsid w:val="00955503"/>
    <w:rsid w:val="00955FC3"/>
    <w:rsid w:val="00957CF0"/>
    <w:rsid w:val="0096126A"/>
    <w:rsid w:val="00975D0A"/>
    <w:rsid w:val="00977A53"/>
    <w:rsid w:val="00980ED2"/>
    <w:rsid w:val="009820EA"/>
    <w:rsid w:val="00985D85"/>
    <w:rsid w:val="00986BB2"/>
    <w:rsid w:val="00987670"/>
    <w:rsid w:val="009960BD"/>
    <w:rsid w:val="0099795C"/>
    <w:rsid w:val="009A0BE0"/>
    <w:rsid w:val="009A6F54"/>
    <w:rsid w:val="009B0753"/>
    <w:rsid w:val="009B20FA"/>
    <w:rsid w:val="009C4C74"/>
    <w:rsid w:val="009D3004"/>
    <w:rsid w:val="009D349E"/>
    <w:rsid w:val="009D3B8F"/>
    <w:rsid w:val="009E13BE"/>
    <w:rsid w:val="009E65F7"/>
    <w:rsid w:val="009E666F"/>
    <w:rsid w:val="009F182E"/>
    <w:rsid w:val="009F1F9A"/>
    <w:rsid w:val="00A000B9"/>
    <w:rsid w:val="00A0134F"/>
    <w:rsid w:val="00A12735"/>
    <w:rsid w:val="00A13FB0"/>
    <w:rsid w:val="00A20932"/>
    <w:rsid w:val="00A250EB"/>
    <w:rsid w:val="00A256C2"/>
    <w:rsid w:val="00A275BA"/>
    <w:rsid w:val="00A27A72"/>
    <w:rsid w:val="00A3512D"/>
    <w:rsid w:val="00A35E2F"/>
    <w:rsid w:val="00A41DD8"/>
    <w:rsid w:val="00A43AE1"/>
    <w:rsid w:val="00A47031"/>
    <w:rsid w:val="00A57B9C"/>
    <w:rsid w:val="00A6057A"/>
    <w:rsid w:val="00A611DB"/>
    <w:rsid w:val="00A635A6"/>
    <w:rsid w:val="00A72A1D"/>
    <w:rsid w:val="00A74017"/>
    <w:rsid w:val="00A82C46"/>
    <w:rsid w:val="00A866E8"/>
    <w:rsid w:val="00A91C9C"/>
    <w:rsid w:val="00AA332C"/>
    <w:rsid w:val="00AA7699"/>
    <w:rsid w:val="00AB0785"/>
    <w:rsid w:val="00AB30AC"/>
    <w:rsid w:val="00AC0FC4"/>
    <w:rsid w:val="00AC2035"/>
    <w:rsid w:val="00AC27F8"/>
    <w:rsid w:val="00AC4E5C"/>
    <w:rsid w:val="00AC691F"/>
    <w:rsid w:val="00AD1FC5"/>
    <w:rsid w:val="00AD465F"/>
    <w:rsid w:val="00AD4C72"/>
    <w:rsid w:val="00AE1BED"/>
    <w:rsid w:val="00AE2AEE"/>
    <w:rsid w:val="00AE4A7C"/>
    <w:rsid w:val="00AE56D3"/>
    <w:rsid w:val="00AF2B14"/>
    <w:rsid w:val="00AF2FF5"/>
    <w:rsid w:val="00AF4C2E"/>
    <w:rsid w:val="00AF5F69"/>
    <w:rsid w:val="00AF7B85"/>
    <w:rsid w:val="00B00276"/>
    <w:rsid w:val="00B16397"/>
    <w:rsid w:val="00B230EC"/>
    <w:rsid w:val="00B27DE8"/>
    <w:rsid w:val="00B360E6"/>
    <w:rsid w:val="00B366F1"/>
    <w:rsid w:val="00B40BBC"/>
    <w:rsid w:val="00B40C36"/>
    <w:rsid w:val="00B410ED"/>
    <w:rsid w:val="00B43564"/>
    <w:rsid w:val="00B436A5"/>
    <w:rsid w:val="00B45DE1"/>
    <w:rsid w:val="00B4778A"/>
    <w:rsid w:val="00B479C3"/>
    <w:rsid w:val="00B50655"/>
    <w:rsid w:val="00B52738"/>
    <w:rsid w:val="00B52792"/>
    <w:rsid w:val="00B56EDC"/>
    <w:rsid w:val="00B61447"/>
    <w:rsid w:val="00B62C89"/>
    <w:rsid w:val="00B6465D"/>
    <w:rsid w:val="00B71B8E"/>
    <w:rsid w:val="00B74411"/>
    <w:rsid w:val="00B74992"/>
    <w:rsid w:val="00B75F3D"/>
    <w:rsid w:val="00B76411"/>
    <w:rsid w:val="00B77237"/>
    <w:rsid w:val="00B77B28"/>
    <w:rsid w:val="00B85747"/>
    <w:rsid w:val="00B9207D"/>
    <w:rsid w:val="00B95B55"/>
    <w:rsid w:val="00B96DEA"/>
    <w:rsid w:val="00BA2929"/>
    <w:rsid w:val="00BA3247"/>
    <w:rsid w:val="00BB1F84"/>
    <w:rsid w:val="00BB38D7"/>
    <w:rsid w:val="00BC1A49"/>
    <w:rsid w:val="00BC24E9"/>
    <w:rsid w:val="00BC71F7"/>
    <w:rsid w:val="00BE5468"/>
    <w:rsid w:val="00BE6BB4"/>
    <w:rsid w:val="00C1016D"/>
    <w:rsid w:val="00C10E5E"/>
    <w:rsid w:val="00C11897"/>
    <w:rsid w:val="00C11EAC"/>
    <w:rsid w:val="00C13AA8"/>
    <w:rsid w:val="00C15F6D"/>
    <w:rsid w:val="00C1669D"/>
    <w:rsid w:val="00C167B2"/>
    <w:rsid w:val="00C16A07"/>
    <w:rsid w:val="00C20346"/>
    <w:rsid w:val="00C26621"/>
    <w:rsid w:val="00C305D7"/>
    <w:rsid w:val="00C30994"/>
    <w:rsid w:val="00C30F2A"/>
    <w:rsid w:val="00C35EC0"/>
    <w:rsid w:val="00C37395"/>
    <w:rsid w:val="00C37EBC"/>
    <w:rsid w:val="00C4183B"/>
    <w:rsid w:val="00C43456"/>
    <w:rsid w:val="00C501EF"/>
    <w:rsid w:val="00C50EA3"/>
    <w:rsid w:val="00C517FF"/>
    <w:rsid w:val="00C5501E"/>
    <w:rsid w:val="00C56E45"/>
    <w:rsid w:val="00C607DE"/>
    <w:rsid w:val="00C62785"/>
    <w:rsid w:val="00C64817"/>
    <w:rsid w:val="00C65C0C"/>
    <w:rsid w:val="00C66293"/>
    <w:rsid w:val="00C75A29"/>
    <w:rsid w:val="00C808FC"/>
    <w:rsid w:val="00C82468"/>
    <w:rsid w:val="00C85E0F"/>
    <w:rsid w:val="00C90AA4"/>
    <w:rsid w:val="00C95695"/>
    <w:rsid w:val="00CA4F51"/>
    <w:rsid w:val="00CB05BD"/>
    <w:rsid w:val="00CB2138"/>
    <w:rsid w:val="00CC11C2"/>
    <w:rsid w:val="00CC17FA"/>
    <w:rsid w:val="00CC18DC"/>
    <w:rsid w:val="00CC1A1F"/>
    <w:rsid w:val="00CC733E"/>
    <w:rsid w:val="00CD567A"/>
    <w:rsid w:val="00CD7D97"/>
    <w:rsid w:val="00CE038E"/>
    <w:rsid w:val="00CE1989"/>
    <w:rsid w:val="00CE3A49"/>
    <w:rsid w:val="00CE3EE6"/>
    <w:rsid w:val="00CE4BA1"/>
    <w:rsid w:val="00CF0ABC"/>
    <w:rsid w:val="00CF5962"/>
    <w:rsid w:val="00CF7FF5"/>
    <w:rsid w:val="00D000C7"/>
    <w:rsid w:val="00D02DF1"/>
    <w:rsid w:val="00D03761"/>
    <w:rsid w:val="00D16532"/>
    <w:rsid w:val="00D17CFB"/>
    <w:rsid w:val="00D21908"/>
    <w:rsid w:val="00D221B8"/>
    <w:rsid w:val="00D23CEC"/>
    <w:rsid w:val="00D324AC"/>
    <w:rsid w:val="00D34D5F"/>
    <w:rsid w:val="00D35B08"/>
    <w:rsid w:val="00D42BF0"/>
    <w:rsid w:val="00D42D75"/>
    <w:rsid w:val="00D43AE8"/>
    <w:rsid w:val="00D4647C"/>
    <w:rsid w:val="00D52A9D"/>
    <w:rsid w:val="00D537BA"/>
    <w:rsid w:val="00D55AAD"/>
    <w:rsid w:val="00D62BA6"/>
    <w:rsid w:val="00D65D09"/>
    <w:rsid w:val="00D70BF9"/>
    <w:rsid w:val="00D747AE"/>
    <w:rsid w:val="00D7527E"/>
    <w:rsid w:val="00D806A3"/>
    <w:rsid w:val="00D874CD"/>
    <w:rsid w:val="00D87A18"/>
    <w:rsid w:val="00D90F64"/>
    <w:rsid w:val="00D9226C"/>
    <w:rsid w:val="00D92CBB"/>
    <w:rsid w:val="00DA20BD"/>
    <w:rsid w:val="00DA2D67"/>
    <w:rsid w:val="00DA3394"/>
    <w:rsid w:val="00DA62CA"/>
    <w:rsid w:val="00DB6528"/>
    <w:rsid w:val="00DB79FE"/>
    <w:rsid w:val="00DC0217"/>
    <w:rsid w:val="00DC327F"/>
    <w:rsid w:val="00DC7009"/>
    <w:rsid w:val="00DD2C49"/>
    <w:rsid w:val="00DE11FF"/>
    <w:rsid w:val="00DE50DB"/>
    <w:rsid w:val="00DF5BF4"/>
    <w:rsid w:val="00DF6AE1"/>
    <w:rsid w:val="00DF7470"/>
    <w:rsid w:val="00E00023"/>
    <w:rsid w:val="00E03563"/>
    <w:rsid w:val="00E12E6B"/>
    <w:rsid w:val="00E12FCA"/>
    <w:rsid w:val="00E13A66"/>
    <w:rsid w:val="00E160E1"/>
    <w:rsid w:val="00E21F03"/>
    <w:rsid w:val="00E2654B"/>
    <w:rsid w:val="00E4087B"/>
    <w:rsid w:val="00E45863"/>
    <w:rsid w:val="00E46AE8"/>
    <w:rsid w:val="00E46FD5"/>
    <w:rsid w:val="00E50ED2"/>
    <w:rsid w:val="00E52E09"/>
    <w:rsid w:val="00E544BB"/>
    <w:rsid w:val="00E55C92"/>
    <w:rsid w:val="00E56545"/>
    <w:rsid w:val="00E57276"/>
    <w:rsid w:val="00E61C98"/>
    <w:rsid w:val="00E63B6C"/>
    <w:rsid w:val="00E642F5"/>
    <w:rsid w:val="00E66167"/>
    <w:rsid w:val="00E74EA7"/>
    <w:rsid w:val="00E80DA7"/>
    <w:rsid w:val="00E81C84"/>
    <w:rsid w:val="00E83976"/>
    <w:rsid w:val="00E93264"/>
    <w:rsid w:val="00E93CDB"/>
    <w:rsid w:val="00E9619E"/>
    <w:rsid w:val="00E96F46"/>
    <w:rsid w:val="00EA3951"/>
    <w:rsid w:val="00EA5D4F"/>
    <w:rsid w:val="00EB6C56"/>
    <w:rsid w:val="00EB7232"/>
    <w:rsid w:val="00EC5158"/>
    <w:rsid w:val="00EC5BC0"/>
    <w:rsid w:val="00EC6588"/>
    <w:rsid w:val="00ED0130"/>
    <w:rsid w:val="00ED1D47"/>
    <w:rsid w:val="00ED54E0"/>
    <w:rsid w:val="00EE2031"/>
    <w:rsid w:val="00EE3BE0"/>
    <w:rsid w:val="00EE5AE5"/>
    <w:rsid w:val="00EF01EA"/>
    <w:rsid w:val="00EF0D6E"/>
    <w:rsid w:val="00F02CA3"/>
    <w:rsid w:val="00F05158"/>
    <w:rsid w:val="00F07285"/>
    <w:rsid w:val="00F13BB5"/>
    <w:rsid w:val="00F14B27"/>
    <w:rsid w:val="00F170A9"/>
    <w:rsid w:val="00F32397"/>
    <w:rsid w:val="00F35F01"/>
    <w:rsid w:val="00F40595"/>
    <w:rsid w:val="00F42888"/>
    <w:rsid w:val="00F42F0C"/>
    <w:rsid w:val="00F44D9F"/>
    <w:rsid w:val="00F528AB"/>
    <w:rsid w:val="00F56758"/>
    <w:rsid w:val="00F63BE3"/>
    <w:rsid w:val="00F6527C"/>
    <w:rsid w:val="00F71408"/>
    <w:rsid w:val="00F76789"/>
    <w:rsid w:val="00F9602F"/>
    <w:rsid w:val="00FA1CB8"/>
    <w:rsid w:val="00FA5EBC"/>
    <w:rsid w:val="00FA6144"/>
    <w:rsid w:val="00FA7CFA"/>
    <w:rsid w:val="00FB1A29"/>
    <w:rsid w:val="00FB5DDB"/>
    <w:rsid w:val="00FB6A8F"/>
    <w:rsid w:val="00FD224A"/>
    <w:rsid w:val="00FD6ED7"/>
    <w:rsid w:val="00FE4CC3"/>
    <w:rsid w:val="00FF4055"/>
    <w:rsid w:val="00FF4616"/>
    <w:rsid w:val="00FF4878"/>
    <w:rsid w:val="00FF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0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32"/>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11"/>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11"/>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11"/>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11"/>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11"/>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11"/>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11"/>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11"/>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11"/>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9D3004"/>
    <w:pPr>
      <w:tabs>
        <w:tab w:val="right" w:leader="dot" w:pos="9027"/>
      </w:tabs>
      <w:spacing w:before="120" w:after="120"/>
      <w:ind w:right="95"/>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style>
  <w:style w:type="paragraph" w:styleId="ListParagraph">
    <w:name w:val="List Paragraph"/>
    <w:aliases w:val="List Paragraph 1,List Paragraph1,Issue Action POC,3,POCG Table Text,Dot pt,F5 List Paragraph,List Paragraph Char Char Char,Indicator Text,Colorful List - Accent 11,Numbered Para 1,Bullet 1,Bullet Points,List Paragraph2,MAIN CONTENT"/>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4"/>
      </w:numPr>
      <w:contextualSpacing/>
    </w:pPr>
  </w:style>
  <w:style w:type="paragraph" w:styleId="ListNumber2">
    <w:name w:val="List Number 2"/>
    <w:basedOn w:val="Normal"/>
    <w:uiPriority w:val="49"/>
    <w:semiHidden/>
    <w:unhideWhenUsed/>
    <w:rsid w:val="00547B5F"/>
    <w:pPr>
      <w:numPr>
        <w:numId w:val="5"/>
      </w:numPr>
      <w:contextualSpacing/>
    </w:pPr>
  </w:style>
  <w:style w:type="paragraph" w:styleId="ListNumber3">
    <w:name w:val="List Number 3"/>
    <w:basedOn w:val="Normal"/>
    <w:uiPriority w:val="49"/>
    <w:semiHidden/>
    <w:unhideWhenUsed/>
    <w:rsid w:val="00547B5F"/>
    <w:pPr>
      <w:numPr>
        <w:numId w:val="6"/>
      </w:numPr>
      <w:contextualSpacing/>
    </w:pPr>
  </w:style>
  <w:style w:type="paragraph" w:styleId="ListNumber4">
    <w:name w:val="List Number 4"/>
    <w:basedOn w:val="Normal"/>
    <w:uiPriority w:val="49"/>
    <w:semiHidden/>
    <w:unhideWhenUsed/>
    <w:rsid w:val="00547B5F"/>
    <w:pPr>
      <w:numPr>
        <w:numId w:val="7"/>
      </w:numPr>
      <w:contextualSpacing/>
    </w:pPr>
  </w:style>
  <w:style w:type="paragraph" w:styleId="ListNumber5">
    <w:name w:val="List Number 5"/>
    <w:basedOn w:val="Normal"/>
    <w:uiPriority w:val="49"/>
    <w:semiHidden/>
    <w:unhideWhenUsed/>
    <w:rsid w:val="00547B5F"/>
    <w:pPr>
      <w:numPr>
        <w:numId w:val="8"/>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styleId="UnresolvedMention">
    <w:name w:val="Unresolved Mention"/>
    <w:basedOn w:val="DefaultParagraphFont"/>
    <w:uiPriority w:val="99"/>
    <w:semiHidden/>
    <w:unhideWhenUsed/>
    <w:rsid w:val="00066E12"/>
    <w:rPr>
      <w:color w:val="808080"/>
      <w:shd w:val="clear" w:color="auto" w:fill="E6E6E6"/>
    </w:rPr>
  </w:style>
  <w:style w:type="character" w:customStyle="1" w:styleId="ListParagraphChar">
    <w:name w:val="List Paragraph Char"/>
    <w:aliases w:val="List Paragraph 1 Char,List Paragraph1 Char,Issue Action POC Char,3 Char,POCG Table Text Char,Dot pt Char,F5 List Paragraph Char,List Paragraph Char Char Char Char,Indicator Text Char,Colorful List - Accent 11 Char,Bullet 1 Char"/>
    <w:basedOn w:val="DefaultParagraphFont"/>
    <w:link w:val="ListParagraph"/>
    <w:uiPriority w:val="34"/>
    <w:qFormat/>
    <w:locked/>
    <w:rsid w:val="007F219A"/>
    <w:rPr>
      <w:rFonts w:ascii="Verdana" w:eastAsia="Calibri" w:hAnsi="Verdana" w:cs="Times New Roman"/>
      <w:sz w:val="18"/>
    </w:rPr>
  </w:style>
  <w:style w:type="paragraph" w:customStyle="1" w:styleId="Default">
    <w:name w:val="Default"/>
    <w:rsid w:val="007F219A"/>
    <w:pPr>
      <w:autoSpaceDE w:val="0"/>
      <w:autoSpaceDN w:val="0"/>
      <w:adjustRightInd w:val="0"/>
      <w:spacing w:after="0" w:line="240" w:lineRule="auto"/>
    </w:pPr>
    <w:rPr>
      <w:rFonts w:ascii="Times New Roman" w:hAnsi="Times New Roman" w:cs="Times New Roman"/>
      <w:color w:val="000000"/>
      <w:sz w:val="24"/>
      <w:szCs w:val="24"/>
      <w:lang w:val="fr-CH"/>
    </w:rPr>
  </w:style>
  <w:style w:type="paragraph" w:customStyle="1" w:styleId="Body">
    <w:name w:val="Body"/>
    <w:rsid w:val="000E3FDA"/>
    <w:pPr>
      <w:spacing w:after="0" w:line="240" w:lineRule="auto"/>
    </w:pPr>
    <w:rPr>
      <w:rFonts w:ascii="Helvetica Neue" w:eastAsia="Arial Unicode MS" w:hAnsi="Helvetica Neue" w:cs="Arial Unicode MS"/>
      <w:color w:val="000000"/>
      <w:lang w:val="fr-FR" w:eastAsia="en-GB"/>
      <w14:textOutline w14:w="0" w14:cap="flat" w14:cmpd="sng" w14:algn="ctr">
        <w14:noFill/>
        <w14:prstDash w14:val="solid"/>
        <w14:bevel/>
      </w14:textOutline>
    </w:rPr>
  </w:style>
  <w:style w:type="paragraph" w:customStyle="1" w:styleId="BodyA">
    <w:name w:val="Body A"/>
    <w:rsid w:val="000E3FDA"/>
    <w:pPr>
      <w:spacing w:after="0" w:line="240" w:lineRule="auto"/>
    </w:pPr>
    <w:rPr>
      <w:rFonts w:ascii="Helvetica Neue" w:eastAsia="Arial Unicode MS" w:hAnsi="Helvetica Neue" w:cs="Arial Unicode MS"/>
      <w:color w:val="000000"/>
      <w:u w:color="000000"/>
      <w:lang w:val="fr-FR"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7361">
      <w:bodyDiv w:val="1"/>
      <w:marLeft w:val="0"/>
      <w:marRight w:val="0"/>
      <w:marTop w:val="0"/>
      <w:marBottom w:val="0"/>
      <w:divBdr>
        <w:top w:val="none" w:sz="0" w:space="0" w:color="auto"/>
        <w:left w:val="none" w:sz="0" w:space="0" w:color="auto"/>
        <w:bottom w:val="none" w:sz="0" w:space="0" w:color="auto"/>
        <w:right w:val="none" w:sz="0" w:space="0" w:color="auto"/>
      </w:divBdr>
    </w:div>
    <w:div w:id="41441329">
      <w:bodyDiv w:val="1"/>
      <w:marLeft w:val="0"/>
      <w:marRight w:val="0"/>
      <w:marTop w:val="0"/>
      <w:marBottom w:val="0"/>
      <w:divBdr>
        <w:top w:val="none" w:sz="0" w:space="0" w:color="auto"/>
        <w:left w:val="none" w:sz="0" w:space="0" w:color="auto"/>
        <w:bottom w:val="none" w:sz="0" w:space="0" w:color="auto"/>
        <w:right w:val="none" w:sz="0" w:space="0" w:color="auto"/>
      </w:divBdr>
    </w:div>
    <w:div w:id="67655437">
      <w:bodyDiv w:val="1"/>
      <w:marLeft w:val="0"/>
      <w:marRight w:val="0"/>
      <w:marTop w:val="0"/>
      <w:marBottom w:val="0"/>
      <w:divBdr>
        <w:top w:val="none" w:sz="0" w:space="0" w:color="auto"/>
        <w:left w:val="none" w:sz="0" w:space="0" w:color="auto"/>
        <w:bottom w:val="none" w:sz="0" w:space="0" w:color="auto"/>
        <w:right w:val="none" w:sz="0" w:space="0" w:color="auto"/>
      </w:divBdr>
    </w:div>
    <w:div w:id="74480421">
      <w:bodyDiv w:val="1"/>
      <w:marLeft w:val="0"/>
      <w:marRight w:val="0"/>
      <w:marTop w:val="0"/>
      <w:marBottom w:val="0"/>
      <w:divBdr>
        <w:top w:val="none" w:sz="0" w:space="0" w:color="auto"/>
        <w:left w:val="none" w:sz="0" w:space="0" w:color="auto"/>
        <w:bottom w:val="none" w:sz="0" w:space="0" w:color="auto"/>
        <w:right w:val="none" w:sz="0" w:space="0" w:color="auto"/>
      </w:divBdr>
    </w:div>
    <w:div w:id="97914894">
      <w:bodyDiv w:val="1"/>
      <w:marLeft w:val="0"/>
      <w:marRight w:val="0"/>
      <w:marTop w:val="0"/>
      <w:marBottom w:val="0"/>
      <w:divBdr>
        <w:top w:val="none" w:sz="0" w:space="0" w:color="auto"/>
        <w:left w:val="none" w:sz="0" w:space="0" w:color="auto"/>
        <w:bottom w:val="none" w:sz="0" w:space="0" w:color="auto"/>
        <w:right w:val="none" w:sz="0" w:space="0" w:color="auto"/>
      </w:divBdr>
    </w:div>
    <w:div w:id="101386089">
      <w:bodyDiv w:val="1"/>
      <w:marLeft w:val="0"/>
      <w:marRight w:val="0"/>
      <w:marTop w:val="0"/>
      <w:marBottom w:val="0"/>
      <w:divBdr>
        <w:top w:val="none" w:sz="0" w:space="0" w:color="auto"/>
        <w:left w:val="none" w:sz="0" w:space="0" w:color="auto"/>
        <w:bottom w:val="none" w:sz="0" w:space="0" w:color="auto"/>
        <w:right w:val="none" w:sz="0" w:space="0" w:color="auto"/>
      </w:divBdr>
    </w:div>
    <w:div w:id="129129730">
      <w:bodyDiv w:val="1"/>
      <w:marLeft w:val="0"/>
      <w:marRight w:val="0"/>
      <w:marTop w:val="0"/>
      <w:marBottom w:val="0"/>
      <w:divBdr>
        <w:top w:val="none" w:sz="0" w:space="0" w:color="auto"/>
        <w:left w:val="none" w:sz="0" w:space="0" w:color="auto"/>
        <w:bottom w:val="none" w:sz="0" w:space="0" w:color="auto"/>
        <w:right w:val="none" w:sz="0" w:space="0" w:color="auto"/>
      </w:divBdr>
    </w:div>
    <w:div w:id="144204216">
      <w:bodyDiv w:val="1"/>
      <w:marLeft w:val="0"/>
      <w:marRight w:val="0"/>
      <w:marTop w:val="0"/>
      <w:marBottom w:val="0"/>
      <w:divBdr>
        <w:top w:val="none" w:sz="0" w:space="0" w:color="auto"/>
        <w:left w:val="none" w:sz="0" w:space="0" w:color="auto"/>
        <w:bottom w:val="none" w:sz="0" w:space="0" w:color="auto"/>
        <w:right w:val="none" w:sz="0" w:space="0" w:color="auto"/>
      </w:divBdr>
    </w:div>
    <w:div w:id="189220429">
      <w:bodyDiv w:val="1"/>
      <w:marLeft w:val="0"/>
      <w:marRight w:val="0"/>
      <w:marTop w:val="0"/>
      <w:marBottom w:val="0"/>
      <w:divBdr>
        <w:top w:val="none" w:sz="0" w:space="0" w:color="auto"/>
        <w:left w:val="none" w:sz="0" w:space="0" w:color="auto"/>
        <w:bottom w:val="none" w:sz="0" w:space="0" w:color="auto"/>
        <w:right w:val="none" w:sz="0" w:space="0" w:color="auto"/>
      </w:divBdr>
    </w:div>
    <w:div w:id="274024293">
      <w:bodyDiv w:val="1"/>
      <w:marLeft w:val="0"/>
      <w:marRight w:val="0"/>
      <w:marTop w:val="0"/>
      <w:marBottom w:val="0"/>
      <w:divBdr>
        <w:top w:val="none" w:sz="0" w:space="0" w:color="auto"/>
        <w:left w:val="none" w:sz="0" w:space="0" w:color="auto"/>
        <w:bottom w:val="none" w:sz="0" w:space="0" w:color="auto"/>
        <w:right w:val="none" w:sz="0" w:space="0" w:color="auto"/>
      </w:divBdr>
    </w:div>
    <w:div w:id="287589901">
      <w:bodyDiv w:val="1"/>
      <w:marLeft w:val="0"/>
      <w:marRight w:val="0"/>
      <w:marTop w:val="0"/>
      <w:marBottom w:val="0"/>
      <w:divBdr>
        <w:top w:val="none" w:sz="0" w:space="0" w:color="auto"/>
        <w:left w:val="none" w:sz="0" w:space="0" w:color="auto"/>
        <w:bottom w:val="none" w:sz="0" w:space="0" w:color="auto"/>
        <w:right w:val="none" w:sz="0" w:space="0" w:color="auto"/>
      </w:divBdr>
    </w:div>
    <w:div w:id="328410616">
      <w:bodyDiv w:val="1"/>
      <w:marLeft w:val="0"/>
      <w:marRight w:val="0"/>
      <w:marTop w:val="0"/>
      <w:marBottom w:val="0"/>
      <w:divBdr>
        <w:top w:val="none" w:sz="0" w:space="0" w:color="auto"/>
        <w:left w:val="none" w:sz="0" w:space="0" w:color="auto"/>
        <w:bottom w:val="none" w:sz="0" w:space="0" w:color="auto"/>
        <w:right w:val="none" w:sz="0" w:space="0" w:color="auto"/>
      </w:divBdr>
      <w:divsChild>
        <w:div w:id="685717361">
          <w:marLeft w:val="0"/>
          <w:marRight w:val="0"/>
          <w:marTop w:val="0"/>
          <w:marBottom w:val="0"/>
          <w:divBdr>
            <w:top w:val="none" w:sz="0" w:space="0" w:color="auto"/>
            <w:left w:val="none" w:sz="0" w:space="0" w:color="auto"/>
            <w:bottom w:val="none" w:sz="0" w:space="0" w:color="auto"/>
            <w:right w:val="none" w:sz="0" w:space="0" w:color="auto"/>
          </w:divBdr>
        </w:div>
      </w:divsChild>
    </w:div>
    <w:div w:id="330914260">
      <w:bodyDiv w:val="1"/>
      <w:marLeft w:val="0"/>
      <w:marRight w:val="0"/>
      <w:marTop w:val="0"/>
      <w:marBottom w:val="0"/>
      <w:divBdr>
        <w:top w:val="none" w:sz="0" w:space="0" w:color="auto"/>
        <w:left w:val="none" w:sz="0" w:space="0" w:color="auto"/>
        <w:bottom w:val="none" w:sz="0" w:space="0" w:color="auto"/>
        <w:right w:val="none" w:sz="0" w:space="0" w:color="auto"/>
      </w:divBdr>
    </w:div>
    <w:div w:id="364015632">
      <w:bodyDiv w:val="1"/>
      <w:marLeft w:val="0"/>
      <w:marRight w:val="0"/>
      <w:marTop w:val="0"/>
      <w:marBottom w:val="0"/>
      <w:divBdr>
        <w:top w:val="none" w:sz="0" w:space="0" w:color="auto"/>
        <w:left w:val="none" w:sz="0" w:space="0" w:color="auto"/>
        <w:bottom w:val="none" w:sz="0" w:space="0" w:color="auto"/>
        <w:right w:val="none" w:sz="0" w:space="0" w:color="auto"/>
      </w:divBdr>
    </w:div>
    <w:div w:id="439111222">
      <w:bodyDiv w:val="1"/>
      <w:marLeft w:val="0"/>
      <w:marRight w:val="0"/>
      <w:marTop w:val="0"/>
      <w:marBottom w:val="0"/>
      <w:divBdr>
        <w:top w:val="none" w:sz="0" w:space="0" w:color="auto"/>
        <w:left w:val="none" w:sz="0" w:space="0" w:color="auto"/>
        <w:bottom w:val="none" w:sz="0" w:space="0" w:color="auto"/>
        <w:right w:val="none" w:sz="0" w:space="0" w:color="auto"/>
      </w:divBdr>
    </w:div>
    <w:div w:id="465313996">
      <w:bodyDiv w:val="1"/>
      <w:marLeft w:val="0"/>
      <w:marRight w:val="0"/>
      <w:marTop w:val="0"/>
      <w:marBottom w:val="0"/>
      <w:divBdr>
        <w:top w:val="none" w:sz="0" w:space="0" w:color="auto"/>
        <w:left w:val="none" w:sz="0" w:space="0" w:color="auto"/>
        <w:bottom w:val="none" w:sz="0" w:space="0" w:color="auto"/>
        <w:right w:val="none" w:sz="0" w:space="0" w:color="auto"/>
      </w:divBdr>
    </w:div>
    <w:div w:id="470632155">
      <w:bodyDiv w:val="1"/>
      <w:marLeft w:val="0"/>
      <w:marRight w:val="0"/>
      <w:marTop w:val="0"/>
      <w:marBottom w:val="0"/>
      <w:divBdr>
        <w:top w:val="none" w:sz="0" w:space="0" w:color="auto"/>
        <w:left w:val="none" w:sz="0" w:space="0" w:color="auto"/>
        <w:bottom w:val="none" w:sz="0" w:space="0" w:color="auto"/>
        <w:right w:val="none" w:sz="0" w:space="0" w:color="auto"/>
      </w:divBdr>
    </w:div>
    <w:div w:id="493767500">
      <w:bodyDiv w:val="1"/>
      <w:marLeft w:val="0"/>
      <w:marRight w:val="0"/>
      <w:marTop w:val="0"/>
      <w:marBottom w:val="0"/>
      <w:divBdr>
        <w:top w:val="none" w:sz="0" w:space="0" w:color="auto"/>
        <w:left w:val="none" w:sz="0" w:space="0" w:color="auto"/>
        <w:bottom w:val="none" w:sz="0" w:space="0" w:color="auto"/>
        <w:right w:val="none" w:sz="0" w:space="0" w:color="auto"/>
      </w:divBdr>
    </w:div>
    <w:div w:id="595870413">
      <w:bodyDiv w:val="1"/>
      <w:marLeft w:val="0"/>
      <w:marRight w:val="0"/>
      <w:marTop w:val="0"/>
      <w:marBottom w:val="0"/>
      <w:divBdr>
        <w:top w:val="none" w:sz="0" w:space="0" w:color="auto"/>
        <w:left w:val="none" w:sz="0" w:space="0" w:color="auto"/>
        <w:bottom w:val="none" w:sz="0" w:space="0" w:color="auto"/>
        <w:right w:val="none" w:sz="0" w:space="0" w:color="auto"/>
      </w:divBdr>
    </w:div>
    <w:div w:id="688144349">
      <w:bodyDiv w:val="1"/>
      <w:marLeft w:val="0"/>
      <w:marRight w:val="0"/>
      <w:marTop w:val="0"/>
      <w:marBottom w:val="0"/>
      <w:divBdr>
        <w:top w:val="none" w:sz="0" w:space="0" w:color="auto"/>
        <w:left w:val="none" w:sz="0" w:space="0" w:color="auto"/>
        <w:bottom w:val="none" w:sz="0" w:space="0" w:color="auto"/>
        <w:right w:val="none" w:sz="0" w:space="0" w:color="auto"/>
      </w:divBdr>
    </w:div>
    <w:div w:id="712119854">
      <w:bodyDiv w:val="1"/>
      <w:marLeft w:val="0"/>
      <w:marRight w:val="0"/>
      <w:marTop w:val="0"/>
      <w:marBottom w:val="0"/>
      <w:divBdr>
        <w:top w:val="none" w:sz="0" w:space="0" w:color="auto"/>
        <w:left w:val="none" w:sz="0" w:space="0" w:color="auto"/>
        <w:bottom w:val="none" w:sz="0" w:space="0" w:color="auto"/>
        <w:right w:val="none" w:sz="0" w:space="0" w:color="auto"/>
      </w:divBdr>
    </w:div>
    <w:div w:id="763764565">
      <w:bodyDiv w:val="1"/>
      <w:marLeft w:val="0"/>
      <w:marRight w:val="0"/>
      <w:marTop w:val="0"/>
      <w:marBottom w:val="0"/>
      <w:divBdr>
        <w:top w:val="none" w:sz="0" w:space="0" w:color="auto"/>
        <w:left w:val="none" w:sz="0" w:space="0" w:color="auto"/>
        <w:bottom w:val="none" w:sz="0" w:space="0" w:color="auto"/>
        <w:right w:val="none" w:sz="0" w:space="0" w:color="auto"/>
      </w:divBdr>
    </w:div>
    <w:div w:id="809707842">
      <w:bodyDiv w:val="1"/>
      <w:marLeft w:val="0"/>
      <w:marRight w:val="0"/>
      <w:marTop w:val="0"/>
      <w:marBottom w:val="0"/>
      <w:divBdr>
        <w:top w:val="none" w:sz="0" w:space="0" w:color="auto"/>
        <w:left w:val="none" w:sz="0" w:space="0" w:color="auto"/>
        <w:bottom w:val="none" w:sz="0" w:space="0" w:color="auto"/>
        <w:right w:val="none" w:sz="0" w:space="0" w:color="auto"/>
      </w:divBdr>
    </w:div>
    <w:div w:id="886264356">
      <w:bodyDiv w:val="1"/>
      <w:marLeft w:val="0"/>
      <w:marRight w:val="0"/>
      <w:marTop w:val="0"/>
      <w:marBottom w:val="0"/>
      <w:divBdr>
        <w:top w:val="none" w:sz="0" w:space="0" w:color="auto"/>
        <w:left w:val="none" w:sz="0" w:space="0" w:color="auto"/>
        <w:bottom w:val="none" w:sz="0" w:space="0" w:color="auto"/>
        <w:right w:val="none" w:sz="0" w:space="0" w:color="auto"/>
      </w:divBdr>
    </w:div>
    <w:div w:id="921716212">
      <w:bodyDiv w:val="1"/>
      <w:marLeft w:val="0"/>
      <w:marRight w:val="0"/>
      <w:marTop w:val="0"/>
      <w:marBottom w:val="0"/>
      <w:divBdr>
        <w:top w:val="none" w:sz="0" w:space="0" w:color="auto"/>
        <w:left w:val="none" w:sz="0" w:space="0" w:color="auto"/>
        <w:bottom w:val="none" w:sz="0" w:space="0" w:color="auto"/>
        <w:right w:val="none" w:sz="0" w:space="0" w:color="auto"/>
      </w:divBdr>
    </w:div>
    <w:div w:id="1007095504">
      <w:bodyDiv w:val="1"/>
      <w:marLeft w:val="0"/>
      <w:marRight w:val="0"/>
      <w:marTop w:val="0"/>
      <w:marBottom w:val="0"/>
      <w:divBdr>
        <w:top w:val="none" w:sz="0" w:space="0" w:color="auto"/>
        <w:left w:val="none" w:sz="0" w:space="0" w:color="auto"/>
        <w:bottom w:val="none" w:sz="0" w:space="0" w:color="auto"/>
        <w:right w:val="none" w:sz="0" w:space="0" w:color="auto"/>
      </w:divBdr>
    </w:div>
    <w:div w:id="1015808454">
      <w:bodyDiv w:val="1"/>
      <w:marLeft w:val="0"/>
      <w:marRight w:val="0"/>
      <w:marTop w:val="0"/>
      <w:marBottom w:val="0"/>
      <w:divBdr>
        <w:top w:val="none" w:sz="0" w:space="0" w:color="auto"/>
        <w:left w:val="none" w:sz="0" w:space="0" w:color="auto"/>
        <w:bottom w:val="none" w:sz="0" w:space="0" w:color="auto"/>
        <w:right w:val="none" w:sz="0" w:space="0" w:color="auto"/>
      </w:divBdr>
      <w:divsChild>
        <w:div w:id="153451807">
          <w:marLeft w:val="0"/>
          <w:marRight w:val="0"/>
          <w:marTop w:val="0"/>
          <w:marBottom w:val="0"/>
          <w:divBdr>
            <w:top w:val="none" w:sz="0" w:space="0" w:color="auto"/>
            <w:left w:val="none" w:sz="0" w:space="0" w:color="auto"/>
            <w:bottom w:val="none" w:sz="0" w:space="0" w:color="auto"/>
            <w:right w:val="none" w:sz="0" w:space="0" w:color="auto"/>
          </w:divBdr>
        </w:div>
      </w:divsChild>
    </w:div>
    <w:div w:id="1084186619">
      <w:bodyDiv w:val="1"/>
      <w:marLeft w:val="0"/>
      <w:marRight w:val="0"/>
      <w:marTop w:val="0"/>
      <w:marBottom w:val="0"/>
      <w:divBdr>
        <w:top w:val="none" w:sz="0" w:space="0" w:color="auto"/>
        <w:left w:val="none" w:sz="0" w:space="0" w:color="auto"/>
        <w:bottom w:val="none" w:sz="0" w:space="0" w:color="auto"/>
        <w:right w:val="none" w:sz="0" w:space="0" w:color="auto"/>
      </w:divBdr>
    </w:div>
    <w:div w:id="1112750992">
      <w:bodyDiv w:val="1"/>
      <w:marLeft w:val="0"/>
      <w:marRight w:val="0"/>
      <w:marTop w:val="0"/>
      <w:marBottom w:val="0"/>
      <w:divBdr>
        <w:top w:val="none" w:sz="0" w:space="0" w:color="auto"/>
        <w:left w:val="none" w:sz="0" w:space="0" w:color="auto"/>
        <w:bottom w:val="none" w:sz="0" w:space="0" w:color="auto"/>
        <w:right w:val="none" w:sz="0" w:space="0" w:color="auto"/>
      </w:divBdr>
    </w:div>
    <w:div w:id="1142967376">
      <w:bodyDiv w:val="1"/>
      <w:marLeft w:val="0"/>
      <w:marRight w:val="0"/>
      <w:marTop w:val="0"/>
      <w:marBottom w:val="0"/>
      <w:divBdr>
        <w:top w:val="none" w:sz="0" w:space="0" w:color="auto"/>
        <w:left w:val="none" w:sz="0" w:space="0" w:color="auto"/>
        <w:bottom w:val="none" w:sz="0" w:space="0" w:color="auto"/>
        <w:right w:val="none" w:sz="0" w:space="0" w:color="auto"/>
      </w:divBdr>
    </w:div>
    <w:div w:id="1154755676">
      <w:bodyDiv w:val="1"/>
      <w:marLeft w:val="0"/>
      <w:marRight w:val="0"/>
      <w:marTop w:val="0"/>
      <w:marBottom w:val="0"/>
      <w:divBdr>
        <w:top w:val="none" w:sz="0" w:space="0" w:color="auto"/>
        <w:left w:val="none" w:sz="0" w:space="0" w:color="auto"/>
        <w:bottom w:val="none" w:sz="0" w:space="0" w:color="auto"/>
        <w:right w:val="none" w:sz="0" w:space="0" w:color="auto"/>
      </w:divBdr>
    </w:div>
    <w:div w:id="1171411283">
      <w:bodyDiv w:val="1"/>
      <w:marLeft w:val="0"/>
      <w:marRight w:val="0"/>
      <w:marTop w:val="0"/>
      <w:marBottom w:val="0"/>
      <w:divBdr>
        <w:top w:val="none" w:sz="0" w:space="0" w:color="auto"/>
        <w:left w:val="none" w:sz="0" w:space="0" w:color="auto"/>
        <w:bottom w:val="none" w:sz="0" w:space="0" w:color="auto"/>
        <w:right w:val="none" w:sz="0" w:space="0" w:color="auto"/>
      </w:divBdr>
    </w:div>
    <w:div w:id="1220937075">
      <w:bodyDiv w:val="1"/>
      <w:marLeft w:val="0"/>
      <w:marRight w:val="0"/>
      <w:marTop w:val="0"/>
      <w:marBottom w:val="0"/>
      <w:divBdr>
        <w:top w:val="none" w:sz="0" w:space="0" w:color="auto"/>
        <w:left w:val="none" w:sz="0" w:space="0" w:color="auto"/>
        <w:bottom w:val="none" w:sz="0" w:space="0" w:color="auto"/>
        <w:right w:val="none" w:sz="0" w:space="0" w:color="auto"/>
      </w:divBdr>
    </w:div>
    <w:div w:id="1225095459">
      <w:bodyDiv w:val="1"/>
      <w:marLeft w:val="0"/>
      <w:marRight w:val="0"/>
      <w:marTop w:val="0"/>
      <w:marBottom w:val="0"/>
      <w:divBdr>
        <w:top w:val="none" w:sz="0" w:space="0" w:color="auto"/>
        <w:left w:val="none" w:sz="0" w:space="0" w:color="auto"/>
        <w:bottom w:val="none" w:sz="0" w:space="0" w:color="auto"/>
        <w:right w:val="none" w:sz="0" w:space="0" w:color="auto"/>
      </w:divBdr>
    </w:div>
    <w:div w:id="1248033787">
      <w:bodyDiv w:val="1"/>
      <w:marLeft w:val="0"/>
      <w:marRight w:val="0"/>
      <w:marTop w:val="0"/>
      <w:marBottom w:val="0"/>
      <w:divBdr>
        <w:top w:val="none" w:sz="0" w:space="0" w:color="auto"/>
        <w:left w:val="none" w:sz="0" w:space="0" w:color="auto"/>
        <w:bottom w:val="none" w:sz="0" w:space="0" w:color="auto"/>
        <w:right w:val="none" w:sz="0" w:space="0" w:color="auto"/>
      </w:divBdr>
    </w:div>
    <w:div w:id="1267808961">
      <w:bodyDiv w:val="1"/>
      <w:marLeft w:val="0"/>
      <w:marRight w:val="0"/>
      <w:marTop w:val="0"/>
      <w:marBottom w:val="0"/>
      <w:divBdr>
        <w:top w:val="none" w:sz="0" w:space="0" w:color="auto"/>
        <w:left w:val="none" w:sz="0" w:space="0" w:color="auto"/>
        <w:bottom w:val="none" w:sz="0" w:space="0" w:color="auto"/>
        <w:right w:val="none" w:sz="0" w:space="0" w:color="auto"/>
      </w:divBdr>
    </w:div>
    <w:div w:id="1302420900">
      <w:bodyDiv w:val="1"/>
      <w:marLeft w:val="0"/>
      <w:marRight w:val="0"/>
      <w:marTop w:val="0"/>
      <w:marBottom w:val="0"/>
      <w:divBdr>
        <w:top w:val="none" w:sz="0" w:space="0" w:color="auto"/>
        <w:left w:val="none" w:sz="0" w:space="0" w:color="auto"/>
        <w:bottom w:val="none" w:sz="0" w:space="0" w:color="auto"/>
        <w:right w:val="none" w:sz="0" w:space="0" w:color="auto"/>
      </w:divBdr>
    </w:div>
    <w:div w:id="1415012803">
      <w:bodyDiv w:val="1"/>
      <w:marLeft w:val="0"/>
      <w:marRight w:val="0"/>
      <w:marTop w:val="0"/>
      <w:marBottom w:val="0"/>
      <w:divBdr>
        <w:top w:val="none" w:sz="0" w:space="0" w:color="auto"/>
        <w:left w:val="none" w:sz="0" w:space="0" w:color="auto"/>
        <w:bottom w:val="none" w:sz="0" w:space="0" w:color="auto"/>
        <w:right w:val="none" w:sz="0" w:space="0" w:color="auto"/>
      </w:divBdr>
    </w:div>
    <w:div w:id="1438326487">
      <w:bodyDiv w:val="1"/>
      <w:marLeft w:val="0"/>
      <w:marRight w:val="0"/>
      <w:marTop w:val="0"/>
      <w:marBottom w:val="0"/>
      <w:divBdr>
        <w:top w:val="none" w:sz="0" w:space="0" w:color="auto"/>
        <w:left w:val="none" w:sz="0" w:space="0" w:color="auto"/>
        <w:bottom w:val="none" w:sz="0" w:space="0" w:color="auto"/>
        <w:right w:val="none" w:sz="0" w:space="0" w:color="auto"/>
      </w:divBdr>
    </w:div>
    <w:div w:id="1500316701">
      <w:bodyDiv w:val="1"/>
      <w:marLeft w:val="0"/>
      <w:marRight w:val="0"/>
      <w:marTop w:val="0"/>
      <w:marBottom w:val="0"/>
      <w:divBdr>
        <w:top w:val="none" w:sz="0" w:space="0" w:color="auto"/>
        <w:left w:val="none" w:sz="0" w:space="0" w:color="auto"/>
        <w:bottom w:val="none" w:sz="0" w:space="0" w:color="auto"/>
        <w:right w:val="none" w:sz="0" w:space="0" w:color="auto"/>
      </w:divBdr>
    </w:div>
    <w:div w:id="1541819256">
      <w:bodyDiv w:val="1"/>
      <w:marLeft w:val="0"/>
      <w:marRight w:val="0"/>
      <w:marTop w:val="0"/>
      <w:marBottom w:val="0"/>
      <w:divBdr>
        <w:top w:val="none" w:sz="0" w:space="0" w:color="auto"/>
        <w:left w:val="none" w:sz="0" w:space="0" w:color="auto"/>
        <w:bottom w:val="none" w:sz="0" w:space="0" w:color="auto"/>
        <w:right w:val="none" w:sz="0" w:space="0" w:color="auto"/>
      </w:divBdr>
    </w:div>
    <w:div w:id="1602183857">
      <w:bodyDiv w:val="1"/>
      <w:marLeft w:val="0"/>
      <w:marRight w:val="0"/>
      <w:marTop w:val="0"/>
      <w:marBottom w:val="0"/>
      <w:divBdr>
        <w:top w:val="none" w:sz="0" w:space="0" w:color="auto"/>
        <w:left w:val="none" w:sz="0" w:space="0" w:color="auto"/>
        <w:bottom w:val="none" w:sz="0" w:space="0" w:color="auto"/>
        <w:right w:val="none" w:sz="0" w:space="0" w:color="auto"/>
      </w:divBdr>
    </w:div>
    <w:div w:id="1669286027">
      <w:bodyDiv w:val="1"/>
      <w:marLeft w:val="0"/>
      <w:marRight w:val="0"/>
      <w:marTop w:val="0"/>
      <w:marBottom w:val="0"/>
      <w:divBdr>
        <w:top w:val="none" w:sz="0" w:space="0" w:color="auto"/>
        <w:left w:val="none" w:sz="0" w:space="0" w:color="auto"/>
        <w:bottom w:val="none" w:sz="0" w:space="0" w:color="auto"/>
        <w:right w:val="none" w:sz="0" w:space="0" w:color="auto"/>
      </w:divBdr>
    </w:div>
    <w:div w:id="1711686481">
      <w:bodyDiv w:val="1"/>
      <w:marLeft w:val="0"/>
      <w:marRight w:val="0"/>
      <w:marTop w:val="0"/>
      <w:marBottom w:val="0"/>
      <w:divBdr>
        <w:top w:val="none" w:sz="0" w:space="0" w:color="auto"/>
        <w:left w:val="none" w:sz="0" w:space="0" w:color="auto"/>
        <w:bottom w:val="none" w:sz="0" w:space="0" w:color="auto"/>
        <w:right w:val="none" w:sz="0" w:space="0" w:color="auto"/>
      </w:divBdr>
    </w:div>
    <w:div w:id="1827237796">
      <w:bodyDiv w:val="1"/>
      <w:marLeft w:val="0"/>
      <w:marRight w:val="0"/>
      <w:marTop w:val="0"/>
      <w:marBottom w:val="0"/>
      <w:divBdr>
        <w:top w:val="none" w:sz="0" w:space="0" w:color="auto"/>
        <w:left w:val="none" w:sz="0" w:space="0" w:color="auto"/>
        <w:bottom w:val="none" w:sz="0" w:space="0" w:color="auto"/>
        <w:right w:val="none" w:sz="0" w:space="0" w:color="auto"/>
      </w:divBdr>
    </w:div>
    <w:div w:id="1863352284">
      <w:bodyDiv w:val="1"/>
      <w:marLeft w:val="0"/>
      <w:marRight w:val="0"/>
      <w:marTop w:val="0"/>
      <w:marBottom w:val="0"/>
      <w:divBdr>
        <w:top w:val="none" w:sz="0" w:space="0" w:color="auto"/>
        <w:left w:val="none" w:sz="0" w:space="0" w:color="auto"/>
        <w:bottom w:val="none" w:sz="0" w:space="0" w:color="auto"/>
        <w:right w:val="none" w:sz="0" w:space="0" w:color="auto"/>
      </w:divBdr>
    </w:div>
    <w:div w:id="1885095980">
      <w:bodyDiv w:val="1"/>
      <w:marLeft w:val="0"/>
      <w:marRight w:val="0"/>
      <w:marTop w:val="0"/>
      <w:marBottom w:val="0"/>
      <w:divBdr>
        <w:top w:val="none" w:sz="0" w:space="0" w:color="auto"/>
        <w:left w:val="none" w:sz="0" w:space="0" w:color="auto"/>
        <w:bottom w:val="none" w:sz="0" w:space="0" w:color="auto"/>
        <w:right w:val="none" w:sz="0" w:space="0" w:color="auto"/>
      </w:divBdr>
      <w:divsChild>
        <w:div w:id="1306278859">
          <w:marLeft w:val="0"/>
          <w:marRight w:val="0"/>
          <w:marTop w:val="0"/>
          <w:marBottom w:val="0"/>
          <w:divBdr>
            <w:top w:val="none" w:sz="0" w:space="0" w:color="auto"/>
            <w:left w:val="none" w:sz="0" w:space="0" w:color="auto"/>
            <w:bottom w:val="none" w:sz="0" w:space="0" w:color="auto"/>
            <w:right w:val="none" w:sz="0" w:space="0" w:color="auto"/>
          </w:divBdr>
        </w:div>
      </w:divsChild>
    </w:div>
    <w:div w:id="1887720252">
      <w:bodyDiv w:val="1"/>
      <w:marLeft w:val="0"/>
      <w:marRight w:val="0"/>
      <w:marTop w:val="0"/>
      <w:marBottom w:val="0"/>
      <w:divBdr>
        <w:top w:val="none" w:sz="0" w:space="0" w:color="auto"/>
        <w:left w:val="none" w:sz="0" w:space="0" w:color="auto"/>
        <w:bottom w:val="none" w:sz="0" w:space="0" w:color="auto"/>
        <w:right w:val="none" w:sz="0" w:space="0" w:color="auto"/>
      </w:divBdr>
    </w:div>
    <w:div w:id="1899901932">
      <w:bodyDiv w:val="1"/>
      <w:marLeft w:val="0"/>
      <w:marRight w:val="0"/>
      <w:marTop w:val="0"/>
      <w:marBottom w:val="0"/>
      <w:divBdr>
        <w:top w:val="none" w:sz="0" w:space="0" w:color="auto"/>
        <w:left w:val="none" w:sz="0" w:space="0" w:color="auto"/>
        <w:bottom w:val="none" w:sz="0" w:space="0" w:color="auto"/>
        <w:right w:val="none" w:sz="0" w:space="0" w:color="auto"/>
      </w:divBdr>
    </w:div>
    <w:div w:id="1911378352">
      <w:bodyDiv w:val="1"/>
      <w:marLeft w:val="0"/>
      <w:marRight w:val="0"/>
      <w:marTop w:val="0"/>
      <w:marBottom w:val="0"/>
      <w:divBdr>
        <w:top w:val="none" w:sz="0" w:space="0" w:color="auto"/>
        <w:left w:val="none" w:sz="0" w:space="0" w:color="auto"/>
        <w:bottom w:val="none" w:sz="0" w:space="0" w:color="auto"/>
        <w:right w:val="none" w:sz="0" w:space="0" w:color="auto"/>
      </w:divBdr>
    </w:div>
    <w:div w:id="1954480742">
      <w:bodyDiv w:val="1"/>
      <w:marLeft w:val="0"/>
      <w:marRight w:val="0"/>
      <w:marTop w:val="0"/>
      <w:marBottom w:val="0"/>
      <w:divBdr>
        <w:top w:val="none" w:sz="0" w:space="0" w:color="auto"/>
        <w:left w:val="none" w:sz="0" w:space="0" w:color="auto"/>
        <w:bottom w:val="none" w:sz="0" w:space="0" w:color="auto"/>
        <w:right w:val="none" w:sz="0" w:space="0" w:color="auto"/>
      </w:divBdr>
    </w:div>
    <w:div w:id="2039504946">
      <w:bodyDiv w:val="1"/>
      <w:marLeft w:val="0"/>
      <w:marRight w:val="0"/>
      <w:marTop w:val="0"/>
      <w:marBottom w:val="0"/>
      <w:divBdr>
        <w:top w:val="none" w:sz="0" w:space="0" w:color="auto"/>
        <w:left w:val="none" w:sz="0" w:space="0" w:color="auto"/>
        <w:bottom w:val="none" w:sz="0" w:space="0" w:color="auto"/>
        <w:right w:val="none" w:sz="0" w:space="0" w:color="auto"/>
      </w:divBdr>
    </w:div>
    <w:div w:id="2048409926">
      <w:bodyDiv w:val="1"/>
      <w:marLeft w:val="0"/>
      <w:marRight w:val="0"/>
      <w:marTop w:val="0"/>
      <w:marBottom w:val="0"/>
      <w:divBdr>
        <w:top w:val="none" w:sz="0" w:space="0" w:color="auto"/>
        <w:left w:val="none" w:sz="0" w:space="0" w:color="auto"/>
        <w:bottom w:val="none" w:sz="0" w:space="0" w:color="auto"/>
        <w:right w:val="none" w:sz="0" w:space="0" w:color="auto"/>
      </w:divBdr>
    </w:div>
    <w:div w:id="211361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WT\CTE\M70.doc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db.wto.org/" TargetMode="External"/><Relationship Id="rId2" Type="http://schemas.openxmlformats.org/officeDocument/2006/relationships/hyperlink" Target="http://www.informea.org" TargetMode="External"/><Relationship Id="rId1" Type="http://schemas.openxmlformats.org/officeDocument/2006/relationships/hyperlink" Target="https://www.unep.org/resources/report/global-trade-used-vehicles-report" TargetMode="External"/><Relationship Id="rId5" Type="http://schemas.openxmlformats.org/officeDocument/2006/relationships/hyperlink" Target="http://www.wcoomd.org/en/media/newsroom/2021/february/looking-back-on-the-wco-theme-for-2020.aspx" TargetMode="External"/><Relationship Id="rId4" Type="http://schemas.openxmlformats.org/officeDocument/2006/relationships/hyperlink" Target="https://www.wto.org/english/tratop_e/tessd_e/tessd_e.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8FCC-AFEF-4D2B-95E2-1DE53423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19</TotalTime>
  <Pages>40</Pages>
  <Words>26825</Words>
  <Characters>151191</Characters>
  <Application>Microsoft Office Word</Application>
  <DocSecurity>0</DocSecurity>
  <Lines>2089</Lines>
  <Paragraphs>377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2021-06-16T09:12:00Z</dcterms:created>
  <dcterms:modified xsi:type="dcterms:W3CDTF">2021-06-16T14:11:00Z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e3297761-2f20-490f-a5ad-fbe85418df03</vt:lpwstr>
  </property>
  <property fmtid="{D5CDD505-2E9C-101B-9397-08002B2CF9AE}" pid="3" name="WTOCLASSIFICATION">
    <vt:lpwstr>WTO OFFICIAL</vt:lpwstr>
  </property>
  <property fmtid="{D5CDD505-2E9C-101B-9397-08002B2CF9AE}" pid="4" name="Symbol1">
    <vt:lpwstr>WT/CTE/M/71</vt:lpwstr>
  </property>
</Properties>
</file>