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3192A" w14:textId="77777777" w:rsidR="001B7E1E" w:rsidRDefault="001B7E1E" w:rsidP="001B7E1E">
      <w:pPr>
        <w:pStyle w:val="Title"/>
        <w:spacing w:before="360"/>
        <w:contextualSpacing w:val="0"/>
      </w:pPr>
      <w:r>
        <w:t>communication from brazil</w:t>
      </w:r>
    </w:p>
    <w:p w14:paraId="2AD92904" w14:textId="1E5EDA28" w:rsidR="001B7E1E" w:rsidRDefault="001B7E1E" w:rsidP="001B7E1E">
      <w:r>
        <w:t>The following communication</w:t>
      </w:r>
      <w:r>
        <w:rPr>
          <w:rStyle w:val="FootnoteReference"/>
        </w:rPr>
        <w:footnoteReference w:id="1"/>
      </w:r>
      <w:r>
        <w:t xml:space="preserve">, dated 6 June 2022, is being circulated at the request of the delegation of </w:t>
      </w:r>
      <w:r w:rsidRPr="00777BD1">
        <w:rPr>
          <w:u w:val="single"/>
        </w:rPr>
        <w:t>Brazil</w:t>
      </w:r>
      <w:r>
        <w:t>.</w:t>
      </w:r>
    </w:p>
    <w:p w14:paraId="6807403D" w14:textId="77777777" w:rsidR="001B7E1E" w:rsidRDefault="001B7E1E" w:rsidP="001B7E1E"/>
    <w:p w14:paraId="7938506E" w14:textId="77777777" w:rsidR="001B7E1E" w:rsidRDefault="001B7E1E" w:rsidP="001B7E1E">
      <w:pPr>
        <w:jc w:val="center"/>
        <w:rPr>
          <w:b/>
        </w:rPr>
      </w:pPr>
      <w:r>
        <w:rPr>
          <w:b/>
        </w:rPr>
        <w:t>_______________</w:t>
      </w:r>
    </w:p>
    <w:p w14:paraId="007277DD" w14:textId="77777777" w:rsidR="001B7E1E" w:rsidRDefault="001B7E1E" w:rsidP="001B7E1E"/>
    <w:p w14:paraId="426CFBFA" w14:textId="77777777" w:rsidR="001B7E1E" w:rsidRPr="00777BD1" w:rsidRDefault="001B7E1E" w:rsidP="001B7E1E"/>
    <w:p w14:paraId="6A0B837B" w14:textId="77777777" w:rsidR="001B7E1E" w:rsidRDefault="001B7E1E" w:rsidP="001B7E1E">
      <w:pPr>
        <w:rPr>
          <w:szCs w:val="18"/>
        </w:rPr>
      </w:pPr>
      <w:r w:rsidRPr="00777BD1">
        <w:rPr>
          <w:szCs w:val="18"/>
        </w:rPr>
        <w:t>Brazil has continuously pursued reforms through the agriculture negotiations. Agriculture and trade policies have a role to play in addressing food security. It is Brazil</w:t>
      </w:r>
      <w:r>
        <w:rPr>
          <w:szCs w:val="18"/>
        </w:rPr>
        <w:t>'</w:t>
      </w:r>
      <w:r w:rsidRPr="00777BD1">
        <w:rPr>
          <w:szCs w:val="18"/>
        </w:rPr>
        <w:t xml:space="preserve">s view that food security constitutes one of the foundations for the continuation of the agriculture reform program at the World Trade Organization. </w:t>
      </w:r>
    </w:p>
    <w:p w14:paraId="56BFECEF" w14:textId="77777777" w:rsidR="001B7E1E" w:rsidRPr="00777BD1" w:rsidRDefault="001B7E1E" w:rsidP="001B7E1E">
      <w:pPr>
        <w:rPr>
          <w:szCs w:val="18"/>
        </w:rPr>
      </w:pPr>
    </w:p>
    <w:p w14:paraId="1BF17234" w14:textId="77777777" w:rsidR="001B7E1E" w:rsidRDefault="001B7E1E" w:rsidP="001B7E1E">
      <w:pPr>
        <w:rPr>
          <w:szCs w:val="18"/>
        </w:rPr>
      </w:pPr>
      <w:r w:rsidRPr="00777BD1">
        <w:rPr>
          <w:szCs w:val="18"/>
        </w:rPr>
        <w:t>Since food security-related issues are multifaceted, they can only be dealt with by the adoption of a comprehensive approach. Public stockholding</w:t>
      </w:r>
      <w:r>
        <w:rPr>
          <w:szCs w:val="18"/>
        </w:rPr>
        <w:t xml:space="preserve"> (PSH)</w:t>
      </w:r>
      <w:r w:rsidRPr="00777BD1">
        <w:rPr>
          <w:szCs w:val="18"/>
        </w:rPr>
        <w:t xml:space="preserve"> is but one of the elements of a comprehensive package, and food security is but one of the possible objectives of public stockholding programmes. The decision-making process on public stockholding is a complex task and has to take into account several aspects related to the implementation of those programs, such as over-reliance on institutional markets; operational effectiveness; fiscal sustainability; cost efficiency </w:t>
      </w:r>
      <w:r w:rsidRPr="00777BD1">
        <w:rPr>
          <w:i/>
          <w:iCs/>
          <w:szCs w:val="18"/>
        </w:rPr>
        <w:t>vis-à-vis</w:t>
      </w:r>
      <w:r w:rsidRPr="00777BD1">
        <w:rPr>
          <w:szCs w:val="18"/>
        </w:rPr>
        <w:t xml:space="preserve"> other approaches; effects on international markets.</w:t>
      </w:r>
    </w:p>
    <w:p w14:paraId="18B70584" w14:textId="77777777" w:rsidR="001B7E1E" w:rsidRPr="00777BD1" w:rsidRDefault="001B7E1E" w:rsidP="001B7E1E">
      <w:pPr>
        <w:rPr>
          <w:szCs w:val="18"/>
        </w:rPr>
      </w:pPr>
    </w:p>
    <w:p w14:paraId="405B5D83" w14:textId="77777777" w:rsidR="001B7E1E" w:rsidRDefault="001B7E1E" w:rsidP="001B7E1E">
      <w:pPr>
        <w:rPr>
          <w:szCs w:val="18"/>
        </w:rPr>
      </w:pPr>
      <w:r w:rsidRPr="00777BD1">
        <w:rPr>
          <w:szCs w:val="18"/>
        </w:rPr>
        <w:t>Market price support is the most distortive agricultural policy. Due to the well-documented negative effects on the international agricultural system, the curbing of market price support policies was one of the most important achievements of the Agreement on Agriculture. When procurements to build stocks are made through market price support, they cannot be left unchecked.</w:t>
      </w:r>
    </w:p>
    <w:p w14:paraId="0C1F4C26" w14:textId="77777777" w:rsidR="001B7E1E" w:rsidRPr="00777BD1" w:rsidRDefault="001B7E1E" w:rsidP="001B7E1E">
      <w:pPr>
        <w:rPr>
          <w:szCs w:val="18"/>
        </w:rPr>
      </w:pPr>
    </w:p>
    <w:p w14:paraId="27B91450" w14:textId="77777777" w:rsidR="001B7E1E" w:rsidRDefault="001B7E1E" w:rsidP="001B7E1E">
      <w:pPr>
        <w:rPr>
          <w:szCs w:val="18"/>
        </w:rPr>
      </w:pPr>
      <w:r w:rsidRPr="00777BD1">
        <w:rPr>
          <w:szCs w:val="18"/>
        </w:rPr>
        <w:t>This is why, since 2013, most of the non-</w:t>
      </w:r>
      <w:r w:rsidRPr="00777BD1">
        <w:rPr>
          <w:i/>
          <w:iCs/>
          <w:szCs w:val="18"/>
        </w:rPr>
        <w:t>demandeurs</w:t>
      </w:r>
      <w:r w:rsidRPr="00777BD1">
        <w:rPr>
          <w:szCs w:val="18"/>
        </w:rPr>
        <w:t xml:space="preserve"> have sought to:</w:t>
      </w:r>
    </w:p>
    <w:p w14:paraId="024D17FC" w14:textId="77777777" w:rsidR="001B7E1E" w:rsidRPr="00777BD1" w:rsidRDefault="001B7E1E" w:rsidP="001B7E1E">
      <w:pPr>
        <w:rPr>
          <w:szCs w:val="18"/>
        </w:rPr>
      </w:pPr>
    </w:p>
    <w:p w14:paraId="629DC6A2" w14:textId="77777777" w:rsidR="001B7E1E" w:rsidRDefault="001B7E1E" w:rsidP="001B7E1E">
      <w:pPr>
        <w:ind w:left="851" w:hanging="567"/>
        <w:rPr>
          <w:szCs w:val="18"/>
        </w:rPr>
      </w:pPr>
      <w:r w:rsidRPr="00777BD1">
        <w:rPr>
          <w:szCs w:val="18"/>
        </w:rPr>
        <w:t>(i)</w:t>
      </w:r>
      <w:r>
        <w:rPr>
          <w:szCs w:val="18"/>
        </w:rPr>
        <w:tab/>
      </w:r>
      <w:r w:rsidRPr="00777BD1">
        <w:rPr>
          <w:szCs w:val="18"/>
        </w:rPr>
        <w:t xml:space="preserve">Build a common understanding of the role of PSH programmes in achieving food security through open dialogue and exchange of experiences; </w:t>
      </w:r>
    </w:p>
    <w:p w14:paraId="59DA1583" w14:textId="77777777" w:rsidR="001B7E1E" w:rsidRPr="00777BD1" w:rsidRDefault="001B7E1E" w:rsidP="001B7E1E">
      <w:pPr>
        <w:ind w:left="851" w:hanging="567"/>
        <w:rPr>
          <w:szCs w:val="18"/>
        </w:rPr>
      </w:pPr>
    </w:p>
    <w:p w14:paraId="1E781936" w14:textId="77777777" w:rsidR="001B7E1E" w:rsidRDefault="001B7E1E" w:rsidP="001B7E1E">
      <w:pPr>
        <w:ind w:left="851" w:hanging="567"/>
        <w:rPr>
          <w:szCs w:val="18"/>
        </w:rPr>
      </w:pPr>
      <w:r w:rsidRPr="00777BD1">
        <w:rPr>
          <w:szCs w:val="18"/>
        </w:rPr>
        <w:t>(ii)</w:t>
      </w:r>
      <w:r>
        <w:rPr>
          <w:szCs w:val="18"/>
        </w:rPr>
        <w:tab/>
      </w:r>
      <w:r w:rsidRPr="00777BD1">
        <w:rPr>
          <w:szCs w:val="18"/>
        </w:rPr>
        <w:t>Identify the implications of public stockholding programmes and related policy measures on producers, consumers, government budgets and global markets, and evaluate these measures against alternative policies and measures in each context; and</w:t>
      </w:r>
    </w:p>
    <w:p w14:paraId="006BDF33" w14:textId="77777777" w:rsidR="001B7E1E" w:rsidRPr="00777BD1" w:rsidRDefault="001B7E1E" w:rsidP="001B7E1E">
      <w:pPr>
        <w:ind w:left="851" w:hanging="567"/>
        <w:rPr>
          <w:szCs w:val="18"/>
        </w:rPr>
      </w:pPr>
    </w:p>
    <w:p w14:paraId="455E4BF1" w14:textId="77777777" w:rsidR="001B7E1E" w:rsidRDefault="001B7E1E" w:rsidP="001B7E1E">
      <w:pPr>
        <w:ind w:left="851" w:hanging="567"/>
        <w:rPr>
          <w:szCs w:val="18"/>
        </w:rPr>
      </w:pPr>
      <w:r w:rsidRPr="00777BD1">
        <w:rPr>
          <w:szCs w:val="18"/>
        </w:rPr>
        <w:t>(iii)</w:t>
      </w:r>
      <w:r>
        <w:rPr>
          <w:szCs w:val="18"/>
        </w:rPr>
        <w:tab/>
      </w:r>
      <w:r w:rsidRPr="00777BD1">
        <w:rPr>
          <w:szCs w:val="18"/>
        </w:rPr>
        <w:t>Ensure that the policy measures adopted towards achieving national food security objectives do not undermine food security objectives in other countries.</w:t>
      </w:r>
    </w:p>
    <w:p w14:paraId="4D944108" w14:textId="77777777" w:rsidR="001B7E1E" w:rsidRPr="00777BD1" w:rsidRDefault="001B7E1E" w:rsidP="001B7E1E">
      <w:pPr>
        <w:ind w:left="851" w:hanging="567"/>
        <w:rPr>
          <w:szCs w:val="18"/>
        </w:rPr>
      </w:pPr>
    </w:p>
    <w:p w14:paraId="4B8FA519" w14:textId="77777777" w:rsidR="001B7E1E" w:rsidRDefault="001B7E1E" w:rsidP="001B7E1E">
      <w:pPr>
        <w:rPr>
          <w:szCs w:val="18"/>
        </w:rPr>
      </w:pPr>
      <w:r w:rsidRPr="00777BD1">
        <w:rPr>
          <w:szCs w:val="18"/>
        </w:rPr>
        <w:t xml:space="preserve">Brazil understands that the </w:t>
      </w:r>
      <w:r w:rsidRPr="00777BD1">
        <w:rPr>
          <w:i/>
          <w:iCs/>
          <w:szCs w:val="18"/>
        </w:rPr>
        <w:t>demandeurs</w:t>
      </w:r>
      <w:r>
        <w:rPr>
          <w:szCs w:val="18"/>
        </w:rPr>
        <w:t>'</w:t>
      </w:r>
      <w:r w:rsidRPr="00777BD1">
        <w:rPr>
          <w:szCs w:val="18"/>
        </w:rPr>
        <w:t xml:space="preserve"> approach throughout the years and their respective proposals have not addressed non-</w:t>
      </w:r>
      <w:r w:rsidRPr="00777BD1">
        <w:rPr>
          <w:i/>
          <w:iCs/>
          <w:szCs w:val="18"/>
        </w:rPr>
        <w:t>demandeurs</w:t>
      </w:r>
      <w:r w:rsidRPr="00777BD1">
        <w:rPr>
          <w:szCs w:val="18"/>
        </w:rPr>
        <w:t xml:space="preserve"> concerns. For that reason, the following proposal provides Ministers a base for continuing discussions on a compromise solution on PSH for MC13 that focus on those Members that need the most help in fighting food insecurity. The following proposal also seeks to preserve the WTO at the core of the multilateral trading system. It provides rights but also obligations.</w:t>
      </w:r>
    </w:p>
    <w:p w14:paraId="60BD9E13" w14:textId="77777777" w:rsidR="001B7E1E" w:rsidRPr="00777BD1" w:rsidRDefault="001B7E1E" w:rsidP="001B7E1E">
      <w:pPr>
        <w:rPr>
          <w:szCs w:val="18"/>
        </w:rPr>
      </w:pPr>
    </w:p>
    <w:p w14:paraId="5BFA4253" w14:textId="750861CB" w:rsidR="001B7E1E" w:rsidRDefault="001B7E1E" w:rsidP="001B7E1E">
      <w:pPr>
        <w:rPr>
          <w:szCs w:val="18"/>
        </w:rPr>
        <w:sectPr w:rsidR="001B7E1E" w:rsidSect="001B7E1E">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pPr>
      <w:r w:rsidRPr="00777BD1">
        <w:rPr>
          <w:szCs w:val="18"/>
        </w:rPr>
        <w:lastRenderedPageBreak/>
        <w:t>Brazil still believes that future work within the WTO must lead to a better understanding of the relationship between trade and market related policies and food security. There are also additional steps that can be taken at MC12 to support food security and also deliver on the long-term objective of substantial progressive reductions in support and protection resulting in fundamental reform. Brazil will be presenting a domestic support proposal in the near future that should be considered in tandem with this draft PSH decision</w:t>
      </w:r>
      <w:r>
        <w:rPr>
          <w:szCs w:val="18"/>
        </w:rPr>
        <w:t>.</w:t>
      </w:r>
    </w:p>
    <w:p w14:paraId="4D9975C2" w14:textId="77777777" w:rsidR="001B7E1E" w:rsidRPr="00777BD1" w:rsidRDefault="001B7E1E" w:rsidP="001B7E1E">
      <w:pPr>
        <w:pStyle w:val="Title"/>
        <w:spacing w:before="360"/>
        <w:contextualSpacing w:val="0"/>
        <w:rPr>
          <w:szCs w:val="18"/>
        </w:rPr>
      </w:pPr>
      <w:r w:rsidRPr="00777BD1">
        <w:rPr>
          <w:szCs w:val="18"/>
        </w:rPr>
        <w:lastRenderedPageBreak/>
        <w:t>PUBLIC STOCKHOLDING FOR FOOD SECURITY PURPOSES</w:t>
      </w:r>
    </w:p>
    <w:p w14:paraId="134767B3" w14:textId="77777777" w:rsidR="001B7E1E" w:rsidRPr="00777BD1" w:rsidRDefault="001B7E1E" w:rsidP="001B7E1E">
      <w:pPr>
        <w:pStyle w:val="Title2"/>
      </w:pPr>
      <w:r w:rsidRPr="00777BD1">
        <w:t>DRAFT MINISTERIAL DECISION</w:t>
      </w:r>
    </w:p>
    <w:p w14:paraId="3561F7CC" w14:textId="77777777" w:rsidR="001B7E1E" w:rsidRPr="00777BD1" w:rsidRDefault="001B7E1E" w:rsidP="001B7E1E">
      <w:pPr>
        <w:rPr>
          <w:szCs w:val="18"/>
        </w:rPr>
      </w:pPr>
      <w:r w:rsidRPr="00777BD1">
        <w:rPr>
          <w:szCs w:val="18"/>
        </w:rPr>
        <w:t xml:space="preserve">The </w:t>
      </w:r>
      <w:r w:rsidRPr="00D331E7">
        <w:rPr>
          <w:i/>
          <w:iCs/>
          <w:szCs w:val="18"/>
        </w:rPr>
        <w:t>Ministerial Conference</w:t>
      </w:r>
      <w:r w:rsidRPr="00777BD1">
        <w:rPr>
          <w:szCs w:val="18"/>
        </w:rPr>
        <w:t>,</w:t>
      </w:r>
    </w:p>
    <w:p w14:paraId="0A6C28AD" w14:textId="77777777" w:rsidR="001B7E1E" w:rsidRPr="00777BD1" w:rsidRDefault="001B7E1E" w:rsidP="001B7E1E">
      <w:pPr>
        <w:jc w:val="center"/>
        <w:rPr>
          <w:szCs w:val="18"/>
        </w:rPr>
      </w:pPr>
    </w:p>
    <w:p w14:paraId="726126F9" w14:textId="77777777" w:rsidR="001B7E1E" w:rsidRPr="00777BD1" w:rsidRDefault="001B7E1E" w:rsidP="001B7E1E">
      <w:pPr>
        <w:rPr>
          <w:szCs w:val="18"/>
        </w:rPr>
      </w:pPr>
      <w:r w:rsidRPr="00777BD1">
        <w:rPr>
          <w:i/>
          <w:szCs w:val="18"/>
        </w:rPr>
        <w:t>Having regard</w:t>
      </w:r>
      <w:r w:rsidRPr="00777BD1">
        <w:rPr>
          <w:szCs w:val="18"/>
        </w:rPr>
        <w:t xml:space="preserve"> </w:t>
      </w:r>
      <w:r w:rsidRPr="00D331E7">
        <w:rPr>
          <w:i/>
          <w:iCs/>
          <w:szCs w:val="18"/>
        </w:rPr>
        <w:t>to</w:t>
      </w:r>
      <w:r w:rsidRPr="00777BD1">
        <w:rPr>
          <w:szCs w:val="18"/>
        </w:rPr>
        <w:t xml:space="preserve"> paragraph 1 of Article IX of the Marrakesh Agreement Establishing the World Trade Organization; </w:t>
      </w:r>
    </w:p>
    <w:p w14:paraId="14210C28" w14:textId="77777777" w:rsidR="001B7E1E" w:rsidRPr="00777BD1" w:rsidRDefault="001B7E1E" w:rsidP="001B7E1E">
      <w:pPr>
        <w:rPr>
          <w:szCs w:val="18"/>
        </w:rPr>
      </w:pPr>
    </w:p>
    <w:p w14:paraId="52DC0B02" w14:textId="77777777" w:rsidR="001B7E1E" w:rsidRPr="00777BD1" w:rsidRDefault="001B7E1E" w:rsidP="001B7E1E">
      <w:pPr>
        <w:rPr>
          <w:szCs w:val="18"/>
        </w:rPr>
      </w:pPr>
      <w:r w:rsidRPr="00777BD1">
        <w:rPr>
          <w:i/>
          <w:szCs w:val="18"/>
        </w:rPr>
        <w:t>Acknowledging</w:t>
      </w:r>
      <w:r w:rsidRPr="00777BD1">
        <w:rPr>
          <w:szCs w:val="18"/>
        </w:rPr>
        <w:t xml:space="preserve"> the Ministerial Decision of 7 December 2013 (WT/MIN(13)/38 - WT/L/913), the General Council Decision of 27 November 2014 (WT/L/939) and the Ministerial Decision of 19</w:t>
      </w:r>
      <w:r>
        <w:rPr>
          <w:szCs w:val="18"/>
        </w:rPr>
        <w:t> </w:t>
      </w:r>
      <w:r w:rsidRPr="00777BD1">
        <w:rPr>
          <w:szCs w:val="18"/>
        </w:rPr>
        <w:t>December 2015 (WT/MIN(15)/44 - WT/L/979);</w:t>
      </w:r>
    </w:p>
    <w:p w14:paraId="5E9F3992" w14:textId="77777777" w:rsidR="001B7E1E" w:rsidRPr="00777BD1" w:rsidRDefault="001B7E1E" w:rsidP="001B7E1E">
      <w:pPr>
        <w:rPr>
          <w:szCs w:val="18"/>
        </w:rPr>
      </w:pPr>
    </w:p>
    <w:p w14:paraId="1D707AD2" w14:textId="77777777" w:rsidR="001B7E1E" w:rsidRPr="00777BD1" w:rsidRDefault="001B7E1E" w:rsidP="001B7E1E">
      <w:pPr>
        <w:rPr>
          <w:szCs w:val="18"/>
        </w:rPr>
      </w:pPr>
      <w:r w:rsidRPr="00777BD1">
        <w:rPr>
          <w:i/>
          <w:szCs w:val="18"/>
        </w:rPr>
        <w:t>Recognizing</w:t>
      </w:r>
      <w:r w:rsidRPr="00777BD1">
        <w:rPr>
          <w:szCs w:val="18"/>
        </w:rPr>
        <w:t xml:space="preserve"> that Article 20 of the Agreement on Agriculture (AoA) provides that the long-term objective of substantial progressive reductions in support and protection resulting in fundamental reform is an ongoing process;</w:t>
      </w:r>
    </w:p>
    <w:p w14:paraId="7F248986" w14:textId="77777777" w:rsidR="001B7E1E" w:rsidRPr="00777BD1" w:rsidRDefault="001B7E1E" w:rsidP="001B7E1E">
      <w:pPr>
        <w:rPr>
          <w:szCs w:val="18"/>
        </w:rPr>
      </w:pPr>
    </w:p>
    <w:p w14:paraId="37BCE592" w14:textId="77777777" w:rsidR="001B7E1E" w:rsidRPr="00777BD1" w:rsidRDefault="001B7E1E" w:rsidP="001B7E1E">
      <w:pPr>
        <w:rPr>
          <w:szCs w:val="18"/>
        </w:rPr>
      </w:pPr>
      <w:r w:rsidRPr="00777BD1">
        <w:rPr>
          <w:i/>
          <w:szCs w:val="18"/>
        </w:rPr>
        <w:t xml:space="preserve">Reaffirming </w:t>
      </w:r>
      <w:r w:rsidRPr="00777BD1">
        <w:rPr>
          <w:szCs w:val="18"/>
        </w:rPr>
        <w:t>our commitment to achieving further progress in all areas of the agriculture negotiations in order to lay the ground for a fair and market-oriented agricultural trading system;</w:t>
      </w:r>
    </w:p>
    <w:p w14:paraId="64BFF0AC" w14:textId="77777777" w:rsidR="001B7E1E" w:rsidRPr="00777BD1" w:rsidRDefault="001B7E1E" w:rsidP="001B7E1E">
      <w:pPr>
        <w:rPr>
          <w:szCs w:val="18"/>
        </w:rPr>
      </w:pPr>
    </w:p>
    <w:p w14:paraId="3280E022" w14:textId="77777777" w:rsidR="001B7E1E" w:rsidRPr="00777BD1" w:rsidRDefault="001B7E1E" w:rsidP="001B7E1E">
      <w:pPr>
        <w:rPr>
          <w:szCs w:val="18"/>
        </w:rPr>
      </w:pPr>
      <w:r w:rsidRPr="00777BD1">
        <w:rPr>
          <w:i/>
          <w:iCs/>
          <w:szCs w:val="18"/>
        </w:rPr>
        <w:t xml:space="preserve">Recalling </w:t>
      </w:r>
      <w:r w:rsidRPr="00777BD1">
        <w:rPr>
          <w:iCs/>
          <w:szCs w:val="18"/>
        </w:rPr>
        <w:t>Members</w:t>
      </w:r>
      <w:r>
        <w:rPr>
          <w:iCs/>
          <w:szCs w:val="18"/>
        </w:rPr>
        <w:t>'</w:t>
      </w:r>
      <w:r w:rsidRPr="00777BD1">
        <w:rPr>
          <w:iCs/>
          <w:szCs w:val="18"/>
        </w:rPr>
        <w:t xml:space="preserve"> existing rights to develop public stockholding for food security purposes programs in accordance with Annex 2 paragraph 3 of the AoA with no, or at most minimal, trade-distorting effects or effects on production;</w:t>
      </w:r>
    </w:p>
    <w:p w14:paraId="1523568A" w14:textId="77777777" w:rsidR="001B7E1E" w:rsidRPr="00777BD1" w:rsidRDefault="001B7E1E" w:rsidP="001B7E1E">
      <w:pPr>
        <w:rPr>
          <w:szCs w:val="18"/>
        </w:rPr>
      </w:pPr>
    </w:p>
    <w:p w14:paraId="07BBABFA" w14:textId="77777777" w:rsidR="001B7E1E" w:rsidRPr="00777BD1" w:rsidRDefault="001B7E1E" w:rsidP="001B7E1E">
      <w:pPr>
        <w:rPr>
          <w:szCs w:val="18"/>
        </w:rPr>
      </w:pPr>
      <w:r w:rsidRPr="00777BD1">
        <w:rPr>
          <w:i/>
          <w:iCs/>
          <w:szCs w:val="18"/>
        </w:rPr>
        <w:t xml:space="preserve">Recalling </w:t>
      </w:r>
      <w:r w:rsidRPr="00777BD1">
        <w:rPr>
          <w:szCs w:val="18"/>
        </w:rPr>
        <w:t>that international trade in agriculture plays a fundamental role in achieving food security and that the 2030 Agenda for Sustainable Development defines trade as a means of implementation of the SDG2;</w:t>
      </w:r>
    </w:p>
    <w:p w14:paraId="45C14001" w14:textId="77777777" w:rsidR="001B7E1E" w:rsidRPr="00777BD1" w:rsidRDefault="001B7E1E" w:rsidP="001B7E1E">
      <w:pPr>
        <w:rPr>
          <w:szCs w:val="18"/>
        </w:rPr>
      </w:pPr>
    </w:p>
    <w:p w14:paraId="21C14A52" w14:textId="77777777" w:rsidR="001B7E1E" w:rsidRPr="00777BD1" w:rsidRDefault="001B7E1E" w:rsidP="001B7E1E">
      <w:pPr>
        <w:rPr>
          <w:szCs w:val="18"/>
        </w:rPr>
      </w:pPr>
      <w:r w:rsidRPr="00777BD1">
        <w:rPr>
          <w:i/>
          <w:szCs w:val="18"/>
        </w:rPr>
        <w:t>Acknowledging</w:t>
      </w:r>
      <w:r w:rsidRPr="00777BD1">
        <w:rPr>
          <w:szCs w:val="18"/>
        </w:rPr>
        <w:t xml:space="preserve"> that achieving food security is a multifaceted challenge and requires a comprehensive approach;</w:t>
      </w:r>
    </w:p>
    <w:p w14:paraId="0F4CEB1B" w14:textId="77777777" w:rsidR="001B7E1E" w:rsidRPr="00777BD1" w:rsidRDefault="001B7E1E" w:rsidP="001B7E1E">
      <w:pPr>
        <w:rPr>
          <w:szCs w:val="18"/>
        </w:rPr>
      </w:pPr>
    </w:p>
    <w:p w14:paraId="14E430F2" w14:textId="77777777" w:rsidR="001B7E1E" w:rsidRPr="00777BD1" w:rsidRDefault="001B7E1E" w:rsidP="001B7E1E">
      <w:pPr>
        <w:rPr>
          <w:szCs w:val="18"/>
        </w:rPr>
      </w:pPr>
      <w:r w:rsidRPr="00777BD1">
        <w:rPr>
          <w:i/>
          <w:szCs w:val="18"/>
        </w:rPr>
        <w:t>Recognizing</w:t>
      </w:r>
      <w:r w:rsidRPr="00777BD1">
        <w:rPr>
          <w:szCs w:val="18"/>
        </w:rPr>
        <w:t xml:space="preserve"> existing provisions to address food security under the AoA, including on public stockholding for food security purposes, as further highlighted by the COVID-19 pandemic;</w:t>
      </w:r>
    </w:p>
    <w:p w14:paraId="113667FE" w14:textId="77777777" w:rsidR="001B7E1E" w:rsidRPr="00777BD1" w:rsidRDefault="001B7E1E" w:rsidP="001B7E1E">
      <w:pPr>
        <w:rPr>
          <w:szCs w:val="18"/>
        </w:rPr>
      </w:pPr>
    </w:p>
    <w:p w14:paraId="6F4037F6" w14:textId="77777777" w:rsidR="001B7E1E" w:rsidRPr="00777BD1" w:rsidRDefault="001B7E1E" w:rsidP="001B7E1E">
      <w:pPr>
        <w:rPr>
          <w:szCs w:val="18"/>
        </w:rPr>
      </w:pPr>
      <w:r w:rsidRPr="00D331E7">
        <w:rPr>
          <w:i/>
          <w:iCs/>
          <w:szCs w:val="18"/>
        </w:rPr>
        <w:t xml:space="preserve">Decides </w:t>
      </w:r>
      <w:r w:rsidRPr="00777BD1">
        <w:rPr>
          <w:szCs w:val="18"/>
        </w:rPr>
        <w:t>as follows:</w:t>
      </w:r>
    </w:p>
    <w:p w14:paraId="0DAFDD85" w14:textId="77777777" w:rsidR="001B7E1E" w:rsidRPr="00777BD1" w:rsidRDefault="001B7E1E" w:rsidP="001B7E1E">
      <w:pPr>
        <w:rPr>
          <w:szCs w:val="18"/>
        </w:rPr>
      </w:pPr>
    </w:p>
    <w:p w14:paraId="2ED1E240" w14:textId="77777777" w:rsidR="001B7E1E" w:rsidRPr="00777BD1" w:rsidRDefault="001B7E1E" w:rsidP="001B7E1E">
      <w:pPr>
        <w:ind w:left="567" w:hanging="567"/>
        <w:rPr>
          <w:szCs w:val="18"/>
        </w:rPr>
      </w:pPr>
      <w:r w:rsidRPr="00777BD1">
        <w:rPr>
          <w:szCs w:val="18"/>
        </w:rPr>
        <w:t>1.</w:t>
      </w:r>
      <w:r>
        <w:rPr>
          <w:szCs w:val="18"/>
        </w:rPr>
        <w:tab/>
      </w:r>
      <w:r w:rsidRPr="00777BD1">
        <w:rPr>
          <w:szCs w:val="18"/>
        </w:rPr>
        <w:t xml:space="preserve">By this Decision, Members agree to put in place a permanent solution as set out below on public stockholding for food security purposes. </w:t>
      </w:r>
    </w:p>
    <w:p w14:paraId="44E18E29" w14:textId="77777777" w:rsidR="001B7E1E" w:rsidRPr="00777BD1" w:rsidRDefault="001B7E1E" w:rsidP="001B7E1E">
      <w:pPr>
        <w:ind w:left="567" w:hanging="567"/>
        <w:rPr>
          <w:szCs w:val="18"/>
        </w:rPr>
      </w:pPr>
    </w:p>
    <w:p w14:paraId="1C179DBA" w14:textId="77777777" w:rsidR="001B7E1E" w:rsidRPr="00777BD1" w:rsidRDefault="001B7E1E" w:rsidP="001B7E1E">
      <w:pPr>
        <w:ind w:left="567" w:hanging="567"/>
        <w:rPr>
          <w:szCs w:val="18"/>
        </w:rPr>
      </w:pPr>
      <w:r w:rsidRPr="00777BD1">
        <w:rPr>
          <w:szCs w:val="18"/>
        </w:rPr>
        <w:t>2.</w:t>
      </w:r>
      <w:r>
        <w:rPr>
          <w:szCs w:val="18"/>
        </w:rPr>
        <w:tab/>
      </w:r>
      <w:r w:rsidRPr="00777BD1">
        <w:rPr>
          <w:szCs w:val="18"/>
        </w:rPr>
        <w:t xml:space="preserve">Provided that the conditions set out in paragraphs 4 to 9, 11 and 12 are met, </w:t>
      </w:r>
      <w:r w:rsidRPr="00777BD1">
        <w:rPr>
          <w:b/>
          <w:szCs w:val="18"/>
        </w:rPr>
        <w:t>a Member shall not be required to include in the calculation of its Current Total AMS</w:t>
      </w:r>
      <w:r w:rsidRPr="00777BD1">
        <w:rPr>
          <w:szCs w:val="18"/>
        </w:rPr>
        <w:t xml:space="preserve"> </w:t>
      </w:r>
      <w:r w:rsidRPr="00777BD1">
        <w:rPr>
          <w:szCs w:val="18"/>
          <w:u w:val="single"/>
        </w:rPr>
        <w:t>the difference between the acquisition price and the external reference price</w:t>
      </w:r>
      <w:r w:rsidRPr="00777BD1">
        <w:rPr>
          <w:szCs w:val="18"/>
        </w:rPr>
        <w:t xml:space="preserve"> in relation to support in pursuance of public stockholding programmes for food security purposes</w:t>
      </w:r>
      <w:r w:rsidRPr="00777BD1">
        <w:rPr>
          <w:rStyle w:val="FootnoteReference"/>
          <w:szCs w:val="18"/>
        </w:rPr>
        <w:footnoteReference w:id="2"/>
      </w:r>
      <w:r w:rsidRPr="00777BD1">
        <w:rPr>
          <w:szCs w:val="18"/>
        </w:rPr>
        <w:t xml:space="preserve"> that are consistent with the criteria of paragraph 3, footnote 5, and footnote 5&amp;6 of Annex 2 to the AoA. </w:t>
      </w:r>
    </w:p>
    <w:p w14:paraId="510AB273" w14:textId="77777777" w:rsidR="001B7E1E" w:rsidRPr="00777BD1" w:rsidRDefault="001B7E1E" w:rsidP="001B7E1E">
      <w:pPr>
        <w:ind w:left="567" w:hanging="567"/>
        <w:rPr>
          <w:szCs w:val="18"/>
        </w:rPr>
      </w:pPr>
    </w:p>
    <w:p w14:paraId="226CC35D" w14:textId="77777777" w:rsidR="001B7E1E" w:rsidRPr="00777BD1" w:rsidRDefault="001B7E1E" w:rsidP="001B7E1E">
      <w:pPr>
        <w:ind w:left="567" w:hanging="567"/>
        <w:rPr>
          <w:szCs w:val="18"/>
        </w:rPr>
      </w:pPr>
      <w:r w:rsidRPr="00777BD1">
        <w:rPr>
          <w:szCs w:val="18"/>
        </w:rPr>
        <w:t>3.</w:t>
      </w:r>
      <w:r>
        <w:rPr>
          <w:szCs w:val="18"/>
        </w:rPr>
        <w:tab/>
      </w:r>
      <w:r w:rsidRPr="00777BD1">
        <w:rPr>
          <w:szCs w:val="18"/>
        </w:rPr>
        <w:t>Developing country Members</w:t>
      </w:r>
      <w:r>
        <w:rPr>
          <w:szCs w:val="18"/>
        </w:rPr>
        <w:t>'</w:t>
      </w:r>
      <w:r w:rsidRPr="00777BD1">
        <w:rPr>
          <w:szCs w:val="18"/>
        </w:rPr>
        <w:t xml:space="preserve"> public stockholding programmes for food security purposes that do not comply with the conditions set out in this Decision are subject to compliance with Articles 6.3 and 7.2 (b) of the AoA.</w:t>
      </w:r>
    </w:p>
    <w:p w14:paraId="418F9B9B" w14:textId="77777777" w:rsidR="001B7E1E" w:rsidRPr="00777BD1" w:rsidRDefault="001B7E1E" w:rsidP="001B7E1E">
      <w:pPr>
        <w:rPr>
          <w:szCs w:val="18"/>
        </w:rPr>
      </w:pPr>
    </w:p>
    <w:p w14:paraId="3D515476" w14:textId="77777777" w:rsidR="001B7E1E" w:rsidRDefault="001B7E1E" w:rsidP="001B7E1E">
      <w:pPr>
        <w:pStyle w:val="Heading7"/>
        <w:spacing w:after="0"/>
      </w:pPr>
      <w:r w:rsidRPr="00777BD1">
        <w:t>COVERAGE</w:t>
      </w:r>
    </w:p>
    <w:p w14:paraId="742213D2" w14:textId="77777777" w:rsidR="001B7E1E" w:rsidRPr="00D331E7" w:rsidRDefault="001B7E1E" w:rsidP="001B7E1E"/>
    <w:p w14:paraId="5A5F6123" w14:textId="77777777" w:rsidR="001B7E1E" w:rsidRPr="00777BD1" w:rsidRDefault="001B7E1E" w:rsidP="001B7E1E">
      <w:pPr>
        <w:keepNext/>
        <w:ind w:left="567" w:hanging="567"/>
        <w:rPr>
          <w:szCs w:val="18"/>
        </w:rPr>
      </w:pPr>
      <w:r w:rsidRPr="00777BD1">
        <w:rPr>
          <w:szCs w:val="18"/>
        </w:rPr>
        <w:t>4.</w:t>
      </w:r>
      <w:r>
        <w:rPr>
          <w:szCs w:val="18"/>
        </w:rPr>
        <w:tab/>
      </w:r>
      <w:r w:rsidRPr="00777BD1">
        <w:rPr>
          <w:szCs w:val="18"/>
        </w:rPr>
        <w:t>This Decision shall apply to support provided by developing country Members for [traditional staple food crops</w:t>
      </w:r>
      <w:r w:rsidRPr="00777BD1">
        <w:rPr>
          <w:rStyle w:val="FootnoteReference"/>
          <w:szCs w:val="18"/>
        </w:rPr>
        <w:footnoteReference w:id="3"/>
      </w:r>
      <w:r w:rsidRPr="00777BD1">
        <w:rPr>
          <w:szCs w:val="18"/>
        </w:rPr>
        <w:t xml:space="preserve">] in pursuance of public stockholding programmes for food security </w:t>
      </w:r>
      <w:r w:rsidRPr="00777BD1">
        <w:rPr>
          <w:szCs w:val="18"/>
        </w:rPr>
        <w:lastRenderedPageBreak/>
        <w:t>purposes</w:t>
      </w:r>
      <w:r w:rsidRPr="00777BD1">
        <w:rPr>
          <w:rStyle w:val="FootnoteReference"/>
          <w:szCs w:val="18"/>
        </w:rPr>
        <w:footnoteReference w:id="4"/>
      </w:r>
      <w:r w:rsidRPr="00777BD1">
        <w:rPr>
          <w:szCs w:val="18"/>
        </w:rPr>
        <w:t xml:space="preserve"> that are notified, as of the adoption of this decision, in accordance with domestic support notification requirements under the AoA as per document G/AG/2 and the Annex to this Decision.</w:t>
      </w:r>
    </w:p>
    <w:p w14:paraId="181E73AE" w14:textId="77777777" w:rsidR="001B7E1E" w:rsidRPr="00777BD1" w:rsidRDefault="001B7E1E" w:rsidP="001B7E1E">
      <w:pPr>
        <w:ind w:left="567" w:hanging="567"/>
        <w:rPr>
          <w:szCs w:val="18"/>
        </w:rPr>
      </w:pPr>
    </w:p>
    <w:p w14:paraId="63488644" w14:textId="77777777" w:rsidR="001B7E1E" w:rsidRDefault="001B7E1E" w:rsidP="001B7E1E">
      <w:pPr>
        <w:pStyle w:val="Heading7"/>
        <w:spacing w:after="0"/>
      </w:pPr>
      <w:r w:rsidRPr="00D331E7">
        <w:t>ELIGIBILITY AND CONDITIONS</w:t>
      </w:r>
    </w:p>
    <w:p w14:paraId="7053D769" w14:textId="77777777" w:rsidR="001B7E1E" w:rsidRPr="00D331E7" w:rsidRDefault="001B7E1E" w:rsidP="001B7E1E"/>
    <w:p w14:paraId="5B7BC8E2" w14:textId="77777777" w:rsidR="001B7E1E" w:rsidRPr="00777BD1" w:rsidRDefault="001B7E1E" w:rsidP="001B7E1E">
      <w:pPr>
        <w:ind w:left="567" w:hanging="567"/>
        <w:rPr>
          <w:szCs w:val="18"/>
        </w:rPr>
      </w:pPr>
      <w:r w:rsidRPr="00777BD1">
        <w:rPr>
          <w:szCs w:val="18"/>
        </w:rPr>
        <w:t>5.</w:t>
      </w:r>
      <w:r>
        <w:rPr>
          <w:szCs w:val="18"/>
        </w:rPr>
        <w:tab/>
      </w:r>
      <w:r w:rsidRPr="00777BD1">
        <w:rPr>
          <w:szCs w:val="18"/>
        </w:rPr>
        <w:t xml:space="preserve">This decision covers the support that falls into one of the following categories: </w:t>
      </w:r>
    </w:p>
    <w:p w14:paraId="36D67C1D" w14:textId="77777777" w:rsidR="001B7E1E" w:rsidRPr="00777BD1" w:rsidRDefault="001B7E1E" w:rsidP="001B7E1E">
      <w:pPr>
        <w:ind w:left="567" w:hanging="567"/>
        <w:rPr>
          <w:szCs w:val="18"/>
        </w:rPr>
      </w:pPr>
    </w:p>
    <w:p w14:paraId="5D644198" w14:textId="77777777" w:rsidR="001B7E1E" w:rsidRPr="00777BD1" w:rsidRDefault="001B7E1E" w:rsidP="001B7E1E">
      <w:pPr>
        <w:ind w:left="1134" w:hanging="567"/>
        <w:rPr>
          <w:szCs w:val="18"/>
        </w:rPr>
      </w:pPr>
      <w:r w:rsidRPr="00777BD1">
        <w:rPr>
          <w:szCs w:val="18"/>
        </w:rPr>
        <w:t>(a)</w:t>
      </w:r>
      <w:r>
        <w:rPr>
          <w:szCs w:val="18"/>
        </w:rPr>
        <w:tab/>
      </w:r>
      <w:r w:rsidRPr="00777BD1">
        <w:rPr>
          <w:szCs w:val="18"/>
        </w:rPr>
        <w:t>Support applied by a least developed Member</w:t>
      </w:r>
      <w:r w:rsidRPr="00777BD1">
        <w:rPr>
          <w:rStyle w:val="FootnoteReference"/>
          <w:szCs w:val="18"/>
        </w:rPr>
        <w:footnoteReference w:id="5"/>
      </w:r>
      <w:r w:rsidRPr="00777BD1">
        <w:rPr>
          <w:szCs w:val="18"/>
        </w:rPr>
        <w:t>; or</w:t>
      </w:r>
    </w:p>
    <w:p w14:paraId="6A3554FC" w14:textId="77777777" w:rsidR="001B7E1E" w:rsidRPr="00777BD1" w:rsidRDefault="001B7E1E" w:rsidP="001B7E1E">
      <w:pPr>
        <w:ind w:left="1134" w:hanging="567"/>
        <w:rPr>
          <w:szCs w:val="18"/>
        </w:rPr>
      </w:pPr>
    </w:p>
    <w:p w14:paraId="1B0A2F8D" w14:textId="77777777" w:rsidR="001B7E1E" w:rsidRPr="00777BD1" w:rsidRDefault="001B7E1E" w:rsidP="001B7E1E">
      <w:pPr>
        <w:ind w:left="1134" w:hanging="567"/>
        <w:rPr>
          <w:szCs w:val="18"/>
          <w:lang w:val="en-US"/>
        </w:rPr>
      </w:pPr>
      <w:r w:rsidRPr="00777BD1">
        <w:rPr>
          <w:szCs w:val="18"/>
        </w:rPr>
        <w:t>(b)</w:t>
      </w:r>
      <w:r>
        <w:rPr>
          <w:szCs w:val="18"/>
        </w:rPr>
        <w:tab/>
      </w:r>
      <w:r w:rsidRPr="00777BD1">
        <w:rPr>
          <w:szCs w:val="18"/>
        </w:rPr>
        <w:t xml:space="preserve">Support applied by a Net Food-Importing Developing Countries for the purposes of the Marrakesh Ministerial Decision on Measures Concerning the Possible Negative Effects of the Reform Programme on Least-Developed and Net Food-Importing Developing Countries; </w:t>
      </w:r>
      <w:r w:rsidRPr="00777BD1">
        <w:rPr>
          <w:szCs w:val="18"/>
          <w:lang w:val="en-US"/>
        </w:rPr>
        <w:t>or</w:t>
      </w:r>
    </w:p>
    <w:p w14:paraId="70CEEC31" w14:textId="77777777" w:rsidR="001B7E1E" w:rsidRPr="00777BD1" w:rsidRDefault="001B7E1E" w:rsidP="001B7E1E">
      <w:pPr>
        <w:ind w:left="1134" w:hanging="567"/>
        <w:rPr>
          <w:szCs w:val="18"/>
        </w:rPr>
      </w:pPr>
    </w:p>
    <w:p w14:paraId="4D4807F0" w14:textId="77777777" w:rsidR="001B7E1E" w:rsidRPr="00777BD1" w:rsidRDefault="001B7E1E" w:rsidP="001B7E1E">
      <w:pPr>
        <w:ind w:left="1134" w:hanging="567"/>
        <w:rPr>
          <w:szCs w:val="18"/>
        </w:rPr>
      </w:pPr>
      <w:r w:rsidRPr="00777BD1">
        <w:rPr>
          <w:szCs w:val="18"/>
        </w:rPr>
        <w:t>(c)</w:t>
      </w:r>
      <w:r>
        <w:rPr>
          <w:szCs w:val="18"/>
        </w:rPr>
        <w:tab/>
      </w:r>
      <w:r w:rsidRPr="00777BD1">
        <w:rPr>
          <w:szCs w:val="18"/>
        </w:rPr>
        <w:t>Support applied by WTO Members listed in FAO</w:t>
      </w:r>
      <w:r>
        <w:rPr>
          <w:szCs w:val="18"/>
        </w:rPr>
        <w:t>'</w:t>
      </w:r>
      <w:r w:rsidRPr="00777BD1">
        <w:rPr>
          <w:szCs w:val="18"/>
        </w:rPr>
        <w:t xml:space="preserve">s </w:t>
      </w:r>
      <w:r>
        <w:rPr>
          <w:szCs w:val="18"/>
        </w:rPr>
        <w:t>"</w:t>
      </w:r>
      <w:r w:rsidRPr="00777BD1">
        <w:rPr>
          <w:szCs w:val="18"/>
        </w:rPr>
        <w:t>Crop Prospects and Food Situation</w:t>
      </w:r>
      <w:r>
        <w:rPr>
          <w:szCs w:val="18"/>
        </w:rPr>
        <w:t>"</w:t>
      </w:r>
      <w:r w:rsidRPr="00777BD1">
        <w:rPr>
          <w:szCs w:val="18"/>
        </w:rPr>
        <w:t xml:space="preserve"> as "Countries Requiring External Assistance for Food" at least once in the past [2] years immediately before the year for which the notification of the eligible programme is being submitted.</w:t>
      </w:r>
    </w:p>
    <w:p w14:paraId="5F657101" w14:textId="77777777" w:rsidR="001B7E1E" w:rsidRPr="00777BD1" w:rsidRDefault="001B7E1E" w:rsidP="001B7E1E">
      <w:pPr>
        <w:ind w:left="567" w:hanging="567"/>
        <w:rPr>
          <w:szCs w:val="18"/>
        </w:rPr>
      </w:pPr>
    </w:p>
    <w:p w14:paraId="51AD2601" w14:textId="77777777" w:rsidR="001B7E1E" w:rsidRPr="00777BD1" w:rsidRDefault="001B7E1E" w:rsidP="001B7E1E">
      <w:pPr>
        <w:ind w:left="567" w:hanging="567"/>
        <w:rPr>
          <w:szCs w:val="18"/>
        </w:rPr>
      </w:pPr>
      <w:r w:rsidRPr="00777BD1">
        <w:rPr>
          <w:szCs w:val="18"/>
        </w:rPr>
        <w:t>6.</w:t>
      </w:r>
      <w:r>
        <w:rPr>
          <w:szCs w:val="18"/>
        </w:rPr>
        <w:tab/>
      </w:r>
      <w:r w:rsidRPr="00777BD1">
        <w:rPr>
          <w:szCs w:val="18"/>
        </w:rPr>
        <w:t xml:space="preserve">Support under (b) and (c) is covered if a Member has: </w:t>
      </w:r>
    </w:p>
    <w:p w14:paraId="7A97CAC1" w14:textId="77777777" w:rsidR="001B7E1E" w:rsidRPr="00777BD1" w:rsidRDefault="001B7E1E" w:rsidP="001B7E1E">
      <w:pPr>
        <w:rPr>
          <w:szCs w:val="18"/>
        </w:rPr>
      </w:pPr>
    </w:p>
    <w:p w14:paraId="2C4A3883" w14:textId="77777777" w:rsidR="001B7E1E" w:rsidRPr="00777BD1" w:rsidRDefault="001B7E1E" w:rsidP="001B7E1E">
      <w:pPr>
        <w:pStyle w:val="ListParagraph"/>
        <w:numPr>
          <w:ilvl w:val="0"/>
          <w:numId w:val="16"/>
        </w:numPr>
        <w:ind w:left="1134" w:hanging="533"/>
        <w:contextualSpacing w:val="0"/>
        <w:rPr>
          <w:szCs w:val="18"/>
          <w:lang w:val="en-US"/>
        </w:rPr>
      </w:pPr>
      <w:r w:rsidRPr="00777BD1">
        <w:rPr>
          <w:szCs w:val="18"/>
          <w:lang w:val="en-US"/>
        </w:rPr>
        <w:t>[0.5%] or less of global export share of a product</w:t>
      </w:r>
      <w:r w:rsidRPr="00777BD1">
        <w:rPr>
          <w:rStyle w:val="FootnoteReference"/>
          <w:szCs w:val="18"/>
          <w:lang w:val="en-US"/>
        </w:rPr>
        <w:footnoteReference w:id="6"/>
      </w:r>
      <w:r w:rsidRPr="00777BD1">
        <w:rPr>
          <w:szCs w:val="18"/>
          <w:lang w:val="en-US"/>
        </w:rPr>
        <w:t>, in the case that the value of the stocks procured does not exceed [15%] of; or</w:t>
      </w:r>
    </w:p>
    <w:p w14:paraId="3666D0BB" w14:textId="77777777" w:rsidR="001B7E1E" w:rsidRPr="00777BD1" w:rsidRDefault="001B7E1E" w:rsidP="001B7E1E">
      <w:pPr>
        <w:pStyle w:val="ListParagraph"/>
        <w:numPr>
          <w:ilvl w:val="0"/>
          <w:numId w:val="16"/>
        </w:numPr>
        <w:ind w:left="1134" w:hanging="532"/>
        <w:rPr>
          <w:szCs w:val="18"/>
          <w:lang w:val="en-US"/>
        </w:rPr>
      </w:pPr>
      <w:r w:rsidRPr="00777BD1">
        <w:rPr>
          <w:szCs w:val="18"/>
          <w:lang w:val="en-US"/>
        </w:rPr>
        <w:t>more than [0.5%] but no more than [2%] of global export share of a product</w:t>
      </w:r>
      <w:r w:rsidRPr="00777BD1">
        <w:rPr>
          <w:szCs w:val="18"/>
          <w:vertAlign w:val="superscript"/>
          <w:lang w:val="en-US"/>
        </w:rPr>
        <w:t>5</w:t>
      </w:r>
      <w:r w:rsidRPr="00777BD1">
        <w:rPr>
          <w:szCs w:val="18"/>
          <w:lang w:val="en-US"/>
        </w:rPr>
        <w:t>, in the case that the value of the stocks procured does not exceed [5%] of</w:t>
      </w:r>
    </w:p>
    <w:p w14:paraId="2162794A" w14:textId="77777777" w:rsidR="001B7E1E" w:rsidRPr="00777BD1" w:rsidRDefault="001B7E1E" w:rsidP="001B7E1E">
      <w:pPr>
        <w:rPr>
          <w:szCs w:val="18"/>
        </w:rPr>
      </w:pPr>
    </w:p>
    <w:p w14:paraId="59D3E02D" w14:textId="77777777" w:rsidR="001B7E1E" w:rsidRPr="00777BD1" w:rsidRDefault="001B7E1E" w:rsidP="001B7E1E">
      <w:pPr>
        <w:ind w:left="567"/>
        <w:rPr>
          <w:szCs w:val="18"/>
        </w:rPr>
      </w:pPr>
      <w:r w:rsidRPr="00777BD1">
        <w:rPr>
          <w:szCs w:val="18"/>
        </w:rPr>
        <w:t>the Member</w:t>
      </w:r>
      <w:r>
        <w:rPr>
          <w:szCs w:val="18"/>
        </w:rPr>
        <w:t>'</w:t>
      </w:r>
      <w:r w:rsidRPr="00777BD1">
        <w:rPr>
          <w:szCs w:val="18"/>
        </w:rPr>
        <w:t>s average value of production of that product as notified in the three latest domestic support notifications examined by the Committee on Agriculture</w:t>
      </w:r>
      <w:r>
        <w:rPr>
          <w:szCs w:val="18"/>
        </w:rPr>
        <w:t>.</w:t>
      </w:r>
      <w:r w:rsidRPr="00777BD1">
        <w:rPr>
          <w:rStyle w:val="FootnoteReference"/>
          <w:szCs w:val="18"/>
        </w:rPr>
        <w:footnoteReference w:id="7"/>
      </w:r>
      <w:r w:rsidRPr="00777BD1">
        <w:rPr>
          <w:szCs w:val="18"/>
        </w:rPr>
        <w:t xml:space="preserve"> </w:t>
      </w:r>
    </w:p>
    <w:p w14:paraId="304C0573" w14:textId="77777777" w:rsidR="001B7E1E" w:rsidRPr="00777BD1" w:rsidRDefault="001B7E1E" w:rsidP="001B7E1E">
      <w:pPr>
        <w:rPr>
          <w:szCs w:val="18"/>
        </w:rPr>
      </w:pPr>
    </w:p>
    <w:p w14:paraId="6F79E437" w14:textId="77777777" w:rsidR="001B7E1E" w:rsidRDefault="001B7E1E" w:rsidP="001B7E1E">
      <w:pPr>
        <w:pStyle w:val="Heading7"/>
        <w:spacing w:after="0"/>
      </w:pPr>
      <w:r w:rsidRPr="00D331E7">
        <w:t xml:space="preserve">NOTIFICATION AND TRANSPARENCY </w:t>
      </w:r>
    </w:p>
    <w:p w14:paraId="32351136" w14:textId="77777777" w:rsidR="001B7E1E" w:rsidRPr="00D331E7" w:rsidRDefault="001B7E1E" w:rsidP="001B7E1E"/>
    <w:p w14:paraId="38E20894" w14:textId="77777777" w:rsidR="001B7E1E" w:rsidRPr="00777BD1" w:rsidRDefault="001B7E1E" w:rsidP="001B7E1E">
      <w:pPr>
        <w:ind w:left="567" w:hanging="567"/>
        <w:rPr>
          <w:szCs w:val="18"/>
        </w:rPr>
      </w:pPr>
      <w:r w:rsidRPr="00777BD1">
        <w:rPr>
          <w:szCs w:val="18"/>
        </w:rPr>
        <w:t>7.</w:t>
      </w:r>
      <w:r>
        <w:rPr>
          <w:szCs w:val="18"/>
        </w:rPr>
        <w:tab/>
      </w:r>
      <w:r w:rsidRPr="00777BD1">
        <w:rPr>
          <w:szCs w:val="18"/>
        </w:rPr>
        <w:t>To benefit from this Decision, an eligible developing country Member must:</w:t>
      </w:r>
    </w:p>
    <w:p w14:paraId="526FE5F0" w14:textId="77777777" w:rsidR="001B7E1E" w:rsidRPr="00777BD1" w:rsidRDefault="001B7E1E" w:rsidP="001B7E1E">
      <w:pPr>
        <w:rPr>
          <w:szCs w:val="18"/>
        </w:rPr>
      </w:pPr>
    </w:p>
    <w:p w14:paraId="29D50FAA" w14:textId="77777777" w:rsidR="001B7E1E" w:rsidRPr="00777BD1" w:rsidRDefault="001B7E1E" w:rsidP="001B7E1E">
      <w:pPr>
        <w:ind w:left="1134" w:hanging="567"/>
        <w:rPr>
          <w:szCs w:val="18"/>
        </w:rPr>
      </w:pPr>
      <w:r w:rsidRPr="00777BD1">
        <w:rPr>
          <w:szCs w:val="18"/>
        </w:rPr>
        <w:t>(a)</w:t>
      </w:r>
      <w:r>
        <w:rPr>
          <w:szCs w:val="18"/>
        </w:rPr>
        <w:tab/>
      </w:r>
      <w:r w:rsidRPr="00777BD1">
        <w:rPr>
          <w:szCs w:val="18"/>
        </w:rPr>
        <w:t>have provided general information by completing entries 4-6 of the template contained in the Annex to this Decision</w:t>
      </w:r>
      <w:r w:rsidRPr="00777BD1">
        <w:rPr>
          <w:rStyle w:val="FootnoteReference"/>
          <w:szCs w:val="18"/>
        </w:rPr>
        <w:footnoteReference w:id="8"/>
      </w:r>
      <w:r>
        <w:rPr>
          <w:szCs w:val="18"/>
        </w:rPr>
        <w:t xml:space="preserve"> </w:t>
      </w:r>
      <w:r w:rsidRPr="00777BD1">
        <w:rPr>
          <w:szCs w:val="18"/>
        </w:rPr>
        <w:t>no later than [twelve] months after:</w:t>
      </w:r>
    </w:p>
    <w:p w14:paraId="6DC6C0AD" w14:textId="77777777" w:rsidR="001B7E1E" w:rsidRPr="00777BD1" w:rsidRDefault="001B7E1E" w:rsidP="001B7E1E">
      <w:pPr>
        <w:ind w:left="1134" w:hanging="567"/>
        <w:rPr>
          <w:szCs w:val="18"/>
        </w:rPr>
      </w:pPr>
    </w:p>
    <w:p w14:paraId="7CDA9778" w14:textId="77777777" w:rsidR="001B7E1E" w:rsidRPr="00777BD1" w:rsidRDefault="001B7E1E" w:rsidP="001B7E1E">
      <w:pPr>
        <w:pStyle w:val="ListParagraph"/>
        <w:numPr>
          <w:ilvl w:val="0"/>
          <w:numId w:val="17"/>
        </w:numPr>
        <w:ind w:left="1560" w:hanging="426"/>
        <w:rPr>
          <w:szCs w:val="18"/>
        </w:rPr>
      </w:pPr>
      <w:r w:rsidRPr="00777BD1">
        <w:rPr>
          <w:szCs w:val="18"/>
        </w:rPr>
        <w:t>the adoption of this Decision for existing programmes; or</w:t>
      </w:r>
    </w:p>
    <w:p w14:paraId="68F1C2B7" w14:textId="77777777" w:rsidR="001B7E1E" w:rsidRPr="00777BD1" w:rsidRDefault="001B7E1E" w:rsidP="001B7E1E">
      <w:pPr>
        <w:pStyle w:val="ListParagraph"/>
        <w:numPr>
          <w:ilvl w:val="0"/>
          <w:numId w:val="17"/>
        </w:numPr>
        <w:ind w:left="1560" w:hanging="426"/>
        <w:rPr>
          <w:szCs w:val="18"/>
        </w:rPr>
      </w:pPr>
      <w:r w:rsidRPr="00777BD1">
        <w:rPr>
          <w:szCs w:val="18"/>
        </w:rPr>
        <w:t xml:space="preserve">the implementation of new programmes </w:t>
      </w:r>
    </w:p>
    <w:p w14:paraId="1DC7C485" w14:textId="77777777" w:rsidR="001B7E1E" w:rsidRPr="00777BD1" w:rsidRDefault="001B7E1E" w:rsidP="001B7E1E">
      <w:pPr>
        <w:ind w:left="1134" w:hanging="567"/>
        <w:rPr>
          <w:szCs w:val="18"/>
        </w:rPr>
      </w:pPr>
    </w:p>
    <w:p w14:paraId="13CAD439" w14:textId="77777777" w:rsidR="001B7E1E" w:rsidRPr="00777BD1" w:rsidRDefault="001B7E1E" w:rsidP="001B7E1E">
      <w:pPr>
        <w:ind w:left="1134"/>
        <w:rPr>
          <w:szCs w:val="18"/>
        </w:rPr>
      </w:pPr>
      <w:r w:rsidRPr="00777BD1">
        <w:rPr>
          <w:szCs w:val="18"/>
        </w:rPr>
        <w:t>about each public stockholding programme that it maintains for food security purposes that meet the conditions set out in paragraphs 4 to 6;</w:t>
      </w:r>
    </w:p>
    <w:p w14:paraId="673C4122" w14:textId="77777777" w:rsidR="001B7E1E" w:rsidRPr="00777BD1" w:rsidRDefault="001B7E1E" w:rsidP="001B7E1E">
      <w:pPr>
        <w:ind w:left="1134" w:hanging="567"/>
        <w:rPr>
          <w:szCs w:val="18"/>
        </w:rPr>
      </w:pPr>
    </w:p>
    <w:p w14:paraId="0D9B988F" w14:textId="77777777" w:rsidR="001B7E1E" w:rsidRPr="00777BD1" w:rsidRDefault="001B7E1E" w:rsidP="001B7E1E">
      <w:pPr>
        <w:ind w:left="1134" w:hanging="567"/>
        <w:rPr>
          <w:szCs w:val="18"/>
        </w:rPr>
      </w:pPr>
      <w:r w:rsidRPr="00777BD1">
        <w:rPr>
          <w:szCs w:val="18"/>
        </w:rPr>
        <w:t>(b)</w:t>
      </w:r>
      <w:r>
        <w:rPr>
          <w:szCs w:val="18"/>
        </w:rPr>
        <w:tab/>
      </w:r>
      <w:r w:rsidRPr="00777BD1">
        <w:rPr>
          <w:szCs w:val="18"/>
        </w:rPr>
        <w:t>have notified the Committee on Agriculture that it is exceeding or is at risk of exceeding either or both of its Aggregate Measurement of Support (AMS) limits (the Member</w:t>
      </w:r>
      <w:r>
        <w:rPr>
          <w:szCs w:val="18"/>
        </w:rPr>
        <w:t>'</w:t>
      </w:r>
      <w:r w:rsidRPr="00777BD1">
        <w:rPr>
          <w:szCs w:val="18"/>
        </w:rPr>
        <w:t xml:space="preserve">s Bound Total AMS or the </w:t>
      </w:r>
      <w:r w:rsidRPr="00777BD1">
        <w:rPr>
          <w:i/>
          <w:szCs w:val="18"/>
        </w:rPr>
        <w:t>de minimis</w:t>
      </w:r>
      <w:r w:rsidRPr="00777BD1">
        <w:rPr>
          <w:szCs w:val="18"/>
        </w:rPr>
        <w:t xml:space="preserve"> level) as result of its programmes mentioned above;</w:t>
      </w:r>
    </w:p>
    <w:p w14:paraId="25386C4F" w14:textId="77777777" w:rsidR="001B7E1E" w:rsidRPr="00777BD1" w:rsidRDefault="001B7E1E" w:rsidP="001B7E1E">
      <w:pPr>
        <w:ind w:left="360"/>
        <w:rPr>
          <w:szCs w:val="18"/>
        </w:rPr>
      </w:pPr>
    </w:p>
    <w:p w14:paraId="009FDBAF" w14:textId="77777777" w:rsidR="001B7E1E" w:rsidRPr="00777BD1" w:rsidRDefault="001B7E1E" w:rsidP="001B7E1E">
      <w:pPr>
        <w:ind w:left="1134" w:hanging="567"/>
        <w:rPr>
          <w:szCs w:val="18"/>
        </w:rPr>
      </w:pPr>
      <w:r w:rsidRPr="00777BD1">
        <w:rPr>
          <w:szCs w:val="18"/>
        </w:rPr>
        <w:lastRenderedPageBreak/>
        <w:t>(c)</w:t>
      </w:r>
      <w:r>
        <w:rPr>
          <w:szCs w:val="18"/>
        </w:rPr>
        <w:tab/>
      </w:r>
      <w:r w:rsidRPr="00777BD1">
        <w:rPr>
          <w:szCs w:val="18"/>
        </w:rPr>
        <w:t>fulfil and continue to fulfil its domestic support notification requirements under the AoA, in accordance with document G/AG/2, particularly regarding paragraph 3 of Annex 2 and Article 6.3 and 7.2 (b) of the AoA</w:t>
      </w:r>
      <w:r w:rsidRPr="00777BD1">
        <w:rPr>
          <w:rStyle w:val="FootnoteReference"/>
          <w:szCs w:val="18"/>
        </w:rPr>
        <w:footnoteReference w:id="9"/>
      </w:r>
      <w:r w:rsidRPr="00777BD1">
        <w:rPr>
          <w:szCs w:val="18"/>
        </w:rPr>
        <w:t>;</w:t>
      </w:r>
    </w:p>
    <w:p w14:paraId="0FBB78E8" w14:textId="77777777" w:rsidR="001B7E1E" w:rsidRPr="00777BD1" w:rsidRDefault="001B7E1E" w:rsidP="001B7E1E">
      <w:pPr>
        <w:ind w:left="1134" w:hanging="567"/>
        <w:rPr>
          <w:szCs w:val="18"/>
        </w:rPr>
      </w:pPr>
    </w:p>
    <w:p w14:paraId="261A15D4" w14:textId="77777777" w:rsidR="001B7E1E" w:rsidRPr="00777BD1" w:rsidRDefault="001B7E1E" w:rsidP="001B7E1E">
      <w:pPr>
        <w:ind w:left="1134" w:hanging="567"/>
        <w:rPr>
          <w:szCs w:val="18"/>
        </w:rPr>
      </w:pPr>
      <w:r w:rsidRPr="00777BD1">
        <w:rPr>
          <w:szCs w:val="18"/>
        </w:rPr>
        <w:t>(d)</w:t>
      </w:r>
      <w:r>
        <w:rPr>
          <w:szCs w:val="18"/>
        </w:rPr>
        <w:tab/>
      </w:r>
      <w:r w:rsidRPr="00777BD1">
        <w:rPr>
          <w:szCs w:val="18"/>
        </w:rPr>
        <w:t>provide, and continue to provide on an annual basis, no later than [180 days] after the end of the calendar/marketing/fiscal year in question, updated information on each public stockholding programme that it maintains for food security purposes, by completing entries 1-6 and 8 to the template contained in the Annex to this Decision; and</w:t>
      </w:r>
    </w:p>
    <w:p w14:paraId="51C4382C" w14:textId="77777777" w:rsidR="001B7E1E" w:rsidRPr="00777BD1" w:rsidRDefault="001B7E1E" w:rsidP="001B7E1E">
      <w:pPr>
        <w:ind w:left="1134" w:hanging="567"/>
        <w:rPr>
          <w:szCs w:val="18"/>
        </w:rPr>
      </w:pPr>
    </w:p>
    <w:p w14:paraId="6FABE37C" w14:textId="77777777" w:rsidR="001B7E1E" w:rsidRPr="00777BD1" w:rsidRDefault="001B7E1E" w:rsidP="001B7E1E">
      <w:pPr>
        <w:ind w:left="1134" w:hanging="567"/>
        <w:rPr>
          <w:szCs w:val="18"/>
        </w:rPr>
      </w:pPr>
      <w:r w:rsidRPr="00777BD1">
        <w:rPr>
          <w:szCs w:val="18"/>
        </w:rPr>
        <w:t>(e)</w:t>
      </w:r>
      <w:r>
        <w:rPr>
          <w:szCs w:val="18"/>
        </w:rPr>
        <w:tab/>
      </w:r>
      <w:r w:rsidRPr="00777BD1">
        <w:rPr>
          <w:szCs w:val="18"/>
        </w:rPr>
        <w:t>provide any additional relevant statistical information described in the Statistical Appendix 1 to the Annex to this Decision as soon as possible after it becomes available, as well as any information updating or correcting any information earlier submitted.</w:t>
      </w:r>
    </w:p>
    <w:p w14:paraId="3042F8FE" w14:textId="77777777" w:rsidR="001B7E1E" w:rsidRPr="00777BD1" w:rsidRDefault="001B7E1E" w:rsidP="001B7E1E">
      <w:pPr>
        <w:ind w:left="1134" w:hanging="567"/>
        <w:rPr>
          <w:szCs w:val="18"/>
        </w:rPr>
      </w:pPr>
    </w:p>
    <w:p w14:paraId="14570650" w14:textId="77777777" w:rsidR="001B7E1E" w:rsidRPr="00777BD1" w:rsidRDefault="001B7E1E" w:rsidP="001B7E1E">
      <w:pPr>
        <w:ind w:left="567" w:hanging="567"/>
        <w:rPr>
          <w:szCs w:val="18"/>
        </w:rPr>
      </w:pPr>
      <w:r w:rsidRPr="00777BD1">
        <w:rPr>
          <w:szCs w:val="18"/>
        </w:rPr>
        <w:t>8.</w:t>
      </w:r>
      <w:r>
        <w:rPr>
          <w:szCs w:val="18"/>
        </w:rPr>
        <w:tab/>
      </w:r>
      <w:r w:rsidRPr="00777BD1">
        <w:rPr>
          <w:szCs w:val="18"/>
        </w:rPr>
        <w:t xml:space="preserve">Eligible Members other than least developed Members shall fulfil the obligations set in paragraph 7 above for their public stockholding programmes to benefit from this Decision. </w:t>
      </w:r>
    </w:p>
    <w:p w14:paraId="6999DCF6" w14:textId="77777777" w:rsidR="001B7E1E" w:rsidRPr="00777BD1" w:rsidRDefault="001B7E1E" w:rsidP="001B7E1E">
      <w:pPr>
        <w:ind w:left="1134" w:hanging="567"/>
        <w:rPr>
          <w:szCs w:val="18"/>
        </w:rPr>
      </w:pPr>
    </w:p>
    <w:p w14:paraId="4EBEC885" w14:textId="77777777" w:rsidR="001B7E1E" w:rsidRPr="00777BD1" w:rsidRDefault="001B7E1E" w:rsidP="001B7E1E">
      <w:pPr>
        <w:ind w:left="567" w:hanging="567"/>
        <w:rPr>
          <w:szCs w:val="18"/>
        </w:rPr>
      </w:pPr>
      <w:r w:rsidRPr="00777BD1">
        <w:rPr>
          <w:szCs w:val="18"/>
        </w:rPr>
        <w:t>9.</w:t>
      </w:r>
      <w:r>
        <w:rPr>
          <w:szCs w:val="18"/>
        </w:rPr>
        <w:tab/>
      </w:r>
      <w:r w:rsidRPr="00777BD1">
        <w:rPr>
          <w:szCs w:val="18"/>
        </w:rPr>
        <w:t>Least developed Members are encouraged to fulfil obligations set in paragraph 7 for their public stockholding programmes and to request the WTO Secretariat</w:t>
      </w:r>
      <w:r>
        <w:rPr>
          <w:szCs w:val="18"/>
        </w:rPr>
        <w:t>'</w:t>
      </w:r>
      <w:r w:rsidRPr="00777BD1">
        <w:rPr>
          <w:szCs w:val="18"/>
        </w:rPr>
        <w:t xml:space="preserve">s assistance to comply with notification and transparency requirements. </w:t>
      </w:r>
    </w:p>
    <w:p w14:paraId="081F7986" w14:textId="77777777" w:rsidR="001B7E1E" w:rsidRPr="00777BD1" w:rsidRDefault="001B7E1E" w:rsidP="001B7E1E">
      <w:pPr>
        <w:ind w:left="1134" w:hanging="567"/>
        <w:rPr>
          <w:szCs w:val="18"/>
        </w:rPr>
      </w:pPr>
    </w:p>
    <w:p w14:paraId="3A85D00A" w14:textId="77777777" w:rsidR="001B7E1E" w:rsidRPr="00777BD1" w:rsidRDefault="001B7E1E" w:rsidP="001B7E1E">
      <w:pPr>
        <w:ind w:left="567" w:hanging="567"/>
        <w:rPr>
          <w:szCs w:val="18"/>
        </w:rPr>
      </w:pPr>
      <w:r w:rsidRPr="00777BD1">
        <w:rPr>
          <w:szCs w:val="18"/>
        </w:rPr>
        <w:t>10.</w:t>
      </w:r>
      <w:r>
        <w:rPr>
          <w:szCs w:val="18"/>
        </w:rPr>
        <w:tab/>
      </w:r>
      <w:r w:rsidRPr="00777BD1">
        <w:rPr>
          <w:szCs w:val="18"/>
        </w:rPr>
        <w:t>Members instruct the WTO Secretariat to assist developing country Members, particularly least developed Members, upon their request, to comply with notification and transparency requirements, including through ad hoc advice, technical assistance and capacity-building support. The Secretariat shall report on the activities in relation to the assistance provided.</w:t>
      </w:r>
    </w:p>
    <w:p w14:paraId="3A8AD89D" w14:textId="77777777" w:rsidR="001B7E1E" w:rsidRPr="00777BD1" w:rsidRDefault="001B7E1E" w:rsidP="001B7E1E">
      <w:pPr>
        <w:rPr>
          <w:szCs w:val="18"/>
        </w:rPr>
      </w:pPr>
    </w:p>
    <w:p w14:paraId="7BA4D5B9" w14:textId="77777777" w:rsidR="001B7E1E" w:rsidRPr="008D0C21" w:rsidRDefault="001B7E1E" w:rsidP="001B7E1E">
      <w:pPr>
        <w:pStyle w:val="Heading7"/>
        <w:spacing w:after="0"/>
      </w:pPr>
      <w:r w:rsidRPr="008D0C21">
        <w:t>ANTI-CIRCUMVENTION AND SAFEGUARDS</w:t>
      </w:r>
    </w:p>
    <w:p w14:paraId="7DA8207A" w14:textId="77777777" w:rsidR="001B7E1E" w:rsidRPr="00777BD1" w:rsidRDefault="001B7E1E" w:rsidP="001B7E1E">
      <w:pPr>
        <w:rPr>
          <w:szCs w:val="18"/>
        </w:rPr>
      </w:pPr>
    </w:p>
    <w:p w14:paraId="35F2D558" w14:textId="77777777" w:rsidR="001B7E1E" w:rsidRPr="00777BD1" w:rsidRDefault="001B7E1E" w:rsidP="001B7E1E">
      <w:pPr>
        <w:ind w:left="567" w:hanging="567"/>
        <w:rPr>
          <w:szCs w:val="18"/>
        </w:rPr>
      </w:pPr>
      <w:r w:rsidRPr="00777BD1">
        <w:rPr>
          <w:szCs w:val="18"/>
        </w:rPr>
        <w:t xml:space="preserve">11. </w:t>
      </w:r>
      <w:r>
        <w:rPr>
          <w:szCs w:val="18"/>
        </w:rPr>
        <w:tab/>
      </w:r>
      <w:r w:rsidRPr="00777BD1">
        <w:rPr>
          <w:szCs w:val="18"/>
        </w:rPr>
        <w:t>Any eligible developing country Member seeking coverage of its programmes under this decision shall ensure that:</w:t>
      </w:r>
    </w:p>
    <w:p w14:paraId="3FEF4F89" w14:textId="77777777" w:rsidR="001B7E1E" w:rsidRPr="00777BD1" w:rsidRDefault="001B7E1E" w:rsidP="001B7E1E">
      <w:pPr>
        <w:rPr>
          <w:szCs w:val="18"/>
        </w:rPr>
      </w:pPr>
    </w:p>
    <w:p w14:paraId="5ACB07F2" w14:textId="77777777" w:rsidR="001B7E1E" w:rsidRPr="00777BD1" w:rsidRDefault="001B7E1E" w:rsidP="001B7E1E">
      <w:pPr>
        <w:pStyle w:val="ListParagraph"/>
        <w:numPr>
          <w:ilvl w:val="0"/>
          <w:numId w:val="18"/>
        </w:numPr>
        <w:ind w:left="1134" w:hanging="567"/>
        <w:rPr>
          <w:szCs w:val="18"/>
        </w:rPr>
      </w:pPr>
      <w:r w:rsidRPr="00777BD1">
        <w:rPr>
          <w:szCs w:val="18"/>
        </w:rPr>
        <w:t>stocks procured under such programmes shall be used exclusively for food security purposes;</w:t>
      </w:r>
    </w:p>
    <w:p w14:paraId="39FCAC33" w14:textId="77777777" w:rsidR="001B7E1E" w:rsidRPr="00777BD1" w:rsidRDefault="001B7E1E" w:rsidP="001B7E1E">
      <w:pPr>
        <w:pStyle w:val="ListParagraph"/>
        <w:ind w:left="1134" w:hanging="567"/>
        <w:rPr>
          <w:szCs w:val="18"/>
        </w:rPr>
      </w:pPr>
    </w:p>
    <w:p w14:paraId="2D66FFD6" w14:textId="77777777" w:rsidR="001B7E1E" w:rsidRPr="00777BD1" w:rsidRDefault="001B7E1E" w:rsidP="001B7E1E">
      <w:pPr>
        <w:pStyle w:val="ListParagraph"/>
        <w:numPr>
          <w:ilvl w:val="0"/>
          <w:numId w:val="18"/>
        </w:numPr>
        <w:ind w:left="1134" w:hanging="567"/>
        <w:rPr>
          <w:szCs w:val="18"/>
        </w:rPr>
      </w:pPr>
      <w:r w:rsidRPr="00777BD1">
        <w:rPr>
          <w:szCs w:val="18"/>
        </w:rPr>
        <w:t>stocks procured under such programmes do not distort trade or adversely affect the food security of other Members;</w:t>
      </w:r>
    </w:p>
    <w:p w14:paraId="63719061" w14:textId="77777777" w:rsidR="001B7E1E" w:rsidRPr="00777BD1" w:rsidRDefault="001B7E1E" w:rsidP="001B7E1E">
      <w:pPr>
        <w:pStyle w:val="ListParagraph"/>
        <w:ind w:left="1134" w:hanging="567"/>
        <w:rPr>
          <w:szCs w:val="18"/>
        </w:rPr>
      </w:pPr>
    </w:p>
    <w:p w14:paraId="16BCB8B3" w14:textId="77777777" w:rsidR="001B7E1E" w:rsidRPr="00777BD1" w:rsidRDefault="001B7E1E" w:rsidP="001B7E1E">
      <w:pPr>
        <w:pStyle w:val="ListParagraph"/>
        <w:numPr>
          <w:ilvl w:val="0"/>
          <w:numId w:val="18"/>
        </w:numPr>
        <w:ind w:left="1134" w:hanging="567"/>
        <w:rPr>
          <w:szCs w:val="18"/>
        </w:rPr>
      </w:pPr>
      <w:r w:rsidRPr="00777BD1">
        <w:rPr>
          <w:szCs w:val="18"/>
        </w:rPr>
        <w:t>no direct or indirect export from the stocks shall occur upon the release of products from the stocks nor any release of products from the stock shall occur on the condition that they are exported;</w:t>
      </w:r>
    </w:p>
    <w:p w14:paraId="61066E3D" w14:textId="77777777" w:rsidR="001B7E1E" w:rsidRPr="00777BD1" w:rsidRDefault="001B7E1E" w:rsidP="001B7E1E">
      <w:pPr>
        <w:pStyle w:val="ListParagraph"/>
        <w:ind w:left="1134" w:hanging="567"/>
        <w:rPr>
          <w:szCs w:val="18"/>
        </w:rPr>
      </w:pPr>
    </w:p>
    <w:p w14:paraId="4EBFF160" w14:textId="77777777" w:rsidR="001B7E1E" w:rsidRPr="00777BD1" w:rsidRDefault="001B7E1E" w:rsidP="001B7E1E">
      <w:pPr>
        <w:pStyle w:val="ListParagraph"/>
        <w:numPr>
          <w:ilvl w:val="0"/>
          <w:numId w:val="18"/>
        </w:numPr>
        <w:ind w:left="1134" w:hanging="567"/>
        <w:rPr>
          <w:szCs w:val="18"/>
        </w:rPr>
      </w:pPr>
      <w:r w:rsidRPr="00777BD1">
        <w:rPr>
          <w:szCs w:val="18"/>
        </w:rPr>
        <w:t>an entity executing any function related to the implementation of public stockholding programmes shall not be engaged in export operations;</w:t>
      </w:r>
    </w:p>
    <w:p w14:paraId="349BDA33" w14:textId="77777777" w:rsidR="001B7E1E" w:rsidRPr="00777BD1" w:rsidRDefault="001B7E1E" w:rsidP="001B7E1E">
      <w:pPr>
        <w:ind w:left="1134" w:hanging="567"/>
        <w:rPr>
          <w:szCs w:val="18"/>
        </w:rPr>
      </w:pPr>
    </w:p>
    <w:p w14:paraId="5A0EA6B3" w14:textId="77777777" w:rsidR="001B7E1E" w:rsidRPr="00777BD1" w:rsidRDefault="001B7E1E" w:rsidP="001B7E1E">
      <w:pPr>
        <w:pStyle w:val="ListParagraph"/>
        <w:numPr>
          <w:ilvl w:val="0"/>
          <w:numId w:val="18"/>
        </w:numPr>
        <w:ind w:left="1134" w:hanging="567"/>
        <w:rPr>
          <w:szCs w:val="18"/>
        </w:rPr>
      </w:pPr>
      <w:r w:rsidRPr="00777BD1">
        <w:rPr>
          <w:szCs w:val="18"/>
        </w:rPr>
        <w:t>stocks procured under such programmes shall not be used as animal feed;</w:t>
      </w:r>
    </w:p>
    <w:p w14:paraId="7F1E0880" w14:textId="77777777" w:rsidR="001B7E1E" w:rsidRPr="00777BD1" w:rsidRDefault="001B7E1E" w:rsidP="001B7E1E">
      <w:pPr>
        <w:ind w:left="1134" w:hanging="567"/>
        <w:rPr>
          <w:szCs w:val="18"/>
        </w:rPr>
      </w:pPr>
    </w:p>
    <w:p w14:paraId="3E3910C9" w14:textId="77777777" w:rsidR="001B7E1E" w:rsidRPr="00777BD1" w:rsidRDefault="001B7E1E" w:rsidP="001B7E1E">
      <w:pPr>
        <w:pStyle w:val="ListParagraph"/>
        <w:numPr>
          <w:ilvl w:val="0"/>
          <w:numId w:val="18"/>
        </w:numPr>
        <w:ind w:left="1134" w:hanging="567"/>
        <w:rPr>
          <w:szCs w:val="18"/>
        </w:rPr>
      </w:pPr>
      <w:r w:rsidRPr="00777BD1">
        <w:rPr>
          <w:szCs w:val="18"/>
        </w:rPr>
        <w:t>applied tariffs for the products procured under public stockholding programmes shall not exceed [X]% of the average applied tariffs in the period of [2019-2021].</w:t>
      </w:r>
    </w:p>
    <w:p w14:paraId="2E45B348" w14:textId="77777777" w:rsidR="001B7E1E" w:rsidRPr="00777BD1" w:rsidRDefault="001B7E1E" w:rsidP="001B7E1E">
      <w:pPr>
        <w:pStyle w:val="ListParagraph"/>
        <w:rPr>
          <w:szCs w:val="18"/>
        </w:rPr>
      </w:pPr>
    </w:p>
    <w:p w14:paraId="42FB96D7" w14:textId="77777777" w:rsidR="001B7E1E" w:rsidRPr="00777BD1" w:rsidRDefault="001B7E1E" w:rsidP="001B7E1E">
      <w:pPr>
        <w:ind w:left="567" w:hanging="567"/>
        <w:rPr>
          <w:szCs w:val="18"/>
        </w:rPr>
      </w:pPr>
      <w:r w:rsidRPr="00777BD1">
        <w:rPr>
          <w:szCs w:val="18"/>
        </w:rPr>
        <w:t>12.</w:t>
      </w:r>
      <w:r>
        <w:rPr>
          <w:szCs w:val="18"/>
        </w:rPr>
        <w:tab/>
      </w:r>
      <w:r w:rsidRPr="00777BD1">
        <w:rPr>
          <w:szCs w:val="18"/>
        </w:rPr>
        <w:t xml:space="preserve">This Decision shall not be used in a manner that results in an increase of the support subject to the Member's Bound Total AMS or the </w:t>
      </w:r>
      <w:r w:rsidRPr="00777BD1">
        <w:rPr>
          <w:i/>
          <w:szCs w:val="18"/>
        </w:rPr>
        <w:t>de minimis</w:t>
      </w:r>
      <w:r w:rsidRPr="00777BD1">
        <w:rPr>
          <w:szCs w:val="18"/>
        </w:rPr>
        <w:t xml:space="preserve"> limits provided under programmes other than those notified under the Annex to this Decision.</w:t>
      </w:r>
    </w:p>
    <w:p w14:paraId="48D68D19" w14:textId="77777777" w:rsidR="001B7E1E" w:rsidRPr="00777BD1" w:rsidRDefault="001B7E1E" w:rsidP="001B7E1E">
      <w:pPr>
        <w:rPr>
          <w:szCs w:val="18"/>
        </w:rPr>
      </w:pPr>
    </w:p>
    <w:p w14:paraId="69EFCD80" w14:textId="77777777" w:rsidR="001B7E1E" w:rsidRPr="008D0C21" w:rsidRDefault="001B7E1E" w:rsidP="001B7E1E">
      <w:pPr>
        <w:pStyle w:val="Heading7"/>
        <w:spacing w:after="0"/>
      </w:pPr>
      <w:r w:rsidRPr="008D0C21">
        <w:lastRenderedPageBreak/>
        <w:t>CONSULTATIONS</w:t>
      </w:r>
    </w:p>
    <w:p w14:paraId="2FAB840A" w14:textId="77777777" w:rsidR="001B7E1E" w:rsidRPr="00777BD1" w:rsidRDefault="001B7E1E" w:rsidP="001B7E1E">
      <w:pPr>
        <w:keepNext/>
        <w:rPr>
          <w:b/>
          <w:szCs w:val="18"/>
        </w:rPr>
      </w:pPr>
    </w:p>
    <w:p w14:paraId="61F5339F" w14:textId="77777777" w:rsidR="001B7E1E" w:rsidRPr="00777BD1" w:rsidRDefault="001B7E1E" w:rsidP="001B7E1E">
      <w:pPr>
        <w:ind w:left="567" w:hanging="567"/>
        <w:rPr>
          <w:szCs w:val="18"/>
        </w:rPr>
      </w:pPr>
      <w:r w:rsidRPr="00777BD1">
        <w:rPr>
          <w:szCs w:val="18"/>
        </w:rPr>
        <w:t>13.</w:t>
      </w:r>
      <w:r>
        <w:rPr>
          <w:szCs w:val="18"/>
        </w:rPr>
        <w:tab/>
      </w:r>
      <w:r w:rsidRPr="00777BD1">
        <w:rPr>
          <w:szCs w:val="18"/>
        </w:rPr>
        <w:t>A developing country Member benefiting from this Decision shall upon request of any Member hold consultations on the operation of its public stockholding programmes notified under paragraph 7 of this Decision and provide the necessary information.</w:t>
      </w:r>
    </w:p>
    <w:p w14:paraId="16CA3940" w14:textId="77777777" w:rsidR="001B7E1E" w:rsidRPr="00777BD1" w:rsidRDefault="001B7E1E" w:rsidP="001B7E1E">
      <w:pPr>
        <w:ind w:left="567" w:hanging="567"/>
        <w:rPr>
          <w:szCs w:val="18"/>
        </w:rPr>
      </w:pPr>
    </w:p>
    <w:p w14:paraId="67030199" w14:textId="77777777" w:rsidR="001B7E1E" w:rsidRPr="00777BD1" w:rsidRDefault="001B7E1E" w:rsidP="001B7E1E">
      <w:pPr>
        <w:pStyle w:val="Heading7"/>
        <w:spacing w:after="0"/>
        <w:ind w:left="567" w:hanging="567"/>
        <w:rPr>
          <w:szCs w:val="18"/>
        </w:rPr>
      </w:pPr>
      <w:r w:rsidRPr="008D0C21">
        <w:t>MONITORING</w:t>
      </w:r>
    </w:p>
    <w:p w14:paraId="79613101" w14:textId="77777777" w:rsidR="001B7E1E" w:rsidRPr="00777BD1" w:rsidRDefault="001B7E1E" w:rsidP="001B7E1E">
      <w:pPr>
        <w:pStyle w:val="Heading7"/>
        <w:spacing w:after="0"/>
        <w:ind w:left="567" w:hanging="567"/>
        <w:rPr>
          <w:b w:val="0"/>
          <w:szCs w:val="18"/>
        </w:rPr>
      </w:pPr>
    </w:p>
    <w:p w14:paraId="20A1FF2F" w14:textId="77777777" w:rsidR="001B7E1E" w:rsidRPr="00777BD1" w:rsidRDefault="001B7E1E" w:rsidP="001B7E1E">
      <w:pPr>
        <w:ind w:left="567" w:hanging="567"/>
        <w:rPr>
          <w:szCs w:val="18"/>
        </w:rPr>
      </w:pPr>
      <w:r w:rsidRPr="00777BD1">
        <w:rPr>
          <w:szCs w:val="18"/>
        </w:rPr>
        <w:t>14.</w:t>
      </w:r>
      <w:r>
        <w:rPr>
          <w:szCs w:val="18"/>
        </w:rPr>
        <w:tab/>
      </w:r>
      <w:r w:rsidRPr="00777BD1">
        <w:rPr>
          <w:szCs w:val="18"/>
        </w:rPr>
        <w:t>The Committee on Agriculture shall monitor and review the information submitted under this Decision.</w:t>
      </w:r>
    </w:p>
    <w:p w14:paraId="01C75F75" w14:textId="77777777" w:rsidR="001B7E1E" w:rsidRPr="00777BD1" w:rsidRDefault="001B7E1E" w:rsidP="001B7E1E">
      <w:pPr>
        <w:ind w:left="567" w:hanging="567"/>
        <w:rPr>
          <w:szCs w:val="18"/>
        </w:rPr>
      </w:pPr>
    </w:p>
    <w:p w14:paraId="58A5B384" w14:textId="77777777" w:rsidR="001B7E1E" w:rsidRPr="00777BD1" w:rsidRDefault="001B7E1E" w:rsidP="001B7E1E">
      <w:pPr>
        <w:ind w:left="567" w:hanging="567"/>
        <w:rPr>
          <w:szCs w:val="18"/>
        </w:rPr>
      </w:pPr>
      <w:r w:rsidRPr="00777BD1">
        <w:rPr>
          <w:szCs w:val="18"/>
        </w:rPr>
        <w:t>15.</w:t>
      </w:r>
      <w:r>
        <w:rPr>
          <w:szCs w:val="18"/>
        </w:rPr>
        <w:tab/>
      </w:r>
      <w:r w:rsidRPr="00777BD1">
        <w:rPr>
          <w:szCs w:val="18"/>
        </w:rPr>
        <w:t>Public stockholding programmes benefiting from this decision shall be examined in annual Dedicated Discussions on food security within the Committee on Agriculture. This examination process shall provide an opportunity for Members to raise any matter relevant to public stockholding programmes operated by other Members as well as any matter related to policies and national experiences aimed at improving food security. The dedicated discussions shall be undertaken on the basis of factual information and data compiled by the WTO Secretariat provided by Members to the WTO Secretariat according to paragraph 7 above and the template contained in the Annex to this Decision.</w:t>
      </w:r>
    </w:p>
    <w:p w14:paraId="67E4A8A4" w14:textId="77777777" w:rsidR="001B7E1E" w:rsidRPr="00777BD1" w:rsidRDefault="001B7E1E" w:rsidP="001B7E1E">
      <w:pPr>
        <w:ind w:left="567" w:hanging="567"/>
        <w:rPr>
          <w:szCs w:val="18"/>
        </w:rPr>
      </w:pPr>
    </w:p>
    <w:p w14:paraId="4A269CAE" w14:textId="77777777" w:rsidR="001B7E1E" w:rsidRPr="00777BD1" w:rsidRDefault="001B7E1E" w:rsidP="001B7E1E">
      <w:pPr>
        <w:ind w:left="567" w:hanging="567"/>
        <w:rPr>
          <w:szCs w:val="18"/>
        </w:rPr>
      </w:pPr>
      <w:r w:rsidRPr="00777BD1">
        <w:rPr>
          <w:szCs w:val="18"/>
        </w:rPr>
        <w:t>16.</w:t>
      </w:r>
      <w:r>
        <w:rPr>
          <w:szCs w:val="18"/>
        </w:rPr>
        <w:tab/>
      </w:r>
      <w:r w:rsidRPr="00777BD1">
        <w:rPr>
          <w:szCs w:val="18"/>
        </w:rPr>
        <w:t xml:space="preserve">The Committee on Agriculture shall review the disciplines contained in this Decision and its operation every three years, taking into account the Dedicated Discussions and the experience gained up to that time, with the aim of making recommendations that improve food security in a manner consistent with Article 20 of the AoA. </w:t>
      </w:r>
    </w:p>
    <w:p w14:paraId="465597C7" w14:textId="77777777" w:rsidR="001B7E1E" w:rsidRPr="00777BD1" w:rsidRDefault="001B7E1E" w:rsidP="001B7E1E">
      <w:pPr>
        <w:ind w:left="567" w:hanging="567"/>
        <w:rPr>
          <w:szCs w:val="18"/>
        </w:rPr>
      </w:pPr>
    </w:p>
    <w:p w14:paraId="5CAC7B97" w14:textId="77777777" w:rsidR="001B7E1E" w:rsidRPr="008D0C21" w:rsidRDefault="001B7E1E" w:rsidP="001B7E1E">
      <w:pPr>
        <w:pStyle w:val="Heading7"/>
        <w:spacing w:after="0"/>
        <w:ind w:left="567" w:hanging="567"/>
      </w:pPr>
      <w:r w:rsidRPr="008D0C21">
        <w:t>FINAL PROVISIONS</w:t>
      </w:r>
    </w:p>
    <w:p w14:paraId="600E48F0" w14:textId="77777777" w:rsidR="001B7E1E" w:rsidRPr="00777BD1" w:rsidRDefault="001B7E1E" w:rsidP="001B7E1E">
      <w:pPr>
        <w:ind w:left="567" w:hanging="567"/>
        <w:rPr>
          <w:szCs w:val="18"/>
        </w:rPr>
      </w:pPr>
    </w:p>
    <w:p w14:paraId="1F110D69" w14:textId="77777777" w:rsidR="001B7E1E" w:rsidRPr="00777BD1" w:rsidRDefault="001B7E1E" w:rsidP="001B7E1E">
      <w:pPr>
        <w:ind w:left="567" w:hanging="567"/>
        <w:rPr>
          <w:szCs w:val="18"/>
        </w:rPr>
      </w:pPr>
      <w:r w:rsidRPr="00777BD1">
        <w:rPr>
          <w:szCs w:val="18"/>
        </w:rPr>
        <w:t>17.</w:t>
      </w:r>
      <w:r>
        <w:rPr>
          <w:szCs w:val="18"/>
        </w:rPr>
        <w:tab/>
      </w:r>
      <w:r w:rsidRPr="00777BD1">
        <w:rPr>
          <w:szCs w:val="18"/>
        </w:rPr>
        <w:t>Pursuant to the preamble and Article 20 of the AoA, this Decision shall not be construed to impede the Uruguay Round agricultural reform programme aimed at correcting and preventing restrictions and distortions in world agricultural markets. Accordingly, developing country Members invoking this Decision for their public stockholding programmes</w:t>
      </w:r>
      <w:r>
        <w:rPr>
          <w:szCs w:val="18"/>
        </w:rPr>
        <w:t xml:space="preserve"> </w:t>
      </w:r>
      <w:r w:rsidRPr="00777BD1">
        <w:rPr>
          <w:szCs w:val="18"/>
        </w:rPr>
        <w:t>shall undertake the necessary reforms in order to bring them back into compliance with their domestic support obligations under that Agreement.</w:t>
      </w:r>
    </w:p>
    <w:p w14:paraId="6C3C3009" w14:textId="77777777" w:rsidR="001B7E1E" w:rsidRPr="00777BD1" w:rsidRDefault="001B7E1E" w:rsidP="001B7E1E">
      <w:pPr>
        <w:ind w:left="567" w:hanging="567"/>
        <w:rPr>
          <w:szCs w:val="18"/>
        </w:rPr>
      </w:pPr>
    </w:p>
    <w:p w14:paraId="5C0BC0A1" w14:textId="77777777" w:rsidR="001B7E1E" w:rsidRPr="00777BD1" w:rsidRDefault="001B7E1E" w:rsidP="001B7E1E">
      <w:pPr>
        <w:ind w:left="567" w:hanging="567"/>
        <w:rPr>
          <w:szCs w:val="18"/>
        </w:rPr>
      </w:pPr>
      <w:r w:rsidRPr="00777BD1">
        <w:rPr>
          <w:szCs w:val="18"/>
        </w:rPr>
        <w:t>18.</w:t>
      </w:r>
      <w:r>
        <w:rPr>
          <w:szCs w:val="18"/>
        </w:rPr>
        <w:tab/>
      </w:r>
      <w:r w:rsidRPr="00777BD1">
        <w:rPr>
          <w:szCs w:val="18"/>
        </w:rPr>
        <w:t>As of its adoption, this Decision replaces the interim solution (WT/MIN(13)/38 - WT/L/913) for Public Stockholding for Food Security Purposes adopted in Bali, Indonesia in December 2013, as clarified in the General Council Decision of 27 November 2014 (WT/L/939).</w:t>
      </w:r>
    </w:p>
    <w:p w14:paraId="49E9C7F7" w14:textId="77777777" w:rsidR="001B7E1E" w:rsidRPr="00777BD1" w:rsidRDefault="001B7E1E" w:rsidP="001B7E1E">
      <w:pPr>
        <w:ind w:left="567" w:hanging="567"/>
        <w:rPr>
          <w:szCs w:val="18"/>
        </w:rPr>
      </w:pPr>
    </w:p>
    <w:p w14:paraId="3FB34C0B" w14:textId="17328C20" w:rsidR="00697FB6" w:rsidRDefault="001B7E1E" w:rsidP="001B7E1E">
      <w:pPr>
        <w:ind w:left="567" w:hanging="567"/>
        <w:rPr>
          <w:szCs w:val="18"/>
        </w:rPr>
      </w:pPr>
      <w:r w:rsidRPr="00777BD1">
        <w:rPr>
          <w:szCs w:val="18"/>
        </w:rPr>
        <w:t>19.</w:t>
      </w:r>
      <w:r>
        <w:rPr>
          <w:szCs w:val="18"/>
        </w:rPr>
        <w:tab/>
      </w:r>
      <w:r w:rsidRPr="00777BD1">
        <w:rPr>
          <w:szCs w:val="18"/>
        </w:rPr>
        <w:t>This Decision shall be reviewed by the General Council taking into account the recommendations made by the Committee on Agriculture as per paragraph 16</w:t>
      </w:r>
      <w:r>
        <w:rPr>
          <w:szCs w:val="18"/>
        </w:rPr>
        <w:t>.</w:t>
      </w:r>
    </w:p>
    <w:p w14:paraId="09366BE3" w14:textId="07D5A927" w:rsidR="001B7E1E" w:rsidRDefault="001B7E1E" w:rsidP="001B7E1E">
      <w:pPr>
        <w:ind w:left="567" w:hanging="567"/>
        <w:rPr>
          <w:szCs w:val="18"/>
        </w:rPr>
      </w:pPr>
    </w:p>
    <w:p w14:paraId="2C9D8087" w14:textId="77777777" w:rsidR="001B7E1E" w:rsidRDefault="001B7E1E" w:rsidP="001B7E1E">
      <w:pPr>
        <w:sectPr w:rsidR="001B7E1E" w:rsidSect="001B7E1E">
          <w:footnotePr>
            <w:numRestart w:val="eachSect"/>
          </w:footnotePr>
          <w:pgSz w:w="11906" w:h="16838" w:code="9"/>
          <w:pgMar w:top="1701" w:right="1440" w:bottom="1440" w:left="1440" w:header="720" w:footer="720" w:gutter="0"/>
          <w:cols w:space="708"/>
          <w:docGrid w:linePitch="360"/>
        </w:sectPr>
      </w:pPr>
    </w:p>
    <w:p w14:paraId="78EF8FE4" w14:textId="77777777" w:rsidR="001B7E1E" w:rsidRPr="00777BD1" w:rsidRDefault="001B7E1E" w:rsidP="001B7E1E">
      <w:pPr>
        <w:pStyle w:val="Title"/>
        <w:contextualSpacing w:val="0"/>
        <w:rPr>
          <w:szCs w:val="18"/>
        </w:rPr>
      </w:pPr>
      <w:r w:rsidRPr="00777BD1">
        <w:rPr>
          <w:szCs w:val="18"/>
        </w:rPr>
        <w:lastRenderedPageBreak/>
        <w:t xml:space="preserve">ANNEX </w:t>
      </w:r>
    </w:p>
    <w:p w14:paraId="197018B7" w14:textId="77777777" w:rsidR="001B7E1E" w:rsidRPr="00777BD1" w:rsidRDefault="001B7E1E" w:rsidP="001B7E1E">
      <w:pPr>
        <w:pStyle w:val="Heading7"/>
        <w:rPr>
          <w:szCs w:val="18"/>
        </w:rPr>
      </w:pPr>
      <w:r w:rsidRPr="00777BD1">
        <w:rPr>
          <w:szCs w:val="18"/>
        </w:rPr>
        <w:t>Public Stockholding programmes</w:t>
      </w:r>
    </w:p>
    <w:p w14:paraId="7C70D3C2" w14:textId="77777777" w:rsidR="001B7E1E" w:rsidRDefault="001B7E1E" w:rsidP="001B7E1E">
      <w:pPr>
        <w:rPr>
          <w:szCs w:val="18"/>
        </w:rPr>
      </w:pPr>
      <w:r w:rsidRPr="00777BD1">
        <w:rPr>
          <w:szCs w:val="18"/>
        </w:rPr>
        <w:t>Members shall provide information on public stockholding programmes within the context of an annual examination process, based on the following structure:</w:t>
      </w:r>
    </w:p>
    <w:p w14:paraId="0F78AAEC" w14:textId="77777777" w:rsidR="001B7E1E" w:rsidRPr="00777BD1" w:rsidRDefault="001B7E1E" w:rsidP="001B7E1E">
      <w:pPr>
        <w:rPr>
          <w:szCs w:val="18"/>
        </w:rPr>
      </w:pPr>
    </w:p>
    <w:p w14:paraId="2341D383" w14:textId="77777777" w:rsidR="001B7E1E" w:rsidRPr="00777BD1" w:rsidRDefault="001B7E1E" w:rsidP="001B7E1E">
      <w:pPr>
        <w:pStyle w:val="ListParagraph"/>
        <w:numPr>
          <w:ilvl w:val="0"/>
          <w:numId w:val="19"/>
        </w:numPr>
        <w:ind w:left="1134" w:hanging="567"/>
        <w:rPr>
          <w:szCs w:val="18"/>
        </w:rPr>
      </w:pPr>
      <w:r w:rsidRPr="00777BD1">
        <w:rPr>
          <w:szCs w:val="18"/>
        </w:rPr>
        <w:t>Value of production of the product subject to public stockholding in a Member.</w:t>
      </w:r>
    </w:p>
    <w:p w14:paraId="2F5C0FC6" w14:textId="77777777" w:rsidR="001B7E1E" w:rsidRPr="00777BD1" w:rsidRDefault="001B7E1E" w:rsidP="001B7E1E">
      <w:pPr>
        <w:pStyle w:val="ListParagraph"/>
        <w:ind w:left="1134"/>
        <w:rPr>
          <w:szCs w:val="18"/>
        </w:rPr>
      </w:pPr>
    </w:p>
    <w:p w14:paraId="79D5E7D5" w14:textId="77777777" w:rsidR="001B7E1E" w:rsidRPr="00777BD1" w:rsidRDefault="001B7E1E" w:rsidP="001B7E1E">
      <w:pPr>
        <w:pStyle w:val="ListParagraph"/>
        <w:numPr>
          <w:ilvl w:val="0"/>
          <w:numId w:val="19"/>
        </w:numPr>
        <w:ind w:left="1134" w:hanging="567"/>
        <w:rPr>
          <w:szCs w:val="18"/>
        </w:rPr>
      </w:pPr>
      <w:r w:rsidRPr="00777BD1">
        <w:rPr>
          <w:szCs w:val="18"/>
        </w:rPr>
        <w:t>Value of acquired stocks of the product subject to public stockholding in a Member.</w:t>
      </w:r>
    </w:p>
    <w:p w14:paraId="1E2BCC78" w14:textId="77777777" w:rsidR="001B7E1E" w:rsidRPr="00777BD1" w:rsidRDefault="001B7E1E" w:rsidP="001B7E1E">
      <w:pPr>
        <w:pStyle w:val="ListParagraph"/>
        <w:ind w:left="1134"/>
        <w:rPr>
          <w:szCs w:val="18"/>
        </w:rPr>
      </w:pPr>
    </w:p>
    <w:p w14:paraId="114FD543" w14:textId="77777777" w:rsidR="001B7E1E" w:rsidRPr="00777BD1" w:rsidRDefault="001B7E1E" w:rsidP="001B7E1E">
      <w:pPr>
        <w:pStyle w:val="ListParagraph"/>
        <w:numPr>
          <w:ilvl w:val="0"/>
          <w:numId w:val="19"/>
        </w:numPr>
        <w:autoSpaceDE w:val="0"/>
        <w:autoSpaceDN w:val="0"/>
        <w:adjustRightInd w:val="0"/>
        <w:ind w:left="1134" w:hanging="567"/>
        <w:rPr>
          <w:rFonts w:cs="Verdana"/>
          <w:bCs/>
          <w:szCs w:val="18"/>
          <w:lang w:eastAsia="en-GB"/>
        </w:rPr>
      </w:pPr>
      <w:r w:rsidRPr="00777BD1">
        <w:rPr>
          <w:rFonts w:cs="Verdana"/>
          <w:bCs/>
          <w:szCs w:val="18"/>
          <w:lang w:eastAsia="en-GB"/>
        </w:rPr>
        <w:t>Factual information confirming that DS:1 notifications and relevant supporting tables for the preceding three years are up-to-date (e.g. date and document details).</w:t>
      </w:r>
    </w:p>
    <w:p w14:paraId="3EB5319F" w14:textId="77777777" w:rsidR="001B7E1E" w:rsidRPr="00777BD1" w:rsidRDefault="001B7E1E" w:rsidP="001B7E1E">
      <w:pPr>
        <w:pStyle w:val="ListParagraph"/>
        <w:autoSpaceDE w:val="0"/>
        <w:autoSpaceDN w:val="0"/>
        <w:adjustRightInd w:val="0"/>
        <w:ind w:left="1134"/>
        <w:rPr>
          <w:rFonts w:cs="Verdana"/>
          <w:bCs/>
          <w:szCs w:val="18"/>
          <w:lang w:eastAsia="en-GB"/>
        </w:rPr>
      </w:pPr>
    </w:p>
    <w:p w14:paraId="483D8923" w14:textId="77777777" w:rsidR="001B7E1E" w:rsidRPr="00777BD1" w:rsidRDefault="001B7E1E" w:rsidP="001B7E1E">
      <w:pPr>
        <w:pStyle w:val="ListParagraph"/>
        <w:numPr>
          <w:ilvl w:val="0"/>
          <w:numId w:val="19"/>
        </w:numPr>
        <w:autoSpaceDE w:val="0"/>
        <w:autoSpaceDN w:val="0"/>
        <w:adjustRightInd w:val="0"/>
        <w:ind w:left="1134" w:hanging="567"/>
        <w:rPr>
          <w:rFonts w:cs="Verdana"/>
          <w:bCs/>
          <w:szCs w:val="18"/>
          <w:lang w:eastAsia="en-GB"/>
        </w:rPr>
      </w:pPr>
      <w:r w:rsidRPr="00777BD1">
        <w:rPr>
          <w:rFonts w:cs="Verdana"/>
          <w:bCs/>
          <w:szCs w:val="18"/>
          <w:lang w:eastAsia="en-GB"/>
        </w:rPr>
        <w:t>Details of the programme sufficient to identify food security objective and scale of the programme, including:</w:t>
      </w:r>
    </w:p>
    <w:p w14:paraId="7BC2DE86" w14:textId="77777777" w:rsidR="001B7E1E" w:rsidRPr="00777BD1" w:rsidRDefault="001B7E1E" w:rsidP="001B7E1E">
      <w:pPr>
        <w:pStyle w:val="ListParagraph"/>
        <w:autoSpaceDE w:val="0"/>
        <w:autoSpaceDN w:val="0"/>
        <w:adjustRightInd w:val="0"/>
        <w:ind w:left="1134"/>
        <w:rPr>
          <w:rFonts w:cs="Verdana"/>
          <w:bCs/>
          <w:szCs w:val="18"/>
          <w:lang w:eastAsia="en-GB"/>
        </w:rPr>
      </w:pPr>
    </w:p>
    <w:p w14:paraId="7DDFC093" w14:textId="77777777" w:rsidR="001B7E1E" w:rsidRPr="00777BD1" w:rsidRDefault="001B7E1E" w:rsidP="001B7E1E">
      <w:pPr>
        <w:ind w:left="1701" w:hanging="567"/>
        <w:rPr>
          <w:rFonts w:cs="Verdana"/>
          <w:bCs/>
          <w:szCs w:val="18"/>
          <w:lang w:eastAsia="en-GB"/>
        </w:rPr>
      </w:pPr>
      <w:r w:rsidRPr="00777BD1">
        <w:rPr>
          <w:rFonts w:cs="Verdana"/>
          <w:bCs/>
          <w:szCs w:val="18"/>
          <w:lang w:eastAsia="en-GB"/>
        </w:rPr>
        <w:t>a.</w:t>
      </w:r>
      <w:r w:rsidRPr="00777BD1">
        <w:rPr>
          <w:rFonts w:cs="Verdana"/>
          <w:bCs/>
          <w:szCs w:val="18"/>
          <w:lang w:eastAsia="en-GB"/>
        </w:rPr>
        <w:tab/>
        <w:t>Name of the programme;</w:t>
      </w:r>
    </w:p>
    <w:p w14:paraId="0BEBB806" w14:textId="77777777" w:rsidR="001B7E1E" w:rsidRPr="00777BD1" w:rsidRDefault="001B7E1E" w:rsidP="001B7E1E">
      <w:pPr>
        <w:ind w:left="1701" w:hanging="567"/>
        <w:rPr>
          <w:rFonts w:cs="Verdana"/>
          <w:bCs/>
          <w:szCs w:val="18"/>
          <w:lang w:eastAsia="en-GB"/>
        </w:rPr>
      </w:pPr>
      <w:r w:rsidRPr="00777BD1">
        <w:rPr>
          <w:rFonts w:cs="Verdana"/>
          <w:bCs/>
          <w:szCs w:val="18"/>
          <w:lang w:eastAsia="en-GB"/>
        </w:rPr>
        <w:t>b.</w:t>
      </w:r>
      <w:r w:rsidRPr="00777BD1">
        <w:rPr>
          <w:rFonts w:cs="Verdana"/>
          <w:bCs/>
          <w:szCs w:val="18"/>
          <w:lang w:eastAsia="en-GB"/>
        </w:rPr>
        <w:tab/>
        <w:t>Traditional staple food crop(s) covered;</w:t>
      </w:r>
    </w:p>
    <w:p w14:paraId="6CFF71F4" w14:textId="77777777" w:rsidR="001B7E1E" w:rsidRPr="00777BD1" w:rsidRDefault="001B7E1E" w:rsidP="001B7E1E">
      <w:pPr>
        <w:ind w:left="1701" w:hanging="567"/>
        <w:rPr>
          <w:rFonts w:cs="Verdana"/>
          <w:bCs/>
          <w:szCs w:val="18"/>
          <w:lang w:eastAsia="en-GB"/>
        </w:rPr>
      </w:pPr>
      <w:r w:rsidRPr="00777BD1">
        <w:rPr>
          <w:rFonts w:cs="Verdana"/>
          <w:bCs/>
          <w:szCs w:val="18"/>
          <w:lang w:eastAsia="en-GB"/>
        </w:rPr>
        <w:t>c.</w:t>
      </w:r>
      <w:r w:rsidRPr="00777BD1">
        <w:rPr>
          <w:rFonts w:cs="Verdana"/>
          <w:bCs/>
          <w:szCs w:val="18"/>
          <w:lang w:eastAsia="en-GB"/>
        </w:rPr>
        <w:tab/>
        <w:t>Agency in charge of implementation;</w:t>
      </w:r>
    </w:p>
    <w:p w14:paraId="1EC38B30" w14:textId="77777777" w:rsidR="001B7E1E" w:rsidRPr="00777BD1" w:rsidRDefault="001B7E1E" w:rsidP="001B7E1E">
      <w:pPr>
        <w:ind w:left="1701" w:hanging="567"/>
        <w:rPr>
          <w:rFonts w:cs="Verdana"/>
          <w:bCs/>
          <w:szCs w:val="18"/>
          <w:lang w:eastAsia="en-GB"/>
        </w:rPr>
      </w:pPr>
      <w:r w:rsidRPr="00777BD1">
        <w:rPr>
          <w:rFonts w:cs="Verdana"/>
          <w:bCs/>
          <w:szCs w:val="18"/>
          <w:lang w:eastAsia="en-GB"/>
        </w:rPr>
        <w:t>d.</w:t>
      </w:r>
      <w:r w:rsidRPr="00777BD1">
        <w:rPr>
          <w:rFonts w:cs="Verdana"/>
          <w:bCs/>
          <w:szCs w:val="18"/>
          <w:lang w:eastAsia="en-GB"/>
        </w:rPr>
        <w:tab/>
        <w:t>Relevant laws and regulations;</w:t>
      </w:r>
    </w:p>
    <w:p w14:paraId="4EBF797E" w14:textId="77777777" w:rsidR="001B7E1E" w:rsidRPr="00777BD1" w:rsidRDefault="001B7E1E" w:rsidP="001B7E1E">
      <w:pPr>
        <w:ind w:left="1701" w:hanging="567"/>
        <w:rPr>
          <w:rFonts w:cs="Verdana"/>
          <w:bCs/>
          <w:szCs w:val="18"/>
          <w:lang w:eastAsia="en-GB"/>
        </w:rPr>
      </w:pPr>
      <w:r w:rsidRPr="00777BD1">
        <w:rPr>
          <w:rFonts w:cs="Verdana"/>
          <w:bCs/>
          <w:szCs w:val="18"/>
          <w:lang w:eastAsia="en-GB"/>
        </w:rPr>
        <w:t>e.</w:t>
      </w:r>
      <w:r w:rsidRPr="00777BD1">
        <w:rPr>
          <w:rFonts w:cs="Verdana"/>
          <w:bCs/>
          <w:szCs w:val="18"/>
          <w:lang w:eastAsia="en-GB"/>
        </w:rPr>
        <w:tab/>
        <w:t>Date of commencement of the programme;</w:t>
      </w:r>
    </w:p>
    <w:p w14:paraId="22A4B470" w14:textId="77777777" w:rsidR="001B7E1E" w:rsidRPr="00777BD1" w:rsidRDefault="001B7E1E" w:rsidP="001B7E1E">
      <w:pPr>
        <w:ind w:left="1701" w:hanging="567"/>
        <w:rPr>
          <w:rFonts w:cs="Verdana"/>
          <w:bCs/>
          <w:szCs w:val="18"/>
          <w:lang w:eastAsia="en-GB"/>
        </w:rPr>
      </w:pPr>
      <w:r w:rsidRPr="00777BD1">
        <w:rPr>
          <w:rFonts w:cs="Verdana"/>
          <w:bCs/>
          <w:szCs w:val="18"/>
          <w:lang w:eastAsia="en-GB"/>
        </w:rPr>
        <w:t>f.</w:t>
      </w:r>
      <w:r w:rsidRPr="00777BD1">
        <w:rPr>
          <w:rFonts w:cs="Verdana"/>
          <w:bCs/>
          <w:szCs w:val="18"/>
          <w:lang w:eastAsia="en-GB"/>
        </w:rPr>
        <w:tab/>
        <w:t>Officially published objective criteria or guidelines.</w:t>
      </w:r>
    </w:p>
    <w:p w14:paraId="23AAE21D" w14:textId="77777777" w:rsidR="001B7E1E" w:rsidRPr="00777BD1" w:rsidRDefault="001B7E1E" w:rsidP="001B7E1E">
      <w:pPr>
        <w:ind w:left="1701" w:hanging="567"/>
        <w:rPr>
          <w:rFonts w:cs="Verdana"/>
          <w:bCs/>
          <w:szCs w:val="18"/>
          <w:lang w:eastAsia="en-GB"/>
        </w:rPr>
      </w:pPr>
    </w:p>
    <w:p w14:paraId="6DB13991" w14:textId="77777777" w:rsidR="001B7E1E" w:rsidRPr="00777BD1" w:rsidRDefault="001B7E1E" w:rsidP="001B7E1E">
      <w:pPr>
        <w:pStyle w:val="ListParagraph"/>
        <w:numPr>
          <w:ilvl w:val="0"/>
          <w:numId w:val="19"/>
        </w:numPr>
        <w:autoSpaceDE w:val="0"/>
        <w:autoSpaceDN w:val="0"/>
        <w:adjustRightInd w:val="0"/>
        <w:ind w:left="1134" w:hanging="567"/>
        <w:rPr>
          <w:rFonts w:cs="Verdana"/>
          <w:bCs/>
          <w:szCs w:val="18"/>
          <w:lang w:eastAsia="en-GB"/>
        </w:rPr>
      </w:pPr>
      <w:r w:rsidRPr="00777BD1">
        <w:rPr>
          <w:rFonts w:cs="Verdana"/>
          <w:bCs/>
          <w:szCs w:val="18"/>
          <w:lang w:eastAsia="en-GB"/>
        </w:rPr>
        <w:t>Practical description of how the programme operates, including:</w:t>
      </w:r>
    </w:p>
    <w:p w14:paraId="42FA5102" w14:textId="77777777" w:rsidR="001B7E1E" w:rsidRPr="00777BD1" w:rsidRDefault="001B7E1E" w:rsidP="001B7E1E">
      <w:pPr>
        <w:pStyle w:val="ListParagraph"/>
        <w:autoSpaceDE w:val="0"/>
        <w:autoSpaceDN w:val="0"/>
        <w:adjustRightInd w:val="0"/>
        <w:ind w:left="1134"/>
        <w:rPr>
          <w:rFonts w:cs="Verdana"/>
          <w:bCs/>
          <w:szCs w:val="18"/>
          <w:lang w:eastAsia="en-GB"/>
        </w:rPr>
      </w:pPr>
    </w:p>
    <w:p w14:paraId="180291C5" w14:textId="77777777" w:rsidR="001B7E1E" w:rsidRPr="00777BD1" w:rsidRDefault="001B7E1E" w:rsidP="001B7E1E">
      <w:pPr>
        <w:ind w:left="1701" w:hanging="567"/>
        <w:rPr>
          <w:rFonts w:cs="Verdana"/>
          <w:bCs/>
          <w:szCs w:val="18"/>
          <w:lang w:eastAsia="en-GB"/>
        </w:rPr>
      </w:pPr>
      <w:r w:rsidRPr="00777BD1">
        <w:rPr>
          <w:rFonts w:cs="Verdana"/>
          <w:bCs/>
          <w:szCs w:val="18"/>
          <w:lang w:eastAsia="en-GB"/>
        </w:rPr>
        <w:t>a.</w:t>
      </w:r>
      <w:r w:rsidRPr="00777BD1">
        <w:rPr>
          <w:rFonts w:cs="Verdana"/>
          <w:bCs/>
          <w:szCs w:val="18"/>
          <w:lang w:eastAsia="en-GB"/>
        </w:rPr>
        <w:tab/>
        <w:t>Provisions relating to the purchase of stocks, including the way the administered acquisition price is determined;</w:t>
      </w:r>
    </w:p>
    <w:p w14:paraId="359EF674" w14:textId="77777777" w:rsidR="001B7E1E" w:rsidRPr="00777BD1" w:rsidRDefault="001B7E1E" w:rsidP="001B7E1E">
      <w:pPr>
        <w:ind w:left="1701" w:hanging="567"/>
        <w:rPr>
          <w:rFonts w:cs="Verdana"/>
          <w:bCs/>
          <w:szCs w:val="18"/>
          <w:lang w:eastAsia="en-GB"/>
        </w:rPr>
      </w:pPr>
      <w:r w:rsidRPr="00777BD1">
        <w:rPr>
          <w:rFonts w:cs="Verdana"/>
          <w:bCs/>
          <w:szCs w:val="18"/>
          <w:lang w:eastAsia="en-GB"/>
        </w:rPr>
        <w:t>b.</w:t>
      </w:r>
      <w:r w:rsidRPr="00777BD1">
        <w:rPr>
          <w:rFonts w:cs="Verdana"/>
          <w:bCs/>
          <w:szCs w:val="18"/>
          <w:lang w:eastAsia="en-GB"/>
        </w:rPr>
        <w:tab/>
        <w:t>Provisions related to volume and accumulation of stocks, including any provisions related to pre-determined targets and quantitative limits;</w:t>
      </w:r>
    </w:p>
    <w:p w14:paraId="2E618959" w14:textId="77777777" w:rsidR="001B7E1E" w:rsidRPr="00777BD1" w:rsidRDefault="001B7E1E" w:rsidP="001B7E1E">
      <w:pPr>
        <w:ind w:left="1701" w:hanging="567"/>
        <w:rPr>
          <w:rFonts w:cs="Verdana"/>
          <w:bCs/>
          <w:szCs w:val="18"/>
          <w:lang w:eastAsia="en-GB"/>
        </w:rPr>
      </w:pPr>
      <w:r w:rsidRPr="00777BD1">
        <w:rPr>
          <w:rFonts w:cs="Verdana"/>
          <w:bCs/>
          <w:szCs w:val="18"/>
          <w:lang w:eastAsia="en-GB"/>
        </w:rPr>
        <w:t>c.</w:t>
      </w:r>
      <w:r w:rsidRPr="00777BD1">
        <w:rPr>
          <w:rFonts w:cs="Verdana"/>
          <w:bCs/>
          <w:szCs w:val="18"/>
          <w:lang w:eastAsia="en-GB"/>
        </w:rPr>
        <w:tab/>
        <w:t>Provisions related to the release of stocks, including the determination of the release price and targeting (eligibility to receive procured stocks).</w:t>
      </w:r>
    </w:p>
    <w:p w14:paraId="6EDEE090" w14:textId="77777777" w:rsidR="001B7E1E" w:rsidRPr="00777BD1" w:rsidRDefault="001B7E1E" w:rsidP="001B7E1E">
      <w:pPr>
        <w:ind w:left="1701" w:hanging="567"/>
        <w:rPr>
          <w:rFonts w:cs="Verdana"/>
          <w:bCs/>
          <w:szCs w:val="18"/>
          <w:lang w:eastAsia="en-GB"/>
        </w:rPr>
      </w:pPr>
    </w:p>
    <w:p w14:paraId="7759EE38" w14:textId="77777777" w:rsidR="001B7E1E" w:rsidRPr="00777BD1" w:rsidRDefault="001B7E1E" w:rsidP="001B7E1E">
      <w:pPr>
        <w:pStyle w:val="ListParagraph"/>
        <w:numPr>
          <w:ilvl w:val="0"/>
          <w:numId w:val="19"/>
        </w:numPr>
        <w:autoSpaceDE w:val="0"/>
        <w:autoSpaceDN w:val="0"/>
        <w:adjustRightInd w:val="0"/>
        <w:ind w:left="1134" w:hanging="567"/>
        <w:rPr>
          <w:rFonts w:cs="Verdana"/>
          <w:bCs/>
          <w:szCs w:val="18"/>
          <w:lang w:eastAsia="en-GB"/>
        </w:rPr>
      </w:pPr>
      <w:r w:rsidRPr="00777BD1">
        <w:rPr>
          <w:rFonts w:cs="Verdana"/>
          <w:bCs/>
          <w:szCs w:val="18"/>
          <w:lang w:eastAsia="en-GB"/>
        </w:rPr>
        <w:t>A description of any measures aimed at minimising production or trade distortive effects of the programme.</w:t>
      </w:r>
    </w:p>
    <w:p w14:paraId="5014C890" w14:textId="77777777" w:rsidR="001B7E1E" w:rsidRPr="00777BD1" w:rsidRDefault="001B7E1E" w:rsidP="001B7E1E">
      <w:pPr>
        <w:pStyle w:val="ListParagraph"/>
        <w:autoSpaceDE w:val="0"/>
        <w:autoSpaceDN w:val="0"/>
        <w:adjustRightInd w:val="0"/>
        <w:ind w:left="1701"/>
        <w:rPr>
          <w:rFonts w:cs="Verdana"/>
          <w:bCs/>
          <w:szCs w:val="18"/>
          <w:lang w:eastAsia="en-GB"/>
        </w:rPr>
      </w:pPr>
    </w:p>
    <w:p w14:paraId="485F1DA5" w14:textId="77777777" w:rsidR="001B7E1E" w:rsidRPr="00777BD1" w:rsidRDefault="001B7E1E" w:rsidP="001B7E1E">
      <w:pPr>
        <w:pStyle w:val="ListParagraph"/>
        <w:numPr>
          <w:ilvl w:val="0"/>
          <w:numId w:val="19"/>
        </w:numPr>
        <w:autoSpaceDE w:val="0"/>
        <w:autoSpaceDN w:val="0"/>
        <w:adjustRightInd w:val="0"/>
        <w:ind w:left="1134" w:hanging="567"/>
        <w:rPr>
          <w:rFonts w:cs="Verdana"/>
          <w:bCs/>
          <w:szCs w:val="18"/>
          <w:lang w:eastAsia="en-GB"/>
        </w:rPr>
      </w:pPr>
      <w:r w:rsidRPr="00777BD1">
        <w:rPr>
          <w:rFonts w:cs="Verdana"/>
          <w:bCs/>
          <w:szCs w:val="18"/>
          <w:lang w:eastAsia="en-GB"/>
        </w:rPr>
        <w:t>Statistical information (as per the Statistical Appendix 1 below).</w:t>
      </w:r>
    </w:p>
    <w:p w14:paraId="04011AE9" w14:textId="77777777" w:rsidR="001B7E1E" w:rsidRPr="00777BD1" w:rsidRDefault="001B7E1E" w:rsidP="001B7E1E">
      <w:pPr>
        <w:pStyle w:val="ListParagraph"/>
        <w:autoSpaceDE w:val="0"/>
        <w:autoSpaceDN w:val="0"/>
        <w:adjustRightInd w:val="0"/>
        <w:ind w:left="1134"/>
        <w:rPr>
          <w:rFonts w:cs="Verdana"/>
          <w:bCs/>
          <w:szCs w:val="18"/>
          <w:lang w:eastAsia="en-GB"/>
        </w:rPr>
      </w:pPr>
    </w:p>
    <w:p w14:paraId="39721990" w14:textId="77777777" w:rsidR="001B7E1E" w:rsidRDefault="001B7E1E" w:rsidP="001B7E1E">
      <w:pPr>
        <w:pStyle w:val="ListParagraph"/>
        <w:numPr>
          <w:ilvl w:val="0"/>
          <w:numId w:val="19"/>
        </w:numPr>
        <w:autoSpaceDE w:val="0"/>
        <w:autoSpaceDN w:val="0"/>
        <w:adjustRightInd w:val="0"/>
        <w:ind w:left="1134" w:hanging="567"/>
        <w:jc w:val="left"/>
        <w:rPr>
          <w:rFonts w:cs="Verdana"/>
          <w:bCs/>
          <w:szCs w:val="18"/>
          <w:lang w:eastAsia="en-GB"/>
        </w:rPr>
      </w:pPr>
      <w:r w:rsidRPr="00777BD1">
        <w:rPr>
          <w:rFonts w:cs="Verdana"/>
          <w:bCs/>
          <w:szCs w:val="18"/>
          <w:lang w:eastAsia="en-GB"/>
        </w:rPr>
        <w:t>Any other information considered relevant, including website references.</w:t>
      </w:r>
    </w:p>
    <w:p w14:paraId="694B76A3" w14:textId="77777777" w:rsidR="001B7E1E" w:rsidRDefault="001B7E1E" w:rsidP="001B7E1E">
      <w:pPr>
        <w:jc w:val="left"/>
        <w:rPr>
          <w:rFonts w:cs="Verdana"/>
          <w:bCs/>
          <w:szCs w:val="18"/>
          <w:lang w:eastAsia="en-GB"/>
        </w:rPr>
      </w:pPr>
      <w:r>
        <w:rPr>
          <w:rFonts w:cs="Verdana"/>
          <w:bCs/>
          <w:szCs w:val="18"/>
          <w:lang w:eastAsia="en-GB"/>
        </w:rPr>
        <w:br w:type="page"/>
      </w:r>
    </w:p>
    <w:p w14:paraId="0F133671" w14:textId="77777777" w:rsidR="001B7E1E" w:rsidRPr="00777BD1" w:rsidRDefault="001B7E1E" w:rsidP="001B7E1E">
      <w:pPr>
        <w:pStyle w:val="Caption"/>
        <w:spacing w:before="0"/>
        <w:rPr>
          <w:szCs w:val="18"/>
        </w:rPr>
      </w:pPr>
      <w:r w:rsidRPr="00777BD1">
        <w:rPr>
          <w:szCs w:val="18"/>
        </w:rPr>
        <w:lastRenderedPageBreak/>
        <w:t>Statistical Appendix 1 (</w:t>
      </w:r>
      <w:r w:rsidRPr="00777BD1">
        <w:rPr>
          <w:szCs w:val="18"/>
          <w:u w:val="single"/>
        </w:rPr>
        <w:t>per crop</w:t>
      </w:r>
      <w:r w:rsidRPr="00777BD1">
        <w:rPr>
          <w:szCs w:val="18"/>
        </w:rPr>
        <w:t>) (data for the latest three years)</w:t>
      </w:r>
    </w:p>
    <w:tbl>
      <w:tblPr>
        <w:tblStyle w:val="WTOTable1"/>
        <w:tblW w:w="5000" w:type="pct"/>
        <w:tblLook w:val="00A0" w:firstRow="1" w:lastRow="0" w:firstColumn="1" w:lastColumn="0" w:noHBand="0" w:noVBand="0"/>
      </w:tblPr>
      <w:tblGrid>
        <w:gridCol w:w="4946"/>
        <w:gridCol w:w="1017"/>
        <w:gridCol w:w="1017"/>
        <w:gridCol w:w="1017"/>
        <w:gridCol w:w="1019"/>
      </w:tblGrid>
      <w:tr w:rsidR="001B7E1E" w:rsidRPr="00777BD1" w14:paraId="292D7AA7" w14:textId="77777777" w:rsidTr="00ED1B2C">
        <w:trPr>
          <w:cnfStyle w:val="100000000000" w:firstRow="1" w:lastRow="0" w:firstColumn="0" w:lastColumn="0" w:oddVBand="0" w:evenVBand="0" w:oddHBand="0" w:evenHBand="0" w:firstRowFirstColumn="0" w:firstRowLastColumn="0" w:lastRowFirstColumn="0" w:lastRowLastColumn="0"/>
          <w:trHeight w:val="354"/>
        </w:trPr>
        <w:tc>
          <w:tcPr>
            <w:tcW w:w="2742" w:type="pct"/>
            <w:tcBorders>
              <w:top w:val="single" w:sz="4" w:space="0" w:color="auto"/>
              <w:left w:val="single" w:sz="4" w:space="0" w:color="auto"/>
              <w:bottom w:val="nil"/>
              <w:right w:val="single" w:sz="4" w:space="0" w:color="auto"/>
            </w:tcBorders>
            <w:vAlign w:val="center"/>
          </w:tcPr>
          <w:p w14:paraId="6F1C3DC0" w14:textId="77777777" w:rsidR="001B7E1E" w:rsidRPr="00777BD1" w:rsidRDefault="001B7E1E" w:rsidP="00ED1B2C">
            <w:pPr>
              <w:jc w:val="center"/>
              <w:rPr>
                <w:rFonts w:cs="Verdana"/>
                <w:b w:val="0"/>
                <w:bCs/>
                <w:color w:val="FFFFFF" w:themeColor="background1"/>
                <w:sz w:val="16"/>
                <w:szCs w:val="16"/>
              </w:rPr>
            </w:pPr>
          </w:p>
        </w:tc>
        <w:tc>
          <w:tcPr>
            <w:tcW w:w="564" w:type="pct"/>
            <w:tcBorders>
              <w:top w:val="single" w:sz="4" w:space="0" w:color="auto"/>
              <w:left w:val="single" w:sz="4" w:space="0" w:color="auto"/>
              <w:bottom w:val="nil"/>
              <w:right w:val="single" w:sz="4" w:space="0" w:color="auto"/>
            </w:tcBorders>
            <w:vAlign w:val="center"/>
            <w:hideMark/>
          </w:tcPr>
          <w:p w14:paraId="2979F180" w14:textId="77777777" w:rsidR="001B7E1E" w:rsidRPr="00777BD1" w:rsidRDefault="001B7E1E" w:rsidP="00ED1B2C">
            <w:pPr>
              <w:jc w:val="center"/>
              <w:rPr>
                <w:rFonts w:cs="Verdana"/>
                <w:b w:val="0"/>
                <w:bCs/>
                <w:color w:val="FFFFFF" w:themeColor="background1"/>
                <w:sz w:val="16"/>
                <w:szCs w:val="16"/>
              </w:rPr>
            </w:pPr>
            <w:r w:rsidRPr="00777BD1">
              <w:rPr>
                <w:rFonts w:cs="Verdana"/>
                <w:bCs/>
                <w:color w:val="FFFFFF" w:themeColor="background1"/>
                <w:sz w:val="16"/>
                <w:szCs w:val="16"/>
              </w:rPr>
              <w:t>Unit</w:t>
            </w:r>
          </w:p>
        </w:tc>
        <w:tc>
          <w:tcPr>
            <w:tcW w:w="564" w:type="pct"/>
            <w:tcBorders>
              <w:top w:val="single" w:sz="4" w:space="0" w:color="auto"/>
              <w:left w:val="single" w:sz="4" w:space="0" w:color="auto"/>
              <w:bottom w:val="nil"/>
              <w:right w:val="single" w:sz="4" w:space="0" w:color="auto"/>
            </w:tcBorders>
            <w:vAlign w:val="center"/>
            <w:hideMark/>
          </w:tcPr>
          <w:p w14:paraId="463293FE" w14:textId="77777777" w:rsidR="001B7E1E" w:rsidRPr="00777BD1" w:rsidRDefault="001B7E1E" w:rsidP="00ED1B2C">
            <w:pPr>
              <w:jc w:val="center"/>
              <w:rPr>
                <w:rFonts w:cs="Verdana"/>
                <w:b w:val="0"/>
                <w:bCs/>
                <w:color w:val="FFFFFF" w:themeColor="background1"/>
                <w:sz w:val="16"/>
                <w:szCs w:val="16"/>
              </w:rPr>
            </w:pPr>
            <w:r w:rsidRPr="00777BD1">
              <w:rPr>
                <w:rFonts w:cs="Verdana"/>
                <w:bCs/>
                <w:color w:val="FFFFFF" w:themeColor="background1"/>
                <w:sz w:val="16"/>
                <w:szCs w:val="16"/>
              </w:rPr>
              <w:t>[Year 1]</w:t>
            </w:r>
          </w:p>
        </w:tc>
        <w:tc>
          <w:tcPr>
            <w:tcW w:w="564" w:type="pct"/>
            <w:tcBorders>
              <w:top w:val="single" w:sz="4" w:space="0" w:color="auto"/>
              <w:left w:val="single" w:sz="4" w:space="0" w:color="auto"/>
              <w:bottom w:val="nil"/>
              <w:right w:val="single" w:sz="4" w:space="0" w:color="auto"/>
            </w:tcBorders>
            <w:vAlign w:val="center"/>
            <w:hideMark/>
          </w:tcPr>
          <w:p w14:paraId="1D643E9C" w14:textId="77777777" w:rsidR="001B7E1E" w:rsidRPr="00777BD1" w:rsidRDefault="001B7E1E" w:rsidP="00ED1B2C">
            <w:pPr>
              <w:jc w:val="center"/>
              <w:rPr>
                <w:rFonts w:cs="Verdana"/>
                <w:b w:val="0"/>
                <w:bCs/>
                <w:color w:val="FFFFFF" w:themeColor="background1"/>
                <w:sz w:val="16"/>
                <w:szCs w:val="16"/>
              </w:rPr>
            </w:pPr>
            <w:r w:rsidRPr="00777BD1">
              <w:rPr>
                <w:rFonts w:cs="Verdana"/>
                <w:bCs/>
                <w:color w:val="FFFFFF" w:themeColor="background1"/>
                <w:sz w:val="16"/>
                <w:szCs w:val="16"/>
              </w:rPr>
              <w:t>[Year 2]</w:t>
            </w:r>
          </w:p>
        </w:tc>
        <w:tc>
          <w:tcPr>
            <w:tcW w:w="565" w:type="pct"/>
            <w:tcBorders>
              <w:top w:val="single" w:sz="4" w:space="0" w:color="auto"/>
              <w:left w:val="single" w:sz="4" w:space="0" w:color="auto"/>
              <w:bottom w:val="nil"/>
              <w:right w:val="single" w:sz="4" w:space="0" w:color="auto"/>
            </w:tcBorders>
            <w:vAlign w:val="center"/>
            <w:hideMark/>
          </w:tcPr>
          <w:p w14:paraId="29C29727" w14:textId="77777777" w:rsidR="001B7E1E" w:rsidRPr="00777BD1" w:rsidRDefault="001B7E1E" w:rsidP="00ED1B2C">
            <w:pPr>
              <w:jc w:val="center"/>
              <w:rPr>
                <w:rFonts w:cs="Verdana"/>
                <w:b w:val="0"/>
                <w:bCs/>
                <w:color w:val="FFFFFF" w:themeColor="background1"/>
                <w:sz w:val="16"/>
                <w:szCs w:val="16"/>
              </w:rPr>
            </w:pPr>
            <w:r w:rsidRPr="00777BD1">
              <w:rPr>
                <w:rFonts w:cs="Verdana"/>
                <w:bCs/>
                <w:color w:val="FFFFFF" w:themeColor="background1"/>
                <w:sz w:val="16"/>
                <w:szCs w:val="16"/>
              </w:rPr>
              <w:t>[Year 3]</w:t>
            </w:r>
          </w:p>
        </w:tc>
      </w:tr>
      <w:tr w:rsidR="001B7E1E" w:rsidRPr="00777BD1" w14:paraId="44BD53D0" w14:textId="77777777" w:rsidTr="00ED1B2C">
        <w:trPr>
          <w:trHeight w:val="284"/>
        </w:trPr>
        <w:tc>
          <w:tcPr>
            <w:tcW w:w="2742" w:type="pct"/>
            <w:tcBorders>
              <w:top w:val="nil"/>
              <w:left w:val="single" w:sz="4" w:space="0" w:color="auto"/>
              <w:bottom w:val="nil"/>
              <w:right w:val="single" w:sz="4" w:space="0" w:color="auto"/>
            </w:tcBorders>
            <w:hideMark/>
          </w:tcPr>
          <w:p w14:paraId="50C71715" w14:textId="77777777" w:rsidR="001B7E1E" w:rsidRPr="00777BD1" w:rsidRDefault="001B7E1E" w:rsidP="00ED1B2C">
            <w:pPr>
              <w:ind w:left="280" w:hanging="280"/>
              <w:jc w:val="left"/>
              <w:rPr>
                <w:rFonts w:cs="Verdana"/>
                <w:b/>
                <w:bCs/>
                <w:sz w:val="16"/>
                <w:szCs w:val="16"/>
              </w:rPr>
            </w:pPr>
            <w:r w:rsidRPr="00777BD1">
              <w:rPr>
                <w:rFonts w:cs="Verdana"/>
                <w:b/>
                <w:bCs/>
                <w:sz w:val="16"/>
                <w:szCs w:val="16"/>
              </w:rPr>
              <w:t>[Name of the crop]</w:t>
            </w:r>
          </w:p>
        </w:tc>
        <w:tc>
          <w:tcPr>
            <w:tcW w:w="564" w:type="pct"/>
            <w:tcBorders>
              <w:top w:val="nil"/>
              <w:left w:val="single" w:sz="4" w:space="0" w:color="auto"/>
              <w:bottom w:val="nil"/>
              <w:right w:val="single" w:sz="4" w:space="0" w:color="auto"/>
            </w:tcBorders>
          </w:tcPr>
          <w:p w14:paraId="00CD663C" w14:textId="77777777" w:rsidR="001B7E1E" w:rsidRPr="00777BD1" w:rsidRDefault="001B7E1E" w:rsidP="00ED1B2C">
            <w:pPr>
              <w:rPr>
                <w:rFonts w:cs="Verdana"/>
                <w:b/>
                <w:bCs/>
                <w:color w:val="000000"/>
                <w:sz w:val="16"/>
                <w:szCs w:val="16"/>
              </w:rPr>
            </w:pPr>
          </w:p>
        </w:tc>
        <w:tc>
          <w:tcPr>
            <w:tcW w:w="564" w:type="pct"/>
            <w:tcBorders>
              <w:top w:val="nil"/>
              <w:left w:val="single" w:sz="4" w:space="0" w:color="auto"/>
              <w:bottom w:val="nil"/>
              <w:right w:val="single" w:sz="4" w:space="0" w:color="auto"/>
            </w:tcBorders>
          </w:tcPr>
          <w:p w14:paraId="62D7CAF6" w14:textId="77777777" w:rsidR="001B7E1E" w:rsidRPr="00777BD1" w:rsidRDefault="001B7E1E" w:rsidP="00ED1B2C">
            <w:pPr>
              <w:rPr>
                <w:rFonts w:cs="Verdana"/>
                <w:b/>
                <w:bCs/>
                <w:color w:val="000000"/>
                <w:sz w:val="16"/>
                <w:szCs w:val="16"/>
              </w:rPr>
            </w:pPr>
          </w:p>
        </w:tc>
        <w:tc>
          <w:tcPr>
            <w:tcW w:w="564" w:type="pct"/>
            <w:tcBorders>
              <w:top w:val="nil"/>
              <w:left w:val="single" w:sz="4" w:space="0" w:color="auto"/>
              <w:bottom w:val="nil"/>
              <w:right w:val="single" w:sz="4" w:space="0" w:color="auto"/>
            </w:tcBorders>
          </w:tcPr>
          <w:p w14:paraId="0B921DEE" w14:textId="77777777" w:rsidR="001B7E1E" w:rsidRPr="00777BD1" w:rsidRDefault="001B7E1E" w:rsidP="00ED1B2C">
            <w:pPr>
              <w:rPr>
                <w:rFonts w:cs="Verdana"/>
                <w:b/>
                <w:bCs/>
                <w:color w:val="000000"/>
                <w:sz w:val="16"/>
                <w:szCs w:val="16"/>
              </w:rPr>
            </w:pPr>
          </w:p>
        </w:tc>
        <w:tc>
          <w:tcPr>
            <w:tcW w:w="565" w:type="pct"/>
            <w:tcBorders>
              <w:top w:val="nil"/>
              <w:left w:val="single" w:sz="4" w:space="0" w:color="auto"/>
              <w:bottom w:val="nil"/>
              <w:right w:val="single" w:sz="4" w:space="0" w:color="auto"/>
            </w:tcBorders>
          </w:tcPr>
          <w:p w14:paraId="7F92FB3D" w14:textId="77777777" w:rsidR="001B7E1E" w:rsidRPr="00777BD1" w:rsidRDefault="001B7E1E" w:rsidP="00ED1B2C">
            <w:pPr>
              <w:rPr>
                <w:rFonts w:cs="Verdana"/>
                <w:b/>
                <w:bCs/>
                <w:color w:val="000000"/>
                <w:sz w:val="16"/>
                <w:szCs w:val="16"/>
              </w:rPr>
            </w:pPr>
          </w:p>
        </w:tc>
      </w:tr>
      <w:tr w:rsidR="001B7E1E" w:rsidRPr="00777BD1" w14:paraId="4C3F8029" w14:textId="77777777" w:rsidTr="00ED1B2C">
        <w:trPr>
          <w:cnfStyle w:val="000000010000" w:firstRow="0" w:lastRow="0" w:firstColumn="0" w:lastColumn="0" w:oddVBand="0" w:evenVBand="0" w:oddHBand="0" w:evenHBand="1" w:firstRowFirstColumn="0" w:firstRowLastColumn="0" w:lastRowFirstColumn="0" w:lastRowLastColumn="0"/>
          <w:trHeight w:val="284"/>
        </w:trPr>
        <w:tc>
          <w:tcPr>
            <w:tcW w:w="2742" w:type="pct"/>
            <w:tcBorders>
              <w:top w:val="nil"/>
              <w:left w:val="single" w:sz="4" w:space="0" w:color="auto"/>
              <w:bottom w:val="nil"/>
              <w:right w:val="single" w:sz="4" w:space="0" w:color="auto"/>
            </w:tcBorders>
            <w:hideMark/>
          </w:tcPr>
          <w:p w14:paraId="2E4527C2" w14:textId="77777777" w:rsidR="001B7E1E" w:rsidRPr="00777BD1" w:rsidRDefault="001B7E1E" w:rsidP="00ED1B2C">
            <w:pPr>
              <w:ind w:left="280" w:hanging="280"/>
              <w:jc w:val="left"/>
              <w:rPr>
                <w:rFonts w:cs="Verdana"/>
                <w:bCs/>
                <w:color w:val="000000"/>
                <w:sz w:val="16"/>
                <w:szCs w:val="16"/>
              </w:rPr>
            </w:pPr>
            <w:r w:rsidRPr="00777BD1">
              <w:rPr>
                <w:rFonts w:cs="Verdana"/>
                <w:bCs/>
                <w:color w:val="000000"/>
                <w:sz w:val="16"/>
                <w:szCs w:val="16"/>
              </w:rPr>
              <w:t>a.</w:t>
            </w:r>
            <w:r w:rsidRPr="00777BD1">
              <w:rPr>
                <w:rFonts w:cs="Verdana"/>
                <w:bCs/>
                <w:color w:val="000000"/>
                <w:sz w:val="16"/>
                <w:szCs w:val="16"/>
              </w:rPr>
              <w:tab/>
              <w:t>Opening balance of stocks</w:t>
            </w:r>
          </w:p>
        </w:tc>
        <w:tc>
          <w:tcPr>
            <w:tcW w:w="564" w:type="pct"/>
            <w:tcBorders>
              <w:top w:val="nil"/>
              <w:left w:val="single" w:sz="4" w:space="0" w:color="auto"/>
              <w:bottom w:val="nil"/>
              <w:right w:val="single" w:sz="4" w:space="0" w:color="auto"/>
            </w:tcBorders>
          </w:tcPr>
          <w:p w14:paraId="2E13051C" w14:textId="77777777" w:rsidR="001B7E1E" w:rsidRPr="00777BD1" w:rsidRDefault="001B7E1E" w:rsidP="00ED1B2C">
            <w:pPr>
              <w:rPr>
                <w:rFonts w:cs="Verdana"/>
                <w:b/>
                <w:bCs/>
                <w:color w:val="000000"/>
                <w:sz w:val="16"/>
                <w:szCs w:val="16"/>
              </w:rPr>
            </w:pPr>
          </w:p>
        </w:tc>
        <w:tc>
          <w:tcPr>
            <w:tcW w:w="564" w:type="pct"/>
            <w:tcBorders>
              <w:top w:val="nil"/>
              <w:left w:val="single" w:sz="4" w:space="0" w:color="auto"/>
              <w:bottom w:val="nil"/>
              <w:right w:val="single" w:sz="4" w:space="0" w:color="auto"/>
            </w:tcBorders>
          </w:tcPr>
          <w:p w14:paraId="2AB7CF87" w14:textId="77777777" w:rsidR="001B7E1E" w:rsidRPr="00777BD1" w:rsidRDefault="001B7E1E" w:rsidP="00ED1B2C">
            <w:pPr>
              <w:rPr>
                <w:rFonts w:cs="Verdana"/>
                <w:b/>
                <w:bCs/>
                <w:color w:val="000000"/>
                <w:sz w:val="16"/>
                <w:szCs w:val="16"/>
              </w:rPr>
            </w:pPr>
          </w:p>
        </w:tc>
        <w:tc>
          <w:tcPr>
            <w:tcW w:w="564" w:type="pct"/>
            <w:tcBorders>
              <w:top w:val="nil"/>
              <w:left w:val="single" w:sz="4" w:space="0" w:color="auto"/>
              <w:bottom w:val="nil"/>
              <w:right w:val="single" w:sz="4" w:space="0" w:color="auto"/>
            </w:tcBorders>
          </w:tcPr>
          <w:p w14:paraId="68A1250A" w14:textId="77777777" w:rsidR="001B7E1E" w:rsidRPr="00777BD1" w:rsidRDefault="001B7E1E" w:rsidP="00ED1B2C">
            <w:pPr>
              <w:rPr>
                <w:rFonts w:cs="Verdana"/>
                <w:b/>
                <w:bCs/>
                <w:color w:val="000000"/>
                <w:sz w:val="16"/>
                <w:szCs w:val="16"/>
              </w:rPr>
            </w:pPr>
          </w:p>
        </w:tc>
        <w:tc>
          <w:tcPr>
            <w:tcW w:w="565" w:type="pct"/>
            <w:tcBorders>
              <w:top w:val="nil"/>
              <w:left w:val="single" w:sz="4" w:space="0" w:color="auto"/>
              <w:bottom w:val="nil"/>
              <w:right w:val="single" w:sz="4" w:space="0" w:color="auto"/>
            </w:tcBorders>
          </w:tcPr>
          <w:p w14:paraId="0916D6EA" w14:textId="77777777" w:rsidR="001B7E1E" w:rsidRPr="00777BD1" w:rsidRDefault="001B7E1E" w:rsidP="00ED1B2C">
            <w:pPr>
              <w:rPr>
                <w:rFonts w:cs="Verdana"/>
                <w:b/>
                <w:bCs/>
                <w:color w:val="000000"/>
                <w:sz w:val="16"/>
                <w:szCs w:val="16"/>
              </w:rPr>
            </w:pPr>
          </w:p>
        </w:tc>
      </w:tr>
      <w:tr w:rsidR="001B7E1E" w:rsidRPr="00777BD1" w14:paraId="6E66B9DC" w14:textId="77777777" w:rsidTr="00ED1B2C">
        <w:trPr>
          <w:trHeight w:val="284"/>
        </w:trPr>
        <w:tc>
          <w:tcPr>
            <w:tcW w:w="2742" w:type="pct"/>
            <w:tcBorders>
              <w:top w:val="nil"/>
              <w:left w:val="single" w:sz="4" w:space="0" w:color="auto"/>
              <w:bottom w:val="nil"/>
              <w:right w:val="single" w:sz="4" w:space="0" w:color="auto"/>
            </w:tcBorders>
            <w:hideMark/>
          </w:tcPr>
          <w:p w14:paraId="3B2484BA" w14:textId="77777777" w:rsidR="001B7E1E" w:rsidRPr="00777BD1" w:rsidRDefault="001B7E1E" w:rsidP="00ED1B2C">
            <w:pPr>
              <w:ind w:left="280" w:hanging="280"/>
              <w:jc w:val="left"/>
              <w:rPr>
                <w:rFonts w:cs="Verdana"/>
                <w:bCs/>
                <w:color w:val="000000"/>
                <w:sz w:val="16"/>
                <w:szCs w:val="16"/>
              </w:rPr>
            </w:pPr>
            <w:r w:rsidRPr="00777BD1">
              <w:rPr>
                <w:rFonts w:cs="Verdana"/>
                <w:bCs/>
                <w:color w:val="000000"/>
                <w:sz w:val="16"/>
                <w:szCs w:val="16"/>
              </w:rPr>
              <w:t>b.</w:t>
            </w:r>
            <w:r w:rsidRPr="00777BD1">
              <w:rPr>
                <w:rFonts w:cs="Verdana"/>
                <w:bCs/>
                <w:color w:val="000000"/>
                <w:sz w:val="16"/>
                <w:szCs w:val="16"/>
              </w:rPr>
              <w:tab/>
              <w:t>Annual purchases under the programme (value)</w:t>
            </w:r>
          </w:p>
        </w:tc>
        <w:tc>
          <w:tcPr>
            <w:tcW w:w="564" w:type="pct"/>
            <w:tcBorders>
              <w:top w:val="nil"/>
              <w:left w:val="single" w:sz="4" w:space="0" w:color="auto"/>
              <w:bottom w:val="nil"/>
              <w:right w:val="single" w:sz="4" w:space="0" w:color="auto"/>
            </w:tcBorders>
          </w:tcPr>
          <w:p w14:paraId="0304B9A0" w14:textId="77777777" w:rsidR="001B7E1E" w:rsidRPr="00777BD1" w:rsidRDefault="001B7E1E" w:rsidP="00ED1B2C">
            <w:pPr>
              <w:rPr>
                <w:rFonts w:cs="Verdana"/>
                <w:b/>
                <w:bCs/>
                <w:color w:val="000000"/>
                <w:sz w:val="16"/>
                <w:szCs w:val="16"/>
              </w:rPr>
            </w:pPr>
          </w:p>
        </w:tc>
        <w:tc>
          <w:tcPr>
            <w:tcW w:w="564" w:type="pct"/>
            <w:tcBorders>
              <w:top w:val="nil"/>
              <w:left w:val="single" w:sz="4" w:space="0" w:color="auto"/>
              <w:bottom w:val="nil"/>
              <w:right w:val="single" w:sz="4" w:space="0" w:color="auto"/>
            </w:tcBorders>
          </w:tcPr>
          <w:p w14:paraId="6751F1BC" w14:textId="77777777" w:rsidR="001B7E1E" w:rsidRPr="00777BD1" w:rsidRDefault="001B7E1E" w:rsidP="00ED1B2C">
            <w:pPr>
              <w:rPr>
                <w:rFonts w:cs="Verdana"/>
                <w:b/>
                <w:bCs/>
                <w:color w:val="000000"/>
                <w:sz w:val="16"/>
                <w:szCs w:val="16"/>
              </w:rPr>
            </w:pPr>
          </w:p>
        </w:tc>
        <w:tc>
          <w:tcPr>
            <w:tcW w:w="564" w:type="pct"/>
            <w:tcBorders>
              <w:top w:val="nil"/>
              <w:left w:val="single" w:sz="4" w:space="0" w:color="auto"/>
              <w:bottom w:val="nil"/>
              <w:right w:val="single" w:sz="4" w:space="0" w:color="auto"/>
            </w:tcBorders>
          </w:tcPr>
          <w:p w14:paraId="4DB3A57F" w14:textId="77777777" w:rsidR="001B7E1E" w:rsidRPr="00777BD1" w:rsidRDefault="001B7E1E" w:rsidP="00ED1B2C">
            <w:pPr>
              <w:rPr>
                <w:rFonts w:cs="Verdana"/>
                <w:b/>
                <w:bCs/>
                <w:color w:val="000000"/>
                <w:sz w:val="16"/>
                <w:szCs w:val="16"/>
              </w:rPr>
            </w:pPr>
          </w:p>
        </w:tc>
        <w:tc>
          <w:tcPr>
            <w:tcW w:w="565" w:type="pct"/>
            <w:tcBorders>
              <w:top w:val="nil"/>
              <w:left w:val="single" w:sz="4" w:space="0" w:color="auto"/>
              <w:bottom w:val="nil"/>
              <w:right w:val="single" w:sz="4" w:space="0" w:color="auto"/>
            </w:tcBorders>
          </w:tcPr>
          <w:p w14:paraId="7FE0CEB4" w14:textId="77777777" w:rsidR="001B7E1E" w:rsidRPr="00777BD1" w:rsidRDefault="001B7E1E" w:rsidP="00ED1B2C">
            <w:pPr>
              <w:rPr>
                <w:rFonts w:cs="Verdana"/>
                <w:b/>
                <w:bCs/>
                <w:color w:val="000000"/>
                <w:sz w:val="16"/>
                <w:szCs w:val="16"/>
              </w:rPr>
            </w:pPr>
          </w:p>
        </w:tc>
      </w:tr>
      <w:tr w:rsidR="001B7E1E" w:rsidRPr="00777BD1" w14:paraId="5B528BC6" w14:textId="77777777" w:rsidTr="00ED1B2C">
        <w:trPr>
          <w:cnfStyle w:val="000000010000" w:firstRow="0" w:lastRow="0" w:firstColumn="0" w:lastColumn="0" w:oddVBand="0" w:evenVBand="0" w:oddHBand="0" w:evenHBand="1" w:firstRowFirstColumn="0" w:firstRowLastColumn="0" w:lastRowFirstColumn="0" w:lastRowLastColumn="0"/>
          <w:trHeight w:val="284"/>
        </w:trPr>
        <w:tc>
          <w:tcPr>
            <w:tcW w:w="2742" w:type="pct"/>
            <w:tcBorders>
              <w:top w:val="nil"/>
              <w:left w:val="single" w:sz="4" w:space="0" w:color="auto"/>
              <w:bottom w:val="nil"/>
              <w:right w:val="single" w:sz="4" w:space="0" w:color="auto"/>
            </w:tcBorders>
            <w:hideMark/>
          </w:tcPr>
          <w:p w14:paraId="75F53178" w14:textId="77777777" w:rsidR="001B7E1E" w:rsidRPr="00777BD1" w:rsidRDefault="001B7E1E" w:rsidP="00ED1B2C">
            <w:pPr>
              <w:ind w:left="280" w:hanging="280"/>
              <w:jc w:val="left"/>
              <w:rPr>
                <w:rFonts w:cs="Verdana"/>
                <w:bCs/>
                <w:color w:val="000000"/>
                <w:sz w:val="16"/>
                <w:szCs w:val="16"/>
              </w:rPr>
            </w:pPr>
            <w:r w:rsidRPr="00777BD1">
              <w:rPr>
                <w:rFonts w:cs="Verdana"/>
                <w:bCs/>
                <w:color w:val="000000"/>
                <w:sz w:val="16"/>
                <w:szCs w:val="16"/>
              </w:rPr>
              <w:t>c.</w:t>
            </w:r>
            <w:r w:rsidRPr="00777BD1">
              <w:rPr>
                <w:rFonts w:cs="Verdana"/>
                <w:bCs/>
                <w:color w:val="000000"/>
                <w:sz w:val="16"/>
                <w:szCs w:val="16"/>
              </w:rPr>
              <w:tab/>
              <w:t>Annual purchases under the programme (quantity)</w:t>
            </w:r>
          </w:p>
        </w:tc>
        <w:tc>
          <w:tcPr>
            <w:tcW w:w="564" w:type="pct"/>
            <w:tcBorders>
              <w:top w:val="nil"/>
              <w:left w:val="single" w:sz="4" w:space="0" w:color="auto"/>
              <w:bottom w:val="nil"/>
              <w:right w:val="single" w:sz="4" w:space="0" w:color="auto"/>
            </w:tcBorders>
          </w:tcPr>
          <w:p w14:paraId="5A77AEDF" w14:textId="77777777" w:rsidR="001B7E1E" w:rsidRPr="00777BD1" w:rsidRDefault="001B7E1E" w:rsidP="00ED1B2C">
            <w:pPr>
              <w:rPr>
                <w:rFonts w:cs="Verdana"/>
                <w:b/>
                <w:bCs/>
                <w:color w:val="000000"/>
                <w:sz w:val="16"/>
                <w:szCs w:val="16"/>
              </w:rPr>
            </w:pPr>
          </w:p>
        </w:tc>
        <w:tc>
          <w:tcPr>
            <w:tcW w:w="564" w:type="pct"/>
            <w:tcBorders>
              <w:top w:val="nil"/>
              <w:left w:val="single" w:sz="4" w:space="0" w:color="auto"/>
              <w:bottom w:val="nil"/>
              <w:right w:val="single" w:sz="4" w:space="0" w:color="auto"/>
            </w:tcBorders>
          </w:tcPr>
          <w:p w14:paraId="3C7C789A" w14:textId="77777777" w:rsidR="001B7E1E" w:rsidRPr="00777BD1" w:rsidRDefault="001B7E1E" w:rsidP="00ED1B2C">
            <w:pPr>
              <w:rPr>
                <w:rFonts w:cs="Verdana"/>
                <w:b/>
                <w:bCs/>
                <w:color w:val="000000"/>
                <w:sz w:val="16"/>
                <w:szCs w:val="16"/>
              </w:rPr>
            </w:pPr>
          </w:p>
        </w:tc>
        <w:tc>
          <w:tcPr>
            <w:tcW w:w="564" w:type="pct"/>
            <w:tcBorders>
              <w:top w:val="nil"/>
              <w:left w:val="single" w:sz="4" w:space="0" w:color="auto"/>
              <w:bottom w:val="nil"/>
              <w:right w:val="single" w:sz="4" w:space="0" w:color="auto"/>
            </w:tcBorders>
          </w:tcPr>
          <w:p w14:paraId="0E2B92C0" w14:textId="77777777" w:rsidR="001B7E1E" w:rsidRPr="00777BD1" w:rsidRDefault="001B7E1E" w:rsidP="00ED1B2C">
            <w:pPr>
              <w:rPr>
                <w:rFonts w:cs="Verdana"/>
                <w:b/>
                <w:bCs/>
                <w:color w:val="000000"/>
                <w:sz w:val="16"/>
                <w:szCs w:val="16"/>
              </w:rPr>
            </w:pPr>
          </w:p>
        </w:tc>
        <w:tc>
          <w:tcPr>
            <w:tcW w:w="565" w:type="pct"/>
            <w:tcBorders>
              <w:top w:val="nil"/>
              <w:left w:val="single" w:sz="4" w:space="0" w:color="auto"/>
              <w:bottom w:val="nil"/>
              <w:right w:val="single" w:sz="4" w:space="0" w:color="auto"/>
            </w:tcBorders>
          </w:tcPr>
          <w:p w14:paraId="38A98B52" w14:textId="77777777" w:rsidR="001B7E1E" w:rsidRPr="00777BD1" w:rsidRDefault="001B7E1E" w:rsidP="00ED1B2C">
            <w:pPr>
              <w:rPr>
                <w:rFonts w:cs="Verdana"/>
                <w:b/>
                <w:bCs/>
                <w:color w:val="000000"/>
                <w:sz w:val="16"/>
                <w:szCs w:val="16"/>
              </w:rPr>
            </w:pPr>
          </w:p>
        </w:tc>
      </w:tr>
      <w:tr w:rsidR="001B7E1E" w:rsidRPr="00777BD1" w14:paraId="60F3CADB" w14:textId="77777777" w:rsidTr="00ED1B2C">
        <w:trPr>
          <w:trHeight w:val="284"/>
        </w:trPr>
        <w:tc>
          <w:tcPr>
            <w:tcW w:w="2742" w:type="pct"/>
            <w:tcBorders>
              <w:top w:val="nil"/>
              <w:left w:val="single" w:sz="4" w:space="0" w:color="auto"/>
              <w:bottom w:val="nil"/>
              <w:right w:val="single" w:sz="4" w:space="0" w:color="auto"/>
            </w:tcBorders>
            <w:hideMark/>
          </w:tcPr>
          <w:p w14:paraId="08C9139C" w14:textId="77777777" w:rsidR="001B7E1E" w:rsidRPr="00777BD1" w:rsidRDefault="001B7E1E" w:rsidP="00ED1B2C">
            <w:pPr>
              <w:ind w:left="280" w:hanging="280"/>
              <w:jc w:val="left"/>
              <w:rPr>
                <w:rFonts w:cs="Verdana"/>
                <w:bCs/>
                <w:color w:val="000000"/>
                <w:sz w:val="16"/>
                <w:szCs w:val="16"/>
              </w:rPr>
            </w:pPr>
            <w:r w:rsidRPr="00777BD1">
              <w:rPr>
                <w:rFonts w:cs="Verdana"/>
                <w:bCs/>
                <w:color w:val="000000"/>
                <w:sz w:val="16"/>
                <w:szCs w:val="16"/>
              </w:rPr>
              <w:t>d.</w:t>
            </w:r>
            <w:r w:rsidRPr="00777BD1">
              <w:rPr>
                <w:rFonts w:cs="Verdana"/>
                <w:bCs/>
                <w:color w:val="000000"/>
                <w:sz w:val="16"/>
                <w:szCs w:val="16"/>
              </w:rPr>
              <w:tab/>
              <w:t>Annual releases under the programme (value)</w:t>
            </w:r>
          </w:p>
        </w:tc>
        <w:tc>
          <w:tcPr>
            <w:tcW w:w="564" w:type="pct"/>
            <w:tcBorders>
              <w:top w:val="nil"/>
              <w:left w:val="single" w:sz="4" w:space="0" w:color="auto"/>
              <w:bottom w:val="nil"/>
              <w:right w:val="single" w:sz="4" w:space="0" w:color="auto"/>
            </w:tcBorders>
          </w:tcPr>
          <w:p w14:paraId="2501F1A2" w14:textId="77777777" w:rsidR="001B7E1E" w:rsidRPr="00777BD1" w:rsidRDefault="001B7E1E" w:rsidP="00ED1B2C">
            <w:pPr>
              <w:rPr>
                <w:rFonts w:cs="Verdana"/>
                <w:b/>
                <w:bCs/>
                <w:color w:val="000000"/>
                <w:sz w:val="16"/>
                <w:szCs w:val="16"/>
              </w:rPr>
            </w:pPr>
          </w:p>
        </w:tc>
        <w:tc>
          <w:tcPr>
            <w:tcW w:w="564" w:type="pct"/>
            <w:tcBorders>
              <w:top w:val="nil"/>
              <w:left w:val="single" w:sz="4" w:space="0" w:color="auto"/>
              <w:bottom w:val="nil"/>
              <w:right w:val="single" w:sz="4" w:space="0" w:color="auto"/>
            </w:tcBorders>
          </w:tcPr>
          <w:p w14:paraId="569FA2E6" w14:textId="77777777" w:rsidR="001B7E1E" w:rsidRPr="00777BD1" w:rsidRDefault="001B7E1E" w:rsidP="00ED1B2C">
            <w:pPr>
              <w:rPr>
                <w:rFonts w:cs="Verdana"/>
                <w:b/>
                <w:bCs/>
                <w:color w:val="000000"/>
                <w:sz w:val="16"/>
                <w:szCs w:val="16"/>
              </w:rPr>
            </w:pPr>
          </w:p>
        </w:tc>
        <w:tc>
          <w:tcPr>
            <w:tcW w:w="564" w:type="pct"/>
            <w:tcBorders>
              <w:top w:val="nil"/>
              <w:left w:val="single" w:sz="4" w:space="0" w:color="auto"/>
              <w:bottom w:val="nil"/>
              <w:right w:val="single" w:sz="4" w:space="0" w:color="auto"/>
            </w:tcBorders>
          </w:tcPr>
          <w:p w14:paraId="45394398" w14:textId="77777777" w:rsidR="001B7E1E" w:rsidRPr="00777BD1" w:rsidRDefault="001B7E1E" w:rsidP="00ED1B2C">
            <w:pPr>
              <w:rPr>
                <w:rFonts w:cs="Verdana"/>
                <w:b/>
                <w:bCs/>
                <w:color w:val="000000"/>
                <w:sz w:val="16"/>
                <w:szCs w:val="16"/>
              </w:rPr>
            </w:pPr>
          </w:p>
        </w:tc>
        <w:tc>
          <w:tcPr>
            <w:tcW w:w="565" w:type="pct"/>
            <w:tcBorders>
              <w:top w:val="nil"/>
              <w:left w:val="single" w:sz="4" w:space="0" w:color="auto"/>
              <w:bottom w:val="nil"/>
              <w:right w:val="single" w:sz="4" w:space="0" w:color="auto"/>
            </w:tcBorders>
          </w:tcPr>
          <w:p w14:paraId="40E30997" w14:textId="77777777" w:rsidR="001B7E1E" w:rsidRPr="00777BD1" w:rsidRDefault="001B7E1E" w:rsidP="00ED1B2C">
            <w:pPr>
              <w:rPr>
                <w:rFonts w:cs="Verdana"/>
                <w:b/>
                <w:bCs/>
                <w:color w:val="000000"/>
                <w:sz w:val="16"/>
                <w:szCs w:val="16"/>
              </w:rPr>
            </w:pPr>
          </w:p>
        </w:tc>
      </w:tr>
      <w:tr w:rsidR="001B7E1E" w:rsidRPr="00777BD1" w14:paraId="41EF37A5" w14:textId="77777777" w:rsidTr="00ED1B2C">
        <w:trPr>
          <w:cnfStyle w:val="000000010000" w:firstRow="0" w:lastRow="0" w:firstColumn="0" w:lastColumn="0" w:oddVBand="0" w:evenVBand="0" w:oddHBand="0" w:evenHBand="1" w:firstRowFirstColumn="0" w:firstRowLastColumn="0" w:lastRowFirstColumn="0" w:lastRowLastColumn="0"/>
          <w:trHeight w:val="284"/>
        </w:trPr>
        <w:tc>
          <w:tcPr>
            <w:tcW w:w="2742" w:type="pct"/>
            <w:tcBorders>
              <w:top w:val="nil"/>
              <w:left w:val="single" w:sz="4" w:space="0" w:color="auto"/>
              <w:bottom w:val="nil"/>
              <w:right w:val="single" w:sz="4" w:space="0" w:color="auto"/>
            </w:tcBorders>
            <w:hideMark/>
          </w:tcPr>
          <w:p w14:paraId="03BA2E12" w14:textId="77777777" w:rsidR="001B7E1E" w:rsidRPr="00777BD1" w:rsidRDefault="001B7E1E" w:rsidP="00ED1B2C">
            <w:pPr>
              <w:ind w:left="280" w:hanging="280"/>
              <w:jc w:val="left"/>
              <w:rPr>
                <w:rFonts w:cs="Verdana"/>
                <w:bCs/>
                <w:color w:val="000000"/>
                <w:sz w:val="16"/>
                <w:szCs w:val="16"/>
              </w:rPr>
            </w:pPr>
            <w:r w:rsidRPr="00777BD1">
              <w:rPr>
                <w:rFonts w:cs="Verdana"/>
                <w:bCs/>
                <w:color w:val="000000"/>
                <w:sz w:val="16"/>
                <w:szCs w:val="16"/>
              </w:rPr>
              <w:t>e.</w:t>
            </w:r>
            <w:r w:rsidRPr="00777BD1">
              <w:rPr>
                <w:rFonts w:cs="Verdana"/>
                <w:bCs/>
                <w:color w:val="000000"/>
                <w:sz w:val="16"/>
                <w:szCs w:val="16"/>
              </w:rPr>
              <w:tab/>
              <w:t>Annual releases under the programme (quantity)</w:t>
            </w:r>
          </w:p>
        </w:tc>
        <w:tc>
          <w:tcPr>
            <w:tcW w:w="564" w:type="pct"/>
            <w:tcBorders>
              <w:top w:val="nil"/>
              <w:left w:val="single" w:sz="4" w:space="0" w:color="auto"/>
              <w:bottom w:val="nil"/>
              <w:right w:val="single" w:sz="4" w:space="0" w:color="auto"/>
            </w:tcBorders>
          </w:tcPr>
          <w:p w14:paraId="18861B58" w14:textId="77777777" w:rsidR="001B7E1E" w:rsidRPr="00777BD1" w:rsidRDefault="001B7E1E" w:rsidP="00ED1B2C">
            <w:pPr>
              <w:rPr>
                <w:rFonts w:cs="Verdana"/>
                <w:b/>
                <w:bCs/>
                <w:color w:val="000000"/>
                <w:sz w:val="16"/>
                <w:szCs w:val="16"/>
              </w:rPr>
            </w:pPr>
          </w:p>
        </w:tc>
        <w:tc>
          <w:tcPr>
            <w:tcW w:w="564" w:type="pct"/>
            <w:tcBorders>
              <w:top w:val="nil"/>
              <w:left w:val="single" w:sz="4" w:space="0" w:color="auto"/>
              <w:bottom w:val="nil"/>
              <w:right w:val="single" w:sz="4" w:space="0" w:color="auto"/>
            </w:tcBorders>
          </w:tcPr>
          <w:p w14:paraId="6BD3B849" w14:textId="77777777" w:rsidR="001B7E1E" w:rsidRPr="00777BD1" w:rsidRDefault="001B7E1E" w:rsidP="00ED1B2C">
            <w:pPr>
              <w:rPr>
                <w:rFonts w:cs="Verdana"/>
                <w:b/>
                <w:bCs/>
                <w:color w:val="000000"/>
                <w:sz w:val="16"/>
                <w:szCs w:val="16"/>
              </w:rPr>
            </w:pPr>
          </w:p>
        </w:tc>
        <w:tc>
          <w:tcPr>
            <w:tcW w:w="564" w:type="pct"/>
            <w:tcBorders>
              <w:top w:val="nil"/>
              <w:left w:val="single" w:sz="4" w:space="0" w:color="auto"/>
              <w:bottom w:val="nil"/>
              <w:right w:val="single" w:sz="4" w:space="0" w:color="auto"/>
            </w:tcBorders>
          </w:tcPr>
          <w:p w14:paraId="3451C700" w14:textId="77777777" w:rsidR="001B7E1E" w:rsidRPr="00777BD1" w:rsidRDefault="001B7E1E" w:rsidP="00ED1B2C">
            <w:pPr>
              <w:rPr>
                <w:rFonts w:cs="Verdana"/>
                <w:b/>
                <w:bCs/>
                <w:color w:val="000000"/>
                <w:sz w:val="16"/>
                <w:szCs w:val="16"/>
              </w:rPr>
            </w:pPr>
          </w:p>
        </w:tc>
        <w:tc>
          <w:tcPr>
            <w:tcW w:w="565" w:type="pct"/>
            <w:tcBorders>
              <w:top w:val="nil"/>
              <w:left w:val="single" w:sz="4" w:space="0" w:color="auto"/>
              <w:bottom w:val="nil"/>
              <w:right w:val="single" w:sz="4" w:space="0" w:color="auto"/>
            </w:tcBorders>
          </w:tcPr>
          <w:p w14:paraId="404C15DB" w14:textId="77777777" w:rsidR="001B7E1E" w:rsidRPr="00777BD1" w:rsidRDefault="001B7E1E" w:rsidP="00ED1B2C">
            <w:pPr>
              <w:rPr>
                <w:rFonts w:cs="Verdana"/>
                <w:b/>
                <w:bCs/>
                <w:color w:val="000000"/>
                <w:sz w:val="16"/>
                <w:szCs w:val="16"/>
              </w:rPr>
            </w:pPr>
          </w:p>
        </w:tc>
      </w:tr>
      <w:tr w:rsidR="001B7E1E" w:rsidRPr="00777BD1" w14:paraId="4414DD50" w14:textId="77777777" w:rsidTr="00ED1B2C">
        <w:trPr>
          <w:trHeight w:val="284"/>
        </w:trPr>
        <w:tc>
          <w:tcPr>
            <w:tcW w:w="2742" w:type="pct"/>
            <w:tcBorders>
              <w:top w:val="nil"/>
              <w:left w:val="single" w:sz="4" w:space="0" w:color="auto"/>
              <w:bottom w:val="nil"/>
              <w:right w:val="single" w:sz="4" w:space="0" w:color="auto"/>
            </w:tcBorders>
            <w:hideMark/>
          </w:tcPr>
          <w:p w14:paraId="11367A8E" w14:textId="77777777" w:rsidR="001B7E1E" w:rsidRPr="00777BD1" w:rsidRDefault="001B7E1E" w:rsidP="00ED1B2C">
            <w:pPr>
              <w:ind w:left="280" w:hanging="280"/>
              <w:jc w:val="left"/>
              <w:rPr>
                <w:rFonts w:cs="Verdana"/>
                <w:bCs/>
                <w:color w:val="000000"/>
                <w:sz w:val="16"/>
                <w:szCs w:val="16"/>
              </w:rPr>
            </w:pPr>
            <w:r w:rsidRPr="00777BD1">
              <w:rPr>
                <w:rFonts w:cs="Verdana"/>
                <w:bCs/>
                <w:color w:val="000000"/>
                <w:sz w:val="16"/>
                <w:szCs w:val="16"/>
              </w:rPr>
              <w:t>f.</w:t>
            </w:r>
            <w:r w:rsidRPr="00777BD1">
              <w:rPr>
                <w:rFonts w:cs="Verdana"/>
                <w:bCs/>
                <w:color w:val="000000"/>
                <w:sz w:val="16"/>
                <w:szCs w:val="16"/>
              </w:rPr>
              <w:tab/>
              <w:t>Purchase prices</w:t>
            </w:r>
          </w:p>
        </w:tc>
        <w:tc>
          <w:tcPr>
            <w:tcW w:w="564" w:type="pct"/>
            <w:tcBorders>
              <w:top w:val="nil"/>
              <w:left w:val="single" w:sz="4" w:space="0" w:color="auto"/>
              <w:bottom w:val="nil"/>
              <w:right w:val="single" w:sz="4" w:space="0" w:color="auto"/>
            </w:tcBorders>
          </w:tcPr>
          <w:p w14:paraId="7208433E" w14:textId="77777777" w:rsidR="001B7E1E" w:rsidRPr="00777BD1" w:rsidRDefault="001B7E1E" w:rsidP="00ED1B2C">
            <w:pPr>
              <w:rPr>
                <w:rFonts w:cs="Verdana"/>
                <w:b/>
                <w:bCs/>
                <w:color w:val="000000"/>
                <w:sz w:val="16"/>
                <w:szCs w:val="16"/>
              </w:rPr>
            </w:pPr>
          </w:p>
        </w:tc>
        <w:tc>
          <w:tcPr>
            <w:tcW w:w="564" w:type="pct"/>
            <w:tcBorders>
              <w:top w:val="nil"/>
              <w:left w:val="single" w:sz="4" w:space="0" w:color="auto"/>
              <w:bottom w:val="nil"/>
              <w:right w:val="single" w:sz="4" w:space="0" w:color="auto"/>
            </w:tcBorders>
          </w:tcPr>
          <w:p w14:paraId="4208A16D" w14:textId="77777777" w:rsidR="001B7E1E" w:rsidRPr="00777BD1" w:rsidRDefault="001B7E1E" w:rsidP="00ED1B2C">
            <w:pPr>
              <w:rPr>
                <w:rFonts w:cs="Verdana"/>
                <w:b/>
                <w:bCs/>
                <w:color w:val="000000"/>
                <w:sz w:val="16"/>
                <w:szCs w:val="16"/>
              </w:rPr>
            </w:pPr>
          </w:p>
        </w:tc>
        <w:tc>
          <w:tcPr>
            <w:tcW w:w="564" w:type="pct"/>
            <w:tcBorders>
              <w:top w:val="nil"/>
              <w:left w:val="single" w:sz="4" w:space="0" w:color="auto"/>
              <w:bottom w:val="nil"/>
              <w:right w:val="single" w:sz="4" w:space="0" w:color="auto"/>
            </w:tcBorders>
          </w:tcPr>
          <w:p w14:paraId="6025AED5" w14:textId="77777777" w:rsidR="001B7E1E" w:rsidRPr="00777BD1" w:rsidRDefault="001B7E1E" w:rsidP="00ED1B2C">
            <w:pPr>
              <w:rPr>
                <w:rFonts w:cs="Verdana"/>
                <w:b/>
                <w:bCs/>
                <w:color w:val="000000"/>
                <w:sz w:val="16"/>
                <w:szCs w:val="16"/>
              </w:rPr>
            </w:pPr>
          </w:p>
        </w:tc>
        <w:tc>
          <w:tcPr>
            <w:tcW w:w="565" w:type="pct"/>
            <w:tcBorders>
              <w:top w:val="nil"/>
              <w:left w:val="single" w:sz="4" w:space="0" w:color="auto"/>
              <w:bottom w:val="nil"/>
              <w:right w:val="single" w:sz="4" w:space="0" w:color="auto"/>
            </w:tcBorders>
          </w:tcPr>
          <w:p w14:paraId="20B11239" w14:textId="77777777" w:rsidR="001B7E1E" w:rsidRPr="00777BD1" w:rsidRDefault="001B7E1E" w:rsidP="00ED1B2C">
            <w:pPr>
              <w:rPr>
                <w:rFonts w:cs="Verdana"/>
                <w:b/>
                <w:bCs/>
                <w:color w:val="000000"/>
                <w:sz w:val="16"/>
                <w:szCs w:val="16"/>
              </w:rPr>
            </w:pPr>
          </w:p>
        </w:tc>
      </w:tr>
      <w:tr w:rsidR="001B7E1E" w:rsidRPr="00777BD1" w14:paraId="4113C098" w14:textId="77777777" w:rsidTr="00ED1B2C">
        <w:trPr>
          <w:cnfStyle w:val="000000010000" w:firstRow="0" w:lastRow="0" w:firstColumn="0" w:lastColumn="0" w:oddVBand="0" w:evenVBand="0" w:oddHBand="0" w:evenHBand="1" w:firstRowFirstColumn="0" w:firstRowLastColumn="0" w:lastRowFirstColumn="0" w:lastRowLastColumn="0"/>
          <w:trHeight w:val="284"/>
        </w:trPr>
        <w:tc>
          <w:tcPr>
            <w:tcW w:w="2742" w:type="pct"/>
            <w:tcBorders>
              <w:top w:val="nil"/>
              <w:left w:val="single" w:sz="4" w:space="0" w:color="auto"/>
              <w:bottom w:val="nil"/>
              <w:right w:val="single" w:sz="4" w:space="0" w:color="auto"/>
            </w:tcBorders>
            <w:hideMark/>
          </w:tcPr>
          <w:p w14:paraId="6F7B2046" w14:textId="77777777" w:rsidR="001B7E1E" w:rsidRPr="00777BD1" w:rsidRDefault="001B7E1E" w:rsidP="00ED1B2C">
            <w:pPr>
              <w:ind w:left="280" w:hanging="280"/>
              <w:jc w:val="left"/>
              <w:rPr>
                <w:rFonts w:cs="Verdana"/>
                <w:color w:val="000000"/>
                <w:sz w:val="16"/>
                <w:szCs w:val="16"/>
              </w:rPr>
            </w:pPr>
            <w:r w:rsidRPr="00777BD1">
              <w:rPr>
                <w:rFonts w:cs="Verdana"/>
                <w:color w:val="000000"/>
                <w:sz w:val="16"/>
                <w:szCs w:val="16"/>
              </w:rPr>
              <w:t>g.</w:t>
            </w:r>
            <w:r w:rsidRPr="00777BD1">
              <w:rPr>
                <w:rFonts w:cs="Verdana"/>
                <w:color w:val="000000"/>
                <w:sz w:val="16"/>
                <w:szCs w:val="16"/>
              </w:rPr>
              <w:tab/>
              <w:t>Release prices</w:t>
            </w:r>
          </w:p>
        </w:tc>
        <w:tc>
          <w:tcPr>
            <w:tcW w:w="564" w:type="pct"/>
            <w:tcBorders>
              <w:top w:val="nil"/>
              <w:left w:val="single" w:sz="4" w:space="0" w:color="auto"/>
              <w:bottom w:val="nil"/>
              <w:right w:val="single" w:sz="4" w:space="0" w:color="auto"/>
            </w:tcBorders>
          </w:tcPr>
          <w:p w14:paraId="619211F1" w14:textId="77777777" w:rsidR="001B7E1E" w:rsidRPr="00777BD1" w:rsidRDefault="001B7E1E" w:rsidP="00ED1B2C">
            <w:pPr>
              <w:rPr>
                <w:rFonts w:cs="Verdana"/>
                <w:color w:val="000000"/>
                <w:sz w:val="16"/>
                <w:szCs w:val="16"/>
              </w:rPr>
            </w:pPr>
          </w:p>
        </w:tc>
        <w:tc>
          <w:tcPr>
            <w:tcW w:w="564" w:type="pct"/>
            <w:tcBorders>
              <w:top w:val="nil"/>
              <w:left w:val="single" w:sz="4" w:space="0" w:color="auto"/>
              <w:bottom w:val="nil"/>
              <w:right w:val="single" w:sz="4" w:space="0" w:color="auto"/>
            </w:tcBorders>
          </w:tcPr>
          <w:p w14:paraId="3BC735C6" w14:textId="77777777" w:rsidR="001B7E1E" w:rsidRPr="00777BD1" w:rsidRDefault="001B7E1E" w:rsidP="00ED1B2C">
            <w:pPr>
              <w:rPr>
                <w:rFonts w:cs="Verdana"/>
                <w:color w:val="000000"/>
                <w:sz w:val="16"/>
                <w:szCs w:val="16"/>
              </w:rPr>
            </w:pPr>
          </w:p>
        </w:tc>
        <w:tc>
          <w:tcPr>
            <w:tcW w:w="564" w:type="pct"/>
            <w:tcBorders>
              <w:top w:val="nil"/>
              <w:left w:val="single" w:sz="4" w:space="0" w:color="auto"/>
              <w:bottom w:val="nil"/>
              <w:right w:val="single" w:sz="4" w:space="0" w:color="auto"/>
            </w:tcBorders>
          </w:tcPr>
          <w:p w14:paraId="6466C3FF" w14:textId="77777777" w:rsidR="001B7E1E" w:rsidRPr="00777BD1" w:rsidRDefault="001B7E1E" w:rsidP="00ED1B2C">
            <w:pPr>
              <w:rPr>
                <w:rFonts w:cs="Verdana"/>
                <w:color w:val="000000"/>
                <w:sz w:val="16"/>
                <w:szCs w:val="16"/>
              </w:rPr>
            </w:pPr>
          </w:p>
        </w:tc>
        <w:tc>
          <w:tcPr>
            <w:tcW w:w="565" w:type="pct"/>
            <w:tcBorders>
              <w:top w:val="nil"/>
              <w:left w:val="single" w:sz="4" w:space="0" w:color="auto"/>
              <w:bottom w:val="nil"/>
              <w:right w:val="single" w:sz="4" w:space="0" w:color="auto"/>
            </w:tcBorders>
          </w:tcPr>
          <w:p w14:paraId="5579EA06" w14:textId="77777777" w:rsidR="001B7E1E" w:rsidRPr="00777BD1" w:rsidRDefault="001B7E1E" w:rsidP="00ED1B2C">
            <w:pPr>
              <w:rPr>
                <w:rFonts w:cs="Verdana"/>
                <w:color w:val="000000"/>
                <w:sz w:val="16"/>
                <w:szCs w:val="16"/>
              </w:rPr>
            </w:pPr>
          </w:p>
        </w:tc>
      </w:tr>
      <w:tr w:rsidR="001B7E1E" w:rsidRPr="00777BD1" w14:paraId="3A73C7E0" w14:textId="77777777" w:rsidTr="00ED1B2C">
        <w:trPr>
          <w:trHeight w:val="284"/>
        </w:trPr>
        <w:tc>
          <w:tcPr>
            <w:tcW w:w="2742" w:type="pct"/>
            <w:tcBorders>
              <w:top w:val="nil"/>
              <w:left w:val="single" w:sz="4" w:space="0" w:color="auto"/>
              <w:bottom w:val="nil"/>
              <w:right w:val="single" w:sz="4" w:space="0" w:color="auto"/>
            </w:tcBorders>
            <w:hideMark/>
          </w:tcPr>
          <w:p w14:paraId="2DD06DF2" w14:textId="77777777" w:rsidR="001B7E1E" w:rsidRPr="00777BD1" w:rsidRDefault="001B7E1E" w:rsidP="00ED1B2C">
            <w:pPr>
              <w:ind w:left="280" w:hanging="280"/>
              <w:jc w:val="left"/>
              <w:rPr>
                <w:rFonts w:cs="Verdana"/>
                <w:color w:val="000000"/>
                <w:sz w:val="16"/>
                <w:szCs w:val="16"/>
              </w:rPr>
            </w:pPr>
            <w:r w:rsidRPr="00777BD1">
              <w:rPr>
                <w:rFonts w:cs="Verdana"/>
                <w:color w:val="000000"/>
                <w:sz w:val="16"/>
                <w:szCs w:val="16"/>
              </w:rPr>
              <w:t>h.</w:t>
            </w:r>
            <w:r w:rsidRPr="00777BD1">
              <w:rPr>
                <w:rFonts w:cs="Verdana"/>
                <w:color w:val="000000"/>
                <w:sz w:val="16"/>
                <w:szCs w:val="16"/>
              </w:rPr>
              <w:tab/>
              <w:t>End-year stocks</w:t>
            </w:r>
          </w:p>
        </w:tc>
        <w:tc>
          <w:tcPr>
            <w:tcW w:w="564" w:type="pct"/>
            <w:tcBorders>
              <w:top w:val="nil"/>
              <w:left w:val="single" w:sz="4" w:space="0" w:color="auto"/>
              <w:bottom w:val="nil"/>
              <w:right w:val="single" w:sz="4" w:space="0" w:color="auto"/>
            </w:tcBorders>
          </w:tcPr>
          <w:p w14:paraId="3016B7E1" w14:textId="77777777" w:rsidR="001B7E1E" w:rsidRPr="00777BD1" w:rsidRDefault="001B7E1E" w:rsidP="00ED1B2C">
            <w:pPr>
              <w:rPr>
                <w:rFonts w:cs="Verdana"/>
                <w:color w:val="000000"/>
                <w:sz w:val="16"/>
                <w:szCs w:val="16"/>
              </w:rPr>
            </w:pPr>
          </w:p>
        </w:tc>
        <w:tc>
          <w:tcPr>
            <w:tcW w:w="564" w:type="pct"/>
            <w:tcBorders>
              <w:top w:val="nil"/>
              <w:left w:val="single" w:sz="4" w:space="0" w:color="auto"/>
              <w:bottom w:val="nil"/>
              <w:right w:val="single" w:sz="4" w:space="0" w:color="auto"/>
            </w:tcBorders>
          </w:tcPr>
          <w:p w14:paraId="7298F9D8" w14:textId="77777777" w:rsidR="001B7E1E" w:rsidRPr="00777BD1" w:rsidRDefault="001B7E1E" w:rsidP="00ED1B2C">
            <w:pPr>
              <w:rPr>
                <w:rFonts w:cs="Verdana"/>
                <w:color w:val="000000"/>
                <w:sz w:val="16"/>
                <w:szCs w:val="16"/>
              </w:rPr>
            </w:pPr>
          </w:p>
        </w:tc>
        <w:tc>
          <w:tcPr>
            <w:tcW w:w="564" w:type="pct"/>
            <w:tcBorders>
              <w:top w:val="nil"/>
              <w:left w:val="single" w:sz="4" w:space="0" w:color="auto"/>
              <w:bottom w:val="nil"/>
              <w:right w:val="single" w:sz="4" w:space="0" w:color="auto"/>
            </w:tcBorders>
          </w:tcPr>
          <w:p w14:paraId="71B5BBC4" w14:textId="77777777" w:rsidR="001B7E1E" w:rsidRPr="00777BD1" w:rsidRDefault="001B7E1E" w:rsidP="00ED1B2C">
            <w:pPr>
              <w:rPr>
                <w:rFonts w:cs="Verdana"/>
                <w:color w:val="000000"/>
                <w:sz w:val="16"/>
                <w:szCs w:val="16"/>
              </w:rPr>
            </w:pPr>
          </w:p>
        </w:tc>
        <w:tc>
          <w:tcPr>
            <w:tcW w:w="565" w:type="pct"/>
            <w:tcBorders>
              <w:top w:val="nil"/>
              <w:left w:val="single" w:sz="4" w:space="0" w:color="auto"/>
              <w:bottom w:val="nil"/>
              <w:right w:val="single" w:sz="4" w:space="0" w:color="auto"/>
            </w:tcBorders>
          </w:tcPr>
          <w:p w14:paraId="63F14869" w14:textId="77777777" w:rsidR="001B7E1E" w:rsidRPr="00777BD1" w:rsidRDefault="001B7E1E" w:rsidP="00ED1B2C">
            <w:pPr>
              <w:rPr>
                <w:rFonts w:cs="Verdana"/>
                <w:color w:val="000000"/>
                <w:sz w:val="16"/>
                <w:szCs w:val="16"/>
              </w:rPr>
            </w:pPr>
          </w:p>
        </w:tc>
      </w:tr>
      <w:tr w:rsidR="001B7E1E" w:rsidRPr="00777BD1" w14:paraId="661C75BE" w14:textId="77777777" w:rsidTr="00ED1B2C">
        <w:trPr>
          <w:cnfStyle w:val="000000010000" w:firstRow="0" w:lastRow="0" w:firstColumn="0" w:lastColumn="0" w:oddVBand="0" w:evenVBand="0" w:oddHBand="0" w:evenHBand="1" w:firstRowFirstColumn="0" w:firstRowLastColumn="0" w:lastRowFirstColumn="0" w:lastRowLastColumn="0"/>
          <w:trHeight w:val="284"/>
        </w:trPr>
        <w:tc>
          <w:tcPr>
            <w:tcW w:w="2742" w:type="pct"/>
            <w:tcBorders>
              <w:top w:val="nil"/>
              <w:left w:val="single" w:sz="4" w:space="0" w:color="auto"/>
              <w:bottom w:val="nil"/>
              <w:right w:val="single" w:sz="4" w:space="0" w:color="auto"/>
            </w:tcBorders>
            <w:hideMark/>
          </w:tcPr>
          <w:p w14:paraId="06C7AD27" w14:textId="77777777" w:rsidR="001B7E1E" w:rsidRPr="00777BD1" w:rsidRDefault="001B7E1E" w:rsidP="00ED1B2C">
            <w:pPr>
              <w:ind w:left="280" w:hanging="280"/>
              <w:jc w:val="left"/>
              <w:rPr>
                <w:rFonts w:cs="Verdana"/>
                <w:color w:val="000000"/>
                <w:sz w:val="16"/>
                <w:szCs w:val="16"/>
              </w:rPr>
            </w:pPr>
            <w:r w:rsidRPr="00777BD1">
              <w:rPr>
                <w:rFonts w:cs="Verdana"/>
                <w:color w:val="000000"/>
                <w:sz w:val="16"/>
                <w:szCs w:val="16"/>
              </w:rPr>
              <w:t>i.</w:t>
            </w:r>
            <w:r w:rsidRPr="00777BD1">
              <w:rPr>
                <w:rFonts w:cs="Verdana"/>
                <w:color w:val="000000"/>
                <w:sz w:val="16"/>
                <w:szCs w:val="16"/>
              </w:rPr>
              <w:tab/>
              <w:t>Total production (quantity)</w:t>
            </w:r>
          </w:p>
        </w:tc>
        <w:tc>
          <w:tcPr>
            <w:tcW w:w="564" w:type="pct"/>
            <w:tcBorders>
              <w:top w:val="nil"/>
              <w:left w:val="single" w:sz="4" w:space="0" w:color="auto"/>
              <w:bottom w:val="nil"/>
              <w:right w:val="single" w:sz="4" w:space="0" w:color="auto"/>
            </w:tcBorders>
          </w:tcPr>
          <w:p w14:paraId="354A5D4D" w14:textId="77777777" w:rsidR="001B7E1E" w:rsidRPr="00777BD1" w:rsidRDefault="001B7E1E" w:rsidP="00ED1B2C">
            <w:pPr>
              <w:rPr>
                <w:rFonts w:cs="Verdana"/>
                <w:color w:val="000000"/>
                <w:sz w:val="16"/>
                <w:szCs w:val="16"/>
              </w:rPr>
            </w:pPr>
          </w:p>
        </w:tc>
        <w:tc>
          <w:tcPr>
            <w:tcW w:w="564" w:type="pct"/>
            <w:tcBorders>
              <w:top w:val="nil"/>
              <w:left w:val="single" w:sz="4" w:space="0" w:color="auto"/>
              <w:bottom w:val="nil"/>
              <w:right w:val="single" w:sz="4" w:space="0" w:color="auto"/>
            </w:tcBorders>
          </w:tcPr>
          <w:p w14:paraId="00EA2C4B" w14:textId="77777777" w:rsidR="001B7E1E" w:rsidRPr="00777BD1" w:rsidRDefault="001B7E1E" w:rsidP="00ED1B2C">
            <w:pPr>
              <w:rPr>
                <w:rFonts w:cs="Verdana"/>
                <w:color w:val="000000"/>
                <w:sz w:val="16"/>
                <w:szCs w:val="16"/>
              </w:rPr>
            </w:pPr>
          </w:p>
        </w:tc>
        <w:tc>
          <w:tcPr>
            <w:tcW w:w="564" w:type="pct"/>
            <w:tcBorders>
              <w:top w:val="nil"/>
              <w:left w:val="single" w:sz="4" w:space="0" w:color="auto"/>
              <w:bottom w:val="nil"/>
              <w:right w:val="single" w:sz="4" w:space="0" w:color="auto"/>
            </w:tcBorders>
          </w:tcPr>
          <w:p w14:paraId="32B1DA24" w14:textId="77777777" w:rsidR="001B7E1E" w:rsidRPr="00777BD1" w:rsidRDefault="001B7E1E" w:rsidP="00ED1B2C">
            <w:pPr>
              <w:rPr>
                <w:rFonts w:cs="Verdana"/>
                <w:color w:val="000000"/>
                <w:sz w:val="16"/>
                <w:szCs w:val="16"/>
              </w:rPr>
            </w:pPr>
          </w:p>
        </w:tc>
        <w:tc>
          <w:tcPr>
            <w:tcW w:w="565" w:type="pct"/>
            <w:tcBorders>
              <w:top w:val="nil"/>
              <w:left w:val="single" w:sz="4" w:space="0" w:color="auto"/>
              <w:bottom w:val="nil"/>
              <w:right w:val="single" w:sz="4" w:space="0" w:color="auto"/>
            </w:tcBorders>
          </w:tcPr>
          <w:p w14:paraId="6C0A66F3" w14:textId="77777777" w:rsidR="001B7E1E" w:rsidRPr="00777BD1" w:rsidRDefault="001B7E1E" w:rsidP="00ED1B2C">
            <w:pPr>
              <w:rPr>
                <w:rFonts w:cs="Verdana"/>
                <w:color w:val="000000"/>
                <w:sz w:val="16"/>
                <w:szCs w:val="16"/>
              </w:rPr>
            </w:pPr>
          </w:p>
        </w:tc>
      </w:tr>
      <w:tr w:rsidR="001B7E1E" w:rsidRPr="00777BD1" w14:paraId="4289BAFB" w14:textId="77777777" w:rsidTr="00ED1B2C">
        <w:trPr>
          <w:trHeight w:val="284"/>
        </w:trPr>
        <w:tc>
          <w:tcPr>
            <w:tcW w:w="2742" w:type="pct"/>
            <w:tcBorders>
              <w:top w:val="nil"/>
              <w:left w:val="single" w:sz="4" w:space="0" w:color="auto"/>
              <w:bottom w:val="nil"/>
              <w:right w:val="single" w:sz="4" w:space="0" w:color="auto"/>
            </w:tcBorders>
            <w:hideMark/>
          </w:tcPr>
          <w:p w14:paraId="6CDDED30" w14:textId="77777777" w:rsidR="001B7E1E" w:rsidRPr="00777BD1" w:rsidRDefault="001B7E1E" w:rsidP="00ED1B2C">
            <w:pPr>
              <w:ind w:left="280" w:hanging="280"/>
              <w:jc w:val="left"/>
              <w:rPr>
                <w:rFonts w:cs="Verdana"/>
                <w:color w:val="000000"/>
                <w:sz w:val="16"/>
                <w:szCs w:val="16"/>
              </w:rPr>
            </w:pPr>
            <w:r w:rsidRPr="00777BD1">
              <w:rPr>
                <w:rFonts w:cs="Verdana"/>
                <w:color w:val="000000"/>
                <w:sz w:val="16"/>
                <w:szCs w:val="16"/>
              </w:rPr>
              <w:t>j.</w:t>
            </w:r>
            <w:r w:rsidRPr="00777BD1">
              <w:rPr>
                <w:rFonts w:cs="Verdana"/>
                <w:color w:val="000000"/>
                <w:sz w:val="16"/>
                <w:szCs w:val="16"/>
              </w:rPr>
              <w:tab/>
              <w:t>Total production (value)</w:t>
            </w:r>
          </w:p>
        </w:tc>
        <w:tc>
          <w:tcPr>
            <w:tcW w:w="564" w:type="pct"/>
            <w:tcBorders>
              <w:top w:val="nil"/>
              <w:left w:val="single" w:sz="4" w:space="0" w:color="auto"/>
              <w:bottom w:val="nil"/>
              <w:right w:val="single" w:sz="4" w:space="0" w:color="auto"/>
            </w:tcBorders>
          </w:tcPr>
          <w:p w14:paraId="18E12B3F" w14:textId="77777777" w:rsidR="001B7E1E" w:rsidRPr="00777BD1" w:rsidRDefault="001B7E1E" w:rsidP="00ED1B2C">
            <w:pPr>
              <w:rPr>
                <w:rFonts w:cs="Verdana"/>
                <w:color w:val="000000"/>
                <w:sz w:val="16"/>
                <w:szCs w:val="16"/>
              </w:rPr>
            </w:pPr>
          </w:p>
        </w:tc>
        <w:tc>
          <w:tcPr>
            <w:tcW w:w="564" w:type="pct"/>
            <w:tcBorders>
              <w:top w:val="nil"/>
              <w:left w:val="single" w:sz="4" w:space="0" w:color="auto"/>
              <w:bottom w:val="nil"/>
              <w:right w:val="single" w:sz="4" w:space="0" w:color="auto"/>
            </w:tcBorders>
          </w:tcPr>
          <w:p w14:paraId="1144DD71" w14:textId="77777777" w:rsidR="001B7E1E" w:rsidRPr="00777BD1" w:rsidRDefault="001B7E1E" w:rsidP="00ED1B2C">
            <w:pPr>
              <w:rPr>
                <w:rFonts w:cs="Verdana"/>
                <w:color w:val="000000"/>
                <w:sz w:val="16"/>
                <w:szCs w:val="16"/>
              </w:rPr>
            </w:pPr>
          </w:p>
        </w:tc>
        <w:tc>
          <w:tcPr>
            <w:tcW w:w="564" w:type="pct"/>
            <w:tcBorders>
              <w:top w:val="nil"/>
              <w:left w:val="single" w:sz="4" w:space="0" w:color="auto"/>
              <w:bottom w:val="nil"/>
              <w:right w:val="single" w:sz="4" w:space="0" w:color="auto"/>
            </w:tcBorders>
          </w:tcPr>
          <w:p w14:paraId="19EFEB74" w14:textId="77777777" w:rsidR="001B7E1E" w:rsidRPr="00777BD1" w:rsidRDefault="001B7E1E" w:rsidP="00ED1B2C">
            <w:pPr>
              <w:rPr>
                <w:rFonts w:cs="Verdana"/>
                <w:color w:val="000000"/>
                <w:sz w:val="16"/>
                <w:szCs w:val="16"/>
              </w:rPr>
            </w:pPr>
          </w:p>
        </w:tc>
        <w:tc>
          <w:tcPr>
            <w:tcW w:w="565" w:type="pct"/>
            <w:tcBorders>
              <w:top w:val="nil"/>
              <w:left w:val="single" w:sz="4" w:space="0" w:color="auto"/>
              <w:bottom w:val="nil"/>
              <w:right w:val="single" w:sz="4" w:space="0" w:color="auto"/>
            </w:tcBorders>
          </w:tcPr>
          <w:p w14:paraId="24288BD9" w14:textId="77777777" w:rsidR="001B7E1E" w:rsidRPr="00777BD1" w:rsidRDefault="001B7E1E" w:rsidP="00ED1B2C">
            <w:pPr>
              <w:rPr>
                <w:rFonts w:cs="Verdana"/>
                <w:color w:val="000000"/>
                <w:sz w:val="16"/>
                <w:szCs w:val="16"/>
              </w:rPr>
            </w:pPr>
          </w:p>
        </w:tc>
      </w:tr>
      <w:tr w:rsidR="001B7E1E" w:rsidRPr="00777BD1" w14:paraId="4F39E687" w14:textId="77777777" w:rsidTr="00ED1B2C">
        <w:trPr>
          <w:cnfStyle w:val="000000010000" w:firstRow="0" w:lastRow="0" w:firstColumn="0" w:lastColumn="0" w:oddVBand="0" w:evenVBand="0" w:oddHBand="0" w:evenHBand="1" w:firstRowFirstColumn="0" w:firstRowLastColumn="0" w:lastRowFirstColumn="0" w:lastRowLastColumn="0"/>
          <w:trHeight w:val="284"/>
        </w:trPr>
        <w:tc>
          <w:tcPr>
            <w:tcW w:w="2742" w:type="pct"/>
            <w:tcBorders>
              <w:top w:val="nil"/>
              <w:left w:val="single" w:sz="4" w:space="0" w:color="auto"/>
              <w:bottom w:val="nil"/>
              <w:right w:val="single" w:sz="4" w:space="0" w:color="auto"/>
            </w:tcBorders>
            <w:hideMark/>
          </w:tcPr>
          <w:p w14:paraId="38D6FD09" w14:textId="77777777" w:rsidR="001B7E1E" w:rsidRPr="00777BD1" w:rsidRDefault="001B7E1E" w:rsidP="00ED1B2C">
            <w:pPr>
              <w:ind w:left="280" w:hanging="280"/>
              <w:jc w:val="left"/>
              <w:rPr>
                <w:rFonts w:cs="Verdana"/>
                <w:color w:val="000000"/>
                <w:sz w:val="16"/>
                <w:szCs w:val="16"/>
              </w:rPr>
            </w:pPr>
            <w:r w:rsidRPr="00777BD1">
              <w:rPr>
                <w:rFonts w:cs="Verdana"/>
                <w:color w:val="000000"/>
                <w:sz w:val="16"/>
                <w:szCs w:val="16"/>
              </w:rPr>
              <w:t>k.</w:t>
            </w:r>
            <w:r w:rsidRPr="00777BD1">
              <w:rPr>
                <w:rFonts w:cs="Verdana"/>
                <w:color w:val="000000"/>
                <w:sz w:val="16"/>
                <w:szCs w:val="16"/>
              </w:rPr>
              <w:tab/>
              <w:t>Information on population benefiting from the release of this crop and quantities released:</w:t>
            </w:r>
          </w:p>
        </w:tc>
        <w:tc>
          <w:tcPr>
            <w:tcW w:w="564" w:type="pct"/>
            <w:tcBorders>
              <w:top w:val="nil"/>
              <w:left w:val="single" w:sz="4" w:space="0" w:color="auto"/>
              <w:bottom w:val="nil"/>
              <w:right w:val="single" w:sz="4" w:space="0" w:color="auto"/>
            </w:tcBorders>
          </w:tcPr>
          <w:p w14:paraId="2AB6118C" w14:textId="77777777" w:rsidR="001B7E1E" w:rsidRPr="00777BD1" w:rsidRDefault="001B7E1E" w:rsidP="00ED1B2C">
            <w:pPr>
              <w:rPr>
                <w:rFonts w:cs="Verdana"/>
                <w:color w:val="000000"/>
                <w:sz w:val="16"/>
                <w:szCs w:val="16"/>
              </w:rPr>
            </w:pPr>
          </w:p>
        </w:tc>
        <w:tc>
          <w:tcPr>
            <w:tcW w:w="564" w:type="pct"/>
            <w:tcBorders>
              <w:top w:val="nil"/>
              <w:left w:val="single" w:sz="4" w:space="0" w:color="auto"/>
              <w:bottom w:val="nil"/>
              <w:right w:val="single" w:sz="4" w:space="0" w:color="auto"/>
            </w:tcBorders>
          </w:tcPr>
          <w:p w14:paraId="25CBE215" w14:textId="77777777" w:rsidR="001B7E1E" w:rsidRPr="00777BD1" w:rsidRDefault="001B7E1E" w:rsidP="00ED1B2C">
            <w:pPr>
              <w:rPr>
                <w:rFonts w:cs="Verdana"/>
                <w:color w:val="000000"/>
                <w:sz w:val="16"/>
                <w:szCs w:val="16"/>
              </w:rPr>
            </w:pPr>
          </w:p>
        </w:tc>
        <w:tc>
          <w:tcPr>
            <w:tcW w:w="564" w:type="pct"/>
            <w:tcBorders>
              <w:top w:val="nil"/>
              <w:left w:val="single" w:sz="4" w:space="0" w:color="auto"/>
              <w:bottom w:val="nil"/>
              <w:right w:val="single" w:sz="4" w:space="0" w:color="auto"/>
            </w:tcBorders>
          </w:tcPr>
          <w:p w14:paraId="19ACF847" w14:textId="77777777" w:rsidR="001B7E1E" w:rsidRPr="00777BD1" w:rsidRDefault="001B7E1E" w:rsidP="00ED1B2C">
            <w:pPr>
              <w:rPr>
                <w:rFonts w:cs="Verdana"/>
                <w:color w:val="000000"/>
                <w:sz w:val="16"/>
                <w:szCs w:val="16"/>
              </w:rPr>
            </w:pPr>
          </w:p>
        </w:tc>
        <w:tc>
          <w:tcPr>
            <w:tcW w:w="565" w:type="pct"/>
            <w:tcBorders>
              <w:top w:val="nil"/>
              <w:left w:val="single" w:sz="4" w:space="0" w:color="auto"/>
              <w:bottom w:val="nil"/>
              <w:right w:val="single" w:sz="4" w:space="0" w:color="auto"/>
            </w:tcBorders>
          </w:tcPr>
          <w:p w14:paraId="1BBD7B8F" w14:textId="77777777" w:rsidR="001B7E1E" w:rsidRPr="00777BD1" w:rsidRDefault="001B7E1E" w:rsidP="00ED1B2C">
            <w:pPr>
              <w:rPr>
                <w:rFonts w:cs="Verdana"/>
                <w:color w:val="000000"/>
                <w:sz w:val="16"/>
                <w:szCs w:val="16"/>
              </w:rPr>
            </w:pPr>
          </w:p>
        </w:tc>
      </w:tr>
      <w:tr w:rsidR="001B7E1E" w:rsidRPr="00777BD1" w14:paraId="49A1CA58" w14:textId="77777777" w:rsidTr="00ED1B2C">
        <w:trPr>
          <w:trHeight w:val="284"/>
        </w:trPr>
        <w:tc>
          <w:tcPr>
            <w:tcW w:w="2742" w:type="pct"/>
            <w:tcBorders>
              <w:top w:val="nil"/>
              <w:left w:val="single" w:sz="4" w:space="0" w:color="auto"/>
              <w:bottom w:val="nil"/>
              <w:right w:val="single" w:sz="4" w:space="0" w:color="auto"/>
            </w:tcBorders>
            <w:hideMark/>
          </w:tcPr>
          <w:p w14:paraId="7B4DB11D" w14:textId="77777777" w:rsidR="001B7E1E" w:rsidRPr="00777BD1" w:rsidRDefault="001B7E1E" w:rsidP="001B7E1E">
            <w:pPr>
              <w:pStyle w:val="ListParagraph"/>
              <w:numPr>
                <w:ilvl w:val="0"/>
                <w:numId w:val="20"/>
              </w:numPr>
              <w:autoSpaceDE w:val="0"/>
              <w:autoSpaceDN w:val="0"/>
              <w:adjustRightInd w:val="0"/>
              <w:jc w:val="left"/>
              <w:rPr>
                <w:rFonts w:cs="Verdana"/>
                <w:color w:val="000000"/>
                <w:sz w:val="16"/>
                <w:szCs w:val="16"/>
              </w:rPr>
            </w:pPr>
            <w:r w:rsidRPr="00777BD1">
              <w:rPr>
                <w:rFonts w:cs="Verdana"/>
                <w:color w:val="000000"/>
                <w:sz w:val="16"/>
                <w:szCs w:val="16"/>
              </w:rPr>
              <w:t>Estimated number of beneficiaries at national level and, if possible, at subnational level</w:t>
            </w:r>
          </w:p>
        </w:tc>
        <w:tc>
          <w:tcPr>
            <w:tcW w:w="564" w:type="pct"/>
            <w:tcBorders>
              <w:top w:val="nil"/>
              <w:left w:val="single" w:sz="4" w:space="0" w:color="auto"/>
              <w:bottom w:val="nil"/>
              <w:right w:val="single" w:sz="4" w:space="0" w:color="auto"/>
            </w:tcBorders>
          </w:tcPr>
          <w:p w14:paraId="6E90B133" w14:textId="77777777" w:rsidR="001B7E1E" w:rsidRPr="00777BD1" w:rsidRDefault="001B7E1E" w:rsidP="00ED1B2C">
            <w:pPr>
              <w:rPr>
                <w:rFonts w:cs="Verdana"/>
                <w:color w:val="000000"/>
                <w:sz w:val="16"/>
                <w:szCs w:val="16"/>
              </w:rPr>
            </w:pPr>
          </w:p>
        </w:tc>
        <w:tc>
          <w:tcPr>
            <w:tcW w:w="564" w:type="pct"/>
            <w:tcBorders>
              <w:top w:val="nil"/>
              <w:left w:val="single" w:sz="4" w:space="0" w:color="auto"/>
              <w:bottom w:val="nil"/>
              <w:right w:val="single" w:sz="4" w:space="0" w:color="auto"/>
            </w:tcBorders>
          </w:tcPr>
          <w:p w14:paraId="3FEAE18C" w14:textId="77777777" w:rsidR="001B7E1E" w:rsidRPr="00777BD1" w:rsidRDefault="001B7E1E" w:rsidP="00ED1B2C">
            <w:pPr>
              <w:rPr>
                <w:rFonts w:cs="Verdana"/>
                <w:color w:val="000000"/>
                <w:sz w:val="16"/>
                <w:szCs w:val="16"/>
              </w:rPr>
            </w:pPr>
          </w:p>
        </w:tc>
        <w:tc>
          <w:tcPr>
            <w:tcW w:w="564" w:type="pct"/>
            <w:tcBorders>
              <w:top w:val="nil"/>
              <w:left w:val="single" w:sz="4" w:space="0" w:color="auto"/>
              <w:bottom w:val="nil"/>
              <w:right w:val="single" w:sz="4" w:space="0" w:color="auto"/>
            </w:tcBorders>
          </w:tcPr>
          <w:p w14:paraId="30DB809E" w14:textId="77777777" w:rsidR="001B7E1E" w:rsidRPr="00777BD1" w:rsidRDefault="001B7E1E" w:rsidP="00ED1B2C">
            <w:pPr>
              <w:rPr>
                <w:rFonts w:cs="Verdana"/>
                <w:color w:val="000000"/>
                <w:sz w:val="16"/>
                <w:szCs w:val="16"/>
              </w:rPr>
            </w:pPr>
          </w:p>
        </w:tc>
        <w:tc>
          <w:tcPr>
            <w:tcW w:w="565" w:type="pct"/>
            <w:tcBorders>
              <w:top w:val="nil"/>
              <w:left w:val="single" w:sz="4" w:space="0" w:color="auto"/>
              <w:bottom w:val="nil"/>
              <w:right w:val="single" w:sz="4" w:space="0" w:color="auto"/>
            </w:tcBorders>
          </w:tcPr>
          <w:p w14:paraId="6FE1EF2F" w14:textId="77777777" w:rsidR="001B7E1E" w:rsidRPr="00777BD1" w:rsidRDefault="001B7E1E" w:rsidP="00ED1B2C">
            <w:pPr>
              <w:rPr>
                <w:rFonts w:cs="Verdana"/>
                <w:color w:val="000000"/>
                <w:sz w:val="16"/>
                <w:szCs w:val="16"/>
              </w:rPr>
            </w:pPr>
          </w:p>
        </w:tc>
      </w:tr>
      <w:tr w:rsidR="001B7E1E" w:rsidRPr="00777BD1" w14:paraId="54F50700" w14:textId="77777777" w:rsidTr="00ED1B2C">
        <w:trPr>
          <w:cnfStyle w:val="000000010000" w:firstRow="0" w:lastRow="0" w:firstColumn="0" w:lastColumn="0" w:oddVBand="0" w:evenVBand="0" w:oddHBand="0" w:evenHBand="1" w:firstRowFirstColumn="0" w:firstRowLastColumn="0" w:lastRowFirstColumn="0" w:lastRowLastColumn="0"/>
          <w:trHeight w:val="284"/>
        </w:trPr>
        <w:tc>
          <w:tcPr>
            <w:tcW w:w="2742" w:type="pct"/>
            <w:tcBorders>
              <w:top w:val="nil"/>
              <w:left w:val="single" w:sz="4" w:space="0" w:color="auto"/>
              <w:bottom w:val="nil"/>
              <w:right w:val="single" w:sz="4" w:space="0" w:color="auto"/>
            </w:tcBorders>
            <w:hideMark/>
          </w:tcPr>
          <w:p w14:paraId="5EDC7DF0" w14:textId="77777777" w:rsidR="001B7E1E" w:rsidRPr="00777BD1" w:rsidRDefault="001B7E1E" w:rsidP="001B7E1E">
            <w:pPr>
              <w:pStyle w:val="ListParagraph"/>
              <w:numPr>
                <w:ilvl w:val="0"/>
                <w:numId w:val="20"/>
              </w:numPr>
              <w:autoSpaceDE w:val="0"/>
              <w:autoSpaceDN w:val="0"/>
              <w:adjustRightInd w:val="0"/>
              <w:jc w:val="left"/>
              <w:rPr>
                <w:rFonts w:cs="Verdana"/>
                <w:color w:val="000000"/>
                <w:sz w:val="16"/>
                <w:szCs w:val="16"/>
              </w:rPr>
            </w:pPr>
            <w:r w:rsidRPr="00777BD1">
              <w:rPr>
                <w:rFonts w:cs="Verdana"/>
                <w:color w:val="000000"/>
                <w:sz w:val="16"/>
                <w:szCs w:val="16"/>
              </w:rPr>
              <w:t>Quantity released to the beneficiaries at the national level and, if possible, at the sub-national level</w:t>
            </w:r>
          </w:p>
        </w:tc>
        <w:tc>
          <w:tcPr>
            <w:tcW w:w="564" w:type="pct"/>
            <w:tcBorders>
              <w:top w:val="nil"/>
              <w:left w:val="single" w:sz="4" w:space="0" w:color="auto"/>
              <w:bottom w:val="nil"/>
              <w:right w:val="single" w:sz="4" w:space="0" w:color="auto"/>
            </w:tcBorders>
          </w:tcPr>
          <w:p w14:paraId="4BD85693" w14:textId="77777777" w:rsidR="001B7E1E" w:rsidRPr="00777BD1" w:rsidRDefault="001B7E1E" w:rsidP="00ED1B2C">
            <w:pPr>
              <w:rPr>
                <w:rFonts w:cs="Verdana"/>
                <w:color w:val="000000"/>
                <w:sz w:val="16"/>
                <w:szCs w:val="16"/>
              </w:rPr>
            </w:pPr>
          </w:p>
        </w:tc>
        <w:tc>
          <w:tcPr>
            <w:tcW w:w="564" w:type="pct"/>
            <w:tcBorders>
              <w:top w:val="nil"/>
              <w:left w:val="single" w:sz="4" w:space="0" w:color="auto"/>
              <w:bottom w:val="nil"/>
              <w:right w:val="single" w:sz="4" w:space="0" w:color="auto"/>
            </w:tcBorders>
          </w:tcPr>
          <w:p w14:paraId="457E1EF1" w14:textId="77777777" w:rsidR="001B7E1E" w:rsidRPr="00777BD1" w:rsidRDefault="001B7E1E" w:rsidP="00ED1B2C">
            <w:pPr>
              <w:rPr>
                <w:rFonts w:cs="Verdana"/>
                <w:color w:val="000000"/>
                <w:sz w:val="16"/>
                <w:szCs w:val="16"/>
              </w:rPr>
            </w:pPr>
          </w:p>
        </w:tc>
        <w:tc>
          <w:tcPr>
            <w:tcW w:w="564" w:type="pct"/>
            <w:tcBorders>
              <w:top w:val="nil"/>
              <w:left w:val="single" w:sz="4" w:space="0" w:color="auto"/>
              <w:bottom w:val="nil"/>
              <w:right w:val="single" w:sz="4" w:space="0" w:color="auto"/>
            </w:tcBorders>
          </w:tcPr>
          <w:p w14:paraId="1275DFB7" w14:textId="77777777" w:rsidR="001B7E1E" w:rsidRPr="00777BD1" w:rsidRDefault="001B7E1E" w:rsidP="00ED1B2C">
            <w:pPr>
              <w:rPr>
                <w:rFonts w:cs="Verdana"/>
                <w:color w:val="000000"/>
                <w:sz w:val="16"/>
                <w:szCs w:val="16"/>
              </w:rPr>
            </w:pPr>
          </w:p>
        </w:tc>
        <w:tc>
          <w:tcPr>
            <w:tcW w:w="565" w:type="pct"/>
            <w:tcBorders>
              <w:top w:val="nil"/>
              <w:left w:val="single" w:sz="4" w:space="0" w:color="auto"/>
              <w:bottom w:val="nil"/>
              <w:right w:val="single" w:sz="4" w:space="0" w:color="auto"/>
            </w:tcBorders>
          </w:tcPr>
          <w:p w14:paraId="4F1432FE" w14:textId="77777777" w:rsidR="001B7E1E" w:rsidRPr="00777BD1" w:rsidRDefault="001B7E1E" w:rsidP="00ED1B2C">
            <w:pPr>
              <w:rPr>
                <w:rFonts w:cs="Verdana"/>
                <w:color w:val="000000"/>
                <w:sz w:val="16"/>
                <w:szCs w:val="16"/>
              </w:rPr>
            </w:pPr>
          </w:p>
        </w:tc>
      </w:tr>
      <w:tr w:rsidR="001B7E1E" w:rsidRPr="00777BD1" w14:paraId="03FB340D" w14:textId="77777777" w:rsidTr="00ED1B2C">
        <w:trPr>
          <w:trHeight w:val="284"/>
        </w:trPr>
        <w:tc>
          <w:tcPr>
            <w:tcW w:w="2742" w:type="pct"/>
            <w:tcBorders>
              <w:top w:val="nil"/>
              <w:left w:val="single" w:sz="4" w:space="0" w:color="auto"/>
              <w:bottom w:val="nil"/>
              <w:right w:val="single" w:sz="4" w:space="0" w:color="auto"/>
            </w:tcBorders>
            <w:hideMark/>
          </w:tcPr>
          <w:p w14:paraId="571A64D7" w14:textId="77777777" w:rsidR="001B7E1E" w:rsidRPr="00777BD1" w:rsidRDefault="001B7E1E" w:rsidP="001B7E1E">
            <w:pPr>
              <w:pStyle w:val="ListParagraph"/>
              <w:numPr>
                <w:ilvl w:val="0"/>
                <w:numId w:val="20"/>
              </w:numPr>
              <w:autoSpaceDE w:val="0"/>
              <w:autoSpaceDN w:val="0"/>
              <w:adjustRightInd w:val="0"/>
              <w:jc w:val="left"/>
              <w:rPr>
                <w:rFonts w:cs="Verdana"/>
                <w:color w:val="000000"/>
                <w:sz w:val="16"/>
                <w:szCs w:val="16"/>
              </w:rPr>
            </w:pPr>
            <w:r w:rsidRPr="00777BD1">
              <w:rPr>
                <w:rFonts w:cs="Verdana"/>
                <w:color w:val="000000"/>
                <w:sz w:val="16"/>
                <w:szCs w:val="16"/>
              </w:rPr>
              <w:t>Other</w:t>
            </w:r>
          </w:p>
        </w:tc>
        <w:tc>
          <w:tcPr>
            <w:tcW w:w="564" w:type="pct"/>
            <w:tcBorders>
              <w:top w:val="nil"/>
              <w:left w:val="single" w:sz="4" w:space="0" w:color="auto"/>
              <w:bottom w:val="nil"/>
              <w:right w:val="single" w:sz="4" w:space="0" w:color="auto"/>
            </w:tcBorders>
          </w:tcPr>
          <w:p w14:paraId="2A9B5DC7" w14:textId="77777777" w:rsidR="001B7E1E" w:rsidRPr="00777BD1" w:rsidRDefault="001B7E1E" w:rsidP="00ED1B2C">
            <w:pPr>
              <w:rPr>
                <w:rFonts w:cs="Verdana"/>
                <w:color w:val="000000"/>
                <w:sz w:val="16"/>
                <w:szCs w:val="16"/>
              </w:rPr>
            </w:pPr>
          </w:p>
        </w:tc>
        <w:tc>
          <w:tcPr>
            <w:tcW w:w="564" w:type="pct"/>
            <w:tcBorders>
              <w:top w:val="nil"/>
              <w:left w:val="single" w:sz="4" w:space="0" w:color="auto"/>
              <w:bottom w:val="nil"/>
              <w:right w:val="single" w:sz="4" w:space="0" w:color="auto"/>
            </w:tcBorders>
          </w:tcPr>
          <w:p w14:paraId="256974AF" w14:textId="77777777" w:rsidR="001B7E1E" w:rsidRPr="00777BD1" w:rsidRDefault="001B7E1E" w:rsidP="00ED1B2C">
            <w:pPr>
              <w:rPr>
                <w:rFonts w:cs="Verdana"/>
                <w:color w:val="000000"/>
                <w:sz w:val="16"/>
                <w:szCs w:val="16"/>
              </w:rPr>
            </w:pPr>
          </w:p>
        </w:tc>
        <w:tc>
          <w:tcPr>
            <w:tcW w:w="564" w:type="pct"/>
            <w:tcBorders>
              <w:top w:val="nil"/>
              <w:left w:val="single" w:sz="4" w:space="0" w:color="auto"/>
              <w:bottom w:val="nil"/>
              <w:right w:val="single" w:sz="4" w:space="0" w:color="auto"/>
            </w:tcBorders>
          </w:tcPr>
          <w:p w14:paraId="59AE2BCC" w14:textId="77777777" w:rsidR="001B7E1E" w:rsidRPr="00777BD1" w:rsidRDefault="001B7E1E" w:rsidP="00ED1B2C">
            <w:pPr>
              <w:rPr>
                <w:rFonts w:cs="Verdana"/>
                <w:color w:val="000000"/>
                <w:sz w:val="16"/>
                <w:szCs w:val="16"/>
              </w:rPr>
            </w:pPr>
          </w:p>
        </w:tc>
        <w:tc>
          <w:tcPr>
            <w:tcW w:w="565" w:type="pct"/>
            <w:tcBorders>
              <w:top w:val="nil"/>
              <w:left w:val="single" w:sz="4" w:space="0" w:color="auto"/>
              <w:bottom w:val="nil"/>
              <w:right w:val="single" w:sz="4" w:space="0" w:color="auto"/>
            </w:tcBorders>
          </w:tcPr>
          <w:p w14:paraId="09D3233B" w14:textId="77777777" w:rsidR="001B7E1E" w:rsidRPr="00777BD1" w:rsidRDefault="001B7E1E" w:rsidP="00ED1B2C">
            <w:pPr>
              <w:rPr>
                <w:rFonts w:cs="Verdana"/>
                <w:color w:val="000000"/>
                <w:sz w:val="16"/>
                <w:szCs w:val="16"/>
              </w:rPr>
            </w:pPr>
          </w:p>
        </w:tc>
      </w:tr>
      <w:tr w:rsidR="001B7E1E" w:rsidRPr="00777BD1" w14:paraId="1B3E5551" w14:textId="77777777" w:rsidTr="00ED1B2C">
        <w:trPr>
          <w:cnfStyle w:val="000000010000" w:firstRow="0" w:lastRow="0" w:firstColumn="0" w:lastColumn="0" w:oddVBand="0" w:evenVBand="0" w:oddHBand="0" w:evenHBand="1" w:firstRowFirstColumn="0" w:firstRowLastColumn="0" w:lastRowFirstColumn="0" w:lastRowLastColumn="0"/>
          <w:trHeight w:val="284"/>
        </w:trPr>
        <w:tc>
          <w:tcPr>
            <w:tcW w:w="2742" w:type="pct"/>
            <w:tcBorders>
              <w:top w:val="nil"/>
              <w:left w:val="single" w:sz="4" w:space="0" w:color="auto"/>
              <w:bottom w:val="nil"/>
              <w:right w:val="single" w:sz="4" w:space="0" w:color="auto"/>
            </w:tcBorders>
            <w:hideMark/>
          </w:tcPr>
          <w:p w14:paraId="5708913E" w14:textId="77777777" w:rsidR="001B7E1E" w:rsidRPr="00777BD1" w:rsidRDefault="001B7E1E" w:rsidP="00ED1B2C">
            <w:pPr>
              <w:ind w:left="294" w:hanging="294"/>
              <w:jc w:val="left"/>
              <w:rPr>
                <w:color w:val="000000"/>
                <w:sz w:val="16"/>
                <w:szCs w:val="16"/>
              </w:rPr>
            </w:pPr>
            <w:r w:rsidRPr="00777BD1">
              <w:rPr>
                <w:color w:val="000000"/>
                <w:sz w:val="16"/>
                <w:szCs w:val="16"/>
              </w:rPr>
              <w:t>l.</w:t>
            </w:r>
            <w:r w:rsidRPr="00777BD1">
              <w:rPr>
                <w:color w:val="000000"/>
                <w:sz w:val="16"/>
                <w:szCs w:val="16"/>
              </w:rPr>
              <w:tab/>
              <w:t>In the case of government aid to private storage, statistics on the support granted and any updated statistics</w:t>
            </w:r>
          </w:p>
        </w:tc>
        <w:tc>
          <w:tcPr>
            <w:tcW w:w="564" w:type="pct"/>
            <w:tcBorders>
              <w:top w:val="nil"/>
              <w:left w:val="single" w:sz="4" w:space="0" w:color="auto"/>
              <w:bottom w:val="nil"/>
              <w:right w:val="single" w:sz="4" w:space="0" w:color="auto"/>
            </w:tcBorders>
          </w:tcPr>
          <w:p w14:paraId="7EB8CC0A" w14:textId="77777777" w:rsidR="001B7E1E" w:rsidRPr="00777BD1" w:rsidRDefault="001B7E1E" w:rsidP="00ED1B2C">
            <w:pPr>
              <w:rPr>
                <w:color w:val="000000"/>
                <w:sz w:val="16"/>
                <w:szCs w:val="16"/>
              </w:rPr>
            </w:pPr>
          </w:p>
        </w:tc>
        <w:tc>
          <w:tcPr>
            <w:tcW w:w="564" w:type="pct"/>
            <w:tcBorders>
              <w:top w:val="nil"/>
              <w:left w:val="single" w:sz="4" w:space="0" w:color="auto"/>
              <w:bottom w:val="nil"/>
              <w:right w:val="single" w:sz="4" w:space="0" w:color="auto"/>
            </w:tcBorders>
          </w:tcPr>
          <w:p w14:paraId="127897A4" w14:textId="77777777" w:rsidR="001B7E1E" w:rsidRPr="00777BD1" w:rsidRDefault="001B7E1E" w:rsidP="00ED1B2C">
            <w:pPr>
              <w:rPr>
                <w:color w:val="000000"/>
                <w:sz w:val="16"/>
                <w:szCs w:val="16"/>
              </w:rPr>
            </w:pPr>
          </w:p>
        </w:tc>
        <w:tc>
          <w:tcPr>
            <w:tcW w:w="564" w:type="pct"/>
            <w:tcBorders>
              <w:top w:val="nil"/>
              <w:left w:val="single" w:sz="4" w:space="0" w:color="auto"/>
              <w:bottom w:val="nil"/>
              <w:right w:val="single" w:sz="4" w:space="0" w:color="auto"/>
            </w:tcBorders>
          </w:tcPr>
          <w:p w14:paraId="375E39BB" w14:textId="77777777" w:rsidR="001B7E1E" w:rsidRPr="00777BD1" w:rsidRDefault="001B7E1E" w:rsidP="00ED1B2C">
            <w:pPr>
              <w:rPr>
                <w:color w:val="000000"/>
                <w:sz w:val="16"/>
                <w:szCs w:val="16"/>
              </w:rPr>
            </w:pPr>
          </w:p>
        </w:tc>
        <w:tc>
          <w:tcPr>
            <w:tcW w:w="565" w:type="pct"/>
            <w:tcBorders>
              <w:top w:val="nil"/>
              <w:left w:val="single" w:sz="4" w:space="0" w:color="auto"/>
              <w:bottom w:val="nil"/>
              <w:right w:val="single" w:sz="4" w:space="0" w:color="auto"/>
            </w:tcBorders>
          </w:tcPr>
          <w:p w14:paraId="34D99BE4" w14:textId="77777777" w:rsidR="001B7E1E" w:rsidRPr="00777BD1" w:rsidRDefault="001B7E1E" w:rsidP="00ED1B2C">
            <w:pPr>
              <w:rPr>
                <w:color w:val="000000"/>
                <w:sz w:val="16"/>
                <w:szCs w:val="16"/>
              </w:rPr>
            </w:pPr>
          </w:p>
        </w:tc>
      </w:tr>
      <w:tr w:rsidR="001B7E1E" w:rsidRPr="00777BD1" w14:paraId="25107B20" w14:textId="77777777" w:rsidTr="00ED1B2C">
        <w:trPr>
          <w:trHeight w:val="284"/>
        </w:trPr>
        <w:tc>
          <w:tcPr>
            <w:tcW w:w="2742" w:type="pct"/>
            <w:tcBorders>
              <w:top w:val="nil"/>
              <w:left w:val="single" w:sz="4" w:space="0" w:color="auto"/>
              <w:bottom w:val="nil"/>
              <w:right w:val="single" w:sz="4" w:space="0" w:color="auto"/>
            </w:tcBorders>
            <w:hideMark/>
          </w:tcPr>
          <w:p w14:paraId="415BD5F3" w14:textId="77777777" w:rsidR="001B7E1E" w:rsidRPr="00777BD1" w:rsidRDefault="001B7E1E" w:rsidP="00ED1B2C">
            <w:pPr>
              <w:ind w:left="294" w:hanging="294"/>
              <w:jc w:val="left"/>
              <w:rPr>
                <w:rFonts w:cs="Verdana"/>
                <w:color w:val="000000"/>
                <w:sz w:val="16"/>
                <w:szCs w:val="16"/>
              </w:rPr>
            </w:pPr>
            <w:r w:rsidRPr="00777BD1">
              <w:rPr>
                <w:rFonts w:cs="Verdana"/>
                <w:color w:val="000000"/>
                <w:sz w:val="16"/>
                <w:szCs w:val="16"/>
              </w:rPr>
              <w:t>m.</w:t>
            </w:r>
            <w:r w:rsidRPr="00777BD1">
              <w:rPr>
                <w:rFonts w:cs="Verdana"/>
                <w:color w:val="000000"/>
                <w:sz w:val="16"/>
                <w:szCs w:val="16"/>
              </w:rPr>
              <w:tab/>
              <w:t>Total imports (value)</w:t>
            </w:r>
          </w:p>
        </w:tc>
        <w:tc>
          <w:tcPr>
            <w:tcW w:w="564" w:type="pct"/>
            <w:tcBorders>
              <w:top w:val="nil"/>
              <w:left w:val="single" w:sz="4" w:space="0" w:color="auto"/>
              <w:bottom w:val="nil"/>
              <w:right w:val="single" w:sz="4" w:space="0" w:color="auto"/>
            </w:tcBorders>
          </w:tcPr>
          <w:p w14:paraId="7B2B96BA" w14:textId="77777777" w:rsidR="001B7E1E" w:rsidRPr="00777BD1" w:rsidRDefault="001B7E1E" w:rsidP="00ED1B2C">
            <w:pPr>
              <w:rPr>
                <w:color w:val="000000"/>
                <w:sz w:val="16"/>
                <w:szCs w:val="16"/>
              </w:rPr>
            </w:pPr>
          </w:p>
        </w:tc>
        <w:tc>
          <w:tcPr>
            <w:tcW w:w="564" w:type="pct"/>
            <w:tcBorders>
              <w:top w:val="nil"/>
              <w:left w:val="single" w:sz="4" w:space="0" w:color="auto"/>
              <w:bottom w:val="nil"/>
              <w:right w:val="single" w:sz="4" w:space="0" w:color="auto"/>
            </w:tcBorders>
          </w:tcPr>
          <w:p w14:paraId="52425A66" w14:textId="77777777" w:rsidR="001B7E1E" w:rsidRPr="00777BD1" w:rsidRDefault="001B7E1E" w:rsidP="00ED1B2C">
            <w:pPr>
              <w:rPr>
                <w:color w:val="000000"/>
                <w:sz w:val="16"/>
                <w:szCs w:val="16"/>
              </w:rPr>
            </w:pPr>
          </w:p>
        </w:tc>
        <w:tc>
          <w:tcPr>
            <w:tcW w:w="564" w:type="pct"/>
            <w:tcBorders>
              <w:top w:val="nil"/>
              <w:left w:val="single" w:sz="4" w:space="0" w:color="auto"/>
              <w:bottom w:val="nil"/>
              <w:right w:val="single" w:sz="4" w:space="0" w:color="auto"/>
            </w:tcBorders>
          </w:tcPr>
          <w:p w14:paraId="5692EC92" w14:textId="77777777" w:rsidR="001B7E1E" w:rsidRPr="00777BD1" w:rsidRDefault="001B7E1E" w:rsidP="00ED1B2C">
            <w:pPr>
              <w:rPr>
                <w:color w:val="000000"/>
                <w:sz w:val="16"/>
                <w:szCs w:val="16"/>
              </w:rPr>
            </w:pPr>
          </w:p>
        </w:tc>
        <w:tc>
          <w:tcPr>
            <w:tcW w:w="565" w:type="pct"/>
            <w:tcBorders>
              <w:top w:val="nil"/>
              <w:left w:val="single" w:sz="4" w:space="0" w:color="auto"/>
              <w:bottom w:val="nil"/>
              <w:right w:val="single" w:sz="4" w:space="0" w:color="auto"/>
            </w:tcBorders>
          </w:tcPr>
          <w:p w14:paraId="5D8A7DFF" w14:textId="77777777" w:rsidR="001B7E1E" w:rsidRPr="00777BD1" w:rsidRDefault="001B7E1E" w:rsidP="00ED1B2C">
            <w:pPr>
              <w:rPr>
                <w:color w:val="000000"/>
                <w:sz w:val="16"/>
                <w:szCs w:val="16"/>
              </w:rPr>
            </w:pPr>
          </w:p>
        </w:tc>
      </w:tr>
      <w:tr w:rsidR="001B7E1E" w:rsidRPr="00777BD1" w14:paraId="154C8890" w14:textId="77777777" w:rsidTr="00ED1B2C">
        <w:trPr>
          <w:cnfStyle w:val="000000010000" w:firstRow="0" w:lastRow="0" w:firstColumn="0" w:lastColumn="0" w:oddVBand="0" w:evenVBand="0" w:oddHBand="0" w:evenHBand="1" w:firstRowFirstColumn="0" w:firstRowLastColumn="0" w:lastRowFirstColumn="0" w:lastRowLastColumn="0"/>
          <w:trHeight w:val="284"/>
        </w:trPr>
        <w:tc>
          <w:tcPr>
            <w:tcW w:w="2742" w:type="pct"/>
            <w:tcBorders>
              <w:top w:val="nil"/>
              <w:left w:val="single" w:sz="4" w:space="0" w:color="auto"/>
              <w:bottom w:val="nil"/>
              <w:right w:val="single" w:sz="4" w:space="0" w:color="auto"/>
            </w:tcBorders>
            <w:hideMark/>
          </w:tcPr>
          <w:p w14:paraId="04504C27" w14:textId="77777777" w:rsidR="001B7E1E" w:rsidRPr="00777BD1" w:rsidRDefault="001B7E1E" w:rsidP="00ED1B2C">
            <w:pPr>
              <w:ind w:left="294" w:hanging="294"/>
              <w:jc w:val="left"/>
              <w:rPr>
                <w:color w:val="000000"/>
                <w:sz w:val="16"/>
                <w:szCs w:val="16"/>
              </w:rPr>
            </w:pPr>
            <w:r w:rsidRPr="00777BD1">
              <w:rPr>
                <w:color w:val="000000"/>
                <w:sz w:val="16"/>
                <w:szCs w:val="16"/>
              </w:rPr>
              <w:t>n.</w:t>
            </w:r>
            <w:r w:rsidRPr="00777BD1">
              <w:rPr>
                <w:color w:val="000000"/>
                <w:sz w:val="16"/>
                <w:szCs w:val="16"/>
              </w:rPr>
              <w:tab/>
              <w:t>Total imports (quantity)</w:t>
            </w:r>
          </w:p>
        </w:tc>
        <w:tc>
          <w:tcPr>
            <w:tcW w:w="564" w:type="pct"/>
            <w:tcBorders>
              <w:top w:val="nil"/>
              <w:left w:val="single" w:sz="4" w:space="0" w:color="auto"/>
              <w:bottom w:val="nil"/>
              <w:right w:val="single" w:sz="4" w:space="0" w:color="auto"/>
            </w:tcBorders>
          </w:tcPr>
          <w:p w14:paraId="17861943" w14:textId="77777777" w:rsidR="001B7E1E" w:rsidRPr="00777BD1" w:rsidRDefault="001B7E1E" w:rsidP="00ED1B2C">
            <w:pPr>
              <w:rPr>
                <w:color w:val="000000"/>
                <w:sz w:val="16"/>
                <w:szCs w:val="16"/>
              </w:rPr>
            </w:pPr>
          </w:p>
        </w:tc>
        <w:tc>
          <w:tcPr>
            <w:tcW w:w="564" w:type="pct"/>
            <w:tcBorders>
              <w:top w:val="nil"/>
              <w:left w:val="single" w:sz="4" w:space="0" w:color="auto"/>
              <w:bottom w:val="nil"/>
              <w:right w:val="single" w:sz="4" w:space="0" w:color="auto"/>
            </w:tcBorders>
          </w:tcPr>
          <w:p w14:paraId="0E83CF72" w14:textId="77777777" w:rsidR="001B7E1E" w:rsidRPr="00777BD1" w:rsidRDefault="001B7E1E" w:rsidP="00ED1B2C">
            <w:pPr>
              <w:rPr>
                <w:color w:val="000000"/>
                <w:sz w:val="16"/>
                <w:szCs w:val="16"/>
              </w:rPr>
            </w:pPr>
          </w:p>
        </w:tc>
        <w:tc>
          <w:tcPr>
            <w:tcW w:w="564" w:type="pct"/>
            <w:tcBorders>
              <w:top w:val="nil"/>
              <w:left w:val="single" w:sz="4" w:space="0" w:color="auto"/>
              <w:bottom w:val="nil"/>
              <w:right w:val="single" w:sz="4" w:space="0" w:color="auto"/>
            </w:tcBorders>
          </w:tcPr>
          <w:p w14:paraId="71BA136A" w14:textId="77777777" w:rsidR="001B7E1E" w:rsidRPr="00777BD1" w:rsidRDefault="001B7E1E" w:rsidP="00ED1B2C">
            <w:pPr>
              <w:rPr>
                <w:color w:val="000000"/>
                <w:sz w:val="16"/>
                <w:szCs w:val="16"/>
              </w:rPr>
            </w:pPr>
          </w:p>
        </w:tc>
        <w:tc>
          <w:tcPr>
            <w:tcW w:w="565" w:type="pct"/>
            <w:tcBorders>
              <w:top w:val="nil"/>
              <w:left w:val="single" w:sz="4" w:space="0" w:color="auto"/>
              <w:bottom w:val="nil"/>
              <w:right w:val="single" w:sz="4" w:space="0" w:color="auto"/>
            </w:tcBorders>
          </w:tcPr>
          <w:p w14:paraId="0A87C2E5" w14:textId="77777777" w:rsidR="001B7E1E" w:rsidRPr="00777BD1" w:rsidRDefault="001B7E1E" w:rsidP="00ED1B2C">
            <w:pPr>
              <w:rPr>
                <w:color w:val="000000"/>
                <w:sz w:val="16"/>
                <w:szCs w:val="16"/>
              </w:rPr>
            </w:pPr>
          </w:p>
        </w:tc>
      </w:tr>
      <w:tr w:rsidR="001B7E1E" w:rsidRPr="00777BD1" w14:paraId="70C06B55" w14:textId="77777777" w:rsidTr="00ED1B2C">
        <w:trPr>
          <w:trHeight w:val="284"/>
        </w:trPr>
        <w:tc>
          <w:tcPr>
            <w:tcW w:w="2742" w:type="pct"/>
            <w:tcBorders>
              <w:top w:val="nil"/>
              <w:left w:val="single" w:sz="4" w:space="0" w:color="auto"/>
              <w:bottom w:val="nil"/>
              <w:right w:val="single" w:sz="4" w:space="0" w:color="auto"/>
            </w:tcBorders>
            <w:hideMark/>
          </w:tcPr>
          <w:p w14:paraId="341FA6B9" w14:textId="77777777" w:rsidR="001B7E1E" w:rsidRPr="00777BD1" w:rsidRDefault="001B7E1E" w:rsidP="00ED1B2C">
            <w:pPr>
              <w:ind w:left="294" w:hanging="294"/>
              <w:jc w:val="left"/>
              <w:rPr>
                <w:color w:val="000000"/>
                <w:sz w:val="16"/>
                <w:szCs w:val="16"/>
              </w:rPr>
            </w:pPr>
            <w:r w:rsidRPr="00777BD1">
              <w:rPr>
                <w:color w:val="000000"/>
                <w:sz w:val="16"/>
                <w:szCs w:val="16"/>
              </w:rPr>
              <w:t>o.</w:t>
            </w:r>
            <w:r w:rsidRPr="00777BD1">
              <w:rPr>
                <w:color w:val="000000"/>
                <w:sz w:val="16"/>
                <w:szCs w:val="16"/>
              </w:rPr>
              <w:tab/>
              <w:t>Total exports (value)</w:t>
            </w:r>
          </w:p>
        </w:tc>
        <w:tc>
          <w:tcPr>
            <w:tcW w:w="564" w:type="pct"/>
            <w:tcBorders>
              <w:top w:val="nil"/>
              <w:left w:val="single" w:sz="4" w:space="0" w:color="auto"/>
              <w:bottom w:val="nil"/>
              <w:right w:val="single" w:sz="4" w:space="0" w:color="auto"/>
            </w:tcBorders>
          </w:tcPr>
          <w:p w14:paraId="3D4BD9B4" w14:textId="77777777" w:rsidR="001B7E1E" w:rsidRPr="00777BD1" w:rsidRDefault="001B7E1E" w:rsidP="00ED1B2C">
            <w:pPr>
              <w:rPr>
                <w:color w:val="000000"/>
                <w:sz w:val="16"/>
                <w:szCs w:val="16"/>
              </w:rPr>
            </w:pPr>
          </w:p>
        </w:tc>
        <w:tc>
          <w:tcPr>
            <w:tcW w:w="564" w:type="pct"/>
            <w:tcBorders>
              <w:top w:val="nil"/>
              <w:left w:val="single" w:sz="4" w:space="0" w:color="auto"/>
              <w:bottom w:val="nil"/>
              <w:right w:val="single" w:sz="4" w:space="0" w:color="auto"/>
            </w:tcBorders>
          </w:tcPr>
          <w:p w14:paraId="21EBA7B5" w14:textId="77777777" w:rsidR="001B7E1E" w:rsidRPr="00777BD1" w:rsidRDefault="001B7E1E" w:rsidP="00ED1B2C">
            <w:pPr>
              <w:rPr>
                <w:color w:val="000000"/>
                <w:sz w:val="16"/>
                <w:szCs w:val="16"/>
              </w:rPr>
            </w:pPr>
          </w:p>
        </w:tc>
        <w:tc>
          <w:tcPr>
            <w:tcW w:w="564" w:type="pct"/>
            <w:tcBorders>
              <w:top w:val="nil"/>
              <w:left w:val="single" w:sz="4" w:space="0" w:color="auto"/>
              <w:bottom w:val="nil"/>
              <w:right w:val="single" w:sz="4" w:space="0" w:color="auto"/>
            </w:tcBorders>
          </w:tcPr>
          <w:p w14:paraId="688D9202" w14:textId="77777777" w:rsidR="001B7E1E" w:rsidRPr="00777BD1" w:rsidRDefault="001B7E1E" w:rsidP="00ED1B2C">
            <w:pPr>
              <w:rPr>
                <w:color w:val="000000"/>
                <w:sz w:val="16"/>
                <w:szCs w:val="16"/>
              </w:rPr>
            </w:pPr>
          </w:p>
        </w:tc>
        <w:tc>
          <w:tcPr>
            <w:tcW w:w="565" w:type="pct"/>
            <w:tcBorders>
              <w:top w:val="nil"/>
              <w:left w:val="single" w:sz="4" w:space="0" w:color="auto"/>
              <w:bottom w:val="nil"/>
              <w:right w:val="single" w:sz="4" w:space="0" w:color="auto"/>
            </w:tcBorders>
          </w:tcPr>
          <w:p w14:paraId="1A274CF7" w14:textId="77777777" w:rsidR="001B7E1E" w:rsidRPr="00777BD1" w:rsidRDefault="001B7E1E" w:rsidP="00ED1B2C">
            <w:pPr>
              <w:rPr>
                <w:color w:val="000000"/>
                <w:sz w:val="16"/>
                <w:szCs w:val="16"/>
              </w:rPr>
            </w:pPr>
          </w:p>
        </w:tc>
      </w:tr>
      <w:tr w:rsidR="001B7E1E" w:rsidRPr="00777BD1" w14:paraId="38D8F59F" w14:textId="77777777" w:rsidTr="00ED1B2C">
        <w:trPr>
          <w:cnfStyle w:val="000000010000" w:firstRow="0" w:lastRow="0" w:firstColumn="0" w:lastColumn="0" w:oddVBand="0" w:evenVBand="0" w:oddHBand="0" w:evenHBand="1" w:firstRowFirstColumn="0" w:firstRowLastColumn="0" w:lastRowFirstColumn="0" w:lastRowLastColumn="0"/>
          <w:trHeight w:val="284"/>
        </w:trPr>
        <w:tc>
          <w:tcPr>
            <w:tcW w:w="2742" w:type="pct"/>
            <w:tcBorders>
              <w:top w:val="nil"/>
              <w:left w:val="single" w:sz="4" w:space="0" w:color="auto"/>
              <w:bottom w:val="single" w:sz="4" w:space="0" w:color="auto"/>
              <w:right w:val="single" w:sz="4" w:space="0" w:color="auto"/>
            </w:tcBorders>
            <w:hideMark/>
          </w:tcPr>
          <w:p w14:paraId="20E28049" w14:textId="77777777" w:rsidR="001B7E1E" w:rsidRPr="00777BD1" w:rsidRDefault="001B7E1E" w:rsidP="00ED1B2C">
            <w:pPr>
              <w:ind w:left="294" w:hanging="294"/>
              <w:jc w:val="left"/>
              <w:rPr>
                <w:color w:val="000000"/>
                <w:sz w:val="16"/>
                <w:szCs w:val="16"/>
              </w:rPr>
            </w:pPr>
            <w:r w:rsidRPr="00777BD1">
              <w:rPr>
                <w:color w:val="000000"/>
                <w:sz w:val="16"/>
                <w:szCs w:val="16"/>
              </w:rPr>
              <w:t>p.</w:t>
            </w:r>
            <w:r w:rsidRPr="00777BD1">
              <w:rPr>
                <w:color w:val="000000"/>
                <w:sz w:val="16"/>
                <w:szCs w:val="16"/>
              </w:rPr>
              <w:tab/>
              <w:t>Total exports (quantity)</w:t>
            </w:r>
          </w:p>
        </w:tc>
        <w:tc>
          <w:tcPr>
            <w:tcW w:w="564" w:type="pct"/>
            <w:tcBorders>
              <w:top w:val="nil"/>
              <w:left w:val="single" w:sz="4" w:space="0" w:color="auto"/>
              <w:bottom w:val="single" w:sz="4" w:space="0" w:color="auto"/>
              <w:right w:val="single" w:sz="4" w:space="0" w:color="auto"/>
            </w:tcBorders>
          </w:tcPr>
          <w:p w14:paraId="2C603348" w14:textId="77777777" w:rsidR="001B7E1E" w:rsidRPr="00777BD1" w:rsidRDefault="001B7E1E" w:rsidP="00ED1B2C">
            <w:pPr>
              <w:rPr>
                <w:color w:val="000000"/>
                <w:sz w:val="16"/>
                <w:szCs w:val="16"/>
              </w:rPr>
            </w:pPr>
          </w:p>
        </w:tc>
        <w:tc>
          <w:tcPr>
            <w:tcW w:w="564" w:type="pct"/>
            <w:tcBorders>
              <w:top w:val="nil"/>
              <w:left w:val="single" w:sz="4" w:space="0" w:color="auto"/>
              <w:bottom w:val="single" w:sz="4" w:space="0" w:color="auto"/>
              <w:right w:val="single" w:sz="4" w:space="0" w:color="auto"/>
            </w:tcBorders>
          </w:tcPr>
          <w:p w14:paraId="019C24EE" w14:textId="77777777" w:rsidR="001B7E1E" w:rsidRPr="00777BD1" w:rsidRDefault="001B7E1E" w:rsidP="00ED1B2C">
            <w:pPr>
              <w:rPr>
                <w:color w:val="000000"/>
                <w:sz w:val="16"/>
                <w:szCs w:val="16"/>
              </w:rPr>
            </w:pPr>
          </w:p>
        </w:tc>
        <w:tc>
          <w:tcPr>
            <w:tcW w:w="564" w:type="pct"/>
            <w:tcBorders>
              <w:top w:val="nil"/>
              <w:left w:val="single" w:sz="4" w:space="0" w:color="auto"/>
              <w:bottom w:val="single" w:sz="4" w:space="0" w:color="auto"/>
              <w:right w:val="single" w:sz="4" w:space="0" w:color="auto"/>
            </w:tcBorders>
          </w:tcPr>
          <w:p w14:paraId="5E4174C8" w14:textId="77777777" w:rsidR="001B7E1E" w:rsidRPr="00777BD1" w:rsidRDefault="001B7E1E" w:rsidP="00ED1B2C">
            <w:pPr>
              <w:rPr>
                <w:color w:val="000000"/>
                <w:sz w:val="16"/>
                <w:szCs w:val="16"/>
              </w:rPr>
            </w:pPr>
          </w:p>
        </w:tc>
        <w:tc>
          <w:tcPr>
            <w:tcW w:w="565" w:type="pct"/>
            <w:tcBorders>
              <w:top w:val="nil"/>
              <w:left w:val="single" w:sz="4" w:space="0" w:color="auto"/>
              <w:bottom w:val="single" w:sz="4" w:space="0" w:color="auto"/>
              <w:right w:val="single" w:sz="4" w:space="0" w:color="auto"/>
            </w:tcBorders>
          </w:tcPr>
          <w:p w14:paraId="102A10F3" w14:textId="77777777" w:rsidR="001B7E1E" w:rsidRPr="00777BD1" w:rsidRDefault="001B7E1E" w:rsidP="00ED1B2C">
            <w:pPr>
              <w:rPr>
                <w:color w:val="000000"/>
                <w:sz w:val="16"/>
                <w:szCs w:val="16"/>
              </w:rPr>
            </w:pPr>
          </w:p>
        </w:tc>
      </w:tr>
    </w:tbl>
    <w:p w14:paraId="7653A934" w14:textId="77777777" w:rsidR="001B7E1E" w:rsidRPr="00777BD1" w:rsidRDefault="001B7E1E" w:rsidP="001B7E1E">
      <w:pPr>
        <w:rPr>
          <w:szCs w:val="18"/>
        </w:rPr>
      </w:pPr>
    </w:p>
    <w:p w14:paraId="028F24EF" w14:textId="77777777" w:rsidR="001B7E1E" w:rsidRPr="00777BD1" w:rsidRDefault="001B7E1E" w:rsidP="001B7E1E">
      <w:pPr>
        <w:rPr>
          <w:szCs w:val="18"/>
        </w:rPr>
      </w:pPr>
    </w:p>
    <w:p w14:paraId="48888DCF" w14:textId="77777777" w:rsidR="001B7E1E" w:rsidRPr="00777BD1" w:rsidRDefault="001B7E1E" w:rsidP="001B7E1E">
      <w:pPr>
        <w:jc w:val="center"/>
        <w:rPr>
          <w:szCs w:val="18"/>
        </w:rPr>
      </w:pPr>
      <w:r w:rsidRPr="00777BD1">
        <w:rPr>
          <w:b/>
          <w:szCs w:val="18"/>
        </w:rPr>
        <w:t>__________</w:t>
      </w:r>
    </w:p>
    <w:p w14:paraId="2AC6EDCC" w14:textId="77777777" w:rsidR="001B7E1E" w:rsidRPr="0027067B" w:rsidRDefault="001B7E1E" w:rsidP="001B7E1E"/>
    <w:sectPr w:rsidR="001B7E1E" w:rsidRPr="0027067B" w:rsidSect="00777BD1">
      <w:headerReference w:type="first" r:id="rId14"/>
      <w:pgSz w:w="11906" w:h="16838" w:code="9"/>
      <w:pgMar w:top="1701"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08087" w14:textId="77777777" w:rsidR="00FB7B10" w:rsidRDefault="00FB7B10" w:rsidP="00ED54E0">
      <w:r>
        <w:separator/>
      </w:r>
    </w:p>
  </w:endnote>
  <w:endnote w:type="continuationSeparator" w:id="0">
    <w:p w14:paraId="60E2FB88" w14:textId="77777777" w:rsidR="00FB7B10" w:rsidRDefault="00FB7B10"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2958" w14:textId="3C01BAC1" w:rsidR="00F729DA" w:rsidRPr="00371E06" w:rsidRDefault="00371E06" w:rsidP="00371E0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71C27" w14:textId="53995293" w:rsidR="00F729DA" w:rsidRPr="00371E06" w:rsidRDefault="00371E06" w:rsidP="00371E0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8879" w14:textId="77777777" w:rsidR="008E6AAB" w:rsidRDefault="008E6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4ECE6" w14:textId="77777777" w:rsidR="00FB7B10" w:rsidRDefault="00FB7B10" w:rsidP="00ED54E0">
      <w:r>
        <w:separator/>
      </w:r>
    </w:p>
  </w:footnote>
  <w:footnote w:type="continuationSeparator" w:id="0">
    <w:p w14:paraId="5BCB9CCF" w14:textId="77777777" w:rsidR="00FB7B10" w:rsidRDefault="00FB7B10" w:rsidP="00ED54E0">
      <w:r>
        <w:continuationSeparator/>
      </w:r>
    </w:p>
  </w:footnote>
  <w:footnote w:id="1">
    <w:p w14:paraId="37E3ED86" w14:textId="77777777" w:rsidR="001B7E1E" w:rsidRPr="001B7E1E" w:rsidRDefault="001B7E1E" w:rsidP="001B7E1E">
      <w:pPr>
        <w:pStyle w:val="NormalWeb"/>
        <w:shd w:val="clear" w:color="auto" w:fill="FFFFFF"/>
        <w:ind w:firstLine="567"/>
        <w:rPr>
          <w:rFonts w:ascii="Verdana" w:eastAsia="Times New Roman" w:hAnsi="Verdana" w:cs="Segoe UI"/>
          <w:color w:val="242424"/>
          <w:sz w:val="16"/>
          <w:szCs w:val="16"/>
          <w:lang w:eastAsia="en-GB"/>
        </w:rPr>
      </w:pPr>
      <w:r w:rsidRPr="001B7E1E">
        <w:rPr>
          <w:rStyle w:val="FootnoteReference"/>
          <w:rFonts w:ascii="Verdana" w:hAnsi="Verdana"/>
          <w:sz w:val="16"/>
          <w:szCs w:val="16"/>
        </w:rPr>
        <w:footnoteRef/>
      </w:r>
      <w:r w:rsidRPr="001B7E1E">
        <w:rPr>
          <w:rFonts w:ascii="Verdana" w:hAnsi="Verdana"/>
          <w:sz w:val="16"/>
          <w:szCs w:val="16"/>
        </w:rPr>
        <w:t xml:space="preserve"> </w:t>
      </w:r>
      <w:r>
        <w:rPr>
          <w:rFonts w:ascii="Verdana" w:hAnsi="Verdana"/>
          <w:sz w:val="16"/>
          <w:szCs w:val="16"/>
        </w:rPr>
        <w:t>T</w:t>
      </w:r>
      <w:r w:rsidRPr="001B7E1E">
        <w:rPr>
          <w:rFonts w:ascii="Verdana" w:eastAsia="Times New Roman" w:hAnsi="Verdana" w:cs="Segoe UI"/>
          <w:color w:val="242424"/>
          <w:sz w:val="16"/>
          <w:szCs w:val="16"/>
          <w:lang w:eastAsia="en-GB"/>
        </w:rPr>
        <w:t xml:space="preserve">his </w:t>
      </w:r>
      <w:r>
        <w:rPr>
          <w:rFonts w:ascii="Verdana" w:eastAsia="Times New Roman" w:hAnsi="Verdana" w:cs="Segoe UI"/>
          <w:color w:val="242424"/>
          <w:sz w:val="16"/>
          <w:szCs w:val="16"/>
          <w:lang w:eastAsia="en-GB"/>
        </w:rPr>
        <w:t>communication</w:t>
      </w:r>
      <w:r w:rsidRPr="001B7E1E">
        <w:rPr>
          <w:rFonts w:ascii="Verdana" w:eastAsia="Times New Roman" w:hAnsi="Verdana" w:cs="Segoe UI"/>
          <w:color w:val="242424"/>
          <w:sz w:val="16"/>
          <w:szCs w:val="16"/>
          <w:lang w:eastAsia="en-GB"/>
        </w:rPr>
        <w:t xml:space="preserve"> </w:t>
      </w:r>
      <w:r>
        <w:rPr>
          <w:rFonts w:ascii="Verdana" w:eastAsia="Times New Roman" w:hAnsi="Verdana" w:cs="Segoe UI"/>
          <w:color w:val="242424"/>
          <w:sz w:val="16"/>
          <w:szCs w:val="16"/>
          <w:lang w:eastAsia="en-GB"/>
        </w:rPr>
        <w:t>was previously c</w:t>
      </w:r>
      <w:r w:rsidRPr="001B7E1E">
        <w:rPr>
          <w:rFonts w:ascii="Verdana" w:eastAsia="Times New Roman" w:hAnsi="Verdana" w:cs="Segoe UI"/>
          <w:color w:val="242424"/>
          <w:sz w:val="16"/>
          <w:szCs w:val="16"/>
          <w:lang w:eastAsia="en-GB"/>
        </w:rPr>
        <w:t xml:space="preserve">irculated </w:t>
      </w:r>
      <w:r>
        <w:rPr>
          <w:rFonts w:ascii="Verdana" w:eastAsia="Times New Roman" w:hAnsi="Verdana" w:cs="Segoe UI"/>
          <w:color w:val="242424"/>
          <w:sz w:val="16"/>
          <w:szCs w:val="16"/>
          <w:lang w:eastAsia="en-GB"/>
        </w:rPr>
        <w:t xml:space="preserve">in document </w:t>
      </w:r>
      <w:r w:rsidRPr="001B7E1E">
        <w:rPr>
          <w:rFonts w:ascii="Verdana" w:eastAsia="Times New Roman" w:hAnsi="Verdana" w:cs="Segoe UI"/>
          <w:color w:val="242424"/>
          <w:sz w:val="16"/>
          <w:szCs w:val="16"/>
          <w:lang w:eastAsia="en-GB"/>
        </w:rPr>
        <w:t>JOB/AG/230</w:t>
      </w:r>
      <w:r>
        <w:rPr>
          <w:rFonts w:ascii="Verdana" w:eastAsia="Times New Roman" w:hAnsi="Verdana" w:cs="Segoe UI"/>
          <w:color w:val="242424"/>
          <w:sz w:val="16"/>
          <w:szCs w:val="16"/>
          <w:lang w:eastAsia="en-GB"/>
        </w:rPr>
        <w:t xml:space="preserve"> on 31 May 2022.</w:t>
      </w:r>
    </w:p>
    <w:p w14:paraId="3E1C01F9" w14:textId="77777777" w:rsidR="001B7E1E" w:rsidRDefault="001B7E1E" w:rsidP="001B7E1E">
      <w:pPr>
        <w:pStyle w:val="FootnoteText"/>
      </w:pPr>
    </w:p>
  </w:footnote>
  <w:footnote w:id="2">
    <w:p w14:paraId="7BA324ED" w14:textId="77777777" w:rsidR="001B7E1E" w:rsidRDefault="001B7E1E" w:rsidP="001B7E1E">
      <w:pPr>
        <w:pStyle w:val="FootnoteText"/>
        <w:rPr>
          <w:lang w:val="en-US"/>
        </w:rPr>
      </w:pPr>
      <w:r>
        <w:rPr>
          <w:rStyle w:val="FootnoteReference"/>
          <w:szCs w:val="16"/>
        </w:rPr>
        <w:footnoteRef/>
      </w:r>
      <w:r>
        <w:rPr>
          <w:lang w:val="en-US"/>
        </w:rPr>
        <w:t xml:space="preserve"> This Decision does not preclude developing country Members from introducing programmes of public stockholding for food security purposes in accordance with the relevant provisions of the Agreement on Agriculture.</w:t>
      </w:r>
    </w:p>
  </w:footnote>
  <w:footnote w:id="3">
    <w:p w14:paraId="3CCC8425" w14:textId="77777777" w:rsidR="001B7E1E" w:rsidRDefault="001B7E1E" w:rsidP="001B7E1E">
      <w:pPr>
        <w:pStyle w:val="FootnoteText"/>
        <w:rPr>
          <w:lang w:val="en-US"/>
        </w:rPr>
      </w:pPr>
      <w:r>
        <w:rPr>
          <w:rStyle w:val="FootnoteReference"/>
          <w:szCs w:val="16"/>
        </w:rPr>
        <w:footnoteRef/>
      </w:r>
      <w:r>
        <w:rPr>
          <w:lang w:val="en-US"/>
        </w:rPr>
        <w:t xml:space="preserve"> This term refers to primary agricultural products that are predominant staples in the traditional diet of a developing Member.</w:t>
      </w:r>
    </w:p>
  </w:footnote>
  <w:footnote w:id="4">
    <w:p w14:paraId="0CF65696" w14:textId="77777777" w:rsidR="001B7E1E" w:rsidRDefault="001B7E1E" w:rsidP="001B7E1E">
      <w:pPr>
        <w:pStyle w:val="FootnoteText"/>
        <w:rPr>
          <w:lang w:val="en-US"/>
        </w:rPr>
      </w:pPr>
      <w:r>
        <w:rPr>
          <w:rStyle w:val="FootnoteReference"/>
          <w:szCs w:val="16"/>
        </w:rPr>
        <w:footnoteRef/>
      </w:r>
      <w:r>
        <w:t xml:space="preserve"> That are consistent with the criteria of paragraph 3, footnote 5, and footnote 5&amp;6 of Annex 2 to the Agreement on Agriculture.</w:t>
      </w:r>
    </w:p>
  </w:footnote>
  <w:footnote w:id="5">
    <w:p w14:paraId="6164757B" w14:textId="77777777" w:rsidR="001B7E1E" w:rsidRDefault="001B7E1E" w:rsidP="001B7E1E">
      <w:pPr>
        <w:pStyle w:val="FootnoteText"/>
        <w:rPr>
          <w:lang w:val="en-US"/>
        </w:rPr>
      </w:pPr>
      <w:r>
        <w:rPr>
          <w:rStyle w:val="FootnoteReference"/>
          <w:szCs w:val="16"/>
        </w:rPr>
        <w:footnoteRef/>
      </w:r>
      <w:r>
        <w:t xml:space="preserve"> Graduated Members will cease to enjoy the rights entitled by this Decision [three] years after their graduation, unless they meet the conditions of 5.b or 5.c.</w:t>
      </w:r>
    </w:p>
  </w:footnote>
  <w:footnote w:id="6">
    <w:p w14:paraId="65FBEA57" w14:textId="5D9CA041" w:rsidR="001B7E1E" w:rsidRDefault="001B7E1E" w:rsidP="001B7E1E">
      <w:pPr>
        <w:pStyle w:val="FootnoteText"/>
        <w:rPr>
          <w:lang w:val="en-US"/>
        </w:rPr>
      </w:pPr>
      <w:r>
        <w:rPr>
          <w:rStyle w:val="FootnoteReference"/>
          <w:szCs w:val="16"/>
        </w:rPr>
        <w:footnoteRef/>
      </w:r>
      <w:r>
        <w:t xml:space="preserve"> This determination shall be based on the data provided in the Note titled "Members' participation in the normal growth of </w:t>
      </w:r>
      <w:r w:rsidR="00CE4D99">
        <w:t xml:space="preserve">world </w:t>
      </w:r>
      <w:r>
        <w:t>trade in agricultural products – Article 18.5 of the Agreement on Agriculture" by the WTO Secretariat. If the information is not available at the pertinent product level in the Note, this determination shall be made based on FAOSTAT data.</w:t>
      </w:r>
    </w:p>
  </w:footnote>
  <w:footnote w:id="7">
    <w:p w14:paraId="0C59F2B6" w14:textId="77777777" w:rsidR="001B7E1E" w:rsidRDefault="001B7E1E" w:rsidP="001B7E1E">
      <w:pPr>
        <w:pStyle w:val="FootnoteText"/>
      </w:pPr>
      <w:r>
        <w:rPr>
          <w:rStyle w:val="FootnoteReference"/>
          <w:szCs w:val="16"/>
        </w:rPr>
        <w:footnoteRef/>
      </w:r>
      <w:r>
        <w:t xml:space="preserve"> If a Member does not usually notify value of production of a product under a public stockholding programme it intends to be covered by this Decision, it must provide information for the three latest years available through the entry 1 of the Annex to this Decision when fulfilling the obligation set in paragraph 7(a) below.</w:t>
      </w:r>
    </w:p>
  </w:footnote>
  <w:footnote w:id="8">
    <w:p w14:paraId="71C0E131" w14:textId="77777777" w:rsidR="001B7E1E" w:rsidRDefault="001B7E1E" w:rsidP="001B7E1E">
      <w:pPr>
        <w:pStyle w:val="FootnoteText"/>
        <w:rPr>
          <w:lang w:val="en-US"/>
        </w:rPr>
      </w:pPr>
      <w:r>
        <w:rPr>
          <w:rStyle w:val="FootnoteReference"/>
          <w:szCs w:val="16"/>
        </w:rPr>
        <w:footnoteRef/>
      </w:r>
      <w:r>
        <w:t xml:space="preserve"> In case of Members later included in the list of NFIDCS or "Countries Requiring External Assistance for Food" or a LDC Member that accedes to the WTO after the adoption of this Decision, this general information must be provided no later than [twelve] months after its inclusion.</w:t>
      </w:r>
    </w:p>
  </w:footnote>
  <w:footnote w:id="9">
    <w:p w14:paraId="0F8C1408" w14:textId="77777777" w:rsidR="001B7E1E" w:rsidRDefault="001B7E1E" w:rsidP="001B7E1E">
      <w:pPr>
        <w:pStyle w:val="FootnoteText"/>
      </w:pPr>
      <w:r>
        <w:rPr>
          <w:rStyle w:val="FootnoteReference"/>
          <w:szCs w:val="16"/>
        </w:rPr>
        <w:footnoteRef/>
      </w:r>
      <w:r>
        <w:t xml:space="preserve"> Market price support (i.e. the difference between the administered price and the fixed external price) notified under Supporting Table DS:5 of Table DS:1 shall clearly distinguish between the support provided to public stockholding programmes for food security purposes and other market price support measures. For greater certainty, Members benefiting from the decision shall indicate, through STDS:5, the respective product-specific aggregate measurement of support related to the market price support that was provided in accordance with this Decision.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2BC8" w14:textId="77777777" w:rsidR="00371E06" w:rsidRPr="00371E06" w:rsidRDefault="00371E06" w:rsidP="00371E06">
    <w:pPr>
      <w:pStyle w:val="Header"/>
      <w:pBdr>
        <w:bottom w:val="single" w:sz="4" w:space="1" w:color="auto"/>
      </w:pBdr>
      <w:tabs>
        <w:tab w:val="clear" w:pos="4513"/>
        <w:tab w:val="clear" w:pos="9027"/>
      </w:tabs>
      <w:jc w:val="center"/>
    </w:pPr>
    <w:r w:rsidRPr="00371E06">
      <w:t>WT/MIN(22)/W/5 • WT/GC/W/851</w:t>
    </w:r>
  </w:p>
  <w:p w14:paraId="1B36CEE7" w14:textId="77777777" w:rsidR="00371E06" w:rsidRPr="00371E06" w:rsidRDefault="00371E06" w:rsidP="00371E06">
    <w:pPr>
      <w:pStyle w:val="Header"/>
      <w:pBdr>
        <w:bottom w:val="single" w:sz="4" w:space="1" w:color="auto"/>
      </w:pBdr>
      <w:tabs>
        <w:tab w:val="clear" w:pos="4513"/>
        <w:tab w:val="clear" w:pos="9027"/>
      </w:tabs>
      <w:jc w:val="center"/>
    </w:pPr>
  </w:p>
  <w:p w14:paraId="1122773F" w14:textId="6CFF5A44" w:rsidR="00371E06" w:rsidRPr="00371E06" w:rsidRDefault="00371E06" w:rsidP="00371E06">
    <w:pPr>
      <w:pStyle w:val="Header"/>
      <w:pBdr>
        <w:bottom w:val="single" w:sz="4" w:space="1" w:color="auto"/>
      </w:pBdr>
      <w:tabs>
        <w:tab w:val="clear" w:pos="4513"/>
        <w:tab w:val="clear" w:pos="9027"/>
      </w:tabs>
      <w:jc w:val="center"/>
    </w:pPr>
    <w:r w:rsidRPr="00371E06">
      <w:t xml:space="preserve">- </w:t>
    </w:r>
    <w:r w:rsidRPr="00371E06">
      <w:fldChar w:fldCharType="begin"/>
    </w:r>
    <w:r w:rsidRPr="00371E06">
      <w:instrText xml:space="preserve"> PAGE </w:instrText>
    </w:r>
    <w:r w:rsidRPr="00371E06">
      <w:fldChar w:fldCharType="separate"/>
    </w:r>
    <w:r w:rsidRPr="00371E06">
      <w:rPr>
        <w:noProof/>
      </w:rPr>
      <w:t>6</w:t>
    </w:r>
    <w:r w:rsidRPr="00371E06">
      <w:fldChar w:fldCharType="end"/>
    </w:r>
    <w:r w:rsidRPr="00371E06">
      <w:t xml:space="preserve"> -</w:t>
    </w:r>
  </w:p>
  <w:p w14:paraId="55D6C2A1" w14:textId="31226FA9" w:rsidR="00F729DA" w:rsidRPr="00371E06" w:rsidRDefault="00F729DA" w:rsidP="00371E0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5E827" w14:textId="77777777" w:rsidR="00371E06" w:rsidRPr="00371E06" w:rsidRDefault="00371E06" w:rsidP="00371E06">
    <w:pPr>
      <w:pStyle w:val="Header"/>
      <w:pBdr>
        <w:bottom w:val="single" w:sz="4" w:space="1" w:color="auto"/>
      </w:pBdr>
      <w:tabs>
        <w:tab w:val="clear" w:pos="4513"/>
        <w:tab w:val="clear" w:pos="9027"/>
      </w:tabs>
      <w:jc w:val="center"/>
    </w:pPr>
    <w:r w:rsidRPr="00371E06">
      <w:t>WT/MIN(22)/W/5 • WT/GC/W/851</w:t>
    </w:r>
  </w:p>
  <w:p w14:paraId="05C351B6" w14:textId="77777777" w:rsidR="00371E06" w:rsidRPr="00371E06" w:rsidRDefault="00371E06" w:rsidP="00371E06">
    <w:pPr>
      <w:pStyle w:val="Header"/>
      <w:pBdr>
        <w:bottom w:val="single" w:sz="4" w:space="1" w:color="auto"/>
      </w:pBdr>
      <w:tabs>
        <w:tab w:val="clear" w:pos="4513"/>
        <w:tab w:val="clear" w:pos="9027"/>
      </w:tabs>
      <w:jc w:val="center"/>
    </w:pPr>
  </w:p>
  <w:p w14:paraId="52C265EC" w14:textId="11E7D42C" w:rsidR="00371E06" w:rsidRPr="00371E06" w:rsidRDefault="00371E06" w:rsidP="00371E06">
    <w:pPr>
      <w:pStyle w:val="Header"/>
      <w:pBdr>
        <w:bottom w:val="single" w:sz="4" w:space="1" w:color="auto"/>
      </w:pBdr>
      <w:tabs>
        <w:tab w:val="clear" w:pos="4513"/>
        <w:tab w:val="clear" w:pos="9027"/>
      </w:tabs>
      <w:jc w:val="center"/>
    </w:pPr>
    <w:r w:rsidRPr="00371E06">
      <w:t xml:space="preserve">- </w:t>
    </w:r>
    <w:r w:rsidRPr="00371E06">
      <w:fldChar w:fldCharType="begin"/>
    </w:r>
    <w:r w:rsidRPr="00371E06">
      <w:instrText xml:space="preserve"> PAGE </w:instrText>
    </w:r>
    <w:r w:rsidRPr="00371E06">
      <w:fldChar w:fldCharType="separate"/>
    </w:r>
    <w:r w:rsidRPr="00371E06">
      <w:rPr>
        <w:noProof/>
      </w:rPr>
      <w:t>5</w:t>
    </w:r>
    <w:r w:rsidRPr="00371E06">
      <w:fldChar w:fldCharType="end"/>
    </w:r>
    <w:r w:rsidRPr="00371E06">
      <w:t xml:space="preserve"> -</w:t>
    </w:r>
  </w:p>
  <w:p w14:paraId="39152F40" w14:textId="2966406D" w:rsidR="00F729DA" w:rsidRPr="00371E06" w:rsidRDefault="00F729DA" w:rsidP="00371E0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C67AEB" w14:paraId="461927D3" w14:textId="77777777" w:rsidTr="001513E7">
      <w:trPr>
        <w:trHeight w:val="240"/>
        <w:jc w:val="center"/>
      </w:trPr>
      <w:tc>
        <w:tcPr>
          <w:tcW w:w="3794" w:type="dxa"/>
          <w:shd w:val="clear" w:color="auto" w:fill="FFFFFF"/>
          <w:tcMar>
            <w:left w:w="108" w:type="dxa"/>
            <w:right w:w="108" w:type="dxa"/>
          </w:tcMar>
          <w:vAlign w:val="center"/>
        </w:tcPr>
        <w:p w14:paraId="42560105" w14:textId="77777777" w:rsidR="00ED54E0" w:rsidRPr="00C67AEB" w:rsidRDefault="00ED54E0" w:rsidP="00425DC5">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7871F035" w14:textId="09B3B1F7" w:rsidR="00ED54E0" w:rsidRPr="00C67AEB" w:rsidRDefault="001B7E1E" w:rsidP="00425DC5">
          <w:pPr>
            <w:jc w:val="right"/>
            <w:rPr>
              <w:b/>
              <w:color w:val="FF0000"/>
              <w:szCs w:val="16"/>
            </w:rPr>
          </w:pPr>
          <w:r>
            <w:rPr>
              <w:b/>
              <w:color w:val="FF0000"/>
              <w:szCs w:val="16"/>
            </w:rPr>
            <w:t xml:space="preserve"> </w:t>
          </w:r>
        </w:p>
      </w:tc>
    </w:tr>
    <w:bookmarkEnd w:id="0"/>
    <w:tr w:rsidR="00ED54E0" w:rsidRPr="00C67AEB" w14:paraId="7E93EC1E" w14:textId="77777777" w:rsidTr="001513E7">
      <w:trPr>
        <w:trHeight w:val="213"/>
        <w:jc w:val="center"/>
      </w:trPr>
      <w:tc>
        <w:tcPr>
          <w:tcW w:w="3794" w:type="dxa"/>
          <w:vMerge w:val="restart"/>
          <w:shd w:val="clear" w:color="auto" w:fill="FFFFFF"/>
          <w:tcMar>
            <w:left w:w="0" w:type="dxa"/>
            <w:right w:w="0" w:type="dxa"/>
          </w:tcMar>
        </w:tcPr>
        <w:p w14:paraId="4E19AC2F" w14:textId="77777777" w:rsidR="00ED54E0" w:rsidRPr="00C67AEB" w:rsidRDefault="001B243B" w:rsidP="00425DC5">
          <w:pPr>
            <w:jc w:val="left"/>
          </w:pPr>
          <w:r>
            <w:rPr>
              <w:noProof/>
              <w:lang w:eastAsia="ja-JP"/>
            </w:rPr>
            <w:drawing>
              <wp:inline distT="0" distB="0" distL="0" distR="0" wp14:anchorId="2C8902AF" wp14:editId="1F38C014">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9EF5B71" w14:textId="77777777" w:rsidR="00ED54E0" w:rsidRPr="00C67AEB" w:rsidRDefault="00ED54E0" w:rsidP="00425DC5">
          <w:pPr>
            <w:jc w:val="right"/>
            <w:rPr>
              <w:b/>
              <w:szCs w:val="16"/>
            </w:rPr>
          </w:pPr>
        </w:p>
      </w:tc>
    </w:tr>
    <w:tr w:rsidR="00ED54E0" w:rsidRPr="00C67AEB" w14:paraId="6B2329CC" w14:textId="77777777" w:rsidTr="001513E7">
      <w:trPr>
        <w:trHeight w:val="868"/>
        <w:jc w:val="center"/>
      </w:trPr>
      <w:tc>
        <w:tcPr>
          <w:tcW w:w="3794" w:type="dxa"/>
          <w:vMerge/>
          <w:shd w:val="clear" w:color="auto" w:fill="FFFFFF"/>
          <w:tcMar>
            <w:left w:w="108" w:type="dxa"/>
            <w:right w:w="108" w:type="dxa"/>
          </w:tcMar>
        </w:tcPr>
        <w:p w14:paraId="0BD63496" w14:textId="77777777" w:rsidR="00ED54E0" w:rsidRPr="00C67AEB" w:rsidRDefault="00ED54E0" w:rsidP="00425DC5">
          <w:pPr>
            <w:jc w:val="left"/>
            <w:rPr>
              <w:noProof/>
              <w:lang w:eastAsia="en-GB"/>
            </w:rPr>
          </w:pPr>
        </w:p>
      </w:tc>
      <w:tc>
        <w:tcPr>
          <w:tcW w:w="5448" w:type="dxa"/>
          <w:gridSpan w:val="2"/>
          <w:shd w:val="clear" w:color="auto" w:fill="FFFFFF"/>
          <w:tcMar>
            <w:left w:w="108" w:type="dxa"/>
            <w:right w:w="108" w:type="dxa"/>
          </w:tcMar>
        </w:tcPr>
        <w:p w14:paraId="57766FE2" w14:textId="77777777" w:rsidR="001B7E1E" w:rsidRDefault="001B7E1E" w:rsidP="00C67AEB">
          <w:pPr>
            <w:jc w:val="right"/>
            <w:rPr>
              <w:b/>
              <w:szCs w:val="16"/>
            </w:rPr>
          </w:pPr>
          <w:bookmarkStart w:id="1" w:name="bmkSymbols"/>
          <w:r>
            <w:rPr>
              <w:b/>
              <w:szCs w:val="16"/>
            </w:rPr>
            <w:t>WT/MIN(22)/W/5</w:t>
          </w:r>
        </w:p>
        <w:p w14:paraId="5A994AD0" w14:textId="77777777" w:rsidR="001B7E1E" w:rsidRDefault="001B7E1E" w:rsidP="00C67AEB">
          <w:pPr>
            <w:jc w:val="right"/>
            <w:rPr>
              <w:b/>
              <w:szCs w:val="16"/>
            </w:rPr>
          </w:pPr>
          <w:r>
            <w:rPr>
              <w:b/>
              <w:szCs w:val="16"/>
            </w:rPr>
            <w:t>WT/GC/W/851</w:t>
          </w:r>
        </w:p>
        <w:bookmarkEnd w:id="1"/>
        <w:p w14:paraId="33AC115F" w14:textId="75AF2131" w:rsidR="00ED54E0" w:rsidRPr="00C67AEB" w:rsidRDefault="00ED54E0" w:rsidP="00C67AEB">
          <w:pPr>
            <w:jc w:val="right"/>
            <w:rPr>
              <w:b/>
              <w:szCs w:val="16"/>
            </w:rPr>
          </w:pPr>
        </w:p>
      </w:tc>
    </w:tr>
    <w:tr w:rsidR="00ED54E0" w:rsidRPr="00C67AEB" w14:paraId="5105E716" w14:textId="77777777" w:rsidTr="001513E7">
      <w:trPr>
        <w:trHeight w:val="240"/>
        <w:jc w:val="center"/>
      </w:trPr>
      <w:tc>
        <w:tcPr>
          <w:tcW w:w="3794" w:type="dxa"/>
          <w:vMerge/>
          <w:shd w:val="clear" w:color="auto" w:fill="FFFFFF"/>
          <w:tcMar>
            <w:left w:w="108" w:type="dxa"/>
            <w:right w:w="108" w:type="dxa"/>
          </w:tcMar>
          <w:vAlign w:val="center"/>
        </w:tcPr>
        <w:p w14:paraId="3F077178" w14:textId="77777777" w:rsidR="00ED54E0" w:rsidRPr="00C67AEB" w:rsidRDefault="00ED54E0" w:rsidP="00425DC5"/>
      </w:tc>
      <w:tc>
        <w:tcPr>
          <w:tcW w:w="5448" w:type="dxa"/>
          <w:gridSpan w:val="2"/>
          <w:shd w:val="clear" w:color="auto" w:fill="FFFFFF"/>
          <w:tcMar>
            <w:left w:w="108" w:type="dxa"/>
            <w:right w:w="108" w:type="dxa"/>
          </w:tcMar>
          <w:vAlign w:val="center"/>
        </w:tcPr>
        <w:p w14:paraId="1B98D3E6" w14:textId="77777777" w:rsidR="00ED54E0" w:rsidRPr="00C67AEB" w:rsidRDefault="001B7E1E" w:rsidP="00425DC5">
          <w:pPr>
            <w:jc w:val="right"/>
            <w:rPr>
              <w:szCs w:val="16"/>
            </w:rPr>
          </w:pPr>
          <w:r>
            <w:rPr>
              <w:szCs w:val="16"/>
            </w:rPr>
            <w:t>6 June 2022</w:t>
          </w:r>
        </w:p>
      </w:tc>
    </w:tr>
    <w:tr w:rsidR="00ED54E0" w:rsidRPr="00C67AEB" w14:paraId="12BC9EBD" w14:textId="77777777" w:rsidTr="001513E7">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A7F0A3C" w14:textId="4EBDCD4A" w:rsidR="00ED54E0" w:rsidRPr="00C67AEB" w:rsidRDefault="00881FDF" w:rsidP="00425DC5">
          <w:pPr>
            <w:jc w:val="left"/>
            <w:rPr>
              <w:b/>
            </w:rPr>
          </w:pPr>
          <w:bookmarkStart w:id="2" w:name="bmkSerial" w:colFirst="0" w:colLast="0"/>
          <w:r>
            <w:rPr>
              <w:color w:val="FF0000"/>
              <w:szCs w:val="16"/>
            </w:rPr>
            <w:t>(</w:t>
          </w:r>
          <w:r w:rsidR="00B317A2">
            <w:rPr>
              <w:color w:val="FF0000"/>
              <w:szCs w:val="16"/>
            </w:rPr>
            <w:t>22</w:t>
          </w:r>
          <w:r w:rsidR="00ED54E0" w:rsidRPr="00C67AEB">
            <w:rPr>
              <w:color w:val="FF0000"/>
              <w:szCs w:val="16"/>
            </w:rPr>
            <w:t>-</w:t>
          </w:r>
          <w:r w:rsidR="008E6AAB">
            <w:rPr>
              <w:color w:val="FF0000"/>
              <w:szCs w:val="16"/>
            </w:rPr>
            <w:t>4282</w:t>
          </w:r>
          <w:r w:rsidR="00ED54E0" w:rsidRPr="00C67AEB">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26B8986F" w14:textId="77777777" w:rsidR="00ED54E0" w:rsidRPr="00C67AEB" w:rsidRDefault="00ED54E0" w:rsidP="00425DC5">
          <w:pPr>
            <w:jc w:val="right"/>
            <w:rPr>
              <w:szCs w:val="16"/>
            </w:rPr>
          </w:pPr>
          <w:bookmarkStart w:id="3" w:name="bmkTotPages"/>
          <w:r w:rsidRPr="00C67AEB">
            <w:rPr>
              <w:bCs/>
              <w:szCs w:val="16"/>
            </w:rPr>
            <w:t xml:space="preserve">Page: </w:t>
          </w:r>
          <w:r w:rsidRPr="00C67AEB">
            <w:rPr>
              <w:bCs/>
              <w:szCs w:val="16"/>
            </w:rPr>
            <w:fldChar w:fldCharType="begin"/>
          </w:r>
          <w:r w:rsidRPr="00C67AEB">
            <w:rPr>
              <w:bCs/>
              <w:szCs w:val="16"/>
            </w:rPr>
            <w:instrText xml:space="preserve"> PAGE  \* Arabic  \* MERGEFORMAT </w:instrText>
          </w:r>
          <w:r w:rsidRPr="00C67AEB">
            <w:rPr>
              <w:bCs/>
              <w:szCs w:val="16"/>
            </w:rPr>
            <w:fldChar w:fldCharType="separate"/>
          </w:r>
          <w:r w:rsidR="00E26AE3">
            <w:rPr>
              <w:bCs/>
              <w:noProof/>
              <w:szCs w:val="16"/>
            </w:rPr>
            <w:t>1</w:t>
          </w:r>
          <w:r w:rsidRPr="00C67AEB">
            <w:rPr>
              <w:bCs/>
              <w:szCs w:val="16"/>
            </w:rPr>
            <w:fldChar w:fldCharType="end"/>
          </w:r>
          <w:r w:rsidRPr="00C67AEB">
            <w:rPr>
              <w:bCs/>
              <w:szCs w:val="16"/>
            </w:rPr>
            <w:t>/</w:t>
          </w:r>
          <w:r w:rsidRPr="00C67AEB">
            <w:rPr>
              <w:bCs/>
              <w:szCs w:val="16"/>
            </w:rPr>
            <w:fldChar w:fldCharType="begin"/>
          </w:r>
          <w:r w:rsidRPr="00C67AEB">
            <w:rPr>
              <w:bCs/>
              <w:szCs w:val="16"/>
            </w:rPr>
            <w:instrText xml:space="preserve"> NUMPAGES  \* Arabic  \* MERGEFORMAT </w:instrText>
          </w:r>
          <w:r w:rsidRPr="00C67AEB">
            <w:rPr>
              <w:bCs/>
              <w:szCs w:val="16"/>
            </w:rPr>
            <w:fldChar w:fldCharType="separate"/>
          </w:r>
          <w:r w:rsidR="00E26AE3">
            <w:rPr>
              <w:bCs/>
              <w:noProof/>
              <w:szCs w:val="16"/>
            </w:rPr>
            <w:t>1</w:t>
          </w:r>
          <w:r w:rsidRPr="00C67AEB">
            <w:rPr>
              <w:bCs/>
              <w:szCs w:val="16"/>
            </w:rPr>
            <w:fldChar w:fldCharType="end"/>
          </w:r>
          <w:bookmarkEnd w:id="3"/>
        </w:p>
      </w:tc>
    </w:tr>
    <w:tr w:rsidR="00ED54E0" w:rsidRPr="00C67AEB" w14:paraId="06AAD8A6" w14:textId="77777777" w:rsidTr="007044D5">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C89F44F" w14:textId="77777777" w:rsidR="001B7E1E" w:rsidRDefault="001B7E1E" w:rsidP="000D0D73">
          <w:pPr>
            <w:jc w:val="left"/>
            <w:rPr>
              <w:b/>
            </w:rPr>
          </w:pPr>
          <w:bookmarkStart w:id="4" w:name="bmkCommittee"/>
          <w:bookmarkStart w:id="5" w:name="bmkLanguage" w:colFirst="1" w:colLast="1"/>
          <w:bookmarkEnd w:id="2"/>
          <w:r>
            <w:rPr>
              <w:b/>
            </w:rPr>
            <w:t>Ministerial Conference</w:t>
          </w:r>
        </w:p>
        <w:p w14:paraId="0997305A" w14:textId="77777777" w:rsidR="001B7E1E" w:rsidRDefault="001B7E1E" w:rsidP="000D0D73">
          <w:pPr>
            <w:jc w:val="left"/>
            <w:rPr>
              <w:b/>
            </w:rPr>
          </w:pPr>
          <w:r>
            <w:rPr>
              <w:b/>
            </w:rPr>
            <w:t>Twelfth Session</w:t>
          </w:r>
        </w:p>
        <w:p w14:paraId="25D5BCBF" w14:textId="77777777" w:rsidR="00ED54E0" w:rsidRDefault="001B7E1E" w:rsidP="000D0D73">
          <w:pPr>
            <w:jc w:val="left"/>
            <w:rPr>
              <w:b/>
            </w:rPr>
          </w:pPr>
          <w:r>
            <w:rPr>
              <w:b/>
            </w:rPr>
            <w:t>Geneva, 12-15 June 202</w:t>
          </w:r>
          <w:bookmarkEnd w:id="4"/>
          <w:r w:rsidR="0054272C">
            <w:rPr>
              <w:b/>
            </w:rPr>
            <w:t>2</w:t>
          </w:r>
        </w:p>
        <w:p w14:paraId="67F9F66D" w14:textId="7E442EB8" w:rsidR="009B45D2" w:rsidRPr="00C67AEB" w:rsidRDefault="009B45D2" w:rsidP="000D0D73">
          <w:pPr>
            <w:jc w:val="left"/>
            <w:rPr>
              <w:sz w:val="14"/>
              <w:szCs w:val="16"/>
            </w:rPr>
          </w:pPr>
          <w:r>
            <w:rPr>
              <w:b/>
            </w:rPr>
            <w:t>General Council</w:t>
          </w:r>
        </w:p>
      </w:tc>
      <w:tc>
        <w:tcPr>
          <w:tcW w:w="3325" w:type="dxa"/>
          <w:tcBorders>
            <w:top w:val="single" w:sz="4" w:space="0" w:color="auto"/>
          </w:tcBorders>
          <w:tcMar>
            <w:top w:w="113" w:type="dxa"/>
            <w:left w:w="108" w:type="dxa"/>
            <w:bottom w:w="57" w:type="dxa"/>
            <w:right w:w="108" w:type="dxa"/>
          </w:tcMar>
        </w:tcPr>
        <w:p w14:paraId="7B6FAF73" w14:textId="777D92D0" w:rsidR="00ED54E0" w:rsidRPr="00C67AEB" w:rsidRDefault="001B7E1E" w:rsidP="007044D5">
          <w:pPr>
            <w:jc w:val="right"/>
            <w:rPr>
              <w:bCs/>
              <w:szCs w:val="18"/>
            </w:rPr>
          </w:pPr>
          <w:r>
            <w:rPr>
              <w:bCs/>
              <w:szCs w:val="18"/>
            </w:rPr>
            <w:t>Original: English</w:t>
          </w:r>
        </w:p>
      </w:tc>
    </w:tr>
    <w:bookmarkEnd w:id="5"/>
  </w:tbl>
  <w:p w14:paraId="6346142C" w14:textId="77777777" w:rsidR="00ED54E0" w:rsidRDefault="00ED54E0">
    <w:pPr>
      <w:pStyle w:val="Header"/>
    </w:pPr>
  </w:p>
  <w:p w14:paraId="0C70D5BD" w14:textId="77777777" w:rsidR="00F729DA" w:rsidRDefault="00F729D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17AB0" w:rsidRPr="00182B84" w14:paraId="246A0FE2" w14:textId="77777777" w:rsidTr="00544326">
      <w:trPr>
        <w:trHeight w:val="240"/>
        <w:jc w:val="center"/>
      </w:trPr>
      <w:tc>
        <w:tcPr>
          <w:tcW w:w="3794" w:type="dxa"/>
          <w:shd w:val="clear" w:color="auto" w:fill="FFFFFF"/>
          <w:tcMar>
            <w:left w:w="108" w:type="dxa"/>
            <w:right w:w="108" w:type="dxa"/>
          </w:tcMar>
          <w:vAlign w:val="center"/>
        </w:tcPr>
        <w:p w14:paraId="2B0627F0" w14:textId="77777777" w:rsidR="00917AB0" w:rsidRPr="00182B84" w:rsidRDefault="008E6AAB" w:rsidP="00425DC5">
          <w:pPr>
            <w:rPr>
              <w:noProof/>
              <w:lang w:eastAsia="en-GB"/>
            </w:rPr>
          </w:pPr>
        </w:p>
      </w:tc>
      <w:tc>
        <w:tcPr>
          <w:tcW w:w="5448" w:type="dxa"/>
          <w:gridSpan w:val="2"/>
          <w:shd w:val="clear" w:color="auto" w:fill="FFFFFF"/>
          <w:tcMar>
            <w:left w:w="108" w:type="dxa"/>
            <w:right w:w="108" w:type="dxa"/>
          </w:tcMar>
          <w:vAlign w:val="center"/>
        </w:tcPr>
        <w:p w14:paraId="2636EE8B" w14:textId="77777777" w:rsidR="00917AB0" w:rsidRPr="00182B84" w:rsidRDefault="001B7E1E" w:rsidP="00425DC5">
          <w:pPr>
            <w:jc w:val="right"/>
            <w:rPr>
              <w:b/>
              <w:color w:val="FF0000"/>
              <w:szCs w:val="16"/>
            </w:rPr>
          </w:pPr>
          <w:r>
            <w:rPr>
              <w:b/>
              <w:color w:val="FF0000"/>
              <w:szCs w:val="16"/>
            </w:rPr>
            <w:t>RESTRICTED</w:t>
          </w:r>
        </w:p>
      </w:tc>
    </w:tr>
    <w:tr w:rsidR="00917AB0" w:rsidRPr="00182B84" w14:paraId="6F2399EC" w14:textId="77777777" w:rsidTr="00544326">
      <w:trPr>
        <w:trHeight w:val="213"/>
        <w:jc w:val="center"/>
      </w:trPr>
      <w:tc>
        <w:tcPr>
          <w:tcW w:w="3794" w:type="dxa"/>
          <w:vMerge w:val="restart"/>
          <w:shd w:val="clear" w:color="auto" w:fill="FFFFFF"/>
          <w:tcMar>
            <w:left w:w="0" w:type="dxa"/>
            <w:right w:w="0" w:type="dxa"/>
          </w:tcMar>
        </w:tcPr>
        <w:p w14:paraId="13F00C39" w14:textId="77777777" w:rsidR="00917AB0" w:rsidRPr="00182B84" w:rsidRDefault="001B7E1E" w:rsidP="00425DC5">
          <w:pPr>
            <w:jc w:val="left"/>
          </w:pPr>
          <w:r w:rsidRPr="00182B84">
            <w:rPr>
              <w:noProof/>
              <w:lang w:val="en-US"/>
            </w:rPr>
            <w:drawing>
              <wp:inline distT="0" distB="0" distL="0" distR="0" wp14:anchorId="64CE920C" wp14:editId="63C5C9F9">
                <wp:extent cx="2398395" cy="716280"/>
                <wp:effectExtent l="0" t="0" r="1905" b="762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B11A63E" w14:textId="77777777" w:rsidR="00917AB0" w:rsidRPr="00182B84" w:rsidRDefault="008E6AAB" w:rsidP="00425DC5">
          <w:pPr>
            <w:jc w:val="right"/>
            <w:rPr>
              <w:b/>
              <w:szCs w:val="16"/>
            </w:rPr>
          </w:pPr>
        </w:p>
      </w:tc>
    </w:tr>
    <w:tr w:rsidR="00917AB0" w:rsidRPr="00182B84" w14:paraId="6EB7048B" w14:textId="77777777" w:rsidTr="00544326">
      <w:trPr>
        <w:trHeight w:val="868"/>
        <w:jc w:val="center"/>
      </w:trPr>
      <w:tc>
        <w:tcPr>
          <w:tcW w:w="3794" w:type="dxa"/>
          <w:vMerge/>
          <w:shd w:val="clear" w:color="auto" w:fill="FFFFFF"/>
          <w:tcMar>
            <w:left w:w="108" w:type="dxa"/>
            <w:right w:w="108" w:type="dxa"/>
          </w:tcMar>
        </w:tcPr>
        <w:p w14:paraId="43D4E73F" w14:textId="77777777" w:rsidR="00917AB0" w:rsidRPr="00182B84" w:rsidRDefault="008E6AAB" w:rsidP="00425DC5">
          <w:pPr>
            <w:jc w:val="left"/>
            <w:rPr>
              <w:noProof/>
              <w:lang w:eastAsia="en-GB"/>
            </w:rPr>
          </w:pPr>
        </w:p>
      </w:tc>
      <w:tc>
        <w:tcPr>
          <w:tcW w:w="5448" w:type="dxa"/>
          <w:gridSpan w:val="2"/>
          <w:shd w:val="clear" w:color="auto" w:fill="FFFFFF"/>
          <w:tcMar>
            <w:left w:w="108" w:type="dxa"/>
            <w:right w:w="108" w:type="dxa"/>
          </w:tcMar>
        </w:tcPr>
        <w:p w14:paraId="59B8471C" w14:textId="77777777" w:rsidR="00917AB0" w:rsidRDefault="001B7E1E" w:rsidP="00425DC5">
          <w:pPr>
            <w:jc w:val="right"/>
            <w:rPr>
              <w:b/>
              <w:szCs w:val="16"/>
            </w:rPr>
          </w:pPr>
          <w:r>
            <w:rPr>
              <w:b/>
              <w:szCs w:val="16"/>
            </w:rPr>
            <w:t>JOB/AG/230</w:t>
          </w:r>
        </w:p>
        <w:p w14:paraId="0D8CD43E" w14:textId="77777777" w:rsidR="00917AB0" w:rsidRPr="00182B84" w:rsidRDefault="008E6AAB" w:rsidP="00425DC5">
          <w:pPr>
            <w:jc w:val="right"/>
            <w:rPr>
              <w:b/>
              <w:szCs w:val="16"/>
            </w:rPr>
          </w:pPr>
        </w:p>
      </w:tc>
    </w:tr>
    <w:tr w:rsidR="00917AB0" w:rsidRPr="00182B84" w14:paraId="0F72EC93" w14:textId="77777777" w:rsidTr="00544326">
      <w:trPr>
        <w:trHeight w:val="240"/>
        <w:jc w:val="center"/>
      </w:trPr>
      <w:tc>
        <w:tcPr>
          <w:tcW w:w="3794" w:type="dxa"/>
          <w:vMerge/>
          <w:shd w:val="clear" w:color="auto" w:fill="FFFFFF"/>
          <w:tcMar>
            <w:left w:w="108" w:type="dxa"/>
            <w:right w:w="108" w:type="dxa"/>
          </w:tcMar>
          <w:vAlign w:val="center"/>
        </w:tcPr>
        <w:p w14:paraId="7E364745" w14:textId="77777777" w:rsidR="00917AB0" w:rsidRPr="00182B84" w:rsidRDefault="008E6AAB" w:rsidP="00425DC5"/>
      </w:tc>
      <w:tc>
        <w:tcPr>
          <w:tcW w:w="5448" w:type="dxa"/>
          <w:gridSpan w:val="2"/>
          <w:shd w:val="clear" w:color="auto" w:fill="FFFFFF"/>
          <w:tcMar>
            <w:left w:w="108" w:type="dxa"/>
            <w:right w:w="108" w:type="dxa"/>
          </w:tcMar>
          <w:vAlign w:val="center"/>
        </w:tcPr>
        <w:p w14:paraId="03592F29" w14:textId="77777777" w:rsidR="00917AB0" w:rsidRPr="00182B84" w:rsidRDefault="001B7E1E" w:rsidP="00425DC5">
          <w:pPr>
            <w:jc w:val="right"/>
            <w:rPr>
              <w:szCs w:val="16"/>
            </w:rPr>
          </w:pPr>
          <w:r>
            <w:rPr>
              <w:szCs w:val="16"/>
            </w:rPr>
            <w:t>31 May 2022</w:t>
          </w:r>
        </w:p>
      </w:tc>
    </w:tr>
    <w:tr w:rsidR="00917AB0" w:rsidRPr="00182B84" w14:paraId="13600FB4"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6EA6B1D" w14:textId="77777777" w:rsidR="00917AB0" w:rsidRPr="00182B84" w:rsidRDefault="001B7E1E" w:rsidP="00425DC5">
          <w:pPr>
            <w:jc w:val="left"/>
            <w:rPr>
              <w:b/>
            </w:rPr>
          </w:pPr>
          <w:r w:rsidRPr="00182B84">
            <w:rPr>
              <w:color w:val="FF0000"/>
              <w:szCs w:val="16"/>
            </w:rPr>
            <w:t>(</w:t>
          </w:r>
          <w:r>
            <w:rPr>
              <w:color w:val="FF0000"/>
              <w:szCs w:val="16"/>
            </w:rPr>
            <w:t>22</w:t>
          </w:r>
          <w:r w:rsidRPr="00182B84">
            <w:rPr>
              <w:color w:val="FF0000"/>
              <w:szCs w:val="16"/>
            </w:rPr>
            <w:t>-0000)</w:t>
          </w:r>
        </w:p>
      </w:tc>
      <w:tc>
        <w:tcPr>
          <w:tcW w:w="3325" w:type="dxa"/>
          <w:tcBorders>
            <w:bottom w:val="single" w:sz="4" w:space="0" w:color="auto"/>
          </w:tcBorders>
          <w:tcMar>
            <w:top w:w="0" w:type="dxa"/>
            <w:left w:w="108" w:type="dxa"/>
            <w:bottom w:w="57" w:type="dxa"/>
            <w:right w:w="108" w:type="dxa"/>
          </w:tcMar>
          <w:vAlign w:val="bottom"/>
        </w:tcPr>
        <w:p w14:paraId="2A1C1BB7" w14:textId="77777777" w:rsidR="00917AB0" w:rsidRPr="00182B84" w:rsidRDefault="001B7E1E"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Pr>
              <w:bCs/>
              <w:noProof/>
              <w:szCs w:val="16"/>
            </w:rPr>
            <w:t>1</w:t>
          </w:r>
          <w:r w:rsidRPr="00182B84">
            <w:rPr>
              <w:bCs/>
              <w:szCs w:val="16"/>
            </w:rPr>
            <w:fldChar w:fldCharType="end"/>
          </w:r>
        </w:p>
      </w:tc>
    </w:tr>
    <w:tr w:rsidR="00917AB0" w:rsidRPr="00182B84" w14:paraId="2C7A9BF8"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7472629" w14:textId="77777777" w:rsidR="00917AB0" w:rsidRDefault="001B7E1E" w:rsidP="00425DC5">
          <w:pPr>
            <w:jc w:val="left"/>
            <w:rPr>
              <w:b/>
            </w:rPr>
          </w:pPr>
          <w:r>
            <w:rPr>
              <w:b/>
            </w:rPr>
            <w:t>Committee on Agriculture</w:t>
          </w:r>
        </w:p>
        <w:p w14:paraId="2F8FCE75" w14:textId="77777777" w:rsidR="00917AB0" w:rsidRPr="00182B84" w:rsidRDefault="001B7E1E" w:rsidP="00425DC5">
          <w:pPr>
            <w:jc w:val="left"/>
            <w:rPr>
              <w:sz w:val="14"/>
              <w:szCs w:val="16"/>
            </w:rPr>
          </w:pPr>
          <w:r>
            <w:rPr>
              <w:b/>
            </w:rPr>
            <w:t>Special Session</w:t>
          </w:r>
        </w:p>
      </w:tc>
      <w:tc>
        <w:tcPr>
          <w:tcW w:w="3325" w:type="dxa"/>
          <w:tcBorders>
            <w:top w:val="single" w:sz="4" w:space="0" w:color="auto"/>
          </w:tcBorders>
          <w:tcMar>
            <w:top w:w="113" w:type="dxa"/>
            <w:left w:w="108" w:type="dxa"/>
            <w:bottom w:w="57" w:type="dxa"/>
            <w:right w:w="108" w:type="dxa"/>
          </w:tcMar>
          <w:vAlign w:val="center"/>
        </w:tcPr>
        <w:p w14:paraId="3AF036FF" w14:textId="77777777" w:rsidR="00917AB0" w:rsidRPr="00182B84" w:rsidRDefault="001B7E1E" w:rsidP="00425DC5">
          <w:pPr>
            <w:jc w:val="right"/>
            <w:rPr>
              <w:bCs/>
              <w:szCs w:val="18"/>
            </w:rPr>
          </w:pPr>
          <w:r>
            <w:rPr>
              <w:szCs w:val="18"/>
            </w:rPr>
            <w:t>Original: English</w:t>
          </w:r>
        </w:p>
      </w:tc>
    </w:tr>
  </w:tbl>
  <w:p w14:paraId="76BE4FEF" w14:textId="77777777" w:rsidR="00917AB0" w:rsidRDefault="008E6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E4F3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748B8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8AED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1E8DE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8C8C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20792F"/>
    <w:multiLevelType w:val="hybridMultilevel"/>
    <w:tmpl w:val="86FCD7E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325020"/>
    <w:multiLevelType w:val="multilevel"/>
    <w:tmpl w:val="D1D801F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7454AB1"/>
    <w:multiLevelType w:val="multilevel"/>
    <w:tmpl w:val="075A666C"/>
    <w:numStyleLink w:val="LegalHeadings"/>
  </w:abstractNum>
  <w:abstractNum w:abstractNumId="14"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3264C52"/>
    <w:multiLevelType w:val="hybridMultilevel"/>
    <w:tmpl w:val="DF7C4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71520B2"/>
    <w:multiLevelType w:val="hybridMultilevel"/>
    <w:tmpl w:val="38C098C4"/>
    <w:lvl w:ilvl="0" w:tplc="72660E4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15:restartNumberingAfterBreak="0">
    <w:nsid w:val="7FB87E73"/>
    <w:multiLevelType w:val="hybridMultilevel"/>
    <w:tmpl w:val="9A84335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8"/>
  </w:num>
  <w:num w:numId="18">
    <w:abstractNumId w:val="1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E1E"/>
    <w:rsid w:val="000272F6"/>
    <w:rsid w:val="00037AC4"/>
    <w:rsid w:val="000423BF"/>
    <w:rsid w:val="00046081"/>
    <w:rsid w:val="000A4945"/>
    <w:rsid w:val="000B31E1"/>
    <w:rsid w:val="000D0D73"/>
    <w:rsid w:val="000E21E9"/>
    <w:rsid w:val="000F1E8F"/>
    <w:rsid w:val="00111E7E"/>
    <w:rsid w:val="0011356B"/>
    <w:rsid w:val="0013337F"/>
    <w:rsid w:val="00135E4E"/>
    <w:rsid w:val="001513E7"/>
    <w:rsid w:val="00182B84"/>
    <w:rsid w:val="00190380"/>
    <w:rsid w:val="001B243B"/>
    <w:rsid w:val="001B7E1E"/>
    <w:rsid w:val="001E291F"/>
    <w:rsid w:val="002140AA"/>
    <w:rsid w:val="00233408"/>
    <w:rsid w:val="00245105"/>
    <w:rsid w:val="0027067B"/>
    <w:rsid w:val="002C0487"/>
    <w:rsid w:val="003572B4"/>
    <w:rsid w:val="00371E06"/>
    <w:rsid w:val="00404585"/>
    <w:rsid w:val="00467032"/>
    <w:rsid w:val="0046754A"/>
    <w:rsid w:val="004C1A50"/>
    <w:rsid w:val="004C587D"/>
    <w:rsid w:val="004D0977"/>
    <w:rsid w:val="004F1A13"/>
    <w:rsid w:val="004F203A"/>
    <w:rsid w:val="00503E49"/>
    <w:rsid w:val="005336B8"/>
    <w:rsid w:val="0054272C"/>
    <w:rsid w:val="005B04B9"/>
    <w:rsid w:val="005B68C7"/>
    <w:rsid w:val="005B7054"/>
    <w:rsid w:val="005D5981"/>
    <w:rsid w:val="005F30CB"/>
    <w:rsid w:val="00612644"/>
    <w:rsid w:val="00674CCD"/>
    <w:rsid w:val="00697FB6"/>
    <w:rsid w:val="006F5826"/>
    <w:rsid w:val="00700181"/>
    <w:rsid w:val="007044D5"/>
    <w:rsid w:val="007141CF"/>
    <w:rsid w:val="00745146"/>
    <w:rsid w:val="007577E3"/>
    <w:rsid w:val="00760DB3"/>
    <w:rsid w:val="007E6507"/>
    <w:rsid w:val="007F2B8E"/>
    <w:rsid w:val="00807247"/>
    <w:rsid w:val="00840C2B"/>
    <w:rsid w:val="0084469C"/>
    <w:rsid w:val="008739FD"/>
    <w:rsid w:val="00881FDF"/>
    <w:rsid w:val="008E372C"/>
    <w:rsid w:val="008E6AAB"/>
    <w:rsid w:val="008F6132"/>
    <w:rsid w:val="00905C3A"/>
    <w:rsid w:val="009558E0"/>
    <w:rsid w:val="009676C5"/>
    <w:rsid w:val="009A6F54"/>
    <w:rsid w:val="009B45D2"/>
    <w:rsid w:val="00A0063F"/>
    <w:rsid w:val="00A6057A"/>
    <w:rsid w:val="00A74017"/>
    <w:rsid w:val="00A77D14"/>
    <w:rsid w:val="00A8353B"/>
    <w:rsid w:val="00AA332C"/>
    <w:rsid w:val="00AC27F8"/>
    <w:rsid w:val="00AD4C72"/>
    <w:rsid w:val="00AE2AEE"/>
    <w:rsid w:val="00AF4E03"/>
    <w:rsid w:val="00B230EC"/>
    <w:rsid w:val="00B317A2"/>
    <w:rsid w:val="00B56EDC"/>
    <w:rsid w:val="00BB1F84"/>
    <w:rsid w:val="00BE5468"/>
    <w:rsid w:val="00C11EAC"/>
    <w:rsid w:val="00C305D7"/>
    <w:rsid w:val="00C30F2A"/>
    <w:rsid w:val="00C42C24"/>
    <w:rsid w:val="00C43456"/>
    <w:rsid w:val="00C65C0C"/>
    <w:rsid w:val="00C67AEB"/>
    <w:rsid w:val="00C808FC"/>
    <w:rsid w:val="00CB42CE"/>
    <w:rsid w:val="00CC280E"/>
    <w:rsid w:val="00CD7D97"/>
    <w:rsid w:val="00CE3EE6"/>
    <w:rsid w:val="00CE4BA1"/>
    <w:rsid w:val="00CE4D99"/>
    <w:rsid w:val="00D000C7"/>
    <w:rsid w:val="00D118FB"/>
    <w:rsid w:val="00D2600C"/>
    <w:rsid w:val="00D52A9D"/>
    <w:rsid w:val="00D55AAD"/>
    <w:rsid w:val="00D747AE"/>
    <w:rsid w:val="00D9226C"/>
    <w:rsid w:val="00DA20BD"/>
    <w:rsid w:val="00DE50CF"/>
    <w:rsid w:val="00DE50DB"/>
    <w:rsid w:val="00DF6AE1"/>
    <w:rsid w:val="00E03C9E"/>
    <w:rsid w:val="00E079B0"/>
    <w:rsid w:val="00E26AE3"/>
    <w:rsid w:val="00E46FD5"/>
    <w:rsid w:val="00E544BB"/>
    <w:rsid w:val="00E56545"/>
    <w:rsid w:val="00EA5D4F"/>
    <w:rsid w:val="00EB6C56"/>
    <w:rsid w:val="00ED54E0"/>
    <w:rsid w:val="00F300BF"/>
    <w:rsid w:val="00F30765"/>
    <w:rsid w:val="00F32397"/>
    <w:rsid w:val="00F3433C"/>
    <w:rsid w:val="00F40595"/>
    <w:rsid w:val="00F729DA"/>
    <w:rsid w:val="00FA5EBC"/>
    <w:rsid w:val="00FB7B10"/>
    <w:rsid w:val="00FC0246"/>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5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146"/>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99"/>
    <w:rsid w:val="00E56545"/>
    <w:pPr>
      <w:ind w:firstLine="567"/>
      <w:jc w:val="left"/>
    </w:pPr>
    <w:rPr>
      <w:sz w:val="16"/>
      <w:szCs w:val="18"/>
      <w:lang w:eastAsia="en-GB"/>
    </w:rPr>
  </w:style>
  <w:style w:type="character" w:customStyle="1" w:styleId="FootnoteTextChar">
    <w:name w:val="Footnote Text Char"/>
    <w:link w:val="FootnoteText"/>
    <w:uiPriority w:val="99"/>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99"/>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34"/>
    <w:qFormat/>
    <w:rsid w:val="00AA332C"/>
    <w:pPr>
      <w:ind w:left="720"/>
      <w:contextualSpacing/>
    </w:pPr>
  </w:style>
  <w:style w:type="table" w:customStyle="1" w:styleId="WTOBox1">
    <w:name w:val="WTOBox1"/>
    <w:basedOn w:val="TableNormal"/>
    <w:uiPriority w:val="99"/>
    <w:rsid w:val="00C65C0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CB42CE"/>
    <w:rPr>
      <w:color w:val="0000FF" w:themeColor="hyperlink"/>
      <w:u w:val="single"/>
    </w:rPr>
  </w:style>
  <w:style w:type="paragraph" w:styleId="Bibliography">
    <w:name w:val="Bibliography"/>
    <w:basedOn w:val="Normal"/>
    <w:next w:val="Normal"/>
    <w:uiPriority w:val="49"/>
    <w:semiHidden/>
    <w:unhideWhenUsed/>
    <w:rsid w:val="00F300BF"/>
  </w:style>
  <w:style w:type="paragraph" w:styleId="BlockText">
    <w:name w:val="Block Text"/>
    <w:basedOn w:val="Normal"/>
    <w:uiPriority w:val="99"/>
    <w:semiHidden/>
    <w:unhideWhenUsed/>
    <w:rsid w:val="00F300B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F300B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F300BF"/>
    <w:rPr>
      <w:rFonts w:ascii="Verdana" w:hAnsi="Verdana"/>
      <w:sz w:val="18"/>
      <w:szCs w:val="22"/>
      <w:lang w:eastAsia="en-US"/>
    </w:rPr>
  </w:style>
  <w:style w:type="paragraph" w:styleId="BodyTextIndent">
    <w:name w:val="Body Text Indent"/>
    <w:basedOn w:val="Normal"/>
    <w:link w:val="BodyTextIndentChar"/>
    <w:uiPriority w:val="99"/>
    <w:semiHidden/>
    <w:unhideWhenUsed/>
    <w:rsid w:val="00F300BF"/>
    <w:pPr>
      <w:spacing w:after="120"/>
      <w:ind w:left="283"/>
    </w:pPr>
  </w:style>
  <w:style w:type="character" w:customStyle="1" w:styleId="BodyTextIndentChar">
    <w:name w:val="Body Text Indent Char"/>
    <w:basedOn w:val="DefaultParagraphFont"/>
    <w:link w:val="BodyTextIndent"/>
    <w:uiPriority w:val="99"/>
    <w:semiHidden/>
    <w:rsid w:val="00F300BF"/>
    <w:rPr>
      <w:rFonts w:ascii="Verdana" w:hAnsi="Verdana"/>
      <w:sz w:val="18"/>
      <w:szCs w:val="22"/>
      <w:lang w:eastAsia="en-US"/>
    </w:rPr>
  </w:style>
  <w:style w:type="paragraph" w:styleId="BodyTextFirstIndent2">
    <w:name w:val="Body Text First Indent 2"/>
    <w:basedOn w:val="BodyTextIndent"/>
    <w:link w:val="BodyTextFirstIndent2Char"/>
    <w:uiPriority w:val="99"/>
    <w:semiHidden/>
    <w:unhideWhenUsed/>
    <w:rsid w:val="00F300BF"/>
    <w:pPr>
      <w:spacing w:after="0"/>
      <w:ind w:left="360" w:firstLine="360"/>
    </w:pPr>
  </w:style>
  <w:style w:type="character" w:customStyle="1" w:styleId="BodyTextFirstIndent2Char">
    <w:name w:val="Body Text First Indent 2 Char"/>
    <w:basedOn w:val="BodyTextIndentChar"/>
    <w:link w:val="BodyTextFirstIndent2"/>
    <w:uiPriority w:val="99"/>
    <w:semiHidden/>
    <w:rsid w:val="00F300BF"/>
    <w:rPr>
      <w:rFonts w:ascii="Verdana" w:hAnsi="Verdana"/>
      <w:sz w:val="18"/>
      <w:szCs w:val="22"/>
      <w:lang w:eastAsia="en-US"/>
    </w:rPr>
  </w:style>
  <w:style w:type="paragraph" w:styleId="BodyTextIndent2">
    <w:name w:val="Body Text Indent 2"/>
    <w:basedOn w:val="Normal"/>
    <w:link w:val="BodyTextIndent2Char"/>
    <w:uiPriority w:val="99"/>
    <w:semiHidden/>
    <w:unhideWhenUsed/>
    <w:rsid w:val="00F300BF"/>
    <w:pPr>
      <w:spacing w:after="120" w:line="480" w:lineRule="auto"/>
      <w:ind w:left="283"/>
    </w:pPr>
  </w:style>
  <w:style w:type="character" w:customStyle="1" w:styleId="BodyTextIndent2Char">
    <w:name w:val="Body Text Indent 2 Char"/>
    <w:basedOn w:val="DefaultParagraphFont"/>
    <w:link w:val="BodyTextIndent2"/>
    <w:uiPriority w:val="99"/>
    <w:semiHidden/>
    <w:rsid w:val="00F300BF"/>
    <w:rPr>
      <w:rFonts w:ascii="Verdana" w:hAnsi="Verdana"/>
      <w:sz w:val="18"/>
      <w:szCs w:val="22"/>
      <w:lang w:eastAsia="en-US"/>
    </w:rPr>
  </w:style>
  <w:style w:type="paragraph" w:styleId="BodyTextIndent3">
    <w:name w:val="Body Text Indent 3"/>
    <w:basedOn w:val="Normal"/>
    <w:link w:val="BodyTextIndent3Char"/>
    <w:uiPriority w:val="99"/>
    <w:semiHidden/>
    <w:unhideWhenUsed/>
    <w:rsid w:val="00F300B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300BF"/>
    <w:rPr>
      <w:rFonts w:ascii="Verdana" w:hAnsi="Verdana"/>
      <w:sz w:val="16"/>
      <w:szCs w:val="16"/>
      <w:lang w:eastAsia="en-US"/>
    </w:rPr>
  </w:style>
  <w:style w:type="character" w:styleId="BookTitle">
    <w:name w:val="Book Title"/>
    <w:basedOn w:val="DefaultParagraphFont"/>
    <w:uiPriority w:val="99"/>
    <w:semiHidden/>
    <w:qFormat/>
    <w:rsid w:val="00F300BF"/>
    <w:rPr>
      <w:b/>
      <w:bCs/>
      <w:smallCaps/>
      <w:spacing w:val="5"/>
    </w:rPr>
  </w:style>
  <w:style w:type="paragraph" w:styleId="Closing">
    <w:name w:val="Closing"/>
    <w:basedOn w:val="Normal"/>
    <w:link w:val="ClosingChar"/>
    <w:uiPriority w:val="99"/>
    <w:semiHidden/>
    <w:unhideWhenUsed/>
    <w:rsid w:val="00F300BF"/>
    <w:pPr>
      <w:ind w:left="4252"/>
    </w:pPr>
  </w:style>
  <w:style w:type="character" w:customStyle="1" w:styleId="ClosingChar">
    <w:name w:val="Closing Char"/>
    <w:basedOn w:val="DefaultParagraphFont"/>
    <w:link w:val="Closing"/>
    <w:uiPriority w:val="99"/>
    <w:semiHidden/>
    <w:rsid w:val="00F300BF"/>
    <w:rPr>
      <w:rFonts w:ascii="Verdana" w:hAnsi="Verdana"/>
      <w:sz w:val="18"/>
      <w:szCs w:val="22"/>
      <w:lang w:eastAsia="en-US"/>
    </w:rPr>
  </w:style>
  <w:style w:type="character" w:styleId="CommentReference">
    <w:name w:val="annotation reference"/>
    <w:basedOn w:val="DefaultParagraphFont"/>
    <w:uiPriority w:val="99"/>
    <w:semiHidden/>
    <w:unhideWhenUsed/>
    <w:rsid w:val="00F300BF"/>
    <w:rPr>
      <w:sz w:val="16"/>
      <w:szCs w:val="16"/>
    </w:rPr>
  </w:style>
  <w:style w:type="paragraph" w:styleId="CommentText">
    <w:name w:val="annotation text"/>
    <w:basedOn w:val="Normal"/>
    <w:link w:val="CommentTextChar"/>
    <w:uiPriority w:val="99"/>
    <w:unhideWhenUsed/>
    <w:rsid w:val="00F300BF"/>
    <w:rPr>
      <w:sz w:val="20"/>
      <w:szCs w:val="20"/>
    </w:rPr>
  </w:style>
  <w:style w:type="character" w:customStyle="1" w:styleId="CommentTextChar">
    <w:name w:val="Comment Text Char"/>
    <w:basedOn w:val="DefaultParagraphFont"/>
    <w:link w:val="CommentText"/>
    <w:uiPriority w:val="99"/>
    <w:semiHidden/>
    <w:rsid w:val="00F300BF"/>
    <w:rPr>
      <w:rFonts w:ascii="Verdana" w:hAnsi="Verdana"/>
      <w:lang w:eastAsia="en-US"/>
    </w:rPr>
  </w:style>
  <w:style w:type="paragraph" w:styleId="CommentSubject">
    <w:name w:val="annotation subject"/>
    <w:basedOn w:val="CommentText"/>
    <w:next w:val="CommentText"/>
    <w:link w:val="CommentSubjectChar"/>
    <w:uiPriority w:val="99"/>
    <w:unhideWhenUsed/>
    <w:rsid w:val="00F300BF"/>
    <w:rPr>
      <w:b/>
      <w:bCs/>
    </w:rPr>
  </w:style>
  <w:style w:type="character" w:customStyle="1" w:styleId="CommentSubjectChar">
    <w:name w:val="Comment Subject Char"/>
    <w:basedOn w:val="CommentTextChar"/>
    <w:link w:val="CommentSubject"/>
    <w:uiPriority w:val="99"/>
    <w:semiHidden/>
    <w:rsid w:val="00F300BF"/>
    <w:rPr>
      <w:rFonts w:ascii="Verdana" w:hAnsi="Verdana"/>
      <w:b/>
      <w:bCs/>
      <w:lang w:eastAsia="en-US"/>
    </w:rPr>
  </w:style>
  <w:style w:type="paragraph" w:styleId="Date">
    <w:name w:val="Date"/>
    <w:basedOn w:val="Normal"/>
    <w:next w:val="Normal"/>
    <w:link w:val="DateChar"/>
    <w:uiPriority w:val="99"/>
    <w:semiHidden/>
    <w:unhideWhenUsed/>
    <w:rsid w:val="00F300BF"/>
  </w:style>
  <w:style w:type="character" w:customStyle="1" w:styleId="DateChar">
    <w:name w:val="Date Char"/>
    <w:basedOn w:val="DefaultParagraphFont"/>
    <w:link w:val="Date"/>
    <w:uiPriority w:val="99"/>
    <w:semiHidden/>
    <w:rsid w:val="00F300BF"/>
    <w:rPr>
      <w:rFonts w:ascii="Verdana" w:hAnsi="Verdana"/>
      <w:sz w:val="18"/>
      <w:szCs w:val="22"/>
      <w:lang w:eastAsia="en-US"/>
    </w:rPr>
  </w:style>
  <w:style w:type="paragraph" w:styleId="DocumentMap">
    <w:name w:val="Document Map"/>
    <w:basedOn w:val="Normal"/>
    <w:link w:val="DocumentMapChar"/>
    <w:uiPriority w:val="99"/>
    <w:semiHidden/>
    <w:unhideWhenUsed/>
    <w:rsid w:val="00F300BF"/>
    <w:rPr>
      <w:rFonts w:ascii="Tahoma" w:hAnsi="Tahoma" w:cs="Tahoma"/>
      <w:sz w:val="16"/>
      <w:szCs w:val="16"/>
    </w:rPr>
  </w:style>
  <w:style w:type="character" w:customStyle="1" w:styleId="DocumentMapChar">
    <w:name w:val="Document Map Char"/>
    <w:basedOn w:val="DefaultParagraphFont"/>
    <w:link w:val="DocumentMap"/>
    <w:uiPriority w:val="99"/>
    <w:semiHidden/>
    <w:rsid w:val="00F300BF"/>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F300BF"/>
  </w:style>
  <w:style w:type="character" w:customStyle="1" w:styleId="E-mailSignatureChar">
    <w:name w:val="E-mail Signature Char"/>
    <w:basedOn w:val="DefaultParagraphFont"/>
    <w:link w:val="E-mailSignature"/>
    <w:uiPriority w:val="99"/>
    <w:semiHidden/>
    <w:rsid w:val="00F300BF"/>
    <w:rPr>
      <w:rFonts w:ascii="Verdana" w:hAnsi="Verdana"/>
      <w:sz w:val="18"/>
      <w:szCs w:val="22"/>
      <w:lang w:eastAsia="en-US"/>
    </w:rPr>
  </w:style>
  <w:style w:type="character" w:styleId="Emphasis">
    <w:name w:val="Emphasis"/>
    <w:basedOn w:val="DefaultParagraphFont"/>
    <w:uiPriority w:val="99"/>
    <w:semiHidden/>
    <w:qFormat/>
    <w:rsid w:val="00F300BF"/>
    <w:rPr>
      <w:i/>
      <w:iCs/>
    </w:rPr>
  </w:style>
  <w:style w:type="paragraph" w:styleId="EnvelopeAddress">
    <w:name w:val="envelope address"/>
    <w:basedOn w:val="Normal"/>
    <w:uiPriority w:val="99"/>
    <w:semiHidden/>
    <w:unhideWhenUsed/>
    <w:rsid w:val="00F300B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300B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F300BF"/>
    <w:rPr>
      <w:color w:val="800080" w:themeColor="followedHyperlink"/>
      <w:u w:val="single"/>
    </w:rPr>
  </w:style>
  <w:style w:type="character" w:styleId="HTMLAcronym">
    <w:name w:val="HTML Acronym"/>
    <w:basedOn w:val="DefaultParagraphFont"/>
    <w:uiPriority w:val="99"/>
    <w:semiHidden/>
    <w:unhideWhenUsed/>
    <w:rsid w:val="00F300BF"/>
  </w:style>
  <w:style w:type="paragraph" w:styleId="HTMLAddress">
    <w:name w:val="HTML Address"/>
    <w:basedOn w:val="Normal"/>
    <w:link w:val="HTMLAddressChar"/>
    <w:uiPriority w:val="99"/>
    <w:semiHidden/>
    <w:unhideWhenUsed/>
    <w:rsid w:val="00F300BF"/>
    <w:rPr>
      <w:i/>
      <w:iCs/>
    </w:rPr>
  </w:style>
  <w:style w:type="character" w:customStyle="1" w:styleId="HTMLAddressChar">
    <w:name w:val="HTML Address Char"/>
    <w:basedOn w:val="DefaultParagraphFont"/>
    <w:link w:val="HTMLAddress"/>
    <w:uiPriority w:val="99"/>
    <w:semiHidden/>
    <w:rsid w:val="00F300BF"/>
    <w:rPr>
      <w:rFonts w:ascii="Verdana" w:hAnsi="Verdana"/>
      <w:i/>
      <w:iCs/>
      <w:sz w:val="18"/>
      <w:szCs w:val="22"/>
      <w:lang w:eastAsia="en-US"/>
    </w:rPr>
  </w:style>
  <w:style w:type="character" w:styleId="HTMLCite">
    <w:name w:val="HTML Cite"/>
    <w:basedOn w:val="DefaultParagraphFont"/>
    <w:uiPriority w:val="99"/>
    <w:semiHidden/>
    <w:unhideWhenUsed/>
    <w:rsid w:val="00F300BF"/>
    <w:rPr>
      <w:i/>
      <w:iCs/>
    </w:rPr>
  </w:style>
  <w:style w:type="character" w:styleId="HTMLCode">
    <w:name w:val="HTML Code"/>
    <w:basedOn w:val="DefaultParagraphFont"/>
    <w:uiPriority w:val="99"/>
    <w:semiHidden/>
    <w:unhideWhenUsed/>
    <w:rsid w:val="00F300BF"/>
    <w:rPr>
      <w:rFonts w:ascii="Consolas" w:hAnsi="Consolas" w:cs="Consolas"/>
      <w:sz w:val="20"/>
      <w:szCs w:val="20"/>
    </w:rPr>
  </w:style>
  <w:style w:type="character" w:styleId="HTMLDefinition">
    <w:name w:val="HTML Definition"/>
    <w:basedOn w:val="DefaultParagraphFont"/>
    <w:uiPriority w:val="99"/>
    <w:semiHidden/>
    <w:unhideWhenUsed/>
    <w:rsid w:val="00F300BF"/>
    <w:rPr>
      <w:i/>
      <w:iCs/>
    </w:rPr>
  </w:style>
  <w:style w:type="character" w:styleId="HTMLKeyboard">
    <w:name w:val="HTML Keyboard"/>
    <w:basedOn w:val="DefaultParagraphFont"/>
    <w:uiPriority w:val="99"/>
    <w:semiHidden/>
    <w:unhideWhenUsed/>
    <w:rsid w:val="00F300BF"/>
    <w:rPr>
      <w:rFonts w:ascii="Consolas" w:hAnsi="Consolas" w:cs="Consolas"/>
      <w:sz w:val="20"/>
      <w:szCs w:val="20"/>
    </w:rPr>
  </w:style>
  <w:style w:type="paragraph" w:styleId="HTMLPreformatted">
    <w:name w:val="HTML Preformatted"/>
    <w:basedOn w:val="Normal"/>
    <w:link w:val="HTMLPreformattedChar"/>
    <w:uiPriority w:val="99"/>
    <w:semiHidden/>
    <w:unhideWhenUsed/>
    <w:rsid w:val="00F300B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300BF"/>
    <w:rPr>
      <w:rFonts w:ascii="Consolas" w:hAnsi="Consolas" w:cs="Consolas"/>
      <w:lang w:eastAsia="en-US"/>
    </w:rPr>
  </w:style>
  <w:style w:type="character" w:styleId="HTMLSample">
    <w:name w:val="HTML Sample"/>
    <w:basedOn w:val="DefaultParagraphFont"/>
    <w:uiPriority w:val="99"/>
    <w:semiHidden/>
    <w:unhideWhenUsed/>
    <w:rsid w:val="00F300BF"/>
    <w:rPr>
      <w:rFonts w:ascii="Consolas" w:hAnsi="Consolas" w:cs="Consolas"/>
      <w:sz w:val="24"/>
      <w:szCs w:val="24"/>
    </w:rPr>
  </w:style>
  <w:style w:type="character" w:styleId="HTMLTypewriter">
    <w:name w:val="HTML Typewriter"/>
    <w:basedOn w:val="DefaultParagraphFont"/>
    <w:uiPriority w:val="99"/>
    <w:semiHidden/>
    <w:unhideWhenUsed/>
    <w:rsid w:val="00F300BF"/>
    <w:rPr>
      <w:rFonts w:ascii="Consolas" w:hAnsi="Consolas" w:cs="Consolas"/>
      <w:sz w:val="20"/>
      <w:szCs w:val="20"/>
    </w:rPr>
  </w:style>
  <w:style w:type="character" w:styleId="HTMLVariable">
    <w:name w:val="HTML Variable"/>
    <w:basedOn w:val="DefaultParagraphFont"/>
    <w:uiPriority w:val="99"/>
    <w:semiHidden/>
    <w:unhideWhenUsed/>
    <w:rsid w:val="00F300BF"/>
    <w:rPr>
      <w:i/>
      <w:iCs/>
    </w:rPr>
  </w:style>
  <w:style w:type="paragraph" w:styleId="Index1">
    <w:name w:val="index 1"/>
    <w:basedOn w:val="Normal"/>
    <w:next w:val="Normal"/>
    <w:autoRedefine/>
    <w:uiPriority w:val="99"/>
    <w:semiHidden/>
    <w:unhideWhenUsed/>
    <w:rsid w:val="00F300BF"/>
    <w:pPr>
      <w:ind w:left="180" w:hanging="180"/>
    </w:pPr>
  </w:style>
  <w:style w:type="paragraph" w:styleId="Index2">
    <w:name w:val="index 2"/>
    <w:basedOn w:val="Normal"/>
    <w:next w:val="Normal"/>
    <w:autoRedefine/>
    <w:uiPriority w:val="99"/>
    <w:semiHidden/>
    <w:unhideWhenUsed/>
    <w:rsid w:val="00F300BF"/>
    <w:pPr>
      <w:ind w:left="360" w:hanging="180"/>
    </w:pPr>
  </w:style>
  <w:style w:type="paragraph" w:styleId="Index3">
    <w:name w:val="index 3"/>
    <w:basedOn w:val="Normal"/>
    <w:next w:val="Normal"/>
    <w:autoRedefine/>
    <w:uiPriority w:val="99"/>
    <w:semiHidden/>
    <w:unhideWhenUsed/>
    <w:rsid w:val="00F300BF"/>
    <w:pPr>
      <w:ind w:left="540" w:hanging="180"/>
    </w:pPr>
  </w:style>
  <w:style w:type="paragraph" w:styleId="Index4">
    <w:name w:val="index 4"/>
    <w:basedOn w:val="Normal"/>
    <w:next w:val="Normal"/>
    <w:autoRedefine/>
    <w:uiPriority w:val="99"/>
    <w:semiHidden/>
    <w:unhideWhenUsed/>
    <w:rsid w:val="00F300BF"/>
    <w:pPr>
      <w:ind w:left="720" w:hanging="180"/>
    </w:pPr>
  </w:style>
  <w:style w:type="paragraph" w:styleId="Index5">
    <w:name w:val="index 5"/>
    <w:basedOn w:val="Normal"/>
    <w:next w:val="Normal"/>
    <w:autoRedefine/>
    <w:uiPriority w:val="99"/>
    <w:semiHidden/>
    <w:unhideWhenUsed/>
    <w:rsid w:val="00F300BF"/>
    <w:pPr>
      <w:ind w:left="900" w:hanging="180"/>
    </w:pPr>
  </w:style>
  <w:style w:type="paragraph" w:styleId="Index6">
    <w:name w:val="index 6"/>
    <w:basedOn w:val="Normal"/>
    <w:next w:val="Normal"/>
    <w:autoRedefine/>
    <w:uiPriority w:val="99"/>
    <w:semiHidden/>
    <w:unhideWhenUsed/>
    <w:rsid w:val="00F300BF"/>
    <w:pPr>
      <w:ind w:left="1080" w:hanging="180"/>
    </w:pPr>
  </w:style>
  <w:style w:type="paragraph" w:styleId="Index7">
    <w:name w:val="index 7"/>
    <w:basedOn w:val="Normal"/>
    <w:next w:val="Normal"/>
    <w:autoRedefine/>
    <w:uiPriority w:val="99"/>
    <w:semiHidden/>
    <w:unhideWhenUsed/>
    <w:rsid w:val="00F300BF"/>
    <w:pPr>
      <w:ind w:left="1260" w:hanging="180"/>
    </w:pPr>
  </w:style>
  <w:style w:type="paragraph" w:styleId="Index8">
    <w:name w:val="index 8"/>
    <w:basedOn w:val="Normal"/>
    <w:next w:val="Normal"/>
    <w:autoRedefine/>
    <w:uiPriority w:val="99"/>
    <w:semiHidden/>
    <w:unhideWhenUsed/>
    <w:rsid w:val="00F300BF"/>
    <w:pPr>
      <w:ind w:left="1440" w:hanging="180"/>
    </w:pPr>
  </w:style>
  <w:style w:type="paragraph" w:styleId="Index9">
    <w:name w:val="index 9"/>
    <w:basedOn w:val="Normal"/>
    <w:next w:val="Normal"/>
    <w:autoRedefine/>
    <w:uiPriority w:val="99"/>
    <w:semiHidden/>
    <w:unhideWhenUsed/>
    <w:rsid w:val="00F300BF"/>
    <w:pPr>
      <w:ind w:left="1620" w:hanging="180"/>
    </w:pPr>
  </w:style>
  <w:style w:type="paragraph" w:styleId="IndexHeading">
    <w:name w:val="index heading"/>
    <w:basedOn w:val="Normal"/>
    <w:next w:val="Index1"/>
    <w:uiPriority w:val="99"/>
    <w:semiHidden/>
    <w:unhideWhenUsed/>
    <w:rsid w:val="00F300B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F300BF"/>
    <w:rPr>
      <w:b/>
      <w:bCs/>
      <w:i/>
      <w:iCs/>
      <w:color w:val="4F81BD" w:themeColor="accent1"/>
    </w:rPr>
  </w:style>
  <w:style w:type="paragraph" w:styleId="IntenseQuote">
    <w:name w:val="Intense Quote"/>
    <w:basedOn w:val="Normal"/>
    <w:next w:val="Normal"/>
    <w:link w:val="IntenseQuoteChar"/>
    <w:uiPriority w:val="59"/>
    <w:semiHidden/>
    <w:qFormat/>
    <w:rsid w:val="00F300B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F300BF"/>
    <w:rPr>
      <w:rFonts w:ascii="Verdana" w:hAnsi="Verdana"/>
      <w:b/>
      <w:bCs/>
      <w:i/>
      <w:iCs/>
      <w:color w:val="4F81BD" w:themeColor="accent1"/>
      <w:sz w:val="18"/>
      <w:szCs w:val="22"/>
      <w:lang w:eastAsia="en-US"/>
    </w:rPr>
  </w:style>
  <w:style w:type="character" w:styleId="IntenseReference">
    <w:name w:val="Intense Reference"/>
    <w:basedOn w:val="DefaultParagraphFont"/>
    <w:uiPriority w:val="99"/>
    <w:semiHidden/>
    <w:qFormat/>
    <w:rsid w:val="00F300BF"/>
    <w:rPr>
      <w:b/>
      <w:bCs/>
      <w:smallCaps/>
      <w:color w:val="C0504D" w:themeColor="accent2"/>
      <w:spacing w:val="5"/>
      <w:u w:val="single"/>
    </w:rPr>
  </w:style>
  <w:style w:type="character" w:styleId="LineNumber">
    <w:name w:val="line number"/>
    <w:basedOn w:val="DefaultParagraphFont"/>
    <w:uiPriority w:val="99"/>
    <w:semiHidden/>
    <w:unhideWhenUsed/>
    <w:rsid w:val="00F300BF"/>
  </w:style>
  <w:style w:type="paragraph" w:styleId="List">
    <w:name w:val="List"/>
    <w:basedOn w:val="Normal"/>
    <w:uiPriority w:val="99"/>
    <w:semiHidden/>
    <w:unhideWhenUsed/>
    <w:rsid w:val="00F300BF"/>
    <w:pPr>
      <w:ind w:left="283" w:hanging="283"/>
      <w:contextualSpacing/>
    </w:pPr>
  </w:style>
  <w:style w:type="paragraph" w:styleId="List2">
    <w:name w:val="List 2"/>
    <w:basedOn w:val="Normal"/>
    <w:uiPriority w:val="99"/>
    <w:semiHidden/>
    <w:unhideWhenUsed/>
    <w:rsid w:val="00F300BF"/>
    <w:pPr>
      <w:ind w:left="566" w:hanging="283"/>
      <w:contextualSpacing/>
    </w:pPr>
  </w:style>
  <w:style w:type="paragraph" w:styleId="List3">
    <w:name w:val="List 3"/>
    <w:basedOn w:val="Normal"/>
    <w:uiPriority w:val="99"/>
    <w:semiHidden/>
    <w:unhideWhenUsed/>
    <w:rsid w:val="00F300BF"/>
    <w:pPr>
      <w:ind w:left="849" w:hanging="283"/>
      <w:contextualSpacing/>
    </w:pPr>
  </w:style>
  <w:style w:type="paragraph" w:styleId="List4">
    <w:name w:val="List 4"/>
    <w:basedOn w:val="Normal"/>
    <w:uiPriority w:val="99"/>
    <w:semiHidden/>
    <w:unhideWhenUsed/>
    <w:rsid w:val="00F300BF"/>
    <w:pPr>
      <w:ind w:left="1132" w:hanging="283"/>
      <w:contextualSpacing/>
    </w:pPr>
  </w:style>
  <w:style w:type="paragraph" w:styleId="List5">
    <w:name w:val="List 5"/>
    <w:basedOn w:val="Normal"/>
    <w:uiPriority w:val="99"/>
    <w:semiHidden/>
    <w:unhideWhenUsed/>
    <w:rsid w:val="00F300BF"/>
    <w:pPr>
      <w:ind w:left="1415" w:hanging="283"/>
      <w:contextualSpacing/>
    </w:pPr>
  </w:style>
  <w:style w:type="paragraph" w:styleId="ListContinue">
    <w:name w:val="List Continue"/>
    <w:basedOn w:val="Normal"/>
    <w:uiPriority w:val="99"/>
    <w:semiHidden/>
    <w:unhideWhenUsed/>
    <w:rsid w:val="00F300BF"/>
    <w:pPr>
      <w:spacing w:after="120"/>
      <w:ind w:left="283"/>
      <w:contextualSpacing/>
    </w:pPr>
  </w:style>
  <w:style w:type="paragraph" w:styleId="ListContinue2">
    <w:name w:val="List Continue 2"/>
    <w:basedOn w:val="Normal"/>
    <w:uiPriority w:val="99"/>
    <w:semiHidden/>
    <w:unhideWhenUsed/>
    <w:rsid w:val="00F300BF"/>
    <w:pPr>
      <w:spacing w:after="120"/>
      <w:ind w:left="566"/>
      <w:contextualSpacing/>
    </w:pPr>
  </w:style>
  <w:style w:type="paragraph" w:styleId="ListContinue3">
    <w:name w:val="List Continue 3"/>
    <w:basedOn w:val="Normal"/>
    <w:uiPriority w:val="99"/>
    <w:semiHidden/>
    <w:unhideWhenUsed/>
    <w:rsid w:val="00F300BF"/>
    <w:pPr>
      <w:spacing w:after="120"/>
      <w:ind w:left="849"/>
      <w:contextualSpacing/>
    </w:pPr>
  </w:style>
  <w:style w:type="paragraph" w:styleId="ListContinue4">
    <w:name w:val="List Continue 4"/>
    <w:basedOn w:val="Normal"/>
    <w:uiPriority w:val="99"/>
    <w:semiHidden/>
    <w:unhideWhenUsed/>
    <w:rsid w:val="00F300BF"/>
    <w:pPr>
      <w:spacing w:after="120"/>
      <w:ind w:left="1132"/>
      <w:contextualSpacing/>
    </w:pPr>
  </w:style>
  <w:style w:type="paragraph" w:styleId="ListContinue5">
    <w:name w:val="List Continue 5"/>
    <w:basedOn w:val="Normal"/>
    <w:uiPriority w:val="99"/>
    <w:semiHidden/>
    <w:unhideWhenUsed/>
    <w:rsid w:val="00F300BF"/>
    <w:pPr>
      <w:spacing w:after="120"/>
      <w:ind w:left="1415"/>
      <w:contextualSpacing/>
    </w:pPr>
  </w:style>
  <w:style w:type="paragraph" w:styleId="ListNumber">
    <w:name w:val="List Number"/>
    <w:basedOn w:val="Normal"/>
    <w:uiPriority w:val="49"/>
    <w:semiHidden/>
    <w:unhideWhenUsed/>
    <w:rsid w:val="00F300BF"/>
    <w:pPr>
      <w:numPr>
        <w:numId w:val="11"/>
      </w:numPr>
      <w:contextualSpacing/>
    </w:pPr>
  </w:style>
  <w:style w:type="paragraph" w:styleId="ListNumber2">
    <w:name w:val="List Number 2"/>
    <w:basedOn w:val="Normal"/>
    <w:uiPriority w:val="49"/>
    <w:semiHidden/>
    <w:unhideWhenUsed/>
    <w:rsid w:val="00F300BF"/>
    <w:pPr>
      <w:numPr>
        <w:numId w:val="12"/>
      </w:numPr>
      <w:contextualSpacing/>
    </w:pPr>
  </w:style>
  <w:style w:type="paragraph" w:styleId="ListNumber3">
    <w:name w:val="List Number 3"/>
    <w:basedOn w:val="Normal"/>
    <w:uiPriority w:val="49"/>
    <w:semiHidden/>
    <w:unhideWhenUsed/>
    <w:rsid w:val="00F300BF"/>
    <w:pPr>
      <w:numPr>
        <w:numId w:val="13"/>
      </w:numPr>
      <w:contextualSpacing/>
    </w:pPr>
  </w:style>
  <w:style w:type="paragraph" w:styleId="ListNumber4">
    <w:name w:val="List Number 4"/>
    <w:basedOn w:val="Normal"/>
    <w:uiPriority w:val="49"/>
    <w:semiHidden/>
    <w:unhideWhenUsed/>
    <w:rsid w:val="00F300BF"/>
    <w:pPr>
      <w:numPr>
        <w:numId w:val="14"/>
      </w:numPr>
      <w:contextualSpacing/>
    </w:pPr>
  </w:style>
  <w:style w:type="paragraph" w:styleId="ListNumber5">
    <w:name w:val="List Number 5"/>
    <w:basedOn w:val="Normal"/>
    <w:uiPriority w:val="49"/>
    <w:semiHidden/>
    <w:unhideWhenUsed/>
    <w:rsid w:val="00F300BF"/>
    <w:pPr>
      <w:numPr>
        <w:numId w:val="15"/>
      </w:numPr>
      <w:contextualSpacing/>
    </w:pPr>
  </w:style>
  <w:style w:type="paragraph" w:styleId="MacroText">
    <w:name w:val="macro"/>
    <w:link w:val="MacroTextChar"/>
    <w:uiPriority w:val="99"/>
    <w:semiHidden/>
    <w:unhideWhenUsed/>
    <w:rsid w:val="00F300B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semiHidden/>
    <w:rsid w:val="00F300BF"/>
    <w:rPr>
      <w:rFonts w:ascii="Consolas" w:hAnsi="Consolas" w:cs="Consolas"/>
      <w:lang w:eastAsia="en-US"/>
    </w:rPr>
  </w:style>
  <w:style w:type="paragraph" w:styleId="MessageHeader">
    <w:name w:val="Message Header"/>
    <w:basedOn w:val="Normal"/>
    <w:link w:val="MessageHeaderChar"/>
    <w:uiPriority w:val="99"/>
    <w:semiHidden/>
    <w:unhideWhenUsed/>
    <w:rsid w:val="00F300B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300BF"/>
    <w:rPr>
      <w:rFonts w:asciiTheme="majorHAnsi" w:eastAsiaTheme="majorEastAsia" w:hAnsiTheme="majorHAnsi" w:cstheme="majorBidi"/>
      <w:sz w:val="24"/>
      <w:szCs w:val="24"/>
      <w:shd w:val="pct20" w:color="auto" w:fill="auto"/>
      <w:lang w:eastAsia="en-US"/>
    </w:rPr>
  </w:style>
  <w:style w:type="paragraph" w:styleId="NoSpacing">
    <w:name w:val="No Spacing"/>
    <w:uiPriority w:val="1"/>
    <w:semiHidden/>
    <w:qFormat/>
    <w:rsid w:val="00F300BF"/>
    <w:pPr>
      <w:jc w:val="both"/>
    </w:pPr>
    <w:rPr>
      <w:rFonts w:ascii="Verdana" w:hAnsi="Verdana"/>
      <w:sz w:val="18"/>
      <w:szCs w:val="22"/>
      <w:lang w:eastAsia="en-US"/>
    </w:rPr>
  </w:style>
  <w:style w:type="paragraph" w:styleId="NormalWeb">
    <w:name w:val="Normal (Web)"/>
    <w:basedOn w:val="Normal"/>
    <w:uiPriority w:val="99"/>
    <w:unhideWhenUsed/>
    <w:rsid w:val="00F300BF"/>
    <w:rPr>
      <w:rFonts w:ascii="Times New Roman" w:hAnsi="Times New Roman"/>
      <w:sz w:val="24"/>
      <w:szCs w:val="24"/>
    </w:rPr>
  </w:style>
  <w:style w:type="paragraph" w:styleId="NormalIndent">
    <w:name w:val="Normal Indent"/>
    <w:basedOn w:val="Normal"/>
    <w:uiPriority w:val="99"/>
    <w:semiHidden/>
    <w:unhideWhenUsed/>
    <w:rsid w:val="00F300BF"/>
    <w:pPr>
      <w:ind w:left="567"/>
    </w:pPr>
  </w:style>
  <w:style w:type="paragraph" w:styleId="NoteHeading">
    <w:name w:val="Note Heading"/>
    <w:basedOn w:val="Normal"/>
    <w:next w:val="Normal"/>
    <w:link w:val="NoteHeadingChar"/>
    <w:uiPriority w:val="99"/>
    <w:semiHidden/>
    <w:unhideWhenUsed/>
    <w:rsid w:val="00F300BF"/>
  </w:style>
  <w:style w:type="character" w:customStyle="1" w:styleId="NoteHeadingChar">
    <w:name w:val="Note Heading Char"/>
    <w:basedOn w:val="DefaultParagraphFont"/>
    <w:link w:val="NoteHeading"/>
    <w:uiPriority w:val="99"/>
    <w:semiHidden/>
    <w:rsid w:val="00F300BF"/>
    <w:rPr>
      <w:rFonts w:ascii="Verdana" w:hAnsi="Verdana"/>
      <w:sz w:val="18"/>
      <w:szCs w:val="22"/>
      <w:lang w:eastAsia="en-US"/>
    </w:rPr>
  </w:style>
  <w:style w:type="character" w:styleId="PageNumber">
    <w:name w:val="page number"/>
    <w:basedOn w:val="DefaultParagraphFont"/>
    <w:uiPriority w:val="99"/>
    <w:semiHidden/>
    <w:unhideWhenUsed/>
    <w:rsid w:val="00F300BF"/>
  </w:style>
  <w:style w:type="character" w:styleId="PlaceholderText">
    <w:name w:val="Placeholder Text"/>
    <w:basedOn w:val="DefaultParagraphFont"/>
    <w:uiPriority w:val="99"/>
    <w:semiHidden/>
    <w:rsid w:val="00F300BF"/>
    <w:rPr>
      <w:color w:val="808080"/>
    </w:rPr>
  </w:style>
  <w:style w:type="paragraph" w:styleId="PlainText">
    <w:name w:val="Plain Text"/>
    <w:basedOn w:val="Normal"/>
    <w:link w:val="PlainTextChar"/>
    <w:uiPriority w:val="99"/>
    <w:unhideWhenUsed/>
    <w:rsid w:val="00F300BF"/>
    <w:rPr>
      <w:rFonts w:ascii="Consolas" w:hAnsi="Consolas" w:cs="Consolas"/>
      <w:sz w:val="21"/>
      <w:szCs w:val="21"/>
    </w:rPr>
  </w:style>
  <w:style w:type="character" w:customStyle="1" w:styleId="PlainTextChar">
    <w:name w:val="Plain Text Char"/>
    <w:basedOn w:val="DefaultParagraphFont"/>
    <w:link w:val="PlainText"/>
    <w:uiPriority w:val="99"/>
    <w:semiHidden/>
    <w:rsid w:val="00F300BF"/>
    <w:rPr>
      <w:rFonts w:ascii="Consolas" w:hAnsi="Consolas" w:cs="Consolas"/>
      <w:sz w:val="21"/>
      <w:szCs w:val="21"/>
      <w:lang w:eastAsia="en-US"/>
    </w:rPr>
  </w:style>
  <w:style w:type="paragraph" w:styleId="Quote">
    <w:name w:val="Quote"/>
    <w:basedOn w:val="Normal"/>
    <w:next w:val="Normal"/>
    <w:link w:val="QuoteChar"/>
    <w:uiPriority w:val="59"/>
    <w:semiHidden/>
    <w:qFormat/>
    <w:rsid w:val="00F300BF"/>
    <w:rPr>
      <w:i/>
      <w:iCs/>
      <w:color w:val="000000" w:themeColor="text1"/>
    </w:rPr>
  </w:style>
  <w:style w:type="character" w:customStyle="1" w:styleId="QuoteChar">
    <w:name w:val="Quote Char"/>
    <w:basedOn w:val="DefaultParagraphFont"/>
    <w:link w:val="Quote"/>
    <w:uiPriority w:val="99"/>
    <w:semiHidden/>
    <w:rsid w:val="00F300BF"/>
    <w:rPr>
      <w:rFonts w:ascii="Verdana" w:hAnsi="Verdana"/>
      <w:i/>
      <w:iCs/>
      <w:color w:val="000000" w:themeColor="text1"/>
      <w:sz w:val="18"/>
      <w:szCs w:val="22"/>
      <w:lang w:eastAsia="en-US"/>
    </w:rPr>
  </w:style>
  <w:style w:type="paragraph" w:styleId="Salutation">
    <w:name w:val="Salutation"/>
    <w:basedOn w:val="Normal"/>
    <w:next w:val="Normal"/>
    <w:link w:val="SalutationChar"/>
    <w:uiPriority w:val="99"/>
    <w:semiHidden/>
    <w:unhideWhenUsed/>
    <w:rsid w:val="00F300BF"/>
  </w:style>
  <w:style w:type="character" w:customStyle="1" w:styleId="SalutationChar">
    <w:name w:val="Salutation Char"/>
    <w:basedOn w:val="DefaultParagraphFont"/>
    <w:link w:val="Salutation"/>
    <w:uiPriority w:val="99"/>
    <w:semiHidden/>
    <w:rsid w:val="00F300BF"/>
    <w:rPr>
      <w:rFonts w:ascii="Verdana" w:hAnsi="Verdana"/>
      <w:sz w:val="18"/>
      <w:szCs w:val="22"/>
      <w:lang w:eastAsia="en-US"/>
    </w:rPr>
  </w:style>
  <w:style w:type="paragraph" w:styleId="Signature">
    <w:name w:val="Signature"/>
    <w:basedOn w:val="Normal"/>
    <w:link w:val="SignatureChar"/>
    <w:uiPriority w:val="99"/>
    <w:semiHidden/>
    <w:unhideWhenUsed/>
    <w:rsid w:val="00F300BF"/>
    <w:pPr>
      <w:ind w:left="4252"/>
    </w:pPr>
  </w:style>
  <w:style w:type="character" w:customStyle="1" w:styleId="SignatureChar">
    <w:name w:val="Signature Char"/>
    <w:basedOn w:val="DefaultParagraphFont"/>
    <w:link w:val="Signature"/>
    <w:uiPriority w:val="99"/>
    <w:semiHidden/>
    <w:rsid w:val="00F300BF"/>
    <w:rPr>
      <w:rFonts w:ascii="Verdana" w:hAnsi="Verdana"/>
      <w:sz w:val="18"/>
      <w:szCs w:val="22"/>
      <w:lang w:eastAsia="en-US"/>
    </w:rPr>
  </w:style>
  <w:style w:type="character" w:styleId="Strong">
    <w:name w:val="Strong"/>
    <w:basedOn w:val="DefaultParagraphFont"/>
    <w:uiPriority w:val="99"/>
    <w:semiHidden/>
    <w:qFormat/>
    <w:rsid w:val="00F300BF"/>
    <w:rPr>
      <w:b/>
      <w:bCs/>
    </w:rPr>
  </w:style>
  <w:style w:type="character" w:styleId="SubtleEmphasis">
    <w:name w:val="Subtle Emphasis"/>
    <w:basedOn w:val="DefaultParagraphFont"/>
    <w:uiPriority w:val="99"/>
    <w:semiHidden/>
    <w:qFormat/>
    <w:rsid w:val="00F300BF"/>
    <w:rPr>
      <w:i/>
      <w:iCs/>
      <w:color w:val="808080" w:themeColor="text1" w:themeTint="7F"/>
    </w:rPr>
  </w:style>
  <w:style w:type="character" w:styleId="SubtleReference">
    <w:name w:val="Subtle Reference"/>
    <w:basedOn w:val="DefaultParagraphFont"/>
    <w:uiPriority w:val="99"/>
    <w:semiHidden/>
    <w:qFormat/>
    <w:rsid w:val="00F300BF"/>
    <w:rPr>
      <w:smallCaps/>
      <w:color w:val="C0504D" w:themeColor="accent2"/>
      <w:u w:val="single"/>
    </w:rPr>
  </w:style>
  <w:style w:type="paragraph" w:styleId="TOAHeading">
    <w:name w:val="toa heading"/>
    <w:basedOn w:val="Normal"/>
    <w:next w:val="Normal"/>
    <w:uiPriority w:val="39"/>
    <w:unhideWhenUsed/>
    <w:rsid w:val="00F300BF"/>
    <w:pPr>
      <w:spacing w:before="120"/>
    </w:pPr>
    <w:rPr>
      <w:rFonts w:asciiTheme="majorHAnsi" w:eastAsiaTheme="majorEastAsia" w:hAnsiTheme="majorHAnsi" w:cstheme="majorBidi"/>
      <w:b/>
      <w:bCs/>
      <w:sz w:val="24"/>
      <w:szCs w:val="24"/>
    </w:rPr>
  </w:style>
  <w:style w:type="paragraph" w:styleId="Revision">
    <w:name w:val="Revision"/>
    <w:hidden/>
    <w:uiPriority w:val="99"/>
    <w:semiHidden/>
    <w:rsid w:val="00D2600C"/>
    <w:rPr>
      <w:rFonts w:ascii="Verdana" w:hAnsi="Verdan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8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Ministerial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470A6-ACC4-4835-9126-9E6DD44B6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Ministerial_EN.dotx</Template>
  <TotalTime>0</TotalTime>
  <Pages>8</Pages>
  <Words>2370</Words>
  <Characters>13304</Characters>
  <Application>Microsoft Office Word</Application>
  <DocSecurity>0</DocSecurity>
  <Lines>397</Lines>
  <Paragraphs>116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2022-06-06T20:57:00Z</dcterms:created>
  <dcterms:modified xsi:type="dcterms:W3CDTF">2022-06-06T21:19:00Z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1ca46deb-963d-4346-b002-0b7f5450fb34</vt:lpwstr>
  </property>
  <property fmtid="{D5CDD505-2E9C-101B-9397-08002B2CF9AE}" pid="3" name="WTOCLASSIFICATION">
    <vt:lpwstr>WTO OFFICIAL</vt:lpwstr>
  </property>
  <property fmtid="{D5CDD505-2E9C-101B-9397-08002B2CF9AE}" pid="4" name="Symbol1">
    <vt:lpwstr>WT/MIN(22)/W/5</vt:lpwstr>
  </property>
  <property fmtid="{D5CDD505-2E9C-101B-9397-08002B2CF9AE}" pid="5" name="Symbol2">
    <vt:lpwstr>WT/GC/W/851</vt:lpwstr>
  </property>
</Properties>
</file>